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F27E4C">
      <w:pPr>
        <w:rPr>
          <w:rFonts w:hint="eastAsia" w:ascii="宋体" w:hAnsi="宋体" w:eastAsia="宋体" w:cs="宋体"/>
          <w:color w:val="auto"/>
        </w:rPr>
      </w:pPr>
      <w:r>
        <w:rPr>
          <w:rFonts w:hint="eastAsia" w:ascii="宋体" w:hAnsi="宋体" w:eastAsia="宋体" w:cs="宋体"/>
          <w:color w:val="auto"/>
        </w:rPr>
        <w:drawing>
          <wp:inline distT="0" distB="0" distL="114300" distR="114300">
            <wp:extent cx="6456680" cy="9136380"/>
            <wp:effectExtent l="0" t="0" r="1270" b="7620"/>
            <wp:docPr id="1" name="图片 1" descr="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封_00"/>
                    <pic:cNvPicPr>
                      <a:picLocks noChangeAspect="1"/>
                    </pic:cNvPicPr>
                  </pic:nvPicPr>
                  <pic:blipFill>
                    <a:blip r:embed="rId9"/>
                    <a:stretch>
                      <a:fillRect/>
                    </a:stretch>
                  </pic:blipFill>
                  <pic:spPr>
                    <a:xfrm>
                      <a:off x="0" y="0"/>
                      <a:ext cx="6456680" cy="9136380"/>
                    </a:xfrm>
                    <a:prstGeom prst="rect">
                      <a:avLst/>
                    </a:prstGeom>
                  </pic:spPr>
                </pic:pic>
              </a:graphicData>
            </a:graphic>
          </wp:inline>
        </w:drawing>
      </w:r>
    </w:p>
    <w:p w14:paraId="6DD79857">
      <w:pPr>
        <w:rPr>
          <w:rFonts w:hint="eastAsia" w:ascii="宋体" w:hAnsi="宋体" w:eastAsia="宋体" w:cs="宋体"/>
          <w:color w:val="auto"/>
          <w:highlight w:val="none"/>
        </w:rPr>
      </w:pPr>
    </w:p>
    <w:p w14:paraId="0B38803F">
      <w:pPr>
        <w:rPr>
          <w:rFonts w:hint="eastAsia" w:ascii="宋体" w:hAnsi="宋体" w:eastAsia="宋体" w:cs="宋体"/>
          <w:color w:val="auto"/>
          <w:highlight w:val="none"/>
        </w:rPr>
      </w:pPr>
    </w:p>
    <w:p w14:paraId="1407F5C1">
      <w:pPr>
        <w:rPr>
          <w:rFonts w:hint="eastAsia" w:ascii="宋体" w:hAnsi="宋体" w:eastAsia="宋体" w:cs="宋体"/>
          <w:color w:val="auto"/>
          <w:highlight w:val="none"/>
        </w:rPr>
      </w:pPr>
    </w:p>
    <w:p w14:paraId="44BB28CB">
      <w:pPr>
        <w:rPr>
          <w:rFonts w:hint="eastAsia" w:ascii="宋体" w:hAnsi="宋体" w:eastAsia="宋体" w:cs="宋体"/>
          <w:color w:val="auto"/>
          <w:highlight w:val="none"/>
        </w:rPr>
      </w:pPr>
    </w:p>
    <w:p w14:paraId="39B3FD19">
      <w:pPr>
        <w:rPr>
          <w:rFonts w:hint="eastAsia" w:ascii="宋体" w:hAnsi="宋体" w:eastAsia="宋体" w:cs="宋体"/>
          <w:color w:val="auto"/>
          <w:highlight w:val="none"/>
        </w:rPr>
      </w:pPr>
    </w:p>
    <w:p w14:paraId="188A5D5B">
      <w:pPr>
        <w:rPr>
          <w:rFonts w:hint="eastAsia" w:ascii="宋体" w:hAnsi="宋体" w:eastAsia="宋体" w:cs="宋体"/>
          <w:color w:val="auto"/>
          <w:highlight w:val="none"/>
        </w:rPr>
      </w:pPr>
    </w:p>
    <w:p w14:paraId="0A5ACDCC">
      <w:pPr>
        <w:rPr>
          <w:rFonts w:hint="eastAsia" w:ascii="宋体" w:hAnsi="宋体" w:eastAsia="宋体" w:cs="宋体"/>
          <w:color w:val="auto"/>
          <w:highlight w:val="none"/>
        </w:rPr>
      </w:pPr>
    </w:p>
    <w:p w14:paraId="20B9E65F">
      <w:pPr>
        <w:rPr>
          <w:rFonts w:hint="eastAsia" w:ascii="宋体" w:hAnsi="宋体" w:eastAsia="宋体" w:cs="宋体"/>
          <w:color w:val="auto"/>
          <w:highlight w:val="none"/>
        </w:rPr>
      </w:pPr>
    </w:p>
    <w:p w14:paraId="43B75FE0">
      <w:pPr>
        <w:rPr>
          <w:rFonts w:hint="eastAsia" w:ascii="宋体" w:hAnsi="宋体" w:eastAsia="宋体" w:cs="宋体"/>
          <w:color w:val="auto"/>
          <w:highlight w:val="none"/>
        </w:rPr>
      </w:pPr>
    </w:p>
    <w:p w14:paraId="6EE35487">
      <w:pPr>
        <w:rPr>
          <w:rFonts w:hint="eastAsia" w:ascii="宋体" w:hAnsi="宋体" w:eastAsia="宋体" w:cs="宋体"/>
          <w:color w:val="auto"/>
          <w:highlight w:val="none"/>
        </w:rPr>
      </w:pPr>
    </w:p>
    <w:p w14:paraId="0F952C5C">
      <w:pPr>
        <w:rPr>
          <w:rFonts w:hint="eastAsia" w:ascii="宋体" w:hAnsi="宋体" w:eastAsia="宋体" w:cs="宋体"/>
          <w:color w:val="auto"/>
          <w:highlight w:val="none"/>
        </w:rPr>
      </w:pPr>
    </w:p>
    <w:p w14:paraId="450B0C37">
      <w:pPr>
        <w:rPr>
          <w:rFonts w:hint="eastAsia" w:ascii="宋体" w:hAnsi="宋体" w:eastAsia="宋体" w:cs="宋体"/>
          <w:color w:val="auto"/>
          <w:highlight w:val="none"/>
        </w:rPr>
      </w:pPr>
    </w:p>
    <w:p w14:paraId="50EE088C">
      <w:pPr>
        <w:rPr>
          <w:rFonts w:hint="eastAsia" w:ascii="宋体" w:hAnsi="宋体" w:eastAsia="宋体" w:cs="宋体"/>
          <w:color w:val="auto"/>
          <w:highlight w:val="none"/>
        </w:rPr>
      </w:pPr>
    </w:p>
    <w:p w14:paraId="41FCD2CB">
      <w:pPr>
        <w:rPr>
          <w:rFonts w:hint="eastAsia" w:ascii="宋体" w:hAnsi="宋体" w:eastAsia="宋体" w:cs="宋体"/>
          <w:color w:val="auto"/>
          <w:highlight w:val="none"/>
        </w:rPr>
      </w:pPr>
    </w:p>
    <w:p w14:paraId="384AD455">
      <w:pPr>
        <w:rPr>
          <w:rFonts w:hint="eastAsia" w:ascii="宋体" w:hAnsi="宋体" w:eastAsia="宋体" w:cs="宋体"/>
          <w:color w:val="auto"/>
          <w:highlight w:val="none"/>
        </w:rPr>
      </w:pPr>
    </w:p>
    <w:p w14:paraId="73B77124">
      <w:pPr>
        <w:rPr>
          <w:rFonts w:hint="eastAsia" w:ascii="宋体" w:hAnsi="宋体" w:eastAsia="宋体" w:cs="宋体"/>
          <w:color w:val="auto"/>
          <w:highlight w:val="none"/>
        </w:rPr>
      </w:pPr>
    </w:p>
    <w:p w14:paraId="73DAC0A4">
      <w:pPr>
        <w:rPr>
          <w:rFonts w:hint="eastAsia" w:ascii="宋体" w:hAnsi="宋体" w:eastAsia="宋体" w:cs="宋体"/>
          <w:color w:val="auto"/>
          <w:highlight w:val="none"/>
        </w:rPr>
      </w:pPr>
    </w:p>
    <w:p w14:paraId="21E5F680">
      <w:pPr>
        <w:rPr>
          <w:rFonts w:hint="eastAsia" w:ascii="宋体" w:hAnsi="宋体" w:eastAsia="宋体" w:cs="宋体"/>
          <w:color w:val="auto"/>
          <w:highlight w:val="none"/>
        </w:rPr>
      </w:pPr>
    </w:p>
    <w:p w14:paraId="3E813B1D">
      <w:pPr>
        <w:rPr>
          <w:rFonts w:hint="eastAsia" w:ascii="宋体" w:hAnsi="宋体" w:eastAsia="宋体" w:cs="宋体"/>
          <w:color w:val="auto"/>
          <w:highlight w:val="none"/>
        </w:rPr>
      </w:pPr>
    </w:p>
    <w:p w14:paraId="50E43DCA">
      <w:pPr>
        <w:rPr>
          <w:rFonts w:hint="eastAsia" w:ascii="宋体" w:hAnsi="宋体" w:eastAsia="宋体" w:cs="宋体"/>
          <w:color w:val="auto"/>
          <w:highlight w:val="none"/>
        </w:rPr>
      </w:pPr>
    </w:p>
    <w:p w14:paraId="108DA0C6">
      <w:pPr>
        <w:rPr>
          <w:rFonts w:hint="eastAsia" w:ascii="宋体" w:hAnsi="宋体" w:eastAsia="宋体" w:cs="宋体"/>
          <w:color w:val="auto"/>
          <w:highlight w:val="none"/>
        </w:rPr>
      </w:pPr>
    </w:p>
    <w:p w14:paraId="73A016C1">
      <w:pPr>
        <w:rPr>
          <w:rFonts w:hint="eastAsia" w:ascii="宋体" w:hAnsi="宋体" w:eastAsia="宋体" w:cs="宋体"/>
          <w:color w:val="auto"/>
          <w:highlight w:val="none"/>
        </w:rPr>
      </w:pPr>
    </w:p>
    <w:p w14:paraId="1914D136">
      <w:pPr>
        <w:rPr>
          <w:rFonts w:hint="eastAsia" w:ascii="宋体" w:hAnsi="宋体" w:eastAsia="宋体" w:cs="宋体"/>
          <w:color w:val="auto"/>
          <w:highlight w:val="none"/>
        </w:rPr>
      </w:pPr>
    </w:p>
    <w:p w14:paraId="5E791CDE">
      <w:pPr>
        <w:rPr>
          <w:rFonts w:hint="eastAsia" w:ascii="宋体" w:hAnsi="宋体" w:eastAsia="宋体" w:cs="宋体"/>
          <w:color w:val="auto"/>
          <w:highlight w:val="none"/>
        </w:rPr>
      </w:pPr>
    </w:p>
    <w:p w14:paraId="4DDDFEE5">
      <w:pPr>
        <w:rPr>
          <w:rFonts w:hint="eastAsia" w:ascii="宋体" w:hAnsi="宋体" w:eastAsia="宋体" w:cs="宋体"/>
          <w:color w:val="auto"/>
          <w:highlight w:val="none"/>
        </w:rPr>
      </w:pPr>
    </w:p>
    <w:p w14:paraId="384A11B5">
      <w:pPr>
        <w:rPr>
          <w:rFonts w:hint="eastAsia" w:ascii="宋体" w:hAnsi="宋体" w:eastAsia="宋体" w:cs="宋体"/>
          <w:color w:val="auto"/>
          <w:highlight w:val="none"/>
        </w:rPr>
      </w:pPr>
    </w:p>
    <w:p w14:paraId="1E262BFF">
      <w:pPr>
        <w:rPr>
          <w:rFonts w:hint="eastAsia" w:ascii="宋体" w:hAnsi="宋体" w:eastAsia="宋体" w:cs="宋体"/>
          <w:color w:val="auto"/>
          <w:highlight w:val="none"/>
        </w:rPr>
      </w:pPr>
    </w:p>
    <w:p w14:paraId="09934153">
      <w:pPr>
        <w:rPr>
          <w:rFonts w:hint="eastAsia" w:ascii="宋体" w:hAnsi="宋体" w:eastAsia="宋体" w:cs="宋体"/>
          <w:color w:val="auto"/>
          <w:highlight w:val="none"/>
        </w:rPr>
      </w:pPr>
    </w:p>
    <w:p w14:paraId="22EFBA96">
      <w:pPr>
        <w:rPr>
          <w:rFonts w:hint="eastAsia" w:ascii="宋体" w:hAnsi="宋体" w:eastAsia="宋体" w:cs="宋体"/>
          <w:color w:val="auto"/>
          <w:highlight w:val="none"/>
        </w:rPr>
      </w:pPr>
    </w:p>
    <w:p w14:paraId="2E0D84AF">
      <w:pPr>
        <w:rPr>
          <w:rFonts w:hint="eastAsia" w:ascii="宋体" w:hAnsi="宋体" w:eastAsia="宋体" w:cs="宋体"/>
          <w:color w:val="auto"/>
          <w:highlight w:val="none"/>
        </w:rPr>
      </w:pPr>
    </w:p>
    <w:p w14:paraId="7C6F1959">
      <w:pPr>
        <w:rPr>
          <w:rFonts w:hint="eastAsia" w:ascii="宋体" w:hAnsi="宋体" w:eastAsia="宋体" w:cs="宋体"/>
          <w:color w:val="auto"/>
          <w:highlight w:val="none"/>
        </w:rPr>
      </w:pPr>
    </w:p>
    <w:p w14:paraId="735B727F">
      <w:pPr>
        <w:rPr>
          <w:rFonts w:hint="eastAsia" w:ascii="宋体" w:hAnsi="宋体" w:eastAsia="宋体" w:cs="宋体"/>
          <w:color w:val="auto"/>
          <w:highlight w:val="none"/>
        </w:rPr>
      </w:pPr>
    </w:p>
    <w:p w14:paraId="1252F713">
      <w:pPr>
        <w:rPr>
          <w:rFonts w:hint="eastAsia" w:ascii="宋体" w:hAnsi="宋体" w:eastAsia="宋体" w:cs="宋体"/>
          <w:color w:val="auto"/>
          <w:highlight w:val="none"/>
        </w:rPr>
      </w:pPr>
    </w:p>
    <w:p w14:paraId="72A81E43">
      <w:pPr>
        <w:rPr>
          <w:rFonts w:hint="eastAsia" w:ascii="宋体" w:hAnsi="宋体" w:eastAsia="宋体" w:cs="宋体"/>
          <w:color w:val="auto"/>
          <w:highlight w:val="none"/>
        </w:rPr>
      </w:pPr>
    </w:p>
    <w:p w14:paraId="45A6FC81">
      <w:pPr>
        <w:rPr>
          <w:rFonts w:hint="eastAsia" w:ascii="宋体" w:hAnsi="宋体" w:eastAsia="宋体" w:cs="宋体"/>
          <w:color w:val="auto"/>
          <w:highlight w:val="none"/>
        </w:rPr>
      </w:pPr>
    </w:p>
    <w:p w14:paraId="2D1BD06C">
      <w:pPr>
        <w:rPr>
          <w:rFonts w:hint="eastAsia" w:ascii="宋体" w:hAnsi="宋体" w:eastAsia="宋体" w:cs="宋体"/>
          <w:color w:val="auto"/>
          <w:highlight w:val="none"/>
        </w:rPr>
      </w:pPr>
    </w:p>
    <w:p w14:paraId="6F1EC88B">
      <w:pPr>
        <w:rPr>
          <w:rFonts w:hint="eastAsia" w:ascii="宋体" w:hAnsi="宋体" w:eastAsia="宋体" w:cs="宋体"/>
          <w:color w:val="auto"/>
          <w:highlight w:val="none"/>
        </w:rPr>
      </w:pPr>
    </w:p>
    <w:p w14:paraId="3F438834">
      <w:pPr>
        <w:rPr>
          <w:rFonts w:hint="eastAsia" w:ascii="宋体" w:hAnsi="宋体" w:eastAsia="宋体" w:cs="宋体"/>
          <w:color w:val="auto"/>
          <w:highlight w:val="none"/>
        </w:rPr>
      </w:pPr>
    </w:p>
    <w:p w14:paraId="7D9BA4A4">
      <w:pPr>
        <w:rPr>
          <w:rFonts w:hint="eastAsia" w:ascii="宋体" w:hAnsi="宋体" w:eastAsia="宋体" w:cs="宋体"/>
          <w:color w:val="auto"/>
          <w:highlight w:val="none"/>
        </w:rPr>
      </w:pPr>
    </w:p>
    <w:p w14:paraId="0E602EC0">
      <w:pPr>
        <w:rPr>
          <w:rFonts w:hint="eastAsia" w:ascii="宋体" w:hAnsi="宋体" w:eastAsia="宋体" w:cs="宋体"/>
          <w:color w:val="auto"/>
          <w:highlight w:val="none"/>
        </w:rPr>
      </w:pPr>
    </w:p>
    <w:p w14:paraId="278574D8">
      <w:pPr>
        <w:rPr>
          <w:rFonts w:hint="eastAsia" w:ascii="宋体" w:hAnsi="宋体" w:eastAsia="宋体" w:cs="宋体"/>
          <w:color w:val="auto"/>
          <w:highlight w:val="none"/>
        </w:rPr>
      </w:pPr>
    </w:p>
    <w:p w14:paraId="73BCFF1A">
      <w:pPr>
        <w:rPr>
          <w:rFonts w:hint="eastAsia" w:ascii="宋体" w:hAnsi="宋体" w:eastAsia="宋体" w:cs="宋体"/>
          <w:color w:val="auto"/>
          <w:highlight w:val="none"/>
        </w:rPr>
      </w:pPr>
    </w:p>
    <w:p w14:paraId="5A02F438">
      <w:pPr>
        <w:rPr>
          <w:rFonts w:hint="eastAsia" w:ascii="宋体" w:hAnsi="宋体" w:eastAsia="宋体" w:cs="宋体"/>
          <w:color w:val="auto"/>
          <w:highlight w:val="none"/>
        </w:rPr>
      </w:pPr>
    </w:p>
    <w:p w14:paraId="327DF06B">
      <w:pPr>
        <w:rPr>
          <w:rFonts w:hint="eastAsia" w:ascii="宋体" w:hAnsi="宋体" w:eastAsia="宋体" w:cs="宋体"/>
          <w:color w:val="auto"/>
          <w:highlight w:val="none"/>
        </w:rPr>
      </w:pPr>
    </w:p>
    <w:p w14:paraId="730DB945">
      <w:pPr>
        <w:rPr>
          <w:rFonts w:hint="eastAsia" w:ascii="宋体" w:hAnsi="宋体" w:eastAsia="宋体" w:cs="宋体"/>
          <w:color w:val="auto"/>
          <w:highlight w:val="none"/>
        </w:rPr>
      </w:pPr>
    </w:p>
    <w:p w14:paraId="41555BAD">
      <w:pPr>
        <w:rPr>
          <w:rFonts w:hint="eastAsia" w:ascii="宋体" w:hAnsi="宋体" w:eastAsia="宋体" w:cs="宋体"/>
          <w:color w:val="auto"/>
          <w:highlight w:val="none"/>
        </w:rPr>
      </w:pPr>
    </w:p>
    <w:p w14:paraId="18505851">
      <w:pPr>
        <w:rPr>
          <w:rFonts w:hint="eastAsia" w:ascii="宋体" w:hAnsi="宋体" w:eastAsia="宋体" w:cs="宋体"/>
          <w:color w:val="auto"/>
          <w:highlight w:val="none"/>
        </w:rPr>
      </w:pPr>
    </w:p>
    <w:p w14:paraId="4003CD6B">
      <w:pPr>
        <w:rPr>
          <w:rFonts w:hint="eastAsia" w:ascii="宋体" w:hAnsi="宋体" w:eastAsia="宋体" w:cs="宋体"/>
          <w:color w:val="auto"/>
          <w:highlight w:val="none"/>
        </w:rPr>
      </w:pPr>
    </w:p>
    <w:p w14:paraId="171D3AAA">
      <w:pPr>
        <w:rPr>
          <w:rFonts w:hint="eastAsia" w:ascii="宋体" w:hAnsi="宋体" w:eastAsia="宋体" w:cs="宋体"/>
          <w:color w:val="auto"/>
          <w:highlight w:val="none"/>
        </w:rPr>
      </w:pPr>
    </w:p>
    <w:p w14:paraId="12BD6C8F">
      <w:pPr>
        <w:rPr>
          <w:rFonts w:hint="eastAsia" w:ascii="宋体" w:hAnsi="宋体" w:eastAsia="宋体" w:cs="宋体"/>
          <w:color w:val="auto"/>
          <w:highlight w:val="none"/>
        </w:rPr>
      </w:pPr>
    </w:p>
    <w:p w14:paraId="7C2F8027">
      <w:pPr>
        <w:rPr>
          <w:rFonts w:hint="eastAsia" w:ascii="宋体" w:hAnsi="宋体" w:eastAsia="宋体" w:cs="宋体"/>
          <w:color w:val="auto"/>
          <w:highlight w:val="none"/>
        </w:rPr>
      </w:pPr>
    </w:p>
    <w:p w14:paraId="112718E2">
      <w:pPr>
        <w:rPr>
          <w:rFonts w:hint="eastAsia" w:ascii="宋体" w:hAnsi="宋体" w:eastAsia="宋体" w:cs="宋体"/>
          <w:color w:val="auto"/>
          <w:highlight w:val="none"/>
        </w:rPr>
      </w:pPr>
    </w:p>
    <w:p w14:paraId="7FFA702F">
      <w:pPr>
        <w:jc w:val="center"/>
        <w:rPr>
          <w:rFonts w:hint="eastAsia" w:ascii="宋体" w:hAnsi="宋体" w:eastAsia="宋体" w:cs="宋体"/>
          <w:b/>
          <w:snapToGrid w:val="0"/>
          <w:color w:val="auto"/>
          <w:kern w:val="0"/>
          <w:sz w:val="30"/>
          <w:szCs w:val="30"/>
          <w:highlight w:val="none"/>
        </w:rPr>
        <w:sectPr>
          <w:headerReference r:id="rId5" w:type="default"/>
          <w:footerReference r:id="rId6" w:type="default"/>
          <w:endnotePr>
            <w:numFmt w:val="decimal"/>
          </w:endnotePr>
          <w:pgSz w:w="11906" w:h="16838"/>
          <w:pgMar w:top="1134" w:right="1134" w:bottom="1134" w:left="1134" w:header="850" w:footer="850" w:gutter="0"/>
          <w:pgNumType w:fmt="numberInDash" w:start="1"/>
          <w:cols w:space="0" w:num="1"/>
          <w:rtlGutter w:val="0"/>
          <w:docGrid w:linePitch="327" w:charSpace="0"/>
        </w:sectPr>
      </w:pPr>
    </w:p>
    <w:p w14:paraId="2C6E9578">
      <w:pPr>
        <w:spacing w:line="240" w:lineRule="auto"/>
        <w:jc w:val="center"/>
        <w:rPr>
          <w:rFonts w:hint="eastAsia" w:ascii="宋体" w:hAnsi="宋体" w:eastAsia="宋体" w:cs="宋体"/>
          <w:color w:val="auto"/>
          <w:kern w:val="2"/>
          <w:sz w:val="21"/>
          <w:lang w:val="en-US" w:eastAsia="zh-CN" w:bidi="ar-SA"/>
        </w:rPr>
      </w:pPr>
      <w:r>
        <w:rPr>
          <w:rFonts w:hint="eastAsia" w:ascii="宋体" w:hAnsi="宋体" w:eastAsia="宋体" w:cs="宋体"/>
          <w:b/>
          <w:snapToGrid w:val="0"/>
          <w:color w:val="auto"/>
          <w:kern w:val="0"/>
          <w:sz w:val="30"/>
          <w:szCs w:val="30"/>
          <w:highlight w:val="none"/>
        </w:rPr>
        <w:t>目    录</w:t>
      </w:r>
      <w:bookmarkStart w:id="0" w:name="_Hlt68775471"/>
      <w:bookmarkStart w:id="1" w:name="_Hlt69333523"/>
      <w:r>
        <w:rPr>
          <w:rFonts w:hint="eastAsia" w:ascii="宋体" w:hAnsi="宋体" w:eastAsia="宋体" w:cs="宋体"/>
          <w:snapToGrid w:val="0"/>
          <w:color w:val="auto"/>
          <w:kern w:val="0"/>
          <w:szCs w:val="24"/>
          <w:highlight w:val="none"/>
        </w:rPr>
        <w:fldChar w:fldCharType="begin"/>
      </w:r>
      <w:r>
        <w:rPr>
          <w:rFonts w:hint="eastAsia" w:ascii="宋体" w:hAnsi="宋体" w:eastAsia="宋体" w:cs="宋体"/>
          <w:snapToGrid w:val="0"/>
          <w:color w:val="auto"/>
          <w:kern w:val="0"/>
          <w:szCs w:val="24"/>
          <w:highlight w:val="none"/>
        </w:rPr>
        <w:instrText xml:space="preserve"> TOC \o "1-4" \h \z </w:instrText>
      </w:r>
      <w:r>
        <w:rPr>
          <w:rFonts w:hint="eastAsia" w:ascii="宋体" w:hAnsi="宋体" w:eastAsia="宋体" w:cs="宋体"/>
          <w:snapToGrid w:val="0"/>
          <w:color w:val="auto"/>
          <w:kern w:val="0"/>
          <w:szCs w:val="24"/>
          <w:highlight w:val="none"/>
        </w:rPr>
        <w:fldChar w:fldCharType="separate"/>
      </w:r>
    </w:p>
    <w:p w14:paraId="03C75728">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_Toc5460 </w:instrText>
      </w:r>
      <w:r>
        <w:rPr>
          <w:rFonts w:hint="eastAsia" w:ascii="宋体" w:hAnsi="宋体" w:eastAsia="宋体" w:cs="宋体"/>
          <w:color w:val="auto"/>
          <w:sz w:val="24"/>
          <w:szCs w:val="24"/>
        </w:rPr>
        <w:fldChar w:fldCharType="separate"/>
      </w:r>
      <w:r>
        <w:rPr>
          <w:rFonts w:hint="eastAsia" w:ascii="宋体" w:hAnsi="宋体" w:eastAsia="宋体" w:cs="宋体"/>
          <w:snapToGrid w:val="0"/>
          <w:color w:val="auto"/>
          <w:sz w:val="24"/>
          <w:szCs w:val="24"/>
          <w:highlight w:val="none"/>
        </w:rPr>
        <w:t>第一节</w:t>
      </w:r>
      <w:r>
        <w:rPr>
          <w:rFonts w:hint="eastAsia" w:ascii="宋体" w:hAnsi="宋体" w:eastAsia="宋体" w:cs="宋体"/>
          <w:snapToGrid w:val="0"/>
          <w:color w:val="auto"/>
          <w:sz w:val="24"/>
          <w:szCs w:val="24"/>
          <w:highlight w:val="none"/>
          <w:lang w:val="en-US" w:eastAsia="zh-CN"/>
        </w:rPr>
        <w:t xml:space="preserve">   </w:t>
      </w:r>
      <w:r>
        <w:rPr>
          <w:rFonts w:hint="eastAsia" w:ascii="宋体" w:hAnsi="宋体" w:eastAsia="宋体" w:cs="宋体"/>
          <w:snapToGrid w:val="0"/>
          <w:color w:val="auto"/>
          <w:sz w:val="24"/>
          <w:szCs w:val="24"/>
          <w:highlight w:val="none"/>
        </w:rPr>
        <w:t>投标人须知前附表</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_Toc5460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- 3 -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163BCAAD">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_Toc32700 </w:instrText>
      </w:r>
      <w:r>
        <w:rPr>
          <w:rFonts w:hint="eastAsia" w:ascii="宋体" w:hAnsi="宋体" w:eastAsia="宋体" w:cs="宋体"/>
          <w:color w:val="auto"/>
          <w:sz w:val="24"/>
          <w:szCs w:val="24"/>
        </w:rPr>
        <w:fldChar w:fldCharType="separate"/>
      </w:r>
      <w:r>
        <w:rPr>
          <w:rFonts w:hint="eastAsia" w:ascii="宋体" w:hAnsi="宋体" w:eastAsia="宋体" w:cs="宋体"/>
          <w:snapToGrid w:val="0"/>
          <w:color w:val="auto"/>
          <w:sz w:val="24"/>
          <w:szCs w:val="24"/>
          <w:highlight w:val="none"/>
        </w:rPr>
        <w:t>第二节</w:t>
      </w:r>
      <w:r>
        <w:rPr>
          <w:rFonts w:hint="eastAsia" w:ascii="宋体" w:hAnsi="宋体" w:eastAsia="宋体" w:cs="宋体"/>
          <w:snapToGrid w:val="0"/>
          <w:color w:val="auto"/>
          <w:sz w:val="24"/>
          <w:szCs w:val="24"/>
          <w:highlight w:val="none"/>
          <w:lang w:val="en-US" w:eastAsia="zh-CN"/>
        </w:rPr>
        <w:t xml:space="preserve">   </w:t>
      </w:r>
      <w:r>
        <w:rPr>
          <w:rFonts w:hint="eastAsia" w:ascii="宋体" w:hAnsi="宋体" w:eastAsia="宋体" w:cs="宋体"/>
          <w:snapToGrid w:val="0"/>
          <w:color w:val="auto"/>
          <w:sz w:val="24"/>
          <w:szCs w:val="24"/>
          <w:highlight w:val="none"/>
        </w:rPr>
        <w:t>重要事项时间地点一览表</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_Toc32700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- 10 -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39C59115">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_Toc24477 </w:instrText>
      </w:r>
      <w:r>
        <w:rPr>
          <w:rFonts w:hint="eastAsia" w:ascii="宋体" w:hAnsi="宋体" w:eastAsia="宋体" w:cs="宋体"/>
          <w:color w:val="auto"/>
          <w:sz w:val="24"/>
          <w:szCs w:val="24"/>
        </w:rPr>
        <w:fldChar w:fldCharType="separate"/>
      </w:r>
      <w:r>
        <w:rPr>
          <w:rFonts w:hint="eastAsia" w:ascii="宋体" w:hAnsi="宋体" w:eastAsia="宋体" w:cs="宋体"/>
          <w:snapToGrid w:val="0"/>
          <w:color w:val="auto"/>
          <w:sz w:val="24"/>
          <w:szCs w:val="24"/>
          <w:highlight w:val="none"/>
        </w:rPr>
        <w:t>第三节</w:t>
      </w:r>
      <w:r>
        <w:rPr>
          <w:rFonts w:hint="eastAsia" w:ascii="宋体" w:hAnsi="宋体" w:eastAsia="宋体" w:cs="宋体"/>
          <w:snapToGrid w:val="0"/>
          <w:color w:val="auto"/>
          <w:sz w:val="24"/>
          <w:szCs w:val="24"/>
          <w:highlight w:val="none"/>
          <w:lang w:val="en-US" w:eastAsia="zh-CN"/>
        </w:rPr>
        <w:t xml:space="preserve">   </w:t>
      </w:r>
      <w:r>
        <w:rPr>
          <w:rFonts w:hint="eastAsia" w:ascii="宋体" w:hAnsi="宋体" w:eastAsia="宋体" w:cs="宋体"/>
          <w:snapToGrid w:val="0"/>
          <w:color w:val="auto"/>
          <w:sz w:val="24"/>
          <w:szCs w:val="24"/>
          <w:highlight w:val="none"/>
        </w:rPr>
        <w:t>投标人须知正文</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_Toc24477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- 11 -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74C1F554">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_Toc4383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1．项目概况、招标范围和标段划分、投标费用</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_Toc4383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- 11 -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13767F6F">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_Toc15834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2．投标人资格要求</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_Toc15834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- 11 -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042355CE">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_Toc5593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3．</w:t>
      </w:r>
      <w:r>
        <w:rPr>
          <w:rFonts w:hint="eastAsia" w:ascii="宋体" w:hAnsi="宋体" w:eastAsia="宋体" w:cs="宋体"/>
          <w:color w:val="auto"/>
          <w:sz w:val="24"/>
          <w:szCs w:val="24"/>
          <w:lang w:val="en-US" w:eastAsia="zh-CN"/>
        </w:rPr>
        <w:t>招标文件获取</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_Toc5593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- 13 -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6CD79779">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_Toc19834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4．工期要求</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_Toc19834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- 15 -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154D9470">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_Toc6445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5．质量标准和材料、机械要求</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_Toc6445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- 15 -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18F68D9B">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_Toc2559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6．施工条件及现场踏勘</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_Toc2559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- 15 -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02D31356">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_Toc30904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7．招标文件的提问和答疑</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_Toc30904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- 16 -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5D30702C">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_Toc29228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8．招标控制价</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_Toc29228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- 16 -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6BA632D2">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_Toc22885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9．投标报价</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_Toc22885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- 18 -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5ECB68C3">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_Toc31661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10．投标文件的编制要求</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_Toc31661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- 19 -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5038520C">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_Toc21745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11．电子投标</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_Toc21745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- 21 -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0CF02072">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_Toc28926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12．电子投标及投标解密失败及突发情况的补救方案</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_Toc28926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- 22 -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20C10608">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_Toc11446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1</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．投标文件的递交</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_Toc11446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- 22 -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694D0AD5">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_Toc29604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14．开标</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_Toc29604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- 23 -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306AC25D">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_Toc29580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15．评标</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_Toc29580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- 24 -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6353E812">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_Toc27880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16．中标候选人公示</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_Toc27880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- 36 -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6BD3174B">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_Toc28682 </w:instrText>
      </w:r>
      <w:r>
        <w:rPr>
          <w:rFonts w:hint="eastAsia" w:ascii="宋体" w:hAnsi="宋体" w:eastAsia="宋体" w:cs="宋体"/>
          <w:color w:val="auto"/>
          <w:sz w:val="24"/>
          <w:szCs w:val="24"/>
        </w:rPr>
        <w:fldChar w:fldCharType="separate"/>
      </w:r>
      <w:r>
        <w:rPr>
          <w:rFonts w:hint="eastAsia" w:ascii="宋体" w:hAnsi="宋体" w:eastAsia="宋体" w:cs="宋体"/>
          <w:snapToGrid w:val="0"/>
          <w:color w:val="auto"/>
          <w:sz w:val="24"/>
          <w:szCs w:val="24"/>
          <w:highlight w:val="none"/>
          <w:lang w:eastAsia="zh-CN"/>
        </w:rPr>
        <w:t>第四节</w:t>
      </w:r>
      <w:r>
        <w:rPr>
          <w:rFonts w:hint="eastAsia" w:ascii="宋体" w:hAnsi="宋体" w:eastAsia="宋体" w:cs="宋体"/>
          <w:snapToGrid w:val="0"/>
          <w:color w:val="auto"/>
          <w:sz w:val="24"/>
          <w:szCs w:val="24"/>
          <w:highlight w:val="none"/>
          <w:lang w:val="en-US" w:eastAsia="zh-CN"/>
        </w:rPr>
        <w:t xml:space="preserve">   </w:t>
      </w:r>
      <w:r>
        <w:rPr>
          <w:rFonts w:hint="eastAsia" w:ascii="宋体" w:hAnsi="宋体" w:eastAsia="宋体" w:cs="宋体"/>
          <w:snapToGrid w:val="0"/>
          <w:color w:val="auto"/>
          <w:sz w:val="24"/>
          <w:szCs w:val="24"/>
          <w:highlight w:val="none"/>
          <w:lang w:eastAsia="zh-CN"/>
        </w:rPr>
        <w:t>否决投标条件</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_Toc28682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- 37 -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51D814B0">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_Toc18871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1．资格评审环节</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_Toc18871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- 37 -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6888DFD6">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_Toc16743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2．形式评审环节</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_Toc16743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- 38 -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400E4797">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_Toc608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3．响应性评审环节</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_Toc608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- 38 -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308894F0">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_Toc25803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4．其他</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_Toc25803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- 38 -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7D083855">
      <w:pPr>
        <w:pStyle w:val="16"/>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_Toc13624 </w:instrText>
      </w:r>
      <w:r>
        <w:rPr>
          <w:rFonts w:hint="eastAsia" w:ascii="宋体" w:hAnsi="宋体" w:eastAsia="宋体" w:cs="宋体"/>
          <w:color w:val="auto"/>
          <w:sz w:val="24"/>
          <w:szCs w:val="24"/>
        </w:rPr>
        <w:fldChar w:fldCharType="separate"/>
      </w:r>
      <w:r>
        <w:rPr>
          <w:rFonts w:hint="eastAsia" w:ascii="宋体" w:hAnsi="宋体" w:eastAsia="宋体" w:cs="宋体"/>
          <w:snapToGrid w:val="0"/>
          <w:color w:val="auto"/>
          <w:sz w:val="24"/>
          <w:szCs w:val="24"/>
          <w:highlight w:val="none"/>
        </w:rPr>
        <w:t>第二章</w:t>
      </w:r>
      <w:r>
        <w:rPr>
          <w:rFonts w:hint="eastAsia" w:ascii="宋体" w:hAnsi="宋体" w:eastAsia="宋体" w:cs="宋体"/>
          <w:snapToGrid w:val="0"/>
          <w:color w:val="auto"/>
          <w:sz w:val="24"/>
          <w:szCs w:val="24"/>
          <w:highlight w:val="none"/>
          <w:lang w:val="en-US" w:eastAsia="zh-CN"/>
        </w:rPr>
        <w:t xml:space="preserve">   </w:t>
      </w:r>
      <w:r>
        <w:rPr>
          <w:rFonts w:hint="eastAsia" w:ascii="宋体" w:hAnsi="宋体" w:eastAsia="宋体" w:cs="宋体"/>
          <w:snapToGrid w:val="0"/>
          <w:color w:val="auto"/>
          <w:sz w:val="24"/>
          <w:szCs w:val="24"/>
          <w:highlight w:val="none"/>
        </w:rPr>
        <w:t>中标人须知</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_Toc13624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- 40 -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3EA12EDC">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_Toc26071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1．中标通知书</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_Toc26071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- 40 -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6DBE89D5">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_Toc4978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2．中标结果公示</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_Toc4978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- 40 -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61B6CBAD">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_Toc7333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3．履约保证</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_Toc7333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- 40 -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26EB721B">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_Toc6577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4．合同订立</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_Toc6577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- 40 -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6CC7202E">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_Toc11410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5．放弃中标的处理</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_Toc11410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- 42 -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4815EB6A">
      <w:pPr>
        <w:pStyle w:val="16"/>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_Toc6675 </w:instrText>
      </w:r>
      <w:r>
        <w:rPr>
          <w:rFonts w:hint="eastAsia" w:ascii="宋体" w:hAnsi="宋体" w:eastAsia="宋体" w:cs="宋体"/>
          <w:color w:val="auto"/>
          <w:sz w:val="24"/>
          <w:szCs w:val="24"/>
        </w:rPr>
        <w:fldChar w:fldCharType="separate"/>
      </w:r>
      <w:r>
        <w:rPr>
          <w:rFonts w:hint="eastAsia" w:ascii="宋体" w:hAnsi="宋体" w:eastAsia="宋体" w:cs="宋体"/>
          <w:snapToGrid w:val="0"/>
          <w:color w:val="auto"/>
          <w:sz w:val="24"/>
          <w:szCs w:val="24"/>
          <w:highlight w:val="none"/>
        </w:rPr>
        <w:t>第三章</w:t>
      </w:r>
      <w:r>
        <w:rPr>
          <w:rFonts w:hint="eastAsia" w:ascii="宋体" w:hAnsi="宋体" w:eastAsia="宋体" w:cs="宋体"/>
          <w:snapToGrid w:val="0"/>
          <w:color w:val="auto"/>
          <w:sz w:val="24"/>
          <w:szCs w:val="24"/>
          <w:highlight w:val="none"/>
          <w:lang w:val="en-US" w:eastAsia="zh-CN"/>
        </w:rPr>
        <w:t xml:space="preserve">   </w:t>
      </w:r>
      <w:r>
        <w:rPr>
          <w:rFonts w:hint="eastAsia" w:ascii="宋体" w:hAnsi="宋体" w:eastAsia="宋体" w:cs="宋体"/>
          <w:snapToGrid w:val="0"/>
          <w:color w:val="auto"/>
          <w:sz w:val="24"/>
          <w:szCs w:val="24"/>
          <w:highlight w:val="none"/>
        </w:rPr>
        <w:t>拟签订合同的主要条款</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_Toc6675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- 43 -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43BC8458">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_Toc21134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1．工程承包方式</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_Toc21134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- 43 -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5885BB8F">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_Toc3028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2．工程结算原则</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_Toc3028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- 43 -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1DFF45E6">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_Toc18125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3．工程付款办法</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_Toc18125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- 48 -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6E41D479">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_Toc29875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4．其他专用合同条款</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_Toc29875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- 50 -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0613A26A">
      <w:pPr>
        <w:pStyle w:val="16"/>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_Toc21764 </w:instrText>
      </w:r>
      <w:r>
        <w:rPr>
          <w:rFonts w:hint="eastAsia" w:ascii="宋体" w:hAnsi="宋体" w:eastAsia="宋体" w:cs="宋体"/>
          <w:color w:val="auto"/>
          <w:sz w:val="24"/>
          <w:szCs w:val="24"/>
        </w:rPr>
        <w:fldChar w:fldCharType="separate"/>
      </w:r>
      <w:r>
        <w:rPr>
          <w:rFonts w:hint="eastAsia" w:ascii="宋体" w:hAnsi="宋体" w:eastAsia="宋体" w:cs="宋体"/>
          <w:snapToGrid w:val="0"/>
          <w:color w:val="auto"/>
          <w:sz w:val="24"/>
          <w:szCs w:val="24"/>
          <w:highlight w:val="none"/>
        </w:rPr>
        <w:t>第四章</w:t>
      </w:r>
      <w:r>
        <w:rPr>
          <w:rFonts w:hint="eastAsia" w:ascii="宋体" w:hAnsi="宋体" w:eastAsia="宋体" w:cs="宋体"/>
          <w:snapToGrid w:val="0"/>
          <w:color w:val="auto"/>
          <w:sz w:val="24"/>
          <w:szCs w:val="24"/>
          <w:highlight w:val="none"/>
          <w:lang w:val="en-US" w:eastAsia="zh-CN"/>
        </w:rPr>
        <w:t xml:space="preserve">   </w:t>
      </w:r>
      <w:r>
        <w:rPr>
          <w:rFonts w:hint="eastAsia" w:ascii="宋体" w:hAnsi="宋体" w:eastAsia="宋体" w:cs="宋体"/>
          <w:snapToGrid w:val="0"/>
          <w:color w:val="auto"/>
          <w:sz w:val="24"/>
          <w:szCs w:val="24"/>
          <w:highlight w:val="none"/>
        </w:rPr>
        <w:t>技术要求</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_Toc21764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- 56 -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31D19BD2">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_Toc8885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1．房屋建筑工程建设项目</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_Toc8885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- 56 -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5C7A1713">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_Toc10145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2．市政基础设施工程建设项目</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_Toc10145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- 56 -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78C8865C">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_Toc24849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3．备查要求</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_Toc24849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- 57 -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306D5360">
      <w:pPr>
        <w:pStyle w:val="16"/>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_Toc26006 </w:instrText>
      </w:r>
      <w:r>
        <w:rPr>
          <w:rFonts w:hint="eastAsia" w:ascii="宋体" w:hAnsi="宋体" w:eastAsia="宋体" w:cs="宋体"/>
          <w:color w:val="auto"/>
          <w:sz w:val="24"/>
          <w:szCs w:val="24"/>
        </w:rPr>
        <w:fldChar w:fldCharType="separate"/>
      </w:r>
      <w:r>
        <w:rPr>
          <w:rFonts w:hint="eastAsia" w:ascii="宋体" w:hAnsi="宋体" w:eastAsia="宋体" w:cs="宋体"/>
          <w:snapToGrid w:val="0"/>
          <w:color w:val="auto"/>
          <w:sz w:val="24"/>
          <w:szCs w:val="24"/>
          <w:highlight w:val="none"/>
          <w:lang w:val="en-US" w:eastAsia="zh-CN"/>
        </w:rPr>
        <w:t>第五章   投标文件格式</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_Toc26006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- 58 -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53F0AE4B">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_Toc26935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格式一</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封面</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_Toc26935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- 58 -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64D239B8">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_Toc32691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格式二   投标函</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_Toc32691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- 59 -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539C6D42">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_Toc6483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格式三   各项承诺一览表</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_Toc6483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- 60 -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36FDEA02">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_Toc12710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格式四   授权委托书</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_Toc12710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- 62 -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45205820">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_Toc964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格式五   法定代表人身份证明</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_Toc964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- 63 -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464DEBE1">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_Toc7188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格式六   投标人基本情况表</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_Toc7188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- 64 -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531EEFF9">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_Toc18262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格式七   项目经理简历表</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_Toc18262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- 65 -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601505B9">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_Toc18541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格式八   项目经理任职声明</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_Toc18541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- 66 -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71E072AB">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_Toc24130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格式九   项目技术负责人简历表</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_Toc24130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- 67 -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316EBB93">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_Toc11366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格式十   项目管理机构组成表</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_Toc11366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- 68 -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373A4ED6">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_Toc16963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格式十一   建造师查询页（有效期+建造师签字）</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_Toc16963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- 69 -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41003211">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_Toc12864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格式十二   危险性较大的分部分项工程清单及超过一定规模的危险性较大的分部分项工程清单</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_Toc12864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- 71 -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4B40D001">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_Toc30274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格式十三   投标保证金信用承诺函</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_Toc30274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- 75 -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0A7E209E">
      <w:pPr>
        <w:pStyle w:val="17"/>
        <w:tabs>
          <w:tab w:val="right" w:leader="dot" w:pos="9638"/>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_Toc13377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格式十四   原件一览表</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_Toc13377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- 76 -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4102E669">
      <w:pPr>
        <w:pStyle w:val="16"/>
        <w:tabs>
          <w:tab w:val="right" w:leader="dot" w:pos="9638"/>
        </w:tabs>
        <w:spacing w:line="360" w:lineRule="auto"/>
        <w:rPr>
          <w:rFonts w:hint="eastAsia" w:ascii="宋体" w:hAnsi="宋体" w:eastAsia="宋体" w:cs="宋体"/>
          <w:color w:val="auto"/>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_Toc19043 </w:instrText>
      </w:r>
      <w:r>
        <w:rPr>
          <w:rFonts w:hint="eastAsia" w:ascii="宋体" w:hAnsi="宋体" w:eastAsia="宋体" w:cs="宋体"/>
          <w:color w:val="auto"/>
          <w:sz w:val="24"/>
          <w:szCs w:val="24"/>
        </w:rPr>
        <w:fldChar w:fldCharType="separate"/>
      </w:r>
      <w:r>
        <w:rPr>
          <w:rFonts w:hint="eastAsia" w:ascii="宋体" w:hAnsi="宋体" w:eastAsia="宋体" w:cs="宋体"/>
          <w:snapToGrid w:val="0"/>
          <w:color w:val="auto"/>
          <w:sz w:val="24"/>
          <w:szCs w:val="24"/>
          <w:highlight w:val="none"/>
        </w:rPr>
        <w:t>第</w:t>
      </w:r>
      <w:r>
        <w:rPr>
          <w:rFonts w:hint="eastAsia" w:ascii="宋体" w:hAnsi="宋体" w:eastAsia="宋体" w:cs="宋体"/>
          <w:snapToGrid w:val="0"/>
          <w:color w:val="auto"/>
          <w:sz w:val="24"/>
          <w:szCs w:val="24"/>
          <w:highlight w:val="none"/>
          <w:lang w:eastAsia="zh-CN"/>
        </w:rPr>
        <w:t>六</w:t>
      </w:r>
      <w:r>
        <w:rPr>
          <w:rFonts w:hint="eastAsia" w:ascii="宋体" w:hAnsi="宋体" w:eastAsia="宋体" w:cs="宋体"/>
          <w:snapToGrid w:val="0"/>
          <w:color w:val="auto"/>
          <w:sz w:val="24"/>
          <w:szCs w:val="24"/>
          <w:highlight w:val="none"/>
        </w:rPr>
        <w:t>章</w:t>
      </w:r>
      <w:r>
        <w:rPr>
          <w:rFonts w:hint="eastAsia" w:ascii="宋体" w:hAnsi="宋体" w:eastAsia="宋体" w:cs="宋体"/>
          <w:snapToGrid w:val="0"/>
          <w:color w:val="auto"/>
          <w:sz w:val="24"/>
          <w:szCs w:val="24"/>
          <w:highlight w:val="none"/>
          <w:lang w:val="en-US" w:eastAsia="zh-CN"/>
        </w:rPr>
        <w:t xml:space="preserve">   </w:t>
      </w:r>
      <w:r>
        <w:rPr>
          <w:rFonts w:hint="eastAsia" w:ascii="宋体" w:hAnsi="宋体" w:eastAsia="宋体" w:cs="宋体"/>
          <w:snapToGrid w:val="0"/>
          <w:color w:val="auto"/>
          <w:sz w:val="24"/>
          <w:szCs w:val="24"/>
          <w:highlight w:val="none"/>
        </w:rPr>
        <w:t>建设工程施工合同</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_Toc19043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- 77 -</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14:paraId="526AC5B2">
      <w:pPr>
        <w:rPr>
          <w:rFonts w:hint="eastAsia" w:ascii="宋体" w:hAnsi="宋体" w:eastAsia="宋体" w:cs="宋体"/>
          <w:color w:val="auto"/>
        </w:rPr>
      </w:pPr>
      <w:r>
        <w:rPr>
          <w:rFonts w:hint="eastAsia" w:ascii="宋体" w:hAnsi="宋体" w:eastAsia="宋体" w:cs="宋体"/>
          <w:color w:val="auto"/>
        </w:rPr>
        <w:fldChar w:fldCharType="end"/>
      </w:r>
      <w:bookmarkEnd w:id="0"/>
      <w:bookmarkEnd w:id="1"/>
      <w:bookmarkStart w:id="2" w:name="_Hlt66104981"/>
      <w:bookmarkEnd w:id="2"/>
      <w:bookmarkStart w:id="3" w:name="_Hlt122423813"/>
      <w:bookmarkEnd w:id="3"/>
      <w:bookmarkStart w:id="4" w:name="_Hlt66153951"/>
      <w:bookmarkEnd w:id="4"/>
      <w:bookmarkStart w:id="5" w:name="_Toc476739600"/>
      <w:bookmarkStart w:id="6" w:name="_Hlt111690251"/>
    </w:p>
    <w:p w14:paraId="7A304471">
      <w:pPr>
        <w:rPr>
          <w:rFonts w:hint="eastAsia" w:ascii="宋体" w:hAnsi="宋体" w:eastAsia="宋体" w:cs="宋体"/>
          <w:color w:val="auto"/>
        </w:rPr>
      </w:pPr>
    </w:p>
    <w:p w14:paraId="356A2F5F">
      <w:pPr>
        <w:rPr>
          <w:rFonts w:hint="eastAsia" w:ascii="宋体" w:hAnsi="宋体" w:eastAsia="宋体" w:cs="宋体"/>
          <w:color w:val="auto"/>
        </w:rPr>
      </w:pPr>
    </w:p>
    <w:p w14:paraId="145BE2FC">
      <w:pPr>
        <w:rPr>
          <w:rFonts w:hint="eastAsia" w:ascii="宋体" w:hAnsi="宋体" w:eastAsia="宋体" w:cs="宋体"/>
          <w:color w:val="auto"/>
        </w:rPr>
      </w:pPr>
    </w:p>
    <w:p w14:paraId="2670A8B4">
      <w:pPr>
        <w:rPr>
          <w:rFonts w:hint="eastAsia" w:ascii="宋体" w:hAnsi="宋体" w:eastAsia="宋体" w:cs="宋体"/>
          <w:color w:val="auto"/>
        </w:rPr>
      </w:pPr>
    </w:p>
    <w:p w14:paraId="1BD6058D">
      <w:pPr>
        <w:spacing w:line="240" w:lineRule="auto"/>
        <w:jc w:val="center"/>
        <w:rPr>
          <w:rFonts w:hint="eastAsia" w:ascii="宋体" w:hAnsi="宋体" w:eastAsia="宋体" w:cs="宋体"/>
          <w:b/>
          <w:snapToGrid w:val="0"/>
          <w:color w:val="auto"/>
          <w:sz w:val="28"/>
          <w:szCs w:val="28"/>
          <w:highlight w:val="none"/>
        </w:rPr>
      </w:pPr>
      <w:r>
        <w:rPr>
          <w:rFonts w:hint="eastAsia" w:ascii="宋体" w:hAnsi="宋体" w:eastAsia="宋体" w:cs="宋体"/>
          <w:b/>
          <w:snapToGrid w:val="0"/>
          <w:color w:val="auto"/>
          <w:sz w:val="28"/>
          <w:szCs w:val="28"/>
          <w:highlight w:val="none"/>
        </w:rPr>
        <w:t>第一章</w:t>
      </w:r>
      <w:r>
        <w:rPr>
          <w:rFonts w:hint="eastAsia" w:ascii="宋体" w:hAnsi="宋体" w:eastAsia="宋体" w:cs="宋体"/>
          <w:b/>
          <w:snapToGrid w:val="0"/>
          <w:color w:val="auto"/>
          <w:sz w:val="28"/>
          <w:szCs w:val="28"/>
          <w:highlight w:val="none"/>
          <w:lang w:val="en-US" w:eastAsia="zh-CN"/>
        </w:rPr>
        <w:t xml:space="preserve">   </w:t>
      </w:r>
      <w:r>
        <w:rPr>
          <w:rFonts w:hint="eastAsia" w:ascii="宋体" w:hAnsi="宋体" w:eastAsia="宋体" w:cs="宋体"/>
          <w:b/>
          <w:snapToGrid w:val="0"/>
          <w:color w:val="auto"/>
          <w:sz w:val="28"/>
          <w:szCs w:val="28"/>
          <w:highlight w:val="none"/>
        </w:rPr>
        <w:t>投标人须知</w:t>
      </w:r>
      <w:bookmarkEnd w:id="5"/>
    </w:p>
    <w:p w14:paraId="216D556B">
      <w:pPr>
        <w:pStyle w:val="3"/>
        <w:wordWrap w:val="0"/>
        <w:autoSpaceDE/>
        <w:autoSpaceDN/>
        <w:snapToGrid w:val="0"/>
        <w:spacing w:before="260" w:after="260" w:line="240" w:lineRule="auto"/>
        <w:jc w:val="both"/>
        <w:rPr>
          <w:rFonts w:hint="eastAsia" w:ascii="宋体" w:hAnsi="宋体" w:eastAsia="宋体" w:cs="宋体"/>
          <w:b/>
          <w:snapToGrid w:val="0"/>
          <w:color w:val="auto"/>
          <w:sz w:val="24"/>
          <w:szCs w:val="24"/>
          <w:highlight w:val="none"/>
        </w:rPr>
      </w:pPr>
      <w:bookmarkStart w:id="7" w:name="_Hlt127175444"/>
      <w:bookmarkEnd w:id="7"/>
      <w:bookmarkStart w:id="8" w:name="_Toc5460"/>
      <w:bookmarkStart w:id="9" w:name="_Hlt120077520"/>
      <w:r>
        <w:rPr>
          <w:rFonts w:hint="eastAsia" w:ascii="宋体" w:hAnsi="宋体" w:eastAsia="宋体" w:cs="宋体"/>
          <w:b/>
          <w:snapToGrid w:val="0"/>
          <w:color w:val="auto"/>
          <w:sz w:val="24"/>
          <w:szCs w:val="24"/>
          <w:highlight w:val="none"/>
        </w:rPr>
        <w:t>第一节</w:t>
      </w:r>
      <w:r>
        <w:rPr>
          <w:rFonts w:hint="eastAsia" w:ascii="宋体" w:hAnsi="宋体" w:eastAsia="宋体" w:cs="宋体"/>
          <w:b/>
          <w:snapToGrid w:val="0"/>
          <w:color w:val="auto"/>
          <w:sz w:val="24"/>
          <w:szCs w:val="24"/>
          <w:highlight w:val="none"/>
          <w:lang w:val="en-US" w:eastAsia="zh-CN"/>
        </w:rPr>
        <w:t xml:space="preserve">   </w:t>
      </w:r>
      <w:r>
        <w:rPr>
          <w:rFonts w:hint="eastAsia" w:ascii="宋体" w:hAnsi="宋体" w:eastAsia="宋体" w:cs="宋体"/>
          <w:b/>
          <w:snapToGrid w:val="0"/>
          <w:color w:val="auto"/>
          <w:sz w:val="24"/>
          <w:szCs w:val="24"/>
          <w:highlight w:val="none"/>
        </w:rPr>
        <w:t>投标人须知前附表</w:t>
      </w:r>
      <w:bookmarkEnd w:id="8"/>
    </w:p>
    <w:tbl>
      <w:tblPr>
        <w:tblStyle w:val="20"/>
        <w:tblW w:w="101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1983"/>
        <w:gridCol w:w="7333"/>
      </w:tblGrid>
      <w:tr w14:paraId="4048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5380A99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序号</w:t>
            </w:r>
          </w:p>
        </w:tc>
        <w:tc>
          <w:tcPr>
            <w:tcW w:w="1983" w:type="dxa"/>
            <w:shd w:val="clear" w:color="auto" w:fill="auto"/>
            <w:vAlign w:val="center"/>
          </w:tcPr>
          <w:p w14:paraId="1513ED6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内容</w:t>
            </w:r>
          </w:p>
        </w:tc>
        <w:tc>
          <w:tcPr>
            <w:tcW w:w="7333" w:type="dxa"/>
            <w:shd w:val="clear" w:color="auto" w:fill="auto"/>
            <w:vAlign w:val="center"/>
          </w:tcPr>
          <w:p w14:paraId="0E02E798">
            <w:pPr>
              <w:tabs>
                <w:tab w:val="left" w:pos="1180"/>
              </w:tabs>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说明与要求</w:t>
            </w:r>
          </w:p>
        </w:tc>
      </w:tr>
      <w:tr w14:paraId="2B63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5AC6DB59">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w:t>
            </w:r>
          </w:p>
        </w:tc>
        <w:tc>
          <w:tcPr>
            <w:tcW w:w="1983" w:type="dxa"/>
            <w:shd w:val="clear" w:color="auto" w:fill="auto"/>
            <w:vAlign w:val="center"/>
          </w:tcPr>
          <w:p w14:paraId="7329EC8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项目名称</w:t>
            </w:r>
          </w:p>
        </w:tc>
        <w:tc>
          <w:tcPr>
            <w:tcW w:w="7333" w:type="dxa"/>
            <w:shd w:val="clear" w:color="auto" w:fill="auto"/>
            <w:vAlign w:val="center"/>
          </w:tcPr>
          <w:p w14:paraId="169F1FAD">
            <w:pPr>
              <w:tabs>
                <w:tab w:val="left" w:pos="1180"/>
              </w:tabs>
              <w:wordWrap w:val="0"/>
              <w:adjustRightInd w:val="0"/>
              <w:snapToGrid w:val="0"/>
              <w:spacing w:line="360" w:lineRule="auto"/>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eastAsia="zh-CN"/>
              </w:rPr>
              <w:t>仁化县城、乡镇雨污分流基础配套设施建设-丹霞街道（一标段）施工</w:t>
            </w:r>
          </w:p>
        </w:tc>
      </w:tr>
      <w:tr w14:paraId="164E1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1CA86C5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2</w:t>
            </w:r>
          </w:p>
        </w:tc>
        <w:tc>
          <w:tcPr>
            <w:tcW w:w="1983" w:type="dxa"/>
            <w:shd w:val="clear" w:color="auto" w:fill="auto"/>
            <w:vAlign w:val="center"/>
          </w:tcPr>
          <w:p w14:paraId="09DBCB6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项目业主</w:t>
            </w:r>
          </w:p>
        </w:tc>
        <w:tc>
          <w:tcPr>
            <w:tcW w:w="7333" w:type="dxa"/>
            <w:shd w:val="clear" w:color="auto" w:fill="auto"/>
            <w:vAlign w:val="center"/>
          </w:tcPr>
          <w:p w14:paraId="66A328BA">
            <w:pPr>
              <w:wordWrap w:val="0"/>
              <w:adjustRightInd w:val="0"/>
              <w:snapToGrid w:val="0"/>
              <w:spacing w:line="360" w:lineRule="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仁化县市政工程公司</w:t>
            </w:r>
          </w:p>
        </w:tc>
      </w:tr>
      <w:tr w14:paraId="6B337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64412C8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3</w:t>
            </w:r>
          </w:p>
        </w:tc>
        <w:tc>
          <w:tcPr>
            <w:tcW w:w="1983" w:type="dxa"/>
            <w:shd w:val="clear" w:color="auto" w:fill="auto"/>
            <w:vAlign w:val="center"/>
          </w:tcPr>
          <w:p w14:paraId="1D727E0B">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项目批准部门</w:t>
            </w:r>
            <w:r>
              <w:rPr>
                <w:rFonts w:hint="eastAsia" w:ascii="宋体" w:hAnsi="宋体" w:eastAsia="宋体" w:cs="宋体"/>
                <w:snapToGrid w:val="0"/>
                <w:color w:val="auto"/>
                <w:kern w:val="0"/>
                <w:sz w:val="24"/>
                <w:szCs w:val="24"/>
                <w:highlight w:val="none"/>
                <w:lang w:val="en-US" w:eastAsia="zh-CN"/>
              </w:rPr>
              <w:t>及项目批准文号</w:t>
            </w:r>
          </w:p>
        </w:tc>
        <w:tc>
          <w:tcPr>
            <w:tcW w:w="7333" w:type="dxa"/>
            <w:shd w:val="clear" w:color="auto" w:fill="auto"/>
            <w:vAlign w:val="center"/>
          </w:tcPr>
          <w:p w14:paraId="4B4598A2">
            <w:pPr>
              <w:wordWrap w:val="0"/>
              <w:adjustRightInd w:val="0"/>
              <w:snapToGrid w:val="0"/>
              <w:spacing w:line="360" w:lineRule="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eastAsia="zh-CN"/>
              </w:rPr>
              <w:t>仁化县发展和改革局</w:t>
            </w:r>
            <w:r>
              <w:rPr>
                <w:rFonts w:hint="eastAsia" w:ascii="宋体" w:hAnsi="宋体" w:eastAsia="宋体" w:cs="宋体"/>
                <w:bCs/>
                <w:snapToGrid w:val="0"/>
                <w:color w:val="auto"/>
                <w:kern w:val="0"/>
                <w:sz w:val="24"/>
                <w:szCs w:val="24"/>
                <w:highlight w:val="none"/>
                <w:lang w:val="en-US" w:eastAsia="zh-CN"/>
              </w:rPr>
              <w:t>/</w:t>
            </w:r>
            <w:r>
              <w:rPr>
                <w:rFonts w:hint="eastAsia" w:ascii="宋体" w:hAnsi="宋体" w:eastAsia="宋体" w:cs="宋体"/>
                <w:bCs/>
                <w:snapToGrid w:val="0"/>
                <w:color w:val="auto"/>
                <w:kern w:val="0"/>
                <w:sz w:val="24"/>
                <w:szCs w:val="24"/>
                <w:highlight w:val="none"/>
                <w:lang w:eastAsia="zh-CN"/>
              </w:rPr>
              <w:t>仁发改投审〔2021〕10号、仁发改投审〔2021〕12号</w:t>
            </w:r>
          </w:p>
        </w:tc>
      </w:tr>
      <w:tr w14:paraId="46901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5DB3F2A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4</w:t>
            </w:r>
          </w:p>
        </w:tc>
        <w:tc>
          <w:tcPr>
            <w:tcW w:w="1983" w:type="dxa"/>
            <w:shd w:val="clear" w:color="auto" w:fill="auto"/>
            <w:vAlign w:val="center"/>
          </w:tcPr>
          <w:p w14:paraId="59C3DE0A">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建设地点</w:t>
            </w:r>
          </w:p>
        </w:tc>
        <w:tc>
          <w:tcPr>
            <w:tcW w:w="7333" w:type="dxa"/>
            <w:shd w:val="clear" w:color="auto" w:fill="auto"/>
            <w:vAlign w:val="center"/>
          </w:tcPr>
          <w:p w14:paraId="218E4F62">
            <w:pPr>
              <w:wordWrap w:val="0"/>
              <w:adjustRightInd w:val="0"/>
              <w:snapToGrid w:val="0"/>
              <w:spacing w:line="360" w:lineRule="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rPr>
              <w:t>韶关市仁化县大岭工业园片区、大岭农场片区、535线两侧居民点片区、丹冶公寓片区</w:t>
            </w:r>
          </w:p>
        </w:tc>
      </w:tr>
      <w:tr w14:paraId="4F8F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789F2DD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5</w:t>
            </w:r>
          </w:p>
        </w:tc>
        <w:tc>
          <w:tcPr>
            <w:tcW w:w="1983" w:type="dxa"/>
            <w:shd w:val="clear" w:color="auto" w:fill="auto"/>
            <w:vAlign w:val="center"/>
          </w:tcPr>
          <w:p w14:paraId="20B6CB2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项目代码</w:t>
            </w:r>
          </w:p>
        </w:tc>
        <w:tc>
          <w:tcPr>
            <w:tcW w:w="7333" w:type="dxa"/>
            <w:shd w:val="clear" w:color="auto" w:fill="auto"/>
            <w:vAlign w:val="center"/>
          </w:tcPr>
          <w:p w14:paraId="4D2F3F57">
            <w:pPr>
              <w:wordWrap w:val="0"/>
              <w:adjustRightInd w:val="0"/>
              <w:snapToGrid w:val="0"/>
              <w:spacing w:line="360" w:lineRule="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eastAsia="zh-CN"/>
              </w:rPr>
              <w:t>2110-440224-04-01-352328</w:t>
            </w:r>
          </w:p>
        </w:tc>
      </w:tr>
      <w:tr w14:paraId="58DB0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4D58031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6</w:t>
            </w:r>
          </w:p>
        </w:tc>
        <w:tc>
          <w:tcPr>
            <w:tcW w:w="1983" w:type="dxa"/>
            <w:shd w:val="clear" w:color="auto" w:fill="auto"/>
            <w:vAlign w:val="center"/>
          </w:tcPr>
          <w:p w14:paraId="4612E5D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资金来源</w:t>
            </w:r>
          </w:p>
          <w:p w14:paraId="72A614A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及</w:t>
            </w:r>
            <w:r>
              <w:rPr>
                <w:rFonts w:hint="eastAsia" w:ascii="宋体" w:hAnsi="宋体" w:eastAsia="宋体" w:cs="宋体"/>
                <w:snapToGrid w:val="0"/>
                <w:color w:val="auto"/>
                <w:kern w:val="0"/>
                <w:sz w:val="24"/>
                <w:szCs w:val="24"/>
                <w:highlight w:val="none"/>
                <w:lang w:val="en-US" w:eastAsia="zh-CN"/>
              </w:rPr>
              <w:t>落实情况</w:t>
            </w:r>
          </w:p>
        </w:tc>
        <w:tc>
          <w:tcPr>
            <w:tcW w:w="7333" w:type="dxa"/>
            <w:shd w:val="clear" w:color="auto" w:fill="auto"/>
            <w:vAlign w:val="center"/>
          </w:tcPr>
          <w:p w14:paraId="0D59DB4A">
            <w:pPr>
              <w:wordWrap w:val="0"/>
              <w:adjustRightInd w:val="0"/>
              <w:snapToGrid w:val="0"/>
              <w:spacing w:line="360" w:lineRule="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rPr>
              <w:t>由上级资金和县财政资金解决,资金已落实</w:t>
            </w:r>
          </w:p>
        </w:tc>
      </w:tr>
      <w:tr w14:paraId="03537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14" w:type="dxa"/>
            <w:shd w:val="clear" w:color="auto" w:fill="auto"/>
            <w:vAlign w:val="center"/>
          </w:tcPr>
          <w:p w14:paraId="5BD7B3A6">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7</w:t>
            </w:r>
          </w:p>
        </w:tc>
        <w:tc>
          <w:tcPr>
            <w:tcW w:w="1983" w:type="dxa"/>
            <w:shd w:val="clear" w:color="auto" w:fill="auto"/>
            <w:vAlign w:val="center"/>
          </w:tcPr>
          <w:p w14:paraId="5CCEF9D0">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招标人</w:t>
            </w:r>
          </w:p>
        </w:tc>
        <w:tc>
          <w:tcPr>
            <w:tcW w:w="7333" w:type="dxa"/>
            <w:shd w:val="clear" w:color="auto" w:fill="auto"/>
            <w:vAlign w:val="center"/>
          </w:tcPr>
          <w:p w14:paraId="23CD5331">
            <w:pPr>
              <w:wordWrap w:val="0"/>
              <w:adjustRightInd w:val="0"/>
              <w:snapToGrid w:val="0"/>
              <w:spacing w:line="360" w:lineRule="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仁化县市政工程公司</w:t>
            </w:r>
          </w:p>
        </w:tc>
      </w:tr>
      <w:tr w14:paraId="1D73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814" w:type="dxa"/>
            <w:shd w:val="clear" w:color="auto" w:fill="auto"/>
            <w:vAlign w:val="center"/>
          </w:tcPr>
          <w:p w14:paraId="53B6E41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8</w:t>
            </w:r>
          </w:p>
        </w:tc>
        <w:tc>
          <w:tcPr>
            <w:tcW w:w="1983" w:type="dxa"/>
            <w:shd w:val="clear" w:color="auto" w:fill="auto"/>
            <w:vAlign w:val="center"/>
          </w:tcPr>
          <w:p w14:paraId="0F597EA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招标代理机构</w:t>
            </w:r>
          </w:p>
        </w:tc>
        <w:tc>
          <w:tcPr>
            <w:tcW w:w="7333" w:type="dxa"/>
            <w:shd w:val="clear" w:color="auto" w:fill="auto"/>
            <w:vAlign w:val="center"/>
          </w:tcPr>
          <w:p w14:paraId="08381F56">
            <w:pPr>
              <w:wordWrap w:val="0"/>
              <w:adjustRightInd w:val="0"/>
              <w:snapToGrid w:val="0"/>
              <w:spacing w:line="360" w:lineRule="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eastAsia="zh-CN"/>
              </w:rPr>
              <w:t>广东明正项目管理有限公司</w:t>
            </w:r>
          </w:p>
        </w:tc>
      </w:tr>
      <w:tr w14:paraId="345EE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814" w:type="dxa"/>
            <w:shd w:val="clear" w:color="auto" w:fill="auto"/>
            <w:vAlign w:val="center"/>
          </w:tcPr>
          <w:p w14:paraId="0A6E82E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9</w:t>
            </w:r>
          </w:p>
        </w:tc>
        <w:tc>
          <w:tcPr>
            <w:tcW w:w="1983" w:type="dxa"/>
            <w:shd w:val="clear" w:color="auto" w:fill="auto"/>
            <w:vAlign w:val="center"/>
          </w:tcPr>
          <w:p w14:paraId="3DBB54F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eastAsia="zh-CN"/>
              </w:rPr>
              <w:t>勘察</w:t>
            </w:r>
            <w:r>
              <w:rPr>
                <w:rFonts w:hint="eastAsia" w:ascii="宋体" w:hAnsi="宋体" w:eastAsia="宋体" w:cs="宋体"/>
                <w:snapToGrid w:val="0"/>
                <w:color w:val="auto"/>
                <w:kern w:val="0"/>
                <w:sz w:val="24"/>
                <w:szCs w:val="24"/>
                <w:highlight w:val="none"/>
              </w:rPr>
              <w:t>设计单位</w:t>
            </w:r>
          </w:p>
        </w:tc>
        <w:tc>
          <w:tcPr>
            <w:tcW w:w="7333" w:type="dxa"/>
            <w:shd w:val="clear" w:color="auto" w:fill="auto"/>
            <w:vAlign w:val="center"/>
          </w:tcPr>
          <w:p w14:paraId="1BD2E609">
            <w:pPr>
              <w:wordWrap w:val="0"/>
              <w:adjustRightInd w:val="0"/>
              <w:snapToGrid w:val="0"/>
              <w:spacing w:line="360" w:lineRule="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strike w:val="0"/>
                <w:dstrike w:val="0"/>
                <w:color w:val="auto"/>
                <w:kern w:val="0"/>
                <w:sz w:val="24"/>
                <w:szCs w:val="24"/>
                <w:highlight w:val="none"/>
                <w:lang w:val="en-US" w:eastAsia="zh-CN" w:bidi="ar-SA"/>
              </w:rPr>
              <w:t>广州博厦建筑设计研究院有限公司、湖南中核岩土工程有限责任公司</w:t>
            </w:r>
          </w:p>
        </w:tc>
      </w:tr>
      <w:tr w14:paraId="6FA3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7012CF3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10</w:t>
            </w:r>
          </w:p>
        </w:tc>
        <w:tc>
          <w:tcPr>
            <w:tcW w:w="1983" w:type="dxa"/>
            <w:shd w:val="clear" w:color="auto" w:fill="auto"/>
            <w:vAlign w:val="center"/>
          </w:tcPr>
          <w:p w14:paraId="0AC9F760">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造价咨询单位</w:t>
            </w:r>
          </w:p>
        </w:tc>
        <w:tc>
          <w:tcPr>
            <w:tcW w:w="7333" w:type="dxa"/>
            <w:shd w:val="clear" w:color="auto" w:fill="auto"/>
            <w:vAlign w:val="center"/>
          </w:tcPr>
          <w:p w14:paraId="0B1C9173">
            <w:pPr>
              <w:wordWrap w:val="0"/>
              <w:adjustRightInd w:val="0"/>
              <w:snapToGrid w:val="0"/>
              <w:spacing w:line="360" w:lineRule="auto"/>
              <w:ind w:firstLine="236" w:firstLineChars="100"/>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 xml:space="preserve">非全过程造价咨询   </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全过程造价咨询</w:t>
            </w:r>
          </w:p>
        </w:tc>
      </w:tr>
      <w:tr w14:paraId="4BFD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3039CF60">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11</w:t>
            </w:r>
          </w:p>
        </w:tc>
        <w:tc>
          <w:tcPr>
            <w:tcW w:w="1983" w:type="dxa"/>
            <w:shd w:val="clear" w:color="auto" w:fill="auto"/>
            <w:vAlign w:val="center"/>
          </w:tcPr>
          <w:p w14:paraId="3AF972E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监理单位</w:t>
            </w:r>
          </w:p>
        </w:tc>
        <w:tc>
          <w:tcPr>
            <w:tcW w:w="7333" w:type="dxa"/>
            <w:shd w:val="clear" w:color="auto" w:fill="auto"/>
            <w:vAlign w:val="center"/>
          </w:tcPr>
          <w:p w14:paraId="2A62772A">
            <w:pPr>
              <w:wordWrap w:val="0"/>
              <w:adjustRightInd w:val="0"/>
              <w:snapToGrid w:val="0"/>
              <w:spacing w:line="360" w:lineRule="auto"/>
              <w:ind w:firstLine="230" w:firstLineChars="100"/>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pacing w:val="-5"/>
                <w:sz w:val="24"/>
                <w:szCs w:val="24"/>
                <w:highlight w:val="none"/>
              </w:rPr>
              <w:t>□已确定监理单位</w:t>
            </w:r>
            <w:r>
              <w:rPr>
                <w:rFonts w:hint="eastAsia" w:ascii="宋体" w:hAnsi="宋体" w:eastAsia="宋体" w:cs="宋体"/>
                <w:color w:val="auto"/>
                <w:spacing w:val="11"/>
                <w:sz w:val="24"/>
                <w:szCs w:val="24"/>
                <w:highlight w:val="none"/>
              </w:rPr>
              <w:t xml:space="preserve">   </w:t>
            </w:r>
            <w:r>
              <w:rPr>
                <w:rFonts w:hint="eastAsia" w:ascii="宋体" w:hAnsi="宋体" w:eastAsia="宋体" w:cs="宋体"/>
                <w:color w:val="auto"/>
                <w:spacing w:val="11"/>
                <w:sz w:val="24"/>
                <w:szCs w:val="24"/>
                <w:highlight w:val="none"/>
                <w:lang w:val="en-US" w:eastAsia="zh-CN"/>
              </w:rPr>
              <w:t xml:space="preserve"> </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rPr>
              <w:t>未确定监理单位</w:t>
            </w:r>
          </w:p>
        </w:tc>
      </w:tr>
      <w:tr w14:paraId="15A8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28758F4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2</w:t>
            </w:r>
          </w:p>
        </w:tc>
        <w:tc>
          <w:tcPr>
            <w:tcW w:w="1983" w:type="dxa"/>
            <w:shd w:val="clear" w:color="auto" w:fill="auto"/>
            <w:vAlign w:val="center"/>
          </w:tcPr>
          <w:p w14:paraId="15DC76B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建设内容和规模</w:t>
            </w:r>
          </w:p>
        </w:tc>
        <w:tc>
          <w:tcPr>
            <w:tcW w:w="7333" w:type="dxa"/>
            <w:shd w:val="clear" w:color="auto" w:fill="auto"/>
            <w:vAlign w:val="center"/>
          </w:tcPr>
          <w:p w14:paraId="681323AA">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污水工程包括：（1）完善丹霞街道污水管网，提高污水接入率；（2）对现状雨污合流段进行整治，根据现场调研确定采用截流或新建管网进行雨污分流；（3）对部分高程低于现有污水处理厂管网区域，新建一体化污水提升泵站或小型污水处理系统；（4）对现状污水管网进行检测，修复。</w:t>
            </w:r>
          </w:p>
          <w:p w14:paraId="6C212ABE">
            <w:pPr>
              <w:pStyle w:val="24"/>
              <w:wordWrap w:val="0"/>
              <w:adjustRightInd w:val="0"/>
              <w:snapToGrid w:val="0"/>
              <w:spacing w:line="360" w:lineRule="auto"/>
              <w:ind w:firstLine="480" w:firstLineChars="200"/>
              <w:jc w:val="left"/>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lang w:val="en-US" w:eastAsia="zh-CN"/>
              </w:rPr>
              <w:t>雨水工程包括：（1）对原为雨污合流段进行改造，根据现状适当新建排水渠达到分流目的；（2）对原破损老旧排水沟渠进行修缮，保障排水通畅。</w:t>
            </w:r>
          </w:p>
        </w:tc>
      </w:tr>
      <w:tr w14:paraId="3FECF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6327956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13</w:t>
            </w:r>
          </w:p>
        </w:tc>
        <w:tc>
          <w:tcPr>
            <w:tcW w:w="1983" w:type="dxa"/>
            <w:shd w:val="clear" w:color="auto" w:fill="auto"/>
            <w:vAlign w:val="center"/>
          </w:tcPr>
          <w:p w14:paraId="4793949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项目总投资</w:t>
            </w:r>
          </w:p>
        </w:tc>
        <w:tc>
          <w:tcPr>
            <w:tcW w:w="7333" w:type="dxa"/>
            <w:shd w:val="clear" w:color="auto" w:fill="auto"/>
            <w:vAlign w:val="center"/>
          </w:tcPr>
          <w:p w14:paraId="53AD22FA">
            <w:pPr>
              <w:wordWrap w:val="0"/>
              <w:adjustRightInd w:val="0"/>
              <w:snapToGrid w:val="0"/>
              <w:spacing w:line="360" w:lineRule="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建设项目概算总投资为4902.57万元,建筑安装工程费工程建安费为4129.73万元；其中一标段建安费为1880.76万元。</w:t>
            </w:r>
          </w:p>
        </w:tc>
      </w:tr>
      <w:tr w14:paraId="184B5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67EDEFB0">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14</w:t>
            </w:r>
          </w:p>
        </w:tc>
        <w:tc>
          <w:tcPr>
            <w:tcW w:w="1983" w:type="dxa"/>
            <w:shd w:val="clear" w:color="auto" w:fill="auto"/>
            <w:vAlign w:val="center"/>
          </w:tcPr>
          <w:p w14:paraId="5BF40930">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招标范围</w:t>
            </w:r>
          </w:p>
        </w:tc>
        <w:tc>
          <w:tcPr>
            <w:tcW w:w="7333" w:type="dxa"/>
            <w:shd w:val="clear" w:color="auto" w:fill="auto"/>
            <w:vAlign w:val="center"/>
          </w:tcPr>
          <w:p w14:paraId="20BBE709">
            <w:pPr>
              <w:wordWrap w:val="0"/>
              <w:adjustRightInd w:val="0"/>
              <w:snapToGrid w:val="0"/>
              <w:spacing w:line="360" w:lineRule="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施工图设计文件范围的所有工程施工。</w:t>
            </w:r>
          </w:p>
        </w:tc>
      </w:tr>
      <w:tr w14:paraId="7C6A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63C6AAD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15</w:t>
            </w:r>
          </w:p>
        </w:tc>
        <w:tc>
          <w:tcPr>
            <w:tcW w:w="1983" w:type="dxa"/>
            <w:shd w:val="clear" w:color="auto" w:fill="auto"/>
            <w:vAlign w:val="center"/>
          </w:tcPr>
          <w:p w14:paraId="1447487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标段划分</w:t>
            </w:r>
          </w:p>
        </w:tc>
        <w:tc>
          <w:tcPr>
            <w:tcW w:w="7333" w:type="dxa"/>
            <w:shd w:val="clear" w:color="auto" w:fill="auto"/>
            <w:vAlign w:val="center"/>
          </w:tcPr>
          <w:p w14:paraId="768BD42C">
            <w:pPr>
              <w:wordWrap w:val="0"/>
              <w:adjustRightInd w:val="0"/>
              <w:snapToGrid w:val="0"/>
              <w:spacing w:line="36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本招标项目不划分标段。</w:t>
            </w:r>
          </w:p>
        </w:tc>
      </w:tr>
      <w:tr w14:paraId="16E38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54DC2E3F">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16</w:t>
            </w:r>
          </w:p>
        </w:tc>
        <w:tc>
          <w:tcPr>
            <w:tcW w:w="1983" w:type="dxa"/>
            <w:shd w:val="clear" w:color="auto" w:fill="auto"/>
            <w:vAlign w:val="center"/>
          </w:tcPr>
          <w:p w14:paraId="5865CBE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工期</w:t>
            </w:r>
          </w:p>
        </w:tc>
        <w:tc>
          <w:tcPr>
            <w:tcW w:w="7333" w:type="dxa"/>
            <w:shd w:val="clear" w:color="auto" w:fill="auto"/>
            <w:vAlign w:val="center"/>
          </w:tcPr>
          <w:p w14:paraId="5BEB7923">
            <w:pPr>
              <w:spacing w:before="114" w:line="360" w:lineRule="auto"/>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本招标项目施工标准工期为</w:t>
            </w:r>
            <w:r>
              <w:rPr>
                <w:rFonts w:hint="eastAsia" w:ascii="宋体" w:hAnsi="宋体" w:eastAsia="宋体" w:cs="宋体"/>
                <w:snapToGrid w:val="0"/>
                <w:color w:val="auto"/>
                <w:kern w:val="0"/>
                <w:sz w:val="24"/>
                <w:szCs w:val="24"/>
                <w:highlight w:val="none"/>
                <w:u w:val="single"/>
                <w:lang w:val="en-US" w:eastAsia="zh-CN"/>
              </w:rPr>
              <w:t>230</w:t>
            </w:r>
            <w:r>
              <w:rPr>
                <w:rFonts w:hint="eastAsia" w:ascii="宋体" w:hAnsi="宋体" w:eastAsia="宋体" w:cs="宋体"/>
                <w:snapToGrid w:val="0"/>
                <w:color w:val="auto"/>
                <w:kern w:val="0"/>
                <w:sz w:val="24"/>
                <w:szCs w:val="24"/>
                <w:highlight w:val="none"/>
              </w:rPr>
              <w:t>个日历天</w:t>
            </w:r>
            <w:r>
              <w:rPr>
                <w:rFonts w:hint="eastAsia" w:ascii="宋体" w:hAnsi="宋体" w:eastAsia="宋体" w:cs="宋体"/>
                <w:snapToGrid w:val="0"/>
                <w:color w:val="auto"/>
                <w:kern w:val="0"/>
                <w:sz w:val="24"/>
                <w:szCs w:val="24"/>
                <w:highlight w:val="none"/>
                <w:lang w:eastAsia="zh-CN"/>
              </w:rPr>
              <w:t>。</w:t>
            </w:r>
          </w:p>
        </w:tc>
      </w:tr>
      <w:tr w14:paraId="1F039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269C6FC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17</w:t>
            </w:r>
          </w:p>
        </w:tc>
        <w:tc>
          <w:tcPr>
            <w:tcW w:w="1983" w:type="dxa"/>
            <w:shd w:val="clear" w:color="auto" w:fill="auto"/>
            <w:vAlign w:val="center"/>
          </w:tcPr>
          <w:p w14:paraId="5E5505C9">
            <w:pPr>
              <w:spacing w:before="114"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质量标准</w:t>
            </w:r>
          </w:p>
        </w:tc>
        <w:tc>
          <w:tcPr>
            <w:tcW w:w="7333" w:type="dxa"/>
            <w:shd w:val="clear" w:color="auto" w:fill="auto"/>
            <w:vAlign w:val="center"/>
          </w:tcPr>
          <w:p w14:paraId="4146FE2D">
            <w:pPr>
              <w:spacing w:before="114" w:line="36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质量目标：合格</w:t>
            </w:r>
            <w:r>
              <w:rPr>
                <w:rFonts w:hint="eastAsia" w:ascii="宋体" w:hAnsi="宋体" w:eastAsia="宋体" w:cs="宋体"/>
                <w:snapToGrid w:val="0"/>
                <w:color w:val="auto"/>
                <w:kern w:val="0"/>
                <w:sz w:val="24"/>
                <w:szCs w:val="24"/>
                <w:highlight w:val="none"/>
                <w:lang w:eastAsia="zh-CN"/>
              </w:rPr>
              <w:t>。</w:t>
            </w:r>
          </w:p>
        </w:tc>
      </w:tr>
      <w:tr w14:paraId="1F69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53D510D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18</w:t>
            </w:r>
          </w:p>
        </w:tc>
        <w:tc>
          <w:tcPr>
            <w:tcW w:w="1983" w:type="dxa"/>
            <w:shd w:val="clear" w:color="auto" w:fill="auto"/>
            <w:vAlign w:val="center"/>
          </w:tcPr>
          <w:p w14:paraId="046A8259">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合同类型</w:t>
            </w:r>
          </w:p>
        </w:tc>
        <w:tc>
          <w:tcPr>
            <w:tcW w:w="7333" w:type="dxa"/>
            <w:shd w:val="clear" w:color="auto" w:fill="auto"/>
            <w:vAlign w:val="center"/>
          </w:tcPr>
          <w:p w14:paraId="13B833CA">
            <w:pPr>
              <w:spacing w:before="150" w:line="360" w:lineRule="auto"/>
              <w:ind w:right="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单价合同：发承包双方约定以工程量清单及其综合单价进行合</w:t>
            </w:r>
            <w:r>
              <w:rPr>
                <w:rFonts w:hint="eastAsia" w:ascii="宋体" w:hAnsi="宋体" w:eastAsia="宋体" w:cs="宋体"/>
                <w:color w:val="auto"/>
                <w:spacing w:val="-2"/>
                <w:sz w:val="24"/>
                <w:szCs w:val="24"/>
                <w:highlight w:val="none"/>
              </w:rPr>
              <w:t>同价款计算、调整和确认的建设工程施工合同。</w:t>
            </w:r>
          </w:p>
          <w:p w14:paraId="4472E484">
            <w:pPr>
              <w:wordWrap w:val="0"/>
              <w:adjustRightInd w:val="0"/>
              <w:snapToGrid w:val="0"/>
              <w:spacing w:line="360" w:lineRule="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pacing w:val="-3"/>
                <w:sz w:val="24"/>
                <w:szCs w:val="24"/>
                <w:highlight w:val="none"/>
              </w:rPr>
              <w:t>注：实行工程量清单计价的工程，应采用单价合同方式，即合同中的工程量清单项目综合单价在合同</w:t>
            </w:r>
            <w:r>
              <w:rPr>
                <w:rFonts w:hint="eastAsia" w:ascii="宋体" w:hAnsi="宋体" w:eastAsia="宋体" w:cs="宋体"/>
                <w:color w:val="auto"/>
                <w:spacing w:val="-2"/>
                <w:sz w:val="24"/>
                <w:szCs w:val="24"/>
                <w:highlight w:val="none"/>
              </w:rPr>
              <w:t>约定的条件内固定不变（不正常报价除外，这部分按招标文件、合同约定的原则调整综合单价），超过合同约定条件时，依据合同约定进行调整；工程量清单项目及工程</w:t>
            </w:r>
            <w:r>
              <w:rPr>
                <w:rFonts w:hint="eastAsia" w:ascii="宋体" w:hAnsi="宋体" w:eastAsia="宋体" w:cs="宋体"/>
                <w:color w:val="auto"/>
                <w:spacing w:val="-1"/>
                <w:sz w:val="24"/>
                <w:szCs w:val="24"/>
                <w:highlight w:val="none"/>
              </w:rPr>
              <w:t>量依据承包人实际完成且应予计量的工程量确定。</w:t>
            </w:r>
          </w:p>
        </w:tc>
      </w:tr>
      <w:tr w14:paraId="3E230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4146FAF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19</w:t>
            </w:r>
          </w:p>
        </w:tc>
        <w:tc>
          <w:tcPr>
            <w:tcW w:w="1983" w:type="dxa"/>
            <w:shd w:val="clear" w:color="auto" w:fill="auto"/>
            <w:vAlign w:val="center"/>
          </w:tcPr>
          <w:p w14:paraId="1869B6F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房屋建筑工程</w:t>
            </w:r>
          </w:p>
          <w:p w14:paraId="15F95F2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绿色建筑标准</w:t>
            </w:r>
          </w:p>
        </w:tc>
        <w:tc>
          <w:tcPr>
            <w:tcW w:w="7333" w:type="dxa"/>
            <w:shd w:val="clear" w:color="auto" w:fill="auto"/>
            <w:vAlign w:val="center"/>
          </w:tcPr>
          <w:p w14:paraId="589F01D7">
            <w:pPr>
              <w:wordWrap w:val="0"/>
              <w:adjustRightInd w:val="0"/>
              <w:snapToGrid w:val="0"/>
              <w:spacing w:line="360" w:lineRule="auto"/>
              <w:ind w:firstLine="480" w:firstLineChars="200"/>
              <w:rPr>
                <w:rFonts w:hint="eastAsia" w:ascii="宋体" w:hAnsi="宋体" w:eastAsia="宋体" w:cs="宋体"/>
                <w:i/>
                <w:iCs/>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本招标项目不纳入绿色建设实施范围。</w:t>
            </w:r>
          </w:p>
        </w:tc>
      </w:tr>
      <w:tr w14:paraId="0892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1A982DE3">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19.1</w:t>
            </w:r>
          </w:p>
        </w:tc>
        <w:tc>
          <w:tcPr>
            <w:tcW w:w="1983" w:type="dxa"/>
            <w:shd w:val="clear" w:color="auto" w:fill="auto"/>
            <w:vAlign w:val="center"/>
          </w:tcPr>
          <w:p w14:paraId="2C841EC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装配式建筑标准</w:t>
            </w:r>
          </w:p>
        </w:tc>
        <w:tc>
          <w:tcPr>
            <w:tcW w:w="7333" w:type="dxa"/>
            <w:shd w:val="clear" w:color="auto" w:fill="auto"/>
            <w:vAlign w:val="center"/>
          </w:tcPr>
          <w:p w14:paraId="1212529C">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本招标项目不纳入装配式建筑标准</w:t>
            </w:r>
            <w:r>
              <w:rPr>
                <w:rFonts w:hint="eastAsia" w:ascii="宋体" w:hAnsi="宋体" w:eastAsia="宋体" w:cs="宋体"/>
                <w:snapToGrid w:val="0"/>
                <w:color w:val="auto"/>
                <w:kern w:val="0"/>
                <w:sz w:val="24"/>
                <w:szCs w:val="24"/>
                <w:highlight w:val="none"/>
                <w:lang w:eastAsia="zh-CN"/>
              </w:rPr>
              <w:t>。</w:t>
            </w:r>
          </w:p>
        </w:tc>
      </w:tr>
      <w:tr w14:paraId="7B6A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796A311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20</w:t>
            </w:r>
          </w:p>
        </w:tc>
        <w:tc>
          <w:tcPr>
            <w:tcW w:w="1983" w:type="dxa"/>
            <w:shd w:val="clear" w:color="auto" w:fill="auto"/>
            <w:vAlign w:val="center"/>
          </w:tcPr>
          <w:p w14:paraId="6B1FEF7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发包人提供材料和工程设备</w:t>
            </w:r>
          </w:p>
        </w:tc>
        <w:tc>
          <w:tcPr>
            <w:tcW w:w="7333" w:type="dxa"/>
            <w:shd w:val="clear" w:color="auto" w:fill="auto"/>
            <w:vAlign w:val="center"/>
          </w:tcPr>
          <w:p w14:paraId="00BABEE0">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发包人提供材料和工程设备：</w:t>
            </w:r>
            <w:r>
              <w:rPr>
                <w:rFonts w:hint="eastAsia" w:ascii="宋体" w:hAnsi="宋体" w:eastAsia="宋体" w:cs="宋体"/>
                <w:snapToGrid w:val="0"/>
                <w:color w:val="auto"/>
                <w:kern w:val="0"/>
                <w:sz w:val="24"/>
                <w:szCs w:val="24"/>
                <w:highlight w:val="none"/>
                <w:lang w:val="en-US" w:eastAsia="zh-CN"/>
              </w:rPr>
              <w:sym w:font="Wingdings 2" w:char="0052"/>
            </w:r>
            <w:r>
              <w:rPr>
                <w:rFonts w:hint="eastAsia" w:ascii="宋体" w:hAnsi="宋体" w:eastAsia="宋体" w:cs="宋体"/>
                <w:snapToGrid w:val="0"/>
                <w:color w:val="auto"/>
                <w:kern w:val="0"/>
                <w:sz w:val="24"/>
                <w:szCs w:val="24"/>
                <w:highlight w:val="none"/>
                <w:lang w:val="en-US" w:eastAsia="zh-CN"/>
              </w:rPr>
              <w:t xml:space="preserve">无   </w:t>
            </w:r>
            <w:r>
              <w:rPr>
                <w:rFonts w:hint="eastAsia" w:ascii="宋体" w:hAnsi="宋体" w:eastAsia="宋体" w:cs="宋体"/>
                <w:snapToGrid w:val="0"/>
                <w:color w:val="auto"/>
                <w:kern w:val="0"/>
                <w:sz w:val="24"/>
                <w:szCs w:val="24"/>
                <w:highlight w:val="none"/>
                <w:lang w:val="en-US" w:eastAsia="zh-CN"/>
              </w:rPr>
              <w:sym w:font="Wingdings 2" w:char="00A3"/>
            </w:r>
            <w:r>
              <w:rPr>
                <w:rFonts w:hint="eastAsia" w:ascii="宋体" w:hAnsi="宋体" w:eastAsia="宋体" w:cs="宋体"/>
                <w:snapToGrid w:val="0"/>
                <w:color w:val="auto"/>
                <w:kern w:val="0"/>
                <w:sz w:val="24"/>
                <w:szCs w:val="24"/>
                <w:highlight w:val="none"/>
                <w:lang w:val="en-US" w:eastAsia="zh-CN"/>
              </w:rPr>
              <w:t>有</w:t>
            </w:r>
          </w:p>
        </w:tc>
      </w:tr>
      <w:tr w14:paraId="598F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59B02E2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21</w:t>
            </w:r>
          </w:p>
        </w:tc>
        <w:tc>
          <w:tcPr>
            <w:tcW w:w="1983" w:type="dxa"/>
            <w:shd w:val="clear" w:color="auto" w:fill="auto"/>
            <w:vAlign w:val="center"/>
          </w:tcPr>
          <w:p w14:paraId="13929B7A">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承包人提供材料和工程设备</w:t>
            </w:r>
          </w:p>
        </w:tc>
        <w:tc>
          <w:tcPr>
            <w:tcW w:w="7333" w:type="dxa"/>
            <w:shd w:val="clear" w:color="auto" w:fill="auto"/>
            <w:vAlign w:val="center"/>
          </w:tcPr>
          <w:p w14:paraId="38B6999D">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tc>
      </w:tr>
      <w:tr w14:paraId="434F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3F25C96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22</w:t>
            </w:r>
          </w:p>
        </w:tc>
        <w:tc>
          <w:tcPr>
            <w:tcW w:w="1983" w:type="dxa"/>
            <w:shd w:val="clear" w:color="auto" w:fill="auto"/>
            <w:vAlign w:val="center"/>
          </w:tcPr>
          <w:p w14:paraId="2C3CC1C2">
            <w:pPr>
              <w:wordWrap w:val="0"/>
              <w:adjustRightInd w:val="0"/>
              <w:snapToGrid w:val="0"/>
              <w:spacing w:line="360" w:lineRule="auto"/>
              <w:jc w:val="center"/>
              <w:rPr>
                <w:rFonts w:hint="eastAsia" w:ascii="宋体" w:hAnsi="宋体" w:eastAsia="宋体" w:cs="宋体"/>
                <w:strike/>
                <w:snapToGrid w:val="0"/>
                <w:color w:val="auto"/>
                <w:kern w:val="0"/>
                <w:sz w:val="24"/>
                <w:szCs w:val="24"/>
                <w:highlight w:val="none"/>
                <w:lang w:val="en-US" w:eastAsia="zh-CN" w:bidi="ar-SA"/>
              </w:rPr>
            </w:pPr>
            <w:r>
              <w:rPr>
                <w:rFonts w:hint="eastAsia" w:ascii="宋体" w:hAnsi="宋体" w:eastAsia="宋体" w:cs="宋体"/>
                <w:strike w:val="0"/>
                <w:snapToGrid w:val="0"/>
                <w:color w:val="auto"/>
                <w:kern w:val="0"/>
                <w:sz w:val="24"/>
                <w:szCs w:val="24"/>
                <w:highlight w:val="none"/>
                <w:lang w:val="en-US" w:eastAsia="zh-CN"/>
              </w:rPr>
              <w:t>招标控制价</w:t>
            </w:r>
          </w:p>
        </w:tc>
        <w:tc>
          <w:tcPr>
            <w:tcW w:w="7333" w:type="dxa"/>
            <w:shd w:val="clear" w:color="auto" w:fill="auto"/>
            <w:vAlign w:val="center"/>
          </w:tcPr>
          <w:p w14:paraId="3903C741">
            <w:pPr>
              <w:wordWrap w:val="0"/>
              <w:adjustRightInd w:val="0"/>
              <w:snapToGrid w:val="0"/>
              <w:spacing w:line="400" w:lineRule="exact"/>
              <w:ind w:firstLine="480" w:firstLineChars="200"/>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rPr>
              <w:t>本招标项目招标控制价为人民币（大写）：</w:t>
            </w:r>
            <w:r>
              <w:rPr>
                <w:rFonts w:hint="eastAsia" w:ascii="宋体" w:hAnsi="宋体" w:eastAsia="宋体" w:cs="宋体"/>
                <w:bCs/>
                <w:snapToGrid w:val="0"/>
                <w:color w:val="auto"/>
                <w:kern w:val="0"/>
                <w:sz w:val="24"/>
                <w:szCs w:val="24"/>
                <w:highlight w:val="none"/>
                <w:u w:val="single"/>
                <w:lang w:val="en-US" w:eastAsia="zh-CN"/>
              </w:rPr>
              <w:t>壹仟捌佰贰拾肆万叁仟叁佰柒拾贰元整</w:t>
            </w:r>
            <w:r>
              <w:rPr>
                <w:rFonts w:hint="eastAsia" w:ascii="宋体" w:hAnsi="宋体" w:eastAsia="宋体" w:cs="宋体"/>
                <w:bCs/>
                <w:snapToGrid w:val="0"/>
                <w:color w:val="auto"/>
                <w:kern w:val="0"/>
                <w:sz w:val="24"/>
                <w:szCs w:val="24"/>
                <w:highlight w:val="none"/>
                <w:lang w:val="en-US" w:eastAsia="zh-CN"/>
              </w:rPr>
              <w:t>（</w:t>
            </w:r>
            <w:r>
              <w:rPr>
                <w:rFonts w:hint="eastAsia" w:ascii="宋体" w:hAnsi="宋体" w:eastAsia="宋体" w:cs="宋体"/>
                <w:bCs/>
                <w:snapToGrid w:val="0"/>
                <w:color w:val="auto"/>
                <w:kern w:val="0"/>
                <w:sz w:val="24"/>
                <w:szCs w:val="24"/>
                <w:highlight w:val="none"/>
                <w:u w:val="single"/>
                <w:lang w:val="en-US" w:eastAsia="zh-CN"/>
              </w:rPr>
              <w:t>¥18,243,372.00元</w:t>
            </w:r>
            <w:r>
              <w:rPr>
                <w:rFonts w:hint="eastAsia" w:ascii="宋体" w:hAnsi="宋体" w:eastAsia="宋体" w:cs="宋体"/>
                <w:bCs/>
                <w:snapToGrid w:val="0"/>
                <w:color w:val="auto"/>
                <w:kern w:val="0"/>
                <w:sz w:val="24"/>
                <w:szCs w:val="24"/>
                <w:highlight w:val="none"/>
                <w:lang w:val="en-US" w:eastAsia="zh-CN"/>
              </w:rPr>
              <w:t>）。</w:t>
            </w:r>
          </w:p>
        </w:tc>
      </w:tr>
      <w:tr w14:paraId="0CFB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73EEB9C0">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23</w:t>
            </w:r>
          </w:p>
        </w:tc>
        <w:tc>
          <w:tcPr>
            <w:tcW w:w="1983" w:type="dxa"/>
            <w:shd w:val="clear" w:color="auto" w:fill="auto"/>
            <w:vAlign w:val="center"/>
          </w:tcPr>
          <w:p w14:paraId="05ADD86A">
            <w:pPr>
              <w:wordWrap w:val="0"/>
              <w:adjustRightInd w:val="0"/>
              <w:snapToGrid w:val="0"/>
              <w:spacing w:line="360" w:lineRule="auto"/>
              <w:jc w:val="center"/>
              <w:rPr>
                <w:rFonts w:hint="eastAsia" w:ascii="宋体" w:hAnsi="宋体" w:eastAsia="宋体" w:cs="宋体"/>
                <w:strike w:val="0"/>
                <w:snapToGrid w:val="0"/>
                <w:color w:val="auto"/>
                <w:kern w:val="0"/>
                <w:sz w:val="24"/>
                <w:szCs w:val="24"/>
                <w:highlight w:val="none"/>
                <w:lang w:val="en-US" w:eastAsia="zh-CN" w:bidi="ar-SA"/>
              </w:rPr>
            </w:pPr>
            <w:r>
              <w:rPr>
                <w:rFonts w:hint="eastAsia" w:ascii="宋体" w:hAnsi="宋体" w:eastAsia="宋体" w:cs="宋体"/>
                <w:strike w:val="0"/>
                <w:snapToGrid w:val="0"/>
                <w:color w:val="auto"/>
                <w:kern w:val="0"/>
                <w:sz w:val="24"/>
                <w:szCs w:val="24"/>
                <w:highlight w:val="none"/>
                <w:lang w:val="en-US" w:eastAsia="zh-CN"/>
              </w:rPr>
              <w:t>投标人的投标报价</w:t>
            </w:r>
          </w:p>
        </w:tc>
        <w:tc>
          <w:tcPr>
            <w:tcW w:w="7333" w:type="dxa"/>
            <w:shd w:val="clear" w:color="auto" w:fill="auto"/>
            <w:vAlign w:val="center"/>
          </w:tcPr>
          <w:p w14:paraId="3B847D56">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投标人投标时响应招标文件要求所报出的总价。投标价不能低于工程成本、高于招标控制价。</w:t>
            </w:r>
          </w:p>
          <w:p w14:paraId="4AAF8D30">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投标报价方式：投标下浮率</w:t>
            </w:r>
          </w:p>
          <w:p w14:paraId="59D5DB6F">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招标控制价</w:t>
            </w:r>
            <w:bookmarkStart w:id="155" w:name="_GoBack"/>
            <w:bookmarkEnd w:id="155"/>
            <w:r>
              <w:rPr>
                <w:rFonts w:hint="eastAsia" w:ascii="宋体" w:hAnsi="宋体" w:eastAsia="宋体" w:cs="宋体"/>
                <w:bCs/>
                <w:snapToGrid w:val="0"/>
                <w:color w:val="auto"/>
                <w:kern w:val="0"/>
                <w:sz w:val="24"/>
                <w:szCs w:val="24"/>
                <w:highlight w:val="none"/>
                <w:lang w:val="en-US" w:eastAsia="zh-CN"/>
              </w:rPr>
              <w:t>：</w:t>
            </w:r>
            <w:r>
              <w:rPr>
                <w:rFonts w:hint="eastAsia" w:ascii="宋体" w:hAnsi="宋体" w:eastAsia="宋体" w:cs="宋体"/>
                <w:bCs/>
                <w:snapToGrid w:val="0"/>
                <w:color w:val="auto"/>
                <w:kern w:val="0"/>
                <w:sz w:val="24"/>
                <w:szCs w:val="24"/>
                <w:highlight w:val="none"/>
                <w:u w:val="single"/>
                <w:lang w:val="en-US" w:eastAsia="zh-CN"/>
              </w:rPr>
              <w:t>¥18,243,372.00元</w:t>
            </w:r>
            <w:r>
              <w:rPr>
                <w:rFonts w:hint="eastAsia" w:ascii="宋体" w:hAnsi="宋体" w:eastAsia="宋体" w:cs="宋体"/>
                <w:bCs/>
                <w:snapToGrid w:val="0"/>
                <w:color w:val="auto"/>
                <w:kern w:val="0"/>
                <w:sz w:val="24"/>
                <w:szCs w:val="24"/>
                <w:highlight w:val="none"/>
                <w:lang w:val="en-US" w:eastAsia="zh-CN"/>
              </w:rPr>
              <w:t>。</w:t>
            </w:r>
          </w:p>
          <w:p w14:paraId="06524EB8">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rPr>
              <w:t>投标报价时，应按《广东省建设工程计价依据（2018）》规定的费率报价。</w:t>
            </w:r>
          </w:p>
        </w:tc>
      </w:tr>
      <w:tr w14:paraId="1031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3476D62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24</w:t>
            </w:r>
          </w:p>
        </w:tc>
        <w:tc>
          <w:tcPr>
            <w:tcW w:w="1983" w:type="dxa"/>
            <w:shd w:val="clear" w:color="auto" w:fill="auto"/>
            <w:vAlign w:val="center"/>
          </w:tcPr>
          <w:p w14:paraId="7C546D33">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投标报价风险</w:t>
            </w:r>
          </w:p>
        </w:tc>
        <w:tc>
          <w:tcPr>
            <w:tcW w:w="7333" w:type="dxa"/>
            <w:shd w:val="clear" w:color="auto" w:fill="auto"/>
            <w:vAlign w:val="center"/>
          </w:tcPr>
          <w:p w14:paraId="0B5B43ED">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☑投标人依据招标文件约定自行考虑风险因素，一旦中标，投标报价（合同价）除合同另有约定外将不因市场变化而调整。</w:t>
            </w:r>
          </w:p>
          <w:p w14:paraId="5B3D6688">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□投标报价中应包括工程量清单项目所发生的人工费、材料费、机具费、管理费、利润、措施项目费、其它项目费、税金、暂列金额、暂估价以及所有风险、责任等各项费用。</w:t>
            </w:r>
          </w:p>
          <w:p w14:paraId="25CD1B1D">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□人工费、材料费、机具费、管理费、利润、措施项目费（不含绿色施工安全防护措施费）投标人漏报或不报，招标人视为有关费用已包括在工程量清单项目的其它单价及合价中不予另外增加。</w:t>
            </w:r>
          </w:p>
          <w:p w14:paraId="7BC9175E">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□措施项目中的绿色施工安全防护措施费，必须按国家、省级、市级（即工程所在地）行业建设主管部门的规定计算，不得作为竞争性费用。</w:t>
            </w:r>
          </w:p>
          <w:p w14:paraId="1C65B6EF">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□投标人应按照招标文件提供的工程量清单逐项填写单价和合价，投标人未填写的项目，招标人将视为此项费用已包括在工程量清单项目的其它单价及合价中不予另外增加。</w:t>
            </w:r>
          </w:p>
          <w:p w14:paraId="6B291161">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投标人应按《广东省建设工程计价依据（2018）》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7B0B566E">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☑招标人向投标人提供的有关施工现场资料及数据，是招标人现有的能使投标人利用的资料，招标人对投标人据此作出的推论及理解概不负责。</w:t>
            </w:r>
          </w:p>
          <w:p w14:paraId="11897280">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14:paraId="19063439">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□错漏项的认定。中标人已标价工程量清单中，任一清单项目未填报价格或价格为零的，招标人将视为此项费用已包括在工程量清单项目的其它单价及合价中不予另外增加。</w:t>
            </w:r>
          </w:p>
        </w:tc>
      </w:tr>
      <w:tr w14:paraId="1305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7B5F932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25</w:t>
            </w:r>
          </w:p>
        </w:tc>
        <w:tc>
          <w:tcPr>
            <w:tcW w:w="1983" w:type="dxa"/>
            <w:shd w:val="clear" w:color="auto" w:fill="auto"/>
            <w:vAlign w:val="center"/>
          </w:tcPr>
          <w:p w14:paraId="35AEF3D7">
            <w:pPr>
              <w:wordWrap w:val="0"/>
              <w:adjustRightInd w:val="0"/>
              <w:snapToGrid w:val="0"/>
              <w:spacing w:line="360" w:lineRule="auto"/>
              <w:jc w:val="center"/>
              <w:rPr>
                <w:rFonts w:hint="eastAsia" w:ascii="宋体" w:hAnsi="宋体" w:eastAsia="宋体" w:cs="宋体"/>
                <w:strike w:val="0"/>
                <w:snapToGrid w:val="0"/>
                <w:color w:val="auto"/>
                <w:kern w:val="0"/>
                <w:sz w:val="24"/>
                <w:szCs w:val="24"/>
                <w:highlight w:val="none"/>
                <w:lang w:val="en-US" w:eastAsia="zh-CN" w:bidi="ar-SA"/>
              </w:rPr>
            </w:pPr>
            <w:r>
              <w:rPr>
                <w:rFonts w:hint="eastAsia" w:ascii="宋体" w:hAnsi="宋体" w:eastAsia="宋体" w:cs="宋体"/>
                <w:strike w:val="0"/>
                <w:snapToGrid w:val="0"/>
                <w:color w:val="auto"/>
                <w:kern w:val="0"/>
                <w:sz w:val="24"/>
                <w:szCs w:val="24"/>
                <w:highlight w:val="none"/>
                <w:lang w:val="en-US" w:eastAsia="zh-CN"/>
              </w:rPr>
              <w:t>投标费用</w:t>
            </w:r>
          </w:p>
        </w:tc>
        <w:tc>
          <w:tcPr>
            <w:tcW w:w="7333" w:type="dxa"/>
            <w:shd w:val="clear" w:color="auto" w:fill="auto"/>
            <w:vAlign w:val="center"/>
          </w:tcPr>
          <w:p w14:paraId="5C3F34DA">
            <w:pPr>
              <w:wordWrap w:val="0"/>
              <w:adjustRightInd w:val="0"/>
              <w:snapToGrid w:val="0"/>
              <w:spacing w:line="360" w:lineRule="auto"/>
              <w:ind w:firstLine="240" w:firstLineChars="100"/>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rPr>
              <w:t>投标人自行承担编制与递交投标文件的一切费用。</w:t>
            </w:r>
          </w:p>
        </w:tc>
      </w:tr>
      <w:tr w14:paraId="1D053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814" w:type="dxa"/>
            <w:shd w:val="clear" w:color="auto" w:fill="auto"/>
            <w:vAlign w:val="center"/>
          </w:tcPr>
          <w:p w14:paraId="4ADBFA1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26</w:t>
            </w:r>
          </w:p>
        </w:tc>
        <w:tc>
          <w:tcPr>
            <w:tcW w:w="1983" w:type="dxa"/>
            <w:shd w:val="clear" w:color="auto" w:fill="auto"/>
            <w:vAlign w:val="center"/>
          </w:tcPr>
          <w:p w14:paraId="6CBAA456">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投标人资格要求</w:t>
            </w:r>
          </w:p>
        </w:tc>
        <w:tc>
          <w:tcPr>
            <w:tcW w:w="7333" w:type="dxa"/>
            <w:shd w:val="clear" w:color="auto" w:fill="auto"/>
            <w:vAlign w:val="center"/>
          </w:tcPr>
          <w:p w14:paraId="3CDC12A3">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rPr>
              <w:t>本次招标</w:t>
            </w:r>
            <w:r>
              <w:rPr>
                <w:rFonts w:hint="eastAsia" w:ascii="宋体" w:hAnsi="宋体" w:eastAsia="宋体" w:cs="宋体"/>
                <w:b/>
                <w:bCs/>
                <w:snapToGrid w:val="0"/>
                <w:color w:val="auto"/>
                <w:kern w:val="0"/>
                <w:sz w:val="24"/>
                <w:szCs w:val="24"/>
                <w:highlight w:val="none"/>
                <w:u w:val="single"/>
              </w:rPr>
              <w:t>不接受</w:t>
            </w:r>
            <w:r>
              <w:rPr>
                <w:rFonts w:hint="eastAsia" w:ascii="宋体" w:hAnsi="宋体" w:eastAsia="宋体" w:cs="宋体"/>
                <w:snapToGrid w:val="0"/>
                <w:color w:val="auto"/>
                <w:kern w:val="0"/>
                <w:sz w:val="24"/>
                <w:szCs w:val="24"/>
                <w:highlight w:val="none"/>
              </w:rPr>
              <w:t>联合体投标。</w:t>
            </w:r>
          </w:p>
          <w:p w14:paraId="7281AFF2">
            <w:pPr>
              <w:wordWrap w:val="0"/>
              <w:adjustRightInd w:val="0"/>
              <w:snapToGrid w:val="0"/>
              <w:spacing w:line="360" w:lineRule="auto"/>
              <w:ind w:firstLine="480" w:firstLineChars="20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2</w:t>
            </w:r>
            <w:r>
              <w:rPr>
                <w:rFonts w:hint="eastAsia" w:ascii="宋体" w:hAnsi="宋体" w:eastAsia="宋体" w:cs="宋体"/>
                <w:b w:val="0"/>
                <w:bCs w:val="0"/>
                <w:snapToGrid w:val="0"/>
                <w:color w:val="auto"/>
                <w:kern w:val="0"/>
                <w:sz w:val="24"/>
                <w:szCs w:val="24"/>
                <w:highlight w:val="none"/>
                <w:lang w:val="en-US" w:eastAsia="zh-CN"/>
              </w:rPr>
              <w:t>.</w:t>
            </w:r>
            <w:r>
              <w:rPr>
                <w:rFonts w:hint="eastAsia" w:ascii="宋体" w:hAnsi="宋体" w:eastAsia="宋体" w:cs="宋体"/>
                <w:b w:val="0"/>
                <w:bCs w:val="0"/>
                <w:snapToGrid w:val="0"/>
                <w:color w:val="auto"/>
                <w:kern w:val="0"/>
                <w:sz w:val="24"/>
                <w:szCs w:val="24"/>
                <w:highlight w:val="none"/>
              </w:rPr>
              <w:t>资质要求</w:t>
            </w:r>
          </w:p>
          <w:p w14:paraId="73132139">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2.1投标人须具备独立法人资格，按国家法律经营。</w:t>
            </w:r>
          </w:p>
          <w:p w14:paraId="0D6A95E9">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2.2投标人须持有建设行政主管部门颁发的企业资质证书及安全生产许可证。</w:t>
            </w:r>
          </w:p>
          <w:p w14:paraId="0B569C16">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2.3投标人须具备以下资质：</w:t>
            </w:r>
            <w:r>
              <w:rPr>
                <w:rFonts w:hint="eastAsia" w:ascii="宋体" w:hAnsi="宋体" w:eastAsia="宋体" w:cs="宋体"/>
                <w:b/>
                <w:bCs/>
                <w:snapToGrid w:val="0"/>
                <w:color w:val="auto"/>
                <w:kern w:val="0"/>
                <w:sz w:val="24"/>
                <w:szCs w:val="24"/>
                <w:highlight w:val="none"/>
                <w:u w:val="single"/>
                <w:lang w:val="en-US" w:eastAsia="zh-CN"/>
              </w:rPr>
              <w:t>市政公用工程施工总承包三级以上（含三级）资质</w:t>
            </w:r>
            <w:r>
              <w:rPr>
                <w:rFonts w:hint="eastAsia" w:ascii="宋体" w:hAnsi="宋体" w:eastAsia="宋体" w:cs="宋体"/>
                <w:b/>
                <w:bCs/>
                <w:snapToGrid w:val="0"/>
                <w:color w:val="auto"/>
                <w:kern w:val="0"/>
                <w:sz w:val="24"/>
                <w:szCs w:val="24"/>
                <w:highlight w:val="none"/>
              </w:rPr>
              <w:t>。</w:t>
            </w:r>
          </w:p>
          <w:p w14:paraId="4A6B176A">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rPr>
              <w:t>相关人员要求</w:t>
            </w:r>
          </w:p>
          <w:p w14:paraId="152C19D8">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3.1拟派项目经理为</w:t>
            </w:r>
            <w:r>
              <w:rPr>
                <w:rFonts w:hint="eastAsia" w:ascii="宋体" w:hAnsi="宋体" w:eastAsia="宋体" w:cs="宋体"/>
                <w:snapToGrid w:val="0"/>
                <w:color w:val="auto"/>
                <w:kern w:val="0"/>
                <w:sz w:val="24"/>
                <w:szCs w:val="24"/>
                <w:highlight w:val="none"/>
                <w:u w:val="single"/>
                <w:lang w:val="en-US" w:eastAsia="zh-CN"/>
              </w:rPr>
              <w:t>市政公用工程</w:t>
            </w:r>
            <w:r>
              <w:rPr>
                <w:rFonts w:hint="eastAsia" w:ascii="宋体" w:hAnsi="宋体" w:eastAsia="宋体" w:cs="宋体"/>
                <w:snapToGrid w:val="0"/>
                <w:color w:val="auto"/>
                <w:kern w:val="0"/>
                <w:sz w:val="24"/>
                <w:szCs w:val="24"/>
                <w:highlight w:val="none"/>
              </w:rPr>
              <w:t>专业一级</w:t>
            </w:r>
            <w:r>
              <w:rPr>
                <w:rFonts w:hint="eastAsia" w:ascii="宋体" w:hAnsi="宋体" w:eastAsia="宋体" w:cs="宋体"/>
                <w:snapToGrid w:val="0"/>
                <w:color w:val="auto"/>
                <w:kern w:val="0"/>
                <w:sz w:val="24"/>
                <w:szCs w:val="24"/>
                <w:highlight w:val="none"/>
                <w:lang w:eastAsia="zh-CN"/>
              </w:rPr>
              <w:t>或二级</w:t>
            </w:r>
            <w:r>
              <w:rPr>
                <w:rFonts w:hint="eastAsia" w:ascii="宋体" w:hAnsi="宋体" w:eastAsia="宋体" w:cs="宋体"/>
                <w:snapToGrid w:val="0"/>
                <w:color w:val="auto"/>
                <w:kern w:val="0"/>
                <w:sz w:val="24"/>
                <w:szCs w:val="24"/>
                <w:highlight w:val="none"/>
              </w:rPr>
              <w:t>注册建造师</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应持有国家住建部印发的有效注册证书和有效安全生产考核合格证明（B证，安全生产考核合格证书或广东省建筑施工企业管理人员安全生产考核系统考核合格信息打印页），且未担任其他在施（包括已中标未开工、已开工未竣工）建设工程项目的项目经理。</w:t>
            </w:r>
          </w:p>
          <w:p w14:paraId="37A469E3">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3.2拟派项目技术负责人须具备</w:t>
            </w:r>
            <w:r>
              <w:rPr>
                <w:rFonts w:hint="eastAsia" w:ascii="宋体" w:hAnsi="宋体" w:eastAsia="宋体" w:cs="宋体"/>
                <w:snapToGrid w:val="0"/>
                <w:color w:val="auto"/>
                <w:kern w:val="0"/>
                <w:sz w:val="24"/>
                <w:szCs w:val="24"/>
                <w:highlight w:val="none"/>
                <w:u w:val="single"/>
              </w:rPr>
              <w:t>市政公用工程</w:t>
            </w:r>
            <w:r>
              <w:rPr>
                <w:rFonts w:hint="eastAsia" w:ascii="宋体" w:hAnsi="宋体" w:eastAsia="宋体" w:cs="宋体"/>
                <w:snapToGrid w:val="0"/>
                <w:color w:val="auto"/>
                <w:kern w:val="0"/>
                <w:sz w:val="24"/>
                <w:szCs w:val="24"/>
                <w:highlight w:val="none"/>
              </w:rPr>
              <w:t>相关专业中级或以上技术职称。</w:t>
            </w:r>
          </w:p>
          <w:p w14:paraId="7FD1A20C">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3.3拟派专职安全生产管理人员须具备有效安全生产考核合格证明（C证，安全生产考核合格证书或“广东省建筑施工企业管理人员安全生产考核信息系统”考核合格信息打印页），且不少于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snapToGrid w:val="0"/>
                <w:color w:val="auto"/>
                <w:kern w:val="0"/>
                <w:sz w:val="24"/>
                <w:szCs w:val="24"/>
                <w:highlight w:val="none"/>
                <w:u w:val="single"/>
                <w:lang w:val="en-US" w:eastAsia="zh-CN"/>
              </w:rPr>
              <w:t>1</w:t>
            </w:r>
            <w:r>
              <w:rPr>
                <w:rFonts w:hint="eastAsia" w:ascii="宋体" w:hAnsi="宋体" w:eastAsia="宋体" w:cs="宋体"/>
                <w:snapToGrid w:val="0"/>
                <w:color w:val="auto"/>
                <w:kern w:val="0"/>
                <w:sz w:val="24"/>
                <w:szCs w:val="24"/>
                <w:highlight w:val="none"/>
              </w:rPr>
              <w:t>人。</w:t>
            </w:r>
          </w:p>
          <w:p w14:paraId="4AFBBFE7">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3.4投标人（包括组成联合体的所有成员单位）与其拟派往本项目管理机构的所有人员之间必须具备合法、唯一的劳动聘用关系。拟派人员中具备注册执业资格的，其注册单位须与投标人保持一致。</w:t>
            </w:r>
          </w:p>
          <w:p w14:paraId="76F8CF71">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rPr>
              <w:t>禁止投标条款：</w:t>
            </w:r>
          </w:p>
          <w:p w14:paraId="5D4A36A7">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4.1投标人不得存在下列情形之一：</w:t>
            </w:r>
          </w:p>
          <w:p w14:paraId="500C4CC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（1）为招标人不具有独立法人资格的附属机构（单位）；</w:t>
            </w:r>
          </w:p>
          <w:p w14:paraId="4E41A60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（2）为本招标项目前期准备提供设计或咨询服务的；</w:t>
            </w:r>
          </w:p>
          <w:p w14:paraId="67CA470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（3）与本招标项目的其他投标人为同一个单位负责人；</w:t>
            </w:r>
          </w:p>
          <w:p w14:paraId="26D7184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（4）与本招标项目的其他投标人存在控股、管理关系；</w:t>
            </w:r>
          </w:p>
          <w:p w14:paraId="39CEAB3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（5）为本招标项目的监理人；</w:t>
            </w:r>
          </w:p>
          <w:p w14:paraId="2A34245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（6）为本招标项目的代建人；</w:t>
            </w:r>
          </w:p>
          <w:p w14:paraId="702AD0B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（7）为本招标项目的招标代理机构；</w:t>
            </w:r>
          </w:p>
          <w:p w14:paraId="5D6AD3B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（8）与本招标项目的监理人或代建人或招标代理机构同为一个法定代表人；</w:t>
            </w:r>
          </w:p>
          <w:p w14:paraId="0A6EFCD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（9）与本招标项目的监理人或代建人或招标代理机构存在控股或参股关系；</w:t>
            </w:r>
          </w:p>
          <w:p w14:paraId="4B73F3C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（10）与本招标项目的监理人或代建人或招标代理机构存在相互任职或工作关系；</w:t>
            </w:r>
          </w:p>
          <w:p w14:paraId="018554B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（11）被依法暂停或者取消投标资格；</w:t>
            </w:r>
          </w:p>
          <w:p w14:paraId="4224C5A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（12）被责令停产停业、暂扣或者吊销许可证、暂扣或者吊销执照；</w:t>
            </w:r>
          </w:p>
          <w:p w14:paraId="653FF4F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（13）进入清算程序，或被宣告破产，或其他丧失履约能力的情形；</w:t>
            </w:r>
          </w:p>
          <w:p w14:paraId="553C782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（14）在最近三年内发生重大工程质量或安全问题（以相关行业主管部门的行政处罚决定或司法机关出具的有关法律文书为准）；</w:t>
            </w:r>
          </w:p>
          <w:p w14:paraId="0780BA5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（15）</w:t>
            </w:r>
            <w:r>
              <w:rPr>
                <w:rFonts w:hint="eastAsia" w:ascii="宋体" w:hAnsi="宋体" w:eastAsia="宋体" w:cs="宋体"/>
                <w:color w:val="auto"/>
                <w:sz w:val="24"/>
                <w:szCs w:val="24"/>
                <w:lang w:eastAsia="zh-CN"/>
              </w:rPr>
              <w:t>被“信用中国”网站（https://www.creditchina.gov.cn）发布的《法人和非法人组织公共信用信息报告》列为严重失信主体名单的</w:t>
            </w:r>
            <w:r>
              <w:rPr>
                <w:rFonts w:hint="eastAsia" w:ascii="宋体" w:hAnsi="宋体" w:eastAsia="宋体" w:cs="宋体"/>
                <w:color w:val="auto"/>
                <w:sz w:val="24"/>
                <w:szCs w:val="24"/>
              </w:rPr>
              <w:t>。</w:t>
            </w:r>
          </w:p>
          <w:p w14:paraId="63664C5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4.2招标人拒绝以下名单中的单位参加本次投标：</w:t>
            </w:r>
          </w:p>
          <w:tbl>
            <w:tblPr>
              <w:tblStyle w:val="19"/>
              <w:tblW w:w="0" w:type="auto"/>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2939"/>
              <w:gridCol w:w="3111"/>
            </w:tblGrid>
            <w:tr w14:paraId="203D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16" w:type="dxa"/>
                  <w:noWrap w:val="0"/>
                  <w:vAlign w:val="center"/>
                </w:tcPr>
                <w:p w14:paraId="6E00973E">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2939" w:type="dxa"/>
                  <w:noWrap w:val="0"/>
                  <w:vAlign w:val="center"/>
                </w:tcPr>
                <w:p w14:paraId="106F8F77">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3111" w:type="dxa"/>
                  <w:noWrap w:val="0"/>
                  <w:vAlign w:val="center"/>
                </w:tcPr>
                <w:p w14:paraId="22771980">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674F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16" w:type="dxa"/>
                  <w:noWrap w:val="0"/>
                  <w:vAlign w:val="center"/>
                </w:tcPr>
                <w:p w14:paraId="210F65CB">
                  <w:pPr>
                    <w:pStyle w:val="24"/>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2939" w:type="dxa"/>
                  <w:noWrap w:val="0"/>
                  <w:vAlign w:val="center"/>
                </w:tcPr>
                <w:p w14:paraId="4F0BBE19">
                  <w:pPr>
                    <w:pStyle w:val="24"/>
                    <w:wordWrap w:val="0"/>
                    <w:adjustRightInd w:val="0"/>
                    <w:snapToGrid w:val="0"/>
                    <w:spacing w:line="24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仁化县市政工程公司</w:t>
                  </w:r>
                </w:p>
              </w:tc>
              <w:tc>
                <w:tcPr>
                  <w:tcW w:w="3111" w:type="dxa"/>
                  <w:noWrap w:val="0"/>
                  <w:vAlign w:val="center"/>
                </w:tcPr>
                <w:p w14:paraId="28237E7B">
                  <w:pPr>
                    <w:pStyle w:val="24"/>
                    <w:wordWrap w:val="0"/>
                    <w:adjustRightInd w:val="0"/>
                    <w:snapToGrid w:val="0"/>
                    <w:spacing w:line="24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w:t>
                  </w:r>
                  <w:r>
                    <w:rPr>
                      <w:rFonts w:hint="eastAsia" w:ascii="宋体" w:hAnsi="宋体" w:eastAsia="宋体" w:cs="宋体"/>
                      <w:color w:val="auto"/>
                      <w:sz w:val="24"/>
                      <w:szCs w:val="24"/>
                      <w:highlight w:val="none"/>
                    </w:rPr>
                    <w:t>本招标项目的</w:t>
                  </w:r>
                  <w:r>
                    <w:rPr>
                      <w:rFonts w:hint="eastAsia" w:ascii="宋体" w:hAnsi="宋体" w:eastAsia="宋体" w:cs="宋体"/>
                      <w:snapToGrid w:val="0"/>
                      <w:color w:val="auto"/>
                      <w:kern w:val="0"/>
                      <w:sz w:val="24"/>
                      <w:szCs w:val="24"/>
                      <w:highlight w:val="none"/>
                    </w:rPr>
                    <w:t>招标人</w:t>
                  </w:r>
                </w:p>
              </w:tc>
            </w:tr>
            <w:tr w14:paraId="3C4BE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16" w:type="dxa"/>
                  <w:noWrap w:val="0"/>
                  <w:vAlign w:val="center"/>
                </w:tcPr>
                <w:p w14:paraId="77B92275">
                  <w:pPr>
                    <w:pStyle w:val="24"/>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2939" w:type="dxa"/>
                  <w:noWrap w:val="0"/>
                  <w:vAlign w:val="center"/>
                </w:tcPr>
                <w:p w14:paraId="4E43CCD9">
                  <w:pPr>
                    <w:wordWrap w:val="0"/>
                    <w:adjustRightInd w:val="0"/>
                    <w:snapToGrid w:val="0"/>
                    <w:spacing w:line="240" w:lineRule="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深圳市建星项目管理顾问有限公司</w:t>
                  </w:r>
                </w:p>
              </w:tc>
              <w:tc>
                <w:tcPr>
                  <w:tcW w:w="3111" w:type="dxa"/>
                  <w:noWrap w:val="0"/>
                  <w:vAlign w:val="center"/>
                </w:tcPr>
                <w:p w14:paraId="24FC1165">
                  <w:pPr>
                    <w:pStyle w:val="24"/>
                    <w:wordWrap w:val="0"/>
                    <w:adjustRightInd w:val="0"/>
                    <w:snapToGrid w:val="0"/>
                    <w:spacing w:line="24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为本招标项目的可行性研究报告单位</w:t>
                  </w:r>
                </w:p>
              </w:tc>
            </w:tr>
            <w:tr w14:paraId="556B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16" w:type="dxa"/>
                  <w:noWrap w:val="0"/>
                  <w:vAlign w:val="center"/>
                </w:tcPr>
                <w:p w14:paraId="39C70897">
                  <w:pPr>
                    <w:pStyle w:val="24"/>
                    <w:wordWrap w:val="0"/>
                    <w:adjustRightInd w:val="0"/>
                    <w:snapToGrid w:val="0"/>
                    <w:spacing w:line="24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w:t>
                  </w:r>
                </w:p>
              </w:tc>
              <w:tc>
                <w:tcPr>
                  <w:tcW w:w="2939" w:type="dxa"/>
                  <w:noWrap w:val="0"/>
                  <w:vAlign w:val="center"/>
                </w:tcPr>
                <w:p w14:paraId="68B16EDD">
                  <w:pPr>
                    <w:wordWrap w:val="0"/>
                    <w:adjustRightInd w:val="0"/>
                    <w:snapToGrid w:val="0"/>
                    <w:spacing w:line="24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广州博厦建筑设计研究院有限公司</w:t>
                  </w:r>
                </w:p>
              </w:tc>
              <w:tc>
                <w:tcPr>
                  <w:tcW w:w="3111" w:type="dxa"/>
                  <w:noWrap w:val="0"/>
                  <w:vAlign w:val="center"/>
                </w:tcPr>
                <w:p w14:paraId="7B9218B0">
                  <w:pPr>
                    <w:pStyle w:val="24"/>
                    <w:wordWrap w:val="0"/>
                    <w:adjustRightInd w:val="0"/>
                    <w:snapToGrid w:val="0"/>
                    <w:spacing w:line="24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设计</w:t>
                  </w:r>
                  <w:r>
                    <w:rPr>
                      <w:rFonts w:hint="eastAsia" w:ascii="宋体" w:hAnsi="宋体" w:eastAsia="宋体" w:cs="宋体"/>
                      <w:snapToGrid w:val="0"/>
                      <w:color w:val="auto"/>
                      <w:kern w:val="0"/>
                      <w:sz w:val="24"/>
                      <w:szCs w:val="24"/>
                      <w:highlight w:val="none"/>
                    </w:rPr>
                    <w:t>单位</w:t>
                  </w:r>
                </w:p>
              </w:tc>
            </w:tr>
            <w:tr w14:paraId="41FB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16" w:type="dxa"/>
                  <w:noWrap w:val="0"/>
                  <w:vAlign w:val="center"/>
                </w:tcPr>
                <w:p w14:paraId="2C280A6B">
                  <w:pPr>
                    <w:pStyle w:val="24"/>
                    <w:wordWrap w:val="0"/>
                    <w:adjustRightInd w:val="0"/>
                    <w:snapToGrid w:val="0"/>
                    <w:spacing w:line="240" w:lineRule="auto"/>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4</w:t>
                  </w:r>
                </w:p>
              </w:tc>
              <w:tc>
                <w:tcPr>
                  <w:tcW w:w="2939" w:type="dxa"/>
                  <w:shd w:val="clear" w:color="auto" w:fill="auto"/>
                  <w:noWrap w:val="0"/>
                  <w:vAlign w:val="center"/>
                </w:tcPr>
                <w:p w14:paraId="43EECE6A">
                  <w:pPr>
                    <w:wordWrap w:val="0"/>
                    <w:adjustRightInd w:val="0"/>
                    <w:snapToGrid w:val="0"/>
                    <w:spacing w:line="24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eastAsia="zh-CN"/>
                    </w:rPr>
                    <w:t>广东明正项目管理有限公司</w:t>
                  </w:r>
                </w:p>
              </w:tc>
              <w:tc>
                <w:tcPr>
                  <w:tcW w:w="3111" w:type="dxa"/>
                  <w:shd w:val="clear" w:color="auto" w:fill="auto"/>
                  <w:noWrap w:val="0"/>
                  <w:vAlign w:val="center"/>
                </w:tcPr>
                <w:p w14:paraId="10F242C1">
                  <w:pPr>
                    <w:pStyle w:val="24"/>
                    <w:wordWrap w:val="0"/>
                    <w:adjustRightInd w:val="0"/>
                    <w:snapToGrid w:val="0"/>
                    <w:spacing w:line="24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为本招标项目的招标代理机构</w:t>
                  </w:r>
                </w:p>
              </w:tc>
            </w:tr>
            <w:tr w14:paraId="4E112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16" w:type="dxa"/>
                  <w:noWrap w:val="0"/>
                  <w:vAlign w:val="center"/>
                </w:tcPr>
                <w:p w14:paraId="25F3B986">
                  <w:pPr>
                    <w:pStyle w:val="24"/>
                    <w:wordWrap w:val="0"/>
                    <w:adjustRightInd w:val="0"/>
                    <w:snapToGrid w:val="0"/>
                    <w:spacing w:line="240" w:lineRule="auto"/>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5</w:t>
                  </w:r>
                </w:p>
              </w:tc>
              <w:tc>
                <w:tcPr>
                  <w:tcW w:w="2939" w:type="dxa"/>
                  <w:shd w:val="clear" w:color="auto" w:fill="auto"/>
                  <w:noWrap w:val="0"/>
                  <w:vAlign w:val="center"/>
                </w:tcPr>
                <w:p w14:paraId="11EA1035">
                  <w:pPr>
                    <w:wordWrap w:val="0"/>
                    <w:adjustRightInd w:val="0"/>
                    <w:snapToGrid w:val="0"/>
                    <w:spacing w:line="24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lang w:eastAsia="zh-CN"/>
                    </w:rPr>
                    <w:t>广东聚佳项目管理咨询有限公司</w:t>
                  </w:r>
                </w:p>
              </w:tc>
              <w:tc>
                <w:tcPr>
                  <w:tcW w:w="3111" w:type="dxa"/>
                  <w:shd w:val="clear" w:color="auto" w:fill="auto"/>
                  <w:noWrap w:val="0"/>
                  <w:vAlign w:val="center"/>
                </w:tcPr>
                <w:p w14:paraId="200E14AD">
                  <w:pPr>
                    <w:pStyle w:val="24"/>
                    <w:wordWrap w:val="0"/>
                    <w:adjustRightInd w:val="0"/>
                    <w:snapToGrid w:val="0"/>
                    <w:spacing w:line="24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为本招标项目的造价咨询单位</w:t>
                  </w:r>
                </w:p>
              </w:tc>
            </w:tr>
            <w:tr w14:paraId="3EFAD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16" w:type="dxa"/>
                  <w:noWrap w:val="0"/>
                  <w:vAlign w:val="center"/>
                </w:tcPr>
                <w:p w14:paraId="10CEA396">
                  <w:pPr>
                    <w:pStyle w:val="24"/>
                    <w:wordWrap w:val="0"/>
                    <w:adjustRightInd w:val="0"/>
                    <w:snapToGrid w:val="0"/>
                    <w:spacing w:line="24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6</w:t>
                  </w:r>
                </w:p>
              </w:tc>
              <w:tc>
                <w:tcPr>
                  <w:tcW w:w="2939" w:type="dxa"/>
                  <w:shd w:val="clear" w:color="auto" w:fill="auto"/>
                  <w:noWrap w:val="0"/>
                  <w:vAlign w:val="center"/>
                </w:tcPr>
                <w:p w14:paraId="56F0543A">
                  <w:pPr>
                    <w:wordWrap w:val="0"/>
                    <w:adjustRightInd w:val="0"/>
                    <w:snapToGrid w:val="0"/>
                    <w:spacing w:line="24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湖南中核岩土工程有限责任公司</w:t>
                  </w:r>
                </w:p>
              </w:tc>
              <w:tc>
                <w:tcPr>
                  <w:tcW w:w="3111" w:type="dxa"/>
                  <w:shd w:val="clear" w:color="auto" w:fill="auto"/>
                  <w:noWrap w:val="0"/>
                  <w:vAlign w:val="center"/>
                </w:tcPr>
                <w:p w14:paraId="35EDA21D">
                  <w:pPr>
                    <w:wordWrap w:val="0"/>
                    <w:adjustRightInd w:val="0"/>
                    <w:snapToGrid w:val="0"/>
                    <w:spacing w:line="24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eastAsia="zh-CN"/>
                    </w:rPr>
                    <w:t>勘察、测绘</w:t>
                  </w:r>
                  <w:r>
                    <w:rPr>
                      <w:rFonts w:hint="eastAsia" w:ascii="宋体" w:hAnsi="宋体" w:eastAsia="宋体" w:cs="宋体"/>
                      <w:color w:val="auto"/>
                      <w:sz w:val="24"/>
                      <w:szCs w:val="24"/>
                      <w:highlight w:val="none"/>
                      <w:lang w:val="en-US" w:eastAsia="zh-CN"/>
                    </w:rPr>
                    <w:t>单位</w:t>
                  </w:r>
                </w:p>
              </w:tc>
            </w:tr>
            <w:tr w14:paraId="6111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16" w:type="dxa"/>
                  <w:noWrap w:val="0"/>
                  <w:vAlign w:val="center"/>
                </w:tcPr>
                <w:p w14:paraId="6BBA151A">
                  <w:pPr>
                    <w:pStyle w:val="24"/>
                    <w:wordWrap w:val="0"/>
                    <w:adjustRightInd w:val="0"/>
                    <w:snapToGrid w:val="0"/>
                    <w:spacing w:line="24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7</w:t>
                  </w:r>
                </w:p>
              </w:tc>
              <w:tc>
                <w:tcPr>
                  <w:tcW w:w="2939" w:type="dxa"/>
                  <w:shd w:val="clear" w:color="auto" w:fill="auto"/>
                  <w:noWrap w:val="0"/>
                  <w:vAlign w:val="center"/>
                </w:tcPr>
                <w:p w14:paraId="30C2C1F5">
                  <w:pPr>
                    <w:wordWrap w:val="0"/>
                    <w:adjustRightInd w:val="0"/>
                    <w:snapToGrid w:val="0"/>
                    <w:spacing w:line="24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待定</w:t>
                  </w:r>
                </w:p>
              </w:tc>
              <w:tc>
                <w:tcPr>
                  <w:tcW w:w="3111" w:type="dxa"/>
                  <w:shd w:val="clear" w:color="auto" w:fill="auto"/>
                  <w:noWrap w:val="0"/>
                  <w:vAlign w:val="center"/>
                </w:tcPr>
                <w:p w14:paraId="32C55254">
                  <w:pPr>
                    <w:wordWrap w:val="0"/>
                    <w:adjustRightInd w:val="0"/>
                    <w:snapToGrid w:val="0"/>
                    <w:spacing w:line="24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为本招标项目的监理单位</w:t>
                  </w:r>
                </w:p>
              </w:tc>
            </w:tr>
          </w:tbl>
          <w:p w14:paraId="7BFC0D50">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rPr>
              <w:t>其他要求</w:t>
            </w:r>
          </w:p>
          <w:p w14:paraId="4A781FDC">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省外企业须按照《广东省住房和城乡建设厅关于取消省外建筑企业和人员进粤信息备案有关工作的通知》（粤建市﹝2015﹞52号）规定在“进粤企业和人员诚信信息登记平台”录入相关信息并通过数据规范检查。</w:t>
            </w:r>
          </w:p>
        </w:tc>
      </w:tr>
      <w:tr w14:paraId="0005D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776913E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27</w:t>
            </w:r>
          </w:p>
        </w:tc>
        <w:tc>
          <w:tcPr>
            <w:tcW w:w="1983" w:type="dxa"/>
            <w:shd w:val="clear" w:color="auto" w:fill="auto"/>
            <w:vAlign w:val="center"/>
          </w:tcPr>
          <w:p w14:paraId="07F902B9">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投标保证</w:t>
            </w:r>
          </w:p>
        </w:tc>
        <w:tc>
          <w:tcPr>
            <w:tcW w:w="7333" w:type="dxa"/>
            <w:shd w:val="clear" w:color="auto" w:fill="auto"/>
            <w:vAlign w:val="center"/>
          </w:tcPr>
          <w:p w14:paraId="745986DD">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1．投标人须缴纳金额为人民币</w:t>
            </w:r>
            <w:r>
              <w:rPr>
                <w:rFonts w:hint="eastAsia" w:ascii="宋体" w:hAnsi="宋体" w:eastAsia="宋体" w:cs="宋体"/>
                <w:b/>
                <w:bCs/>
                <w:snapToGrid w:val="0"/>
                <w:color w:val="auto"/>
                <w:kern w:val="0"/>
                <w:sz w:val="24"/>
                <w:szCs w:val="24"/>
                <w:highlight w:val="none"/>
                <w:u w:val="single"/>
                <w:lang w:val="en-US" w:eastAsia="zh-CN"/>
              </w:rPr>
              <w:t>20万元整</w:t>
            </w:r>
            <w:r>
              <w:rPr>
                <w:rFonts w:hint="eastAsia" w:ascii="宋体" w:hAnsi="宋体" w:eastAsia="宋体" w:cs="宋体"/>
                <w:snapToGrid w:val="0"/>
                <w:color w:val="auto"/>
                <w:kern w:val="0"/>
                <w:sz w:val="24"/>
                <w:szCs w:val="24"/>
                <w:highlight w:val="none"/>
              </w:rPr>
              <w:t>的投标保证。</w:t>
            </w:r>
          </w:p>
          <w:p w14:paraId="007B5A6A">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2．投标保证的形式包括投标保证金、投标保证担保、投标保证保险三种，由投标人自主选择。</w:t>
            </w:r>
          </w:p>
          <w:p w14:paraId="6CD7B607">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w:t>
            </w:r>
            <w:r>
              <w:rPr>
                <w:rFonts w:hint="eastAsia" w:ascii="宋体" w:hAnsi="宋体" w:eastAsia="宋体" w:cs="宋体"/>
                <w:snapToGrid w:val="0"/>
                <w:color w:val="auto"/>
                <w:kern w:val="0"/>
                <w:sz w:val="24"/>
                <w:szCs w:val="24"/>
                <w:highlight w:val="none"/>
                <w:lang w:val="en-US" w:eastAsia="zh-CN"/>
              </w:rPr>
              <w:t>招标文件获取</w:t>
            </w:r>
            <w:r>
              <w:rPr>
                <w:rFonts w:hint="eastAsia" w:ascii="宋体" w:hAnsi="宋体" w:eastAsia="宋体" w:cs="宋体"/>
                <w:snapToGrid w:val="0"/>
                <w:color w:val="auto"/>
                <w:kern w:val="0"/>
                <w:sz w:val="24"/>
                <w:szCs w:val="24"/>
                <w:highlight w:val="none"/>
              </w:rPr>
              <w:t>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6FE49D2A">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银行保函，银行保函的有效期不得短于投标有效期。投标人必须在投标保证担保截止时间（见本章第二节“重要事项时间地点一览表”）前，使用工程建设交易系统完成网上办理电子保函。</w:t>
            </w:r>
          </w:p>
          <w:p w14:paraId="13F4DCCC">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，在【交易指引】栏目中下载《建设工程网上交易系统保险保证金缴纳操作指南》，了解网上投保具体操作流程。逾期投保的，其投标无效。</w:t>
            </w:r>
          </w:p>
          <w:p w14:paraId="102E05B2">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2A9B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3F2D838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28</w:t>
            </w:r>
          </w:p>
        </w:tc>
        <w:tc>
          <w:tcPr>
            <w:tcW w:w="1983" w:type="dxa"/>
            <w:shd w:val="clear" w:color="auto" w:fill="auto"/>
            <w:vAlign w:val="center"/>
          </w:tcPr>
          <w:p w14:paraId="21CEB5B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投标有效期</w:t>
            </w:r>
          </w:p>
        </w:tc>
        <w:tc>
          <w:tcPr>
            <w:tcW w:w="7333" w:type="dxa"/>
            <w:shd w:val="clear" w:color="auto" w:fill="auto"/>
            <w:vAlign w:val="center"/>
          </w:tcPr>
          <w:p w14:paraId="7648C02F">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本次招标的投标有效期为</w:t>
            </w:r>
            <w:r>
              <w:rPr>
                <w:rFonts w:hint="eastAsia" w:ascii="宋体" w:hAnsi="宋体" w:eastAsia="宋体" w:cs="宋体"/>
                <w:snapToGrid w:val="0"/>
                <w:color w:val="auto"/>
                <w:kern w:val="0"/>
                <w:sz w:val="24"/>
                <w:szCs w:val="24"/>
                <w:highlight w:val="none"/>
                <w:u w:val="single"/>
              </w:rPr>
              <w:t>90</w:t>
            </w:r>
            <w:r>
              <w:rPr>
                <w:rFonts w:hint="eastAsia" w:ascii="宋体" w:hAnsi="宋体" w:eastAsia="宋体" w:cs="宋体"/>
                <w:snapToGrid w:val="0"/>
                <w:color w:val="auto"/>
                <w:kern w:val="0"/>
                <w:sz w:val="24"/>
                <w:szCs w:val="24"/>
                <w:highlight w:val="none"/>
              </w:rPr>
              <w:t>个日历天。</w:t>
            </w:r>
          </w:p>
        </w:tc>
      </w:tr>
      <w:tr w14:paraId="5D08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0F8522C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29</w:t>
            </w:r>
          </w:p>
        </w:tc>
        <w:tc>
          <w:tcPr>
            <w:tcW w:w="1983" w:type="dxa"/>
            <w:shd w:val="clear" w:color="auto" w:fill="auto"/>
            <w:vAlign w:val="center"/>
          </w:tcPr>
          <w:p w14:paraId="6F1F1A8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投标文件组成</w:t>
            </w:r>
          </w:p>
        </w:tc>
        <w:tc>
          <w:tcPr>
            <w:tcW w:w="7333" w:type="dxa"/>
            <w:shd w:val="clear" w:color="auto" w:fill="auto"/>
            <w:vAlign w:val="center"/>
          </w:tcPr>
          <w:p w14:paraId="70563424">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本工程投标文件包括商务标书、施工组织设计</w:t>
            </w:r>
            <w:r>
              <w:rPr>
                <w:rFonts w:hint="eastAsia" w:ascii="宋体" w:hAnsi="宋体" w:eastAsia="宋体" w:cs="宋体"/>
                <w:snapToGrid w:val="0"/>
                <w:color w:val="auto"/>
                <w:kern w:val="0"/>
                <w:sz w:val="24"/>
                <w:szCs w:val="24"/>
                <w:highlight w:val="none"/>
                <w:lang w:eastAsia="zh-CN"/>
              </w:rPr>
              <w:t>两</w:t>
            </w:r>
            <w:r>
              <w:rPr>
                <w:rFonts w:hint="eastAsia" w:ascii="宋体" w:hAnsi="宋体" w:eastAsia="宋体" w:cs="宋体"/>
                <w:snapToGrid w:val="0"/>
                <w:color w:val="auto"/>
                <w:kern w:val="0"/>
                <w:sz w:val="24"/>
                <w:szCs w:val="24"/>
                <w:highlight w:val="none"/>
              </w:rPr>
              <w:t>个分册。</w:t>
            </w:r>
          </w:p>
        </w:tc>
      </w:tr>
      <w:tr w14:paraId="3C44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1785F4A9">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30</w:t>
            </w:r>
          </w:p>
        </w:tc>
        <w:tc>
          <w:tcPr>
            <w:tcW w:w="1983" w:type="dxa"/>
            <w:shd w:val="clear" w:color="auto" w:fill="auto"/>
            <w:vAlign w:val="center"/>
          </w:tcPr>
          <w:p w14:paraId="0586A95B">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施工组织设计</w:t>
            </w:r>
          </w:p>
          <w:p w14:paraId="32F231A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评审方式</w:t>
            </w:r>
          </w:p>
        </w:tc>
        <w:tc>
          <w:tcPr>
            <w:tcW w:w="7333" w:type="dxa"/>
            <w:shd w:val="clear" w:color="auto" w:fill="auto"/>
            <w:vAlign w:val="center"/>
          </w:tcPr>
          <w:p w14:paraId="62460A6B">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本次招标施工组织设计</w:t>
            </w:r>
            <w:r>
              <w:rPr>
                <w:rFonts w:hint="eastAsia" w:ascii="宋体" w:hAnsi="宋体" w:eastAsia="宋体" w:cs="宋体"/>
                <w:snapToGrid w:val="0"/>
                <w:color w:val="auto"/>
                <w:kern w:val="0"/>
                <w:sz w:val="24"/>
                <w:szCs w:val="24"/>
                <w:highlight w:val="none"/>
                <w:u w:val="single"/>
              </w:rPr>
              <w:t>不采用</w:t>
            </w:r>
            <w:r>
              <w:rPr>
                <w:rFonts w:hint="eastAsia" w:ascii="宋体" w:hAnsi="宋体" w:eastAsia="宋体" w:cs="宋体"/>
                <w:snapToGrid w:val="0"/>
                <w:color w:val="auto"/>
                <w:kern w:val="0"/>
                <w:sz w:val="24"/>
                <w:szCs w:val="24"/>
                <w:highlight w:val="none"/>
              </w:rPr>
              <w:t>“暗标”方式进行评审。</w:t>
            </w:r>
          </w:p>
        </w:tc>
      </w:tr>
      <w:tr w14:paraId="4332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5EA3009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31</w:t>
            </w:r>
          </w:p>
        </w:tc>
        <w:tc>
          <w:tcPr>
            <w:tcW w:w="1983" w:type="dxa"/>
            <w:shd w:val="clear" w:color="auto" w:fill="auto"/>
            <w:vAlign w:val="center"/>
          </w:tcPr>
          <w:p w14:paraId="4E4B0AE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评标委员会</w:t>
            </w:r>
          </w:p>
        </w:tc>
        <w:tc>
          <w:tcPr>
            <w:tcW w:w="7333" w:type="dxa"/>
            <w:shd w:val="clear" w:color="auto" w:fill="auto"/>
            <w:vAlign w:val="center"/>
          </w:tcPr>
          <w:p w14:paraId="3841B9D1">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评标委员会由</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0</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人。专家从广东省综合评标评审专家库--韶关区域中随机抽取，其中技术类专家</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2</w:t>
            </w:r>
            <w:r>
              <w:rPr>
                <w:rFonts w:hint="eastAsia" w:ascii="宋体" w:hAnsi="宋体" w:eastAsia="宋体" w:cs="宋体"/>
                <w:snapToGrid w:val="0"/>
                <w:color w:val="auto"/>
                <w:kern w:val="0"/>
                <w:sz w:val="24"/>
                <w:szCs w:val="24"/>
                <w:highlight w:val="none"/>
              </w:rPr>
              <w:t>人。</w:t>
            </w:r>
          </w:p>
        </w:tc>
      </w:tr>
      <w:tr w14:paraId="57783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7EF6BB6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32</w:t>
            </w:r>
          </w:p>
        </w:tc>
        <w:tc>
          <w:tcPr>
            <w:tcW w:w="1983" w:type="dxa"/>
            <w:shd w:val="clear" w:color="auto" w:fill="auto"/>
            <w:vAlign w:val="center"/>
          </w:tcPr>
          <w:p w14:paraId="4AB65966">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评标方法</w:t>
            </w:r>
          </w:p>
        </w:tc>
        <w:tc>
          <w:tcPr>
            <w:tcW w:w="7333" w:type="dxa"/>
            <w:shd w:val="clear" w:color="auto" w:fill="auto"/>
            <w:vAlign w:val="center"/>
          </w:tcPr>
          <w:p w14:paraId="5FECF2B8">
            <w:pPr>
              <w:wordWrap w:val="0"/>
              <w:adjustRightInd w:val="0"/>
              <w:snapToGrid w:val="0"/>
              <w:spacing w:line="36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□A＋B值评标法   □经评审的最低投标价法   ☑综合评估法</w:t>
            </w:r>
          </w:p>
        </w:tc>
      </w:tr>
      <w:tr w14:paraId="4983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5B88A960">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33</w:t>
            </w:r>
          </w:p>
        </w:tc>
        <w:tc>
          <w:tcPr>
            <w:tcW w:w="1983" w:type="dxa"/>
            <w:shd w:val="clear" w:color="auto" w:fill="auto"/>
            <w:vAlign w:val="center"/>
          </w:tcPr>
          <w:p w14:paraId="01AE380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招标文件要求提</w:t>
            </w:r>
          </w:p>
          <w:p w14:paraId="5FA962F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交的用于评审的</w:t>
            </w:r>
          </w:p>
          <w:p w14:paraId="6885FE0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证书、证件、证</w:t>
            </w:r>
          </w:p>
          <w:p w14:paraId="3673E72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明原件</w:t>
            </w:r>
          </w:p>
        </w:tc>
        <w:tc>
          <w:tcPr>
            <w:tcW w:w="7333" w:type="dxa"/>
            <w:shd w:val="clear" w:color="auto" w:fill="auto"/>
            <w:vAlign w:val="center"/>
          </w:tcPr>
          <w:p w14:paraId="314113CA">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投标人在提交用于评审的证书、证件、证明原件的，投标人应自行将所需原件密封于文件袋（箱）中，并自行准备两张“原件一览表”(详见格式十</w:t>
            </w:r>
            <w:r>
              <w:rPr>
                <w:rFonts w:hint="eastAsia" w:ascii="宋体" w:hAnsi="宋体" w:eastAsia="宋体" w:cs="宋体"/>
                <w:snapToGrid w:val="0"/>
                <w:color w:val="auto"/>
                <w:kern w:val="0"/>
                <w:sz w:val="24"/>
                <w:szCs w:val="24"/>
                <w:highlight w:val="none"/>
                <w:lang w:val="en-US" w:eastAsia="zh-CN"/>
              </w:rPr>
              <w:t>五</w:t>
            </w:r>
            <w:r>
              <w:rPr>
                <w:rFonts w:hint="eastAsia" w:ascii="宋体" w:hAnsi="宋体" w:eastAsia="宋体" w:cs="宋体"/>
                <w:snapToGrid w:val="0"/>
                <w:color w:val="auto"/>
                <w:kern w:val="0"/>
                <w:sz w:val="24"/>
                <w:szCs w:val="24"/>
                <w:highlight w:val="none"/>
              </w:rPr>
              <w:t>，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0851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1B5F822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34</w:t>
            </w:r>
          </w:p>
        </w:tc>
        <w:tc>
          <w:tcPr>
            <w:tcW w:w="1983" w:type="dxa"/>
            <w:shd w:val="clear" w:color="auto" w:fill="auto"/>
            <w:vAlign w:val="center"/>
          </w:tcPr>
          <w:p w14:paraId="3FC90B9B">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p w14:paraId="633A576B">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333" w:type="dxa"/>
            <w:shd w:val="clear" w:color="auto" w:fill="auto"/>
            <w:vAlign w:val="center"/>
          </w:tcPr>
          <w:p w14:paraId="6BD55E9F">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单位名称：仁化县市政工程公司</w:t>
            </w:r>
          </w:p>
          <w:p w14:paraId="05406D2B">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办公地址：仁化县丹霞大道228号</w:t>
            </w:r>
          </w:p>
          <w:p w14:paraId="70F4C5DD">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联系人（部门）：刘工</w:t>
            </w:r>
          </w:p>
          <w:p w14:paraId="16624ED9">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联系电话：0751-6238008</w:t>
            </w:r>
          </w:p>
        </w:tc>
      </w:tr>
      <w:tr w14:paraId="15D78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4A537C6A">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35</w:t>
            </w:r>
          </w:p>
        </w:tc>
        <w:tc>
          <w:tcPr>
            <w:tcW w:w="1983" w:type="dxa"/>
            <w:shd w:val="clear" w:color="auto" w:fill="auto"/>
            <w:vAlign w:val="center"/>
          </w:tcPr>
          <w:p w14:paraId="574A8F5F">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p w14:paraId="6FB6217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333" w:type="dxa"/>
            <w:shd w:val="clear" w:color="auto" w:fill="auto"/>
            <w:vAlign w:val="center"/>
          </w:tcPr>
          <w:p w14:paraId="3DBACEF1">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单位名称：广东明正项目管理有限公司</w:t>
            </w:r>
          </w:p>
          <w:p w14:paraId="5E1EC18E">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办公地址：韶关市武江区惠民北路428号7楼</w:t>
            </w:r>
          </w:p>
          <w:p w14:paraId="39F16A13">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联系人（部门）：杨工</w:t>
            </w:r>
          </w:p>
          <w:p w14:paraId="54D78EED">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联系电话：0751-8606998</w:t>
            </w:r>
          </w:p>
        </w:tc>
      </w:tr>
      <w:tr w14:paraId="5E52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7D97610F">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36</w:t>
            </w:r>
          </w:p>
        </w:tc>
        <w:tc>
          <w:tcPr>
            <w:tcW w:w="1983" w:type="dxa"/>
            <w:shd w:val="clear" w:color="auto" w:fill="auto"/>
            <w:vAlign w:val="center"/>
          </w:tcPr>
          <w:p w14:paraId="6B75ADB3">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交易场所</w:t>
            </w:r>
          </w:p>
          <w:p w14:paraId="03CB9A76">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333" w:type="dxa"/>
            <w:shd w:val="clear" w:color="auto" w:fill="auto"/>
            <w:vAlign w:val="center"/>
          </w:tcPr>
          <w:p w14:paraId="25EE1FE4">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单位名称：韶关市公共资源交易中心</w:t>
            </w:r>
          </w:p>
          <w:p w14:paraId="1BBBDE13">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办公地址：仁化县丹霞大道228号12楼韶关市公共资源交易中心仁化分中心</w:t>
            </w:r>
          </w:p>
          <w:p w14:paraId="156ED326">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联系人（部门）：</w:t>
            </w:r>
            <w:r>
              <w:rPr>
                <w:rFonts w:hint="eastAsia" w:ascii="宋体" w:hAnsi="宋体" w:eastAsia="宋体" w:cs="宋体"/>
                <w:snapToGrid w:val="0"/>
                <w:color w:val="auto"/>
                <w:kern w:val="0"/>
                <w:sz w:val="24"/>
                <w:szCs w:val="24"/>
                <w:highlight w:val="none"/>
                <w:lang w:val="en-US" w:eastAsia="zh-CN"/>
              </w:rPr>
              <w:t>工程交易股</w:t>
            </w:r>
          </w:p>
          <w:p w14:paraId="4A6B8C4A">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联系电话：0751-6354032</w:t>
            </w:r>
          </w:p>
        </w:tc>
      </w:tr>
      <w:tr w14:paraId="0BE3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center"/>
          </w:tcPr>
          <w:p w14:paraId="6825EFF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37</w:t>
            </w:r>
          </w:p>
        </w:tc>
        <w:tc>
          <w:tcPr>
            <w:tcW w:w="1983" w:type="dxa"/>
            <w:shd w:val="clear" w:color="auto" w:fill="auto"/>
            <w:vAlign w:val="center"/>
          </w:tcPr>
          <w:p w14:paraId="26BA01A0">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行政监督部门</w:t>
            </w:r>
          </w:p>
          <w:p w14:paraId="14C8D599">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333" w:type="dxa"/>
            <w:shd w:val="clear" w:color="auto" w:fill="auto"/>
            <w:vAlign w:val="center"/>
          </w:tcPr>
          <w:p w14:paraId="41606ECB">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单位名称：仁化县住房和城乡建设管理局</w:t>
            </w:r>
          </w:p>
          <w:p w14:paraId="0F5B5078">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办公地址：仁化县丹霞大道228号仁化县行政服务中心6楼</w:t>
            </w:r>
          </w:p>
          <w:p w14:paraId="05583352">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联系人（部门）：建筑业监督管理股</w:t>
            </w:r>
          </w:p>
          <w:p w14:paraId="2FAAA3FB">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联系电话：0751-6354573</w:t>
            </w:r>
          </w:p>
        </w:tc>
      </w:tr>
    </w:tbl>
    <w:p w14:paraId="1B05EE0D">
      <w:pPr>
        <w:rPr>
          <w:rFonts w:hint="eastAsia" w:ascii="宋体" w:hAnsi="宋体" w:eastAsia="宋体" w:cs="宋体"/>
          <w:b/>
          <w:snapToGrid w:val="0"/>
          <w:color w:val="auto"/>
          <w:sz w:val="24"/>
          <w:szCs w:val="24"/>
          <w:highlight w:val="none"/>
        </w:rPr>
      </w:pPr>
    </w:p>
    <w:p w14:paraId="12DF44DF">
      <w:pPr>
        <w:rPr>
          <w:rFonts w:hint="eastAsia" w:ascii="宋体" w:hAnsi="宋体" w:eastAsia="宋体" w:cs="宋体"/>
          <w:b/>
          <w:snapToGrid w:val="0"/>
          <w:color w:val="auto"/>
          <w:sz w:val="24"/>
          <w:szCs w:val="24"/>
          <w:highlight w:val="none"/>
        </w:rPr>
      </w:pPr>
    </w:p>
    <w:p w14:paraId="4DFB666A">
      <w:pPr>
        <w:rPr>
          <w:rFonts w:hint="eastAsia" w:ascii="宋体" w:hAnsi="宋体" w:eastAsia="宋体" w:cs="宋体"/>
          <w:b/>
          <w:snapToGrid w:val="0"/>
          <w:color w:val="auto"/>
          <w:sz w:val="24"/>
          <w:szCs w:val="24"/>
          <w:highlight w:val="none"/>
        </w:rPr>
      </w:pPr>
    </w:p>
    <w:p w14:paraId="6C1246A6">
      <w:pPr>
        <w:rPr>
          <w:rFonts w:hint="eastAsia" w:ascii="宋体" w:hAnsi="宋体" w:eastAsia="宋体" w:cs="宋体"/>
          <w:color w:val="auto"/>
        </w:rPr>
      </w:pPr>
    </w:p>
    <w:bookmarkEnd w:id="9"/>
    <w:p w14:paraId="78A2E7CB">
      <w:pPr>
        <w:pStyle w:val="3"/>
        <w:wordWrap w:val="0"/>
        <w:autoSpaceDE/>
        <w:autoSpaceDN/>
        <w:snapToGrid w:val="0"/>
        <w:spacing w:before="260" w:after="260" w:line="240" w:lineRule="auto"/>
        <w:jc w:val="both"/>
        <w:rPr>
          <w:rFonts w:hint="eastAsia" w:ascii="宋体" w:hAnsi="宋体" w:eastAsia="宋体" w:cs="宋体"/>
          <w:b/>
          <w:snapToGrid w:val="0"/>
          <w:color w:val="auto"/>
          <w:sz w:val="24"/>
          <w:szCs w:val="24"/>
          <w:highlight w:val="none"/>
        </w:rPr>
      </w:pPr>
      <w:bookmarkStart w:id="10" w:name="_Toc32700"/>
      <w:r>
        <w:rPr>
          <w:rFonts w:hint="eastAsia" w:ascii="宋体" w:hAnsi="宋体" w:eastAsia="宋体" w:cs="宋体"/>
          <w:b/>
          <w:snapToGrid w:val="0"/>
          <w:color w:val="auto"/>
          <w:sz w:val="24"/>
          <w:szCs w:val="24"/>
          <w:highlight w:val="none"/>
        </w:rPr>
        <w:t>第二节</w:t>
      </w:r>
      <w:r>
        <w:rPr>
          <w:rFonts w:hint="eastAsia" w:ascii="宋体" w:hAnsi="宋体" w:eastAsia="宋体" w:cs="宋体"/>
          <w:b/>
          <w:snapToGrid w:val="0"/>
          <w:color w:val="auto"/>
          <w:sz w:val="24"/>
          <w:szCs w:val="24"/>
          <w:highlight w:val="none"/>
          <w:lang w:val="en-US" w:eastAsia="zh-CN"/>
        </w:rPr>
        <w:t xml:space="preserve">   </w:t>
      </w:r>
      <w:r>
        <w:rPr>
          <w:rFonts w:hint="eastAsia" w:ascii="宋体" w:hAnsi="宋体" w:eastAsia="宋体" w:cs="宋体"/>
          <w:b/>
          <w:snapToGrid w:val="0"/>
          <w:color w:val="auto"/>
          <w:sz w:val="24"/>
          <w:szCs w:val="24"/>
          <w:highlight w:val="none"/>
        </w:rPr>
        <w:t>重要事项时间地点一览表</w:t>
      </w:r>
      <w:bookmarkEnd w:id="10"/>
    </w:p>
    <w:tbl>
      <w:tblPr>
        <w:tblStyle w:val="19"/>
        <w:tblW w:w="5012"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445"/>
        <w:gridCol w:w="1548"/>
        <w:gridCol w:w="7678"/>
      </w:tblGrid>
      <w:tr w14:paraId="6E3736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27" w:hRule="exact"/>
        </w:trPr>
        <w:tc>
          <w:tcPr>
            <w:tcW w:w="230" w:type="pct"/>
            <w:tcBorders>
              <w:top w:val="single" w:color="080000" w:sz="4" w:space="0"/>
              <w:left w:val="single" w:color="080000" w:sz="4" w:space="0"/>
              <w:bottom w:val="single" w:color="080000" w:sz="4" w:space="0"/>
              <w:right w:val="single" w:color="080000" w:sz="4" w:space="0"/>
            </w:tcBorders>
            <w:noWrap w:val="0"/>
            <w:vAlign w:val="center"/>
          </w:tcPr>
          <w:p w14:paraId="7064B29F">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799" w:type="pct"/>
            <w:tcBorders>
              <w:top w:val="single" w:color="080000" w:sz="4" w:space="0"/>
              <w:left w:val="single" w:color="080000" w:sz="4" w:space="0"/>
              <w:bottom w:val="single" w:color="080000" w:sz="4" w:space="0"/>
              <w:right w:val="single" w:color="080000" w:sz="4" w:space="0"/>
            </w:tcBorders>
            <w:noWrap w:val="0"/>
            <w:vAlign w:val="center"/>
          </w:tcPr>
          <w:p w14:paraId="22A97399">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招标公告</w:t>
            </w:r>
          </w:p>
          <w:p w14:paraId="6C1D557B">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发布时间</w:t>
            </w:r>
          </w:p>
        </w:tc>
        <w:tc>
          <w:tcPr>
            <w:tcW w:w="3969" w:type="pct"/>
            <w:tcBorders>
              <w:top w:val="single" w:color="080000" w:sz="4" w:space="0"/>
              <w:left w:val="single" w:color="080000" w:sz="4" w:space="0"/>
              <w:bottom w:val="single" w:color="080000" w:sz="4" w:space="0"/>
              <w:right w:val="single" w:color="080000" w:sz="4" w:space="0"/>
            </w:tcBorders>
            <w:noWrap w:val="0"/>
            <w:vAlign w:val="center"/>
          </w:tcPr>
          <w:p w14:paraId="71411A45">
            <w:pPr>
              <w:pStyle w:val="24"/>
              <w:widowControl/>
              <w:snapToGrid w:val="0"/>
              <w:spacing w:line="360" w:lineRule="auto"/>
              <w:ind w:firstLine="240" w:firstLineChars="100"/>
              <w:jc w:val="left"/>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highlight w:val="none"/>
                <w:u w:val="single"/>
                <w:lang w:val="en-US" w:eastAsia="zh-CN"/>
              </w:rPr>
              <w:t>2024</w:t>
            </w:r>
            <w:r>
              <w:rPr>
                <w:rFonts w:hint="eastAsia" w:ascii="宋体" w:hAnsi="宋体" w:eastAsia="宋体" w:cs="宋体"/>
                <w:snapToGrid w:val="0"/>
                <w:color w:val="auto"/>
                <w:kern w:val="0"/>
                <w:sz w:val="24"/>
                <w:highlight w:val="none"/>
              </w:rPr>
              <w:t>年</w:t>
            </w:r>
            <w:r>
              <w:rPr>
                <w:rFonts w:hint="eastAsia" w:ascii="宋体" w:hAnsi="宋体" w:cs="宋体"/>
                <w:snapToGrid w:val="0"/>
                <w:color w:val="auto"/>
                <w:kern w:val="0"/>
                <w:sz w:val="24"/>
                <w:highlight w:val="none"/>
                <w:u w:val="single"/>
                <w:lang w:val="en-US" w:eastAsia="zh-CN"/>
              </w:rPr>
              <w:t>11</w:t>
            </w:r>
            <w:r>
              <w:rPr>
                <w:rFonts w:hint="eastAsia" w:ascii="宋体" w:hAnsi="宋体" w:eastAsia="宋体" w:cs="宋体"/>
                <w:snapToGrid w:val="0"/>
                <w:color w:val="auto"/>
                <w:kern w:val="0"/>
                <w:sz w:val="24"/>
                <w:highlight w:val="none"/>
              </w:rPr>
              <w:t>月</w:t>
            </w:r>
            <w:r>
              <w:rPr>
                <w:rFonts w:hint="eastAsia" w:ascii="宋体" w:hAnsi="宋体" w:cs="宋体"/>
                <w:snapToGrid w:val="0"/>
                <w:color w:val="auto"/>
                <w:kern w:val="0"/>
                <w:sz w:val="24"/>
                <w:highlight w:val="none"/>
                <w:u w:val="single"/>
                <w:lang w:val="en-US" w:eastAsia="zh-CN"/>
              </w:rPr>
              <w:t>20</w:t>
            </w:r>
            <w:r>
              <w:rPr>
                <w:rFonts w:hint="eastAsia" w:ascii="宋体" w:hAnsi="宋体" w:eastAsia="宋体" w:cs="宋体"/>
                <w:snapToGrid w:val="0"/>
                <w:color w:val="auto"/>
                <w:kern w:val="0"/>
                <w:sz w:val="24"/>
                <w:highlight w:val="none"/>
              </w:rPr>
              <w:t>日</w:t>
            </w:r>
            <w:r>
              <w:rPr>
                <w:rFonts w:hint="eastAsia" w:ascii="宋体" w:hAnsi="宋体" w:cs="宋体"/>
                <w:snapToGrid w:val="0"/>
                <w:color w:val="auto"/>
                <w:kern w:val="0"/>
                <w:sz w:val="24"/>
                <w:highlight w:val="none"/>
                <w:u w:val="single"/>
                <w:lang w:val="en-US" w:eastAsia="zh-CN"/>
              </w:rPr>
              <w:t>17</w:t>
            </w:r>
            <w:r>
              <w:rPr>
                <w:rFonts w:hint="eastAsia" w:ascii="宋体" w:hAnsi="宋体" w:eastAsia="宋体" w:cs="宋体"/>
                <w:snapToGrid w:val="0"/>
                <w:color w:val="auto"/>
                <w:kern w:val="0"/>
                <w:sz w:val="24"/>
                <w:highlight w:val="none"/>
              </w:rPr>
              <w:t>时</w:t>
            </w:r>
            <w:r>
              <w:rPr>
                <w:rFonts w:hint="eastAsia" w:ascii="宋体" w:hAnsi="宋体" w:cs="宋体"/>
                <w:snapToGrid w:val="0"/>
                <w:color w:val="auto"/>
                <w:kern w:val="0"/>
                <w:sz w:val="24"/>
                <w:highlight w:val="none"/>
                <w:u w:val="single"/>
                <w:lang w:val="en-US" w:eastAsia="zh-CN"/>
              </w:rPr>
              <w:t>00</w:t>
            </w:r>
            <w:r>
              <w:rPr>
                <w:rFonts w:hint="eastAsia" w:ascii="宋体" w:hAnsi="宋体" w:eastAsia="宋体" w:cs="宋体"/>
                <w:snapToGrid w:val="0"/>
                <w:color w:val="auto"/>
                <w:kern w:val="0"/>
                <w:sz w:val="24"/>
                <w:highlight w:val="none"/>
              </w:rPr>
              <w:t>分</w:t>
            </w:r>
          </w:p>
        </w:tc>
      </w:tr>
      <w:tr w14:paraId="5EA424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42" w:hRule="exact"/>
        </w:trPr>
        <w:tc>
          <w:tcPr>
            <w:tcW w:w="230" w:type="pct"/>
            <w:tcBorders>
              <w:top w:val="single" w:color="080000" w:sz="4" w:space="0"/>
              <w:left w:val="single" w:color="080000" w:sz="4" w:space="0"/>
              <w:bottom w:val="single" w:color="080000" w:sz="4" w:space="0"/>
              <w:right w:val="single" w:color="080000" w:sz="4" w:space="0"/>
            </w:tcBorders>
            <w:noWrap w:val="0"/>
            <w:vAlign w:val="center"/>
          </w:tcPr>
          <w:p w14:paraId="3A2BDE22">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799" w:type="pct"/>
            <w:tcBorders>
              <w:top w:val="single" w:color="080000" w:sz="4" w:space="0"/>
              <w:left w:val="single" w:color="080000" w:sz="4" w:space="0"/>
              <w:bottom w:val="single" w:color="080000" w:sz="4" w:space="0"/>
              <w:right w:val="single" w:color="080000" w:sz="4" w:space="0"/>
            </w:tcBorders>
            <w:noWrap w:val="0"/>
            <w:vAlign w:val="center"/>
          </w:tcPr>
          <w:p w14:paraId="494FC023">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获取招标文件</w:t>
            </w:r>
          </w:p>
          <w:p w14:paraId="5AC150CC">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截止时间</w:t>
            </w:r>
          </w:p>
        </w:tc>
        <w:tc>
          <w:tcPr>
            <w:tcW w:w="3969" w:type="pct"/>
            <w:tcBorders>
              <w:top w:val="single" w:color="080000" w:sz="4" w:space="0"/>
              <w:left w:val="single" w:color="080000" w:sz="4" w:space="0"/>
              <w:bottom w:val="single" w:color="080000" w:sz="4" w:space="0"/>
              <w:right w:val="single" w:color="080000" w:sz="4" w:space="0"/>
            </w:tcBorders>
            <w:noWrap w:val="0"/>
            <w:vAlign w:val="center"/>
          </w:tcPr>
          <w:p w14:paraId="1034404C">
            <w:pPr>
              <w:pStyle w:val="24"/>
              <w:widowControl/>
              <w:snapToGrid w:val="0"/>
              <w:spacing w:line="360" w:lineRule="auto"/>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cs="宋体"/>
                <w:snapToGrid w:val="0"/>
                <w:color w:val="auto"/>
                <w:kern w:val="0"/>
                <w:sz w:val="24"/>
                <w:highlight w:val="none"/>
                <w:u w:val="single"/>
                <w:lang w:val="en-US" w:eastAsia="zh-CN"/>
              </w:rPr>
              <w:t>2024</w:t>
            </w:r>
            <w:r>
              <w:rPr>
                <w:rFonts w:hint="eastAsia" w:ascii="宋体" w:hAnsi="宋体" w:eastAsia="宋体" w:cs="宋体"/>
                <w:snapToGrid w:val="0"/>
                <w:color w:val="auto"/>
                <w:kern w:val="0"/>
                <w:sz w:val="24"/>
                <w:highlight w:val="none"/>
              </w:rPr>
              <w:t>年</w:t>
            </w:r>
            <w:r>
              <w:rPr>
                <w:rFonts w:hint="eastAsia" w:ascii="宋体" w:hAnsi="宋体" w:cs="宋体"/>
                <w:snapToGrid w:val="0"/>
                <w:color w:val="auto"/>
                <w:kern w:val="0"/>
                <w:sz w:val="24"/>
                <w:highlight w:val="none"/>
                <w:u w:val="single"/>
                <w:lang w:val="en-US" w:eastAsia="zh-CN"/>
              </w:rPr>
              <w:t>12</w:t>
            </w:r>
            <w:r>
              <w:rPr>
                <w:rFonts w:hint="eastAsia" w:ascii="宋体" w:hAnsi="宋体" w:eastAsia="宋体" w:cs="宋体"/>
                <w:snapToGrid w:val="0"/>
                <w:color w:val="auto"/>
                <w:kern w:val="0"/>
                <w:sz w:val="24"/>
                <w:highlight w:val="none"/>
              </w:rPr>
              <w:t>月</w:t>
            </w:r>
            <w:r>
              <w:rPr>
                <w:rFonts w:hint="eastAsia" w:ascii="宋体" w:hAnsi="宋体" w:cs="宋体"/>
                <w:snapToGrid w:val="0"/>
                <w:color w:val="auto"/>
                <w:kern w:val="0"/>
                <w:sz w:val="24"/>
                <w:highlight w:val="none"/>
                <w:u w:val="single"/>
                <w:lang w:val="en-US" w:eastAsia="zh-CN"/>
              </w:rPr>
              <w:t>12</w:t>
            </w:r>
            <w:r>
              <w:rPr>
                <w:rFonts w:hint="eastAsia" w:ascii="宋体" w:hAnsi="宋体" w:eastAsia="宋体" w:cs="宋体"/>
                <w:snapToGrid w:val="0"/>
                <w:color w:val="auto"/>
                <w:kern w:val="0"/>
                <w:sz w:val="24"/>
                <w:highlight w:val="none"/>
              </w:rPr>
              <w:t>日</w:t>
            </w:r>
            <w:r>
              <w:rPr>
                <w:rFonts w:hint="eastAsia" w:ascii="宋体" w:hAnsi="宋体" w:cs="宋体"/>
                <w:snapToGrid w:val="0"/>
                <w:color w:val="auto"/>
                <w:kern w:val="0"/>
                <w:sz w:val="24"/>
                <w:highlight w:val="none"/>
                <w:u w:val="single"/>
                <w:lang w:val="en-US" w:eastAsia="zh-CN"/>
              </w:rPr>
              <w:t>09</w:t>
            </w:r>
            <w:r>
              <w:rPr>
                <w:rFonts w:hint="eastAsia" w:ascii="宋体" w:hAnsi="宋体" w:eastAsia="宋体" w:cs="宋体"/>
                <w:snapToGrid w:val="0"/>
                <w:color w:val="auto"/>
                <w:kern w:val="0"/>
                <w:sz w:val="24"/>
                <w:highlight w:val="none"/>
              </w:rPr>
              <w:t>时</w:t>
            </w:r>
            <w:r>
              <w:rPr>
                <w:rFonts w:hint="eastAsia" w:ascii="宋体" w:hAnsi="宋体" w:cs="宋体"/>
                <w:snapToGrid w:val="0"/>
                <w:color w:val="auto"/>
                <w:kern w:val="0"/>
                <w:sz w:val="24"/>
                <w:highlight w:val="none"/>
                <w:u w:val="single"/>
                <w:lang w:val="en-US" w:eastAsia="zh-CN"/>
              </w:rPr>
              <w:t>30</w:t>
            </w:r>
            <w:r>
              <w:rPr>
                <w:rFonts w:hint="eastAsia" w:ascii="宋体" w:hAnsi="宋体" w:eastAsia="宋体" w:cs="宋体"/>
                <w:snapToGrid w:val="0"/>
                <w:color w:val="auto"/>
                <w:kern w:val="0"/>
                <w:sz w:val="24"/>
                <w:highlight w:val="none"/>
              </w:rPr>
              <w:t>分</w:t>
            </w:r>
          </w:p>
        </w:tc>
      </w:tr>
      <w:tr w14:paraId="5DD1EBE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82" w:hRule="exact"/>
        </w:trPr>
        <w:tc>
          <w:tcPr>
            <w:tcW w:w="230" w:type="pct"/>
            <w:tcBorders>
              <w:top w:val="single" w:color="080000" w:sz="4" w:space="0"/>
              <w:left w:val="single" w:color="080000" w:sz="4" w:space="0"/>
              <w:bottom w:val="single" w:color="080000" w:sz="4" w:space="0"/>
              <w:right w:val="single" w:color="080000" w:sz="4" w:space="0"/>
            </w:tcBorders>
            <w:noWrap w:val="0"/>
            <w:vAlign w:val="center"/>
          </w:tcPr>
          <w:p w14:paraId="1E0A2112">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799" w:type="pct"/>
            <w:tcBorders>
              <w:top w:val="single" w:color="080000" w:sz="4" w:space="0"/>
              <w:left w:val="single" w:color="080000" w:sz="4" w:space="0"/>
              <w:bottom w:val="single" w:color="080000" w:sz="4" w:space="0"/>
              <w:right w:val="single" w:color="080000" w:sz="4" w:space="0"/>
            </w:tcBorders>
            <w:noWrap w:val="0"/>
            <w:vAlign w:val="center"/>
          </w:tcPr>
          <w:p w14:paraId="6001D49B">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网上提问</w:t>
            </w:r>
          </w:p>
          <w:p w14:paraId="763682F1">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截止时间</w:t>
            </w:r>
          </w:p>
        </w:tc>
        <w:tc>
          <w:tcPr>
            <w:tcW w:w="3969" w:type="pct"/>
            <w:tcBorders>
              <w:top w:val="single" w:color="080000" w:sz="4" w:space="0"/>
              <w:left w:val="single" w:color="080000" w:sz="4" w:space="0"/>
              <w:bottom w:val="single" w:color="080000" w:sz="4" w:space="0"/>
              <w:right w:val="single" w:color="080000" w:sz="4" w:space="0"/>
            </w:tcBorders>
            <w:noWrap w:val="0"/>
            <w:vAlign w:val="center"/>
          </w:tcPr>
          <w:p w14:paraId="4D0C982A">
            <w:pPr>
              <w:pStyle w:val="24"/>
              <w:wordWrap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cs="宋体"/>
                <w:snapToGrid w:val="0"/>
                <w:color w:val="auto"/>
                <w:kern w:val="0"/>
                <w:sz w:val="24"/>
                <w:highlight w:val="none"/>
                <w:u w:val="single"/>
                <w:lang w:val="en-US" w:eastAsia="zh-CN"/>
              </w:rPr>
              <w:t>2024</w:t>
            </w:r>
            <w:r>
              <w:rPr>
                <w:rFonts w:hint="eastAsia" w:ascii="宋体" w:hAnsi="宋体" w:eastAsia="宋体" w:cs="宋体"/>
                <w:snapToGrid w:val="0"/>
                <w:color w:val="auto"/>
                <w:kern w:val="0"/>
                <w:sz w:val="24"/>
                <w:highlight w:val="none"/>
              </w:rPr>
              <w:t>年</w:t>
            </w:r>
            <w:r>
              <w:rPr>
                <w:rFonts w:hint="eastAsia" w:ascii="宋体" w:hAnsi="宋体" w:cs="宋体"/>
                <w:snapToGrid w:val="0"/>
                <w:color w:val="auto"/>
                <w:kern w:val="0"/>
                <w:sz w:val="24"/>
                <w:highlight w:val="none"/>
                <w:u w:val="single"/>
                <w:lang w:val="en-US" w:eastAsia="zh-CN"/>
              </w:rPr>
              <w:t>12</w:t>
            </w:r>
            <w:r>
              <w:rPr>
                <w:rFonts w:hint="eastAsia" w:ascii="宋体" w:hAnsi="宋体" w:eastAsia="宋体" w:cs="宋体"/>
                <w:snapToGrid w:val="0"/>
                <w:color w:val="auto"/>
                <w:kern w:val="0"/>
                <w:sz w:val="24"/>
                <w:highlight w:val="none"/>
              </w:rPr>
              <w:t>月</w:t>
            </w:r>
            <w:r>
              <w:rPr>
                <w:rFonts w:hint="eastAsia" w:ascii="宋体" w:hAnsi="宋体" w:cs="宋体"/>
                <w:snapToGrid w:val="0"/>
                <w:color w:val="auto"/>
                <w:kern w:val="0"/>
                <w:sz w:val="24"/>
                <w:highlight w:val="none"/>
                <w:u w:val="single"/>
                <w:lang w:val="en-US" w:eastAsia="zh-CN"/>
              </w:rPr>
              <w:t>02</w:t>
            </w:r>
            <w:r>
              <w:rPr>
                <w:rFonts w:hint="eastAsia" w:ascii="宋体" w:hAnsi="宋体" w:eastAsia="宋体" w:cs="宋体"/>
                <w:snapToGrid w:val="0"/>
                <w:color w:val="auto"/>
                <w:kern w:val="0"/>
                <w:sz w:val="24"/>
                <w:highlight w:val="none"/>
              </w:rPr>
              <w:t>日</w:t>
            </w:r>
            <w:r>
              <w:rPr>
                <w:rFonts w:hint="eastAsia" w:ascii="宋体" w:hAnsi="宋体" w:cs="宋体"/>
                <w:snapToGrid w:val="0"/>
                <w:color w:val="auto"/>
                <w:kern w:val="0"/>
                <w:sz w:val="24"/>
                <w:highlight w:val="none"/>
                <w:u w:val="single"/>
                <w:lang w:val="en-US" w:eastAsia="zh-CN"/>
              </w:rPr>
              <w:t>16</w:t>
            </w:r>
            <w:r>
              <w:rPr>
                <w:rFonts w:hint="eastAsia" w:ascii="宋体" w:hAnsi="宋体" w:eastAsia="宋体" w:cs="宋体"/>
                <w:snapToGrid w:val="0"/>
                <w:color w:val="auto"/>
                <w:kern w:val="0"/>
                <w:sz w:val="24"/>
                <w:highlight w:val="none"/>
              </w:rPr>
              <w:t>时</w:t>
            </w:r>
            <w:r>
              <w:rPr>
                <w:rFonts w:hint="eastAsia" w:ascii="宋体" w:hAnsi="宋体" w:cs="宋体"/>
                <w:snapToGrid w:val="0"/>
                <w:color w:val="auto"/>
                <w:kern w:val="0"/>
                <w:sz w:val="24"/>
                <w:highlight w:val="none"/>
                <w:u w:val="single"/>
                <w:lang w:val="en-US" w:eastAsia="zh-CN"/>
              </w:rPr>
              <w:t>00</w:t>
            </w:r>
            <w:r>
              <w:rPr>
                <w:rFonts w:hint="eastAsia" w:ascii="宋体" w:hAnsi="宋体" w:eastAsia="宋体" w:cs="宋体"/>
                <w:snapToGrid w:val="0"/>
                <w:color w:val="auto"/>
                <w:kern w:val="0"/>
                <w:sz w:val="24"/>
                <w:highlight w:val="none"/>
              </w:rPr>
              <w:t>分</w:t>
            </w:r>
          </w:p>
        </w:tc>
      </w:tr>
      <w:tr w14:paraId="52EEA05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37" w:hRule="exact"/>
        </w:trPr>
        <w:tc>
          <w:tcPr>
            <w:tcW w:w="230" w:type="pct"/>
            <w:tcBorders>
              <w:top w:val="single" w:color="080000" w:sz="4" w:space="0"/>
              <w:left w:val="single" w:color="080000" w:sz="4" w:space="0"/>
              <w:bottom w:val="single" w:color="080000" w:sz="4" w:space="0"/>
              <w:right w:val="single" w:color="080000" w:sz="4" w:space="0"/>
            </w:tcBorders>
            <w:noWrap w:val="0"/>
            <w:vAlign w:val="center"/>
          </w:tcPr>
          <w:p w14:paraId="1C6AE10C">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799" w:type="pct"/>
            <w:tcBorders>
              <w:top w:val="single" w:color="080000" w:sz="4" w:space="0"/>
              <w:left w:val="single" w:color="080000" w:sz="4" w:space="0"/>
              <w:bottom w:val="single" w:color="080000" w:sz="4" w:space="0"/>
              <w:right w:val="single" w:color="080000" w:sz="4" w:space="0"/>
            </w:tcBorders>
            <w:noWrap w:val="0"/>
            <w:vAlign w:val="center"/>
          </w:tcPr>
          <w:p w14:paraId="3EEA8680">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网上答疑</w:t>
            </w:r>
          </w:p>
          <w:p w14:paraId="5C6C0BF9">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时间</w:t>
            </w:r>
          </w:p>
        </w:tc>
        <w:tc>
          <w:tcPr>
            <w:tcW w:w="3969" w:type="pct"/>
            <w:tcBorders>
              <w:top w:val="single" w:color="080000" w:sz="4" w:space="0"/>
              <w:left w:val="single" w:color="080000" w:sz="4" w:space="0"/>
              <w:bottom w:val="single" w:color="080000" w:sz="4" w:space="0"/>
              <w:right w:val="single" w:color="080000" w:sz="4" w:space="0"/>
            </w:tcBorders>
            <w:noWrap w:val="0"/>
            <w:vAlign w:val="center"/>
          </w:tcPr>
          <w:p w14:paraId="473F8D1B">
            <w:pPr>
              <w:pStyle w:val="24"/>
              <w:widowControl/>
              <w:snapToGrid w:val="0"/>
              <w:spacing w:line="360" w:lineRule="auto"/>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cs="宋体"/>
                <w:snapToGrid w:val="0"/>
                <w:color w:val="auto"/>
                <w:kern w:val="0"/>
                <w:sz w:val="24"/>
                <w:highlight w:val="none"/>
                <w:u w:val="single"/>
                <w:lang w:val="en-US" w:eastAsia="zh-CN"/>
              </w:rPr>
              <w:t>2024</w:t>
            </w:r>
            <w:r>
              <w:rPr>
                <w:rFonts w:hint="eastAsia" w:ascii="宋体" w:hAnsi="宋体" w:eastAsia="宋体" w:cs="宋体"/>
                <w:snapToGrid w:val="0"/>
                <w:color w:val="auto"/>
                <w:kern w:val="0"/>
                <w:sz w:val="24"/>
                <w:highlight w:val="none"/>
              </w:rPr>
              <w:t>年</w:t>
            </w:r>
            <w:r>
              <w:rPr>
                <w:rFonts w:hint="eastAsia" w:ascii="宋体" w:hAnsi="宋体" w:cs="宋体"/>
                <w:snapToGrid w:val="0"/>
                <w:color w:val="auto"/>
                <w:kern w:val="0"/>
                <w:sz w:val="24"/>
                <w:highlight w:val="none"/>
                <w:u w:val="single"/>
                <w:lang w:val="en-US" w:eastAsia="zh-CN"/>
              </w:rPr>
              <w:t>12</w:t>
            </w:r>
            <w:r>
              <w:rPr>
                <w:rFonts w:hint="eastAsia" w:ascii="宋体" w:hAnsi="宋体" w:eastAsia="宋体" w:cs="宋体"/>
                <w:snapToGrid w:val="0"/>
                <w:color w:val="auto"/>
                <w:kern w:val="0"/>
                <w:sz w:val="24"/>
                <w:highlight w:val="none"/>
              </w:rPr>
              <w:t>月</w:t>
            </w:r>
            <w:r>
              <w:rPr>
                <w:rFonts w:hint="eastAsia" w:ascii="宋体" w:hAnsi="宋体" w:cs="宋体"/>
                <w:snapToGrid w:val="0"/>
                <w:color w:val="auto"/>
                <w:kern w:val="0"/>
                <w:sz w:val="24"/>
                <w:highlight w:val="none"/>
                <w:u w:val="single"/>
                <w:lang w:val="en-US" w:eastAsia="zh-CN"/>
              </w:rPr>
              <w:t>02</w:t>
            </w:r>
            <w:r>
              <w:rPr>
                <w:rFonts w:hint="eastAsia" w:ascii="宋体" w:hAnsi="宋体" w:eastAsia="宋体" w:cs="宋体"/>
                <w:snapToGrid w:val="0"/>
                <w:color w:val="auto"/>
                <w:kern w:val="0"/>
                <w:sz w:val="24"/>
                <w:highlight w:val="none"/>
              </w:rPr>
              <w:t>日</w:t>
            </w:r>
            <w:r>
              <w:rPr>
                <w:rFonts w:hint="eastAsia" w:ascii="宋体" w:hAnsi="宋体" w:cs="宋体"/>
                <w:snapToGrid w:val="0"/>
                <w:color w:val="auto"/>
                <w:kern w:val="0"/>
                <w:sz w:val="24"/>
                <w:highlight w:val="none"/>
                <w:u w:val="single"/>
                <w:lang w:val="en-US" w:eastAsia="zh-CN"/>
              </w:rPr>
              <w:t>16</w:t>
            </w:r>
            <w:r>
              <w:rPr>
                <w:rFonts w:hint="eastAsia" w:ascii="宋体" w:hAnsi="宋体" w:eastAsia="宋体" w:cs="宋体"/>
                <w:snapToGrid w:val="0"/>
                <w:color w:val="auto"/>
                <w:kern w:val="0"/>
                <w:sz w:val="24"/>
                <w:highlight w:val="none"/>
              </w:rPr>
              <w:t>时</w:t>
            </w:r>
            <w:r>
              <w:rPr>
                <w:rFonts w:hint="eastAsia" w:ascii="宋体" w:hAnsi="宋体" w:cs="宋体"/>
                <w:snapToGrid w:val="0"/>
                <w:color w:val="auto"/>
                <w:kern w:val="0"/>
                <w:sz w:val="24"/>
                <w:highlight w:val="none"/>
                <w:u w:val="single"/>
                <w:lang w:val="en-US" w:eastAsia="zh-CN"/>
              </w:rPr>
              <w:t>30</w:t>
            </w:r>
            <w:r>
              <w:rPr>
                <w:rFonts w:hint="eastAsia" w:ascii="宋体" w:hAnsi="宋体" w:eastAsia="宋体" w:cs="宋体"/>
                <w:snapToGrid w:val="0"/>
                <w:color w:val="auto"/>
                <w:kern w:val="0"/>
                <w:sz w:val="24"/>
                <w:highlight w:val="none"/>
              </w:rPr>
              <w:t>分</w:t>
            </w:r>
            <w:r>
              <w:rPr>
                <w:rFonts w:hint="eastAsia" w:ascii="宋体" w:hAnsi="宋体" w:eastAsia="宋体" w:cs="宋体"/>
                <w:color w:val="auto"/>
                <w:kern w:val="0"/>
                <w:sz w:val="24"/>
                <w:szCs w:val="24"/>
                <w:highlight w:val="none"/>
              </w:rPr>
              <w:t>至</w:t>
            </w:r>
            <w:r>
              <w:rPr>
                <w:rFonts w:hint="eastAsia" w:ascii="宋体" w:hAnsi="宋体" w:cs="宋体"/>
                <w:snapToGrid w:val="0"/>
                <w:color w:val="auto"/>
                <w:kern w:val="0"/>
                <w:sz w:val="24"/>
                <w:highlight w:val="none"/>
                <w:u w:val="single"/>
                <w:lang w:val="en-US" w:eastAsia="zh-CN"/>
              </w:rPr>
              <w:t>2024</w:t>
            </w:r>
            <w:r>
              <w:rPr>
                <w:rFonts w:hint="eastAsia" w:ascii="宋体" w:hAnsi="宋体" w:eastAsia="宋体" w:cs="宋体"/>
                <w:snapToGrid w:val="0"/>
                <w:color w:val="auto"/>
                <w:kern w:val="0"/>
                <w:sz w:val="24"/>
                <w:highlight w:val="none"/>
              </w:rPr>
              <w:t>年</w:t>
            </w:r>
            <w:r>
              <w:rPr>
                <w:rFonts w:hint="eastAsia" w:ascii="宋体" w:hAnsi="宋体" w:cs="宋体"/>
                <w:snapToGrid w:val="0"/>
                <w:color w:val="auto"/>
                <w:kern w:val="0"/>
                <w:sz w:val="24"/>
                <w:highlight w:val="none"/>
                <w:u w:val="single"/>
                <w:lang w:val="en-US" w:eastAsia="zh-CN"/>
              </w:rPr>
              <w:t>12</w:t>
            </w:r>
            <w:r>
              <w:rPr>
                <w:rFonts w:hint="eastAsia" w:ascii="宋体" w:hAnsi="宋体" w:eastAsia="宋体" w:cs="宋体"/>
                <w:snapToGrid w:val="0"/>
                <w:color w:val="auto"/>
                <w:kern w:val="0"/>
                <w:sz w:val="24"/>
                <w:highlight w:val="none"/>
              </w:rPr>
              <w:t>月</w:t>
            </w:r>
            <w:r>
              <w:rPr>
                <w:rFonts w:hint="eastAsia" w:ascii="宋体" w:hAnsi="宋体" w:cs="宋体"/>
                <w:snapToGrid w:val="0"/>
                <w:color w:val="auto"/>
                <w:kern w:val="0"/>
                <w:sz w:val="24"/>
                <w:highlight w:val="none"/>
                <w:u w:val="single"/>
                <w:lang w:val="en-US" w:eastAsia="zh-CN"/>
              </w:rPr>
              <w:t>05</w:t>
            </w:r>
            <w:r>
              <w:rPr>
                <w:rFonts w:hint="eastAsia" w:ascii="宋体" w:hAnsi="宋体" w:eastAsia="宋体" w:cs="宋体"/>
                <w:snapToGrid w:val="0"/>
                <w:color w:val="auto"/>
                <w:kern w:val="0"/>
                <w:sz w:val="24"/>
                <w:highlight w:val="none"/>
              </w:rPr>
              <w:t>日</w:t>
            </w:r>
            <w:r>
              <w:rPr>
                <w:rFonts w:hint="eastAsia" w:ascii="宋体" w:hAnsi="宋体" w:cs="宋体"/>
                <w:snapToGrid w:val="0"/>
                <w:color w:val="auto"/>
                <w:kern w:val="0"/>
                <w:sz w:val="24"/>
                <w:highlight w:val="none"/>
                <w:u w:val="single"/>
                <w:lang w:val="en-US" w:eastAsia="zh-CN"/>
              </w:rPr>
              <w:t>16</w:t>
            </w:r>
            <w:r>
              <w:rPr>
                <w:rFonts w:hint="eastAsia" w:ascii="宋体" w:hAnsi="宋体" w:eastAsia="宋体" w:cs="宋体"/>
                <w:snapToGrid w:val="0"/>
                <w:color w:val="auto"/>
                <w:kern w:val="0"/>
                <w:sz w:val="24"/>
                <w:highlight w:val="none"/>
              </w:rPr>
              <w:t>时</w:t>
            </w:r>
            <w:r>
              <w:rPr>
                <w:rFonts w:hint="eastAsia" w:ascii="宋体" w:hAnsi="宋体" w:cs="宋体"/>
                <w:snapToGrid w:val="0"/>
                <w:color w:val="auto"/>
                <w:kern w:val="0"/>
                <w:sz w:val="24"/>
                <w:highlight w:val="none"/>
                <w:u w:val="single"/>
                <w:lang w:val="en-US" w:eastAsia="zh-CN"/>
              </w:rPr>
              <w:t>00</w:t>
            </w:r>
            <w:r>
              <w:rPr>
                <w:rFonts w:hint="eastAsia" w:ascii="宋体" w:hAnsi="宋体" w:eastAsia="宋体" w:cs="宋体"/>
                <w:snapToGrid w:val="0"/>
                <w:color w:val="auto"/>
                <w:kern w:val="0"/>
                <w:sz w:val="24"/>
                <w:highlight w:val="none"/>
              </w:rPr>
              <w:t>分</w:t>
            </w:r>
          </w:p>
        </w:tc>
      </w:tr>
      <w:tr w14:paraId="72DE55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46" w:hRule="exact"/>
        </w:trPr>
        <w:tc>
          <w:tcPr>
            <w:tcW w:w="230" w:type="pct"/>
            <w:tcBorders>
              <w:top w:val="single" w:color="080000" w:sz="4" w:space="0"/>
              <w:left w:val="single" w:color="080000" w:sz="4" w:space="0"/>
              <w:bottom w:val="single" w:color="080000" w:sz="4" w:space="0"/>
              <w:right w:val="single" w:color="080000" w:sz="4" w:space="0"/>
            </w:tcBorders>
            <w:noWrap w:val="0"/>
            <w:vAlign w:val="center"/>
          </w:tcPr>
          <w:p w14:paraId="48F21CC1">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799" w:type="pct"/>
            <w:tcBorders>
              <w:top w:val="single" w:color="080000" w:sz="4" w:space="0"/>
              <w:left w:val="single" w:color="080000" w:sz="4" w:space="0"/>
              <w:bottom w:val="single" w:color="080000" w:sz="4" w:space="0"/>
              <w:right w:val="single" w:color="080000" w:sz="4" w:space="0"/>
            </w:tcBorders>
            <w:noWrap w:val="0"/>
            <w:vAlign w:val="center"/>
          </w:tcPr>
          <w:p w14:paraId="7BB91770">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投标保证缴</w:t>
            </w:r>
          </w:p>
          <w:p w14:paraId="2816125B">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纳截止时间</w:t>
            </w:r>
          </w:p>
        </w:tc>
        <w:tc>
          <w:tcPr>
            <w:tcW w:w="3969" w:type="pct"/>
            <w:tcBorders>
              <w:top w:val="single" w:color="080000" w:sz="4" w:space="0"/>
              <w:left w:val="single" w:color="080000" w:sz="4" w:space="0"/>
              <w:bottom w:val="single" w:color="080000" w:sz="4" w:space="0"/>
              <w:right w:val="single" w:color="080000" w:sz="4" w:space="0"/>
            </w:tcBorders>
            <w:noWrap w:val="0"/>
            <w:vAlign w:val="center"/>
          </w:tcPr>
          <w:p w14:paraId="6D6AF87A">
            <w:pPr>
              <w:pStyle w:val="24"/>
              <w:widowControl/>
              <w:snapToGrid w:val="0"/>
              <w:spacing w:line="360" w:lineRule="auto"/>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投标保证金到账截止时间：</w:t>
            </w:r>
            <w:r>
              <w:rPr>
                <w:rFonts w:hint="eastAsia" w:ascii="宋体" w:hAnsi="宋体" w:cs="宋体"/>
                <w:snapToGrid w:val="0"/>
                <w:color w:val="auto"/>
                <w:kern w:val="0"/>
                <w:sz w:val="24"/>
                <w:highlight w:val="none"/>
                <w:u w:val="single"/>
                <w:lang w:val="en-US" w:eastAsia="zh-CN"/>
              </w:rPr>
              <w:t>2024</w:t>
            </w:r>
            <w:r>
              <w:rPr>
                <w:rFonts w:hint="eastAsia" w:ascii="宋体" w:hAnsi="宋体" w:eastAsia="宋体" w:cs="宋体"/>
                <w:snapToGrid w:val="0"/>
                <w:color w:val="auto"/>
                <w:kern w:val="0"/>
                <w:sz w:val="24"/>
                <w:highlight w:val="none"/>
              </w:rPr>
              <w:t>年</w:t>
            </w:r>
            <w:r>
              <w:rPr>
                <w:rFonts w:hint="eastAsia" w:ascii="宋体" w:hAnsi="宋体" w:cs="宋体"/>
                <w:snapToGrid w:val="0"/>
                <w:color w:val="auto"/>
                <w:kern w:val="0"/>
                <w:sz w:val="24"/>
                <w:highlight w:val="none"/>
                <w:u w:val="single"/>
                <w:lang w:val="en-US" w:eastAsia="zh-CN"/>
              </w:rPr>
              <w:t>12</w:t>
            </w:r>
            <w:r>
              <w:rPr>
                <w:rFonts w:hint="eastAsia" w:ascii="宋体" w:hAnsi="宋体" w:eastAsia="宋体" w:cs="宋体"/>
                <w:snapToGrid w:val="0"/>
                <w:color w:val="auto"/>
                <w:kern w:val="0"/>
                <w:sz w:val="24"/>
                <w:highlight w:val="none"/>
              </w:rPr>
              <w:t>月</w:t>
            </w:r>
            <w:r>
              <w:rPr>
                <w:rFonts w:hint="eastAsia" w:ascii="宋体" w:hAnsi="宋体" w:cs="宋体"/>
                <w:snapToGrid w:val="0"/>
                <w:color w:val="auto"/>
                <w:kern w:val="0"/>
                <w:sz w:val="24"/>
                <w:highlight w:val="none"/>
                <w:u w:val="single"/>
                <w:lang w:val="en-US" w:eastAsia="zh-CN"/>
              </w:rPr>
              <w:t>11</w:t>
            </w:r>
            <w:r>
              <w:rPr>
                <w:rFonts w:hint="eastAsia" w:ascii="宋体" w:hAnsi="宋体" w:eastAsia="宋体" w:cs="宋体"/>
                <w:snapToGrid w:val="0"/>
                <w:color w:val="auto"/>
                <w:kern w:val="0"/>
                <w:sz w:val="24"/>
                <w:highlight w:val="none"/>
              </w:rPr>
              <w:t>日</w:t>
            </w:r>
            <w:r>
              <w:rPr>
                <w:rFonts w:hint="eastAsia" w:ascii="宋体" w:hAnsi="宋体" w:cs="宋体"/>
                <w:snapToGrid w:val="0"/>
                <w:color w:val="auto"/>
                <w:kern w:val="0"/>
                <w:sz w:val="24"/>
                <w:highlight w:val="none"/>
                <w:u w:val="single"/>
                <w:lang w:val="en-US" w:eastAsia="zh-CN"/>
              </w:rPr>
              <w:t>09</w:t>
            </w:r>
            <w:r>
              <w:rPr>
                <w:rFonts w:hint="eastAsia" w:ascii="宋体" w:hAnsi="宋体" w:eastAsia="宋体" w:cs="宋体"/>
                <w:snapToGrid w:val="0"/>
                <w:color w:val="auto"/>
                <w:kern w:val="0"/>
                <w:sz w:val="24"/>
                <w:highlight w:val="none"/>
              </w:rPr>
              <w:t>时</w:t>
            </w:r>
            <w:r>
              <w:rPr>
                <w:rFonts w:hint="eastAsia" w:ascii="宋体" w:hAnsi="宋体" w:cs="宋体"/>
                <w:snapToGrid w:val="0"/>
                <w:color w:val="auto"/>
                <w:kern w:val="0"/>
                <w:sz w:val="24"/>
                <w:highlight w:val="none"/>
                <w:u w:val="single"/>
                <w:lang w:val="en-US" w:eastAsia="zh-CN"/>
              </w:rPr>
              <w:t>30</w:t>
            </w:r>
            <w:r>
              <w:rPr>
                <w:rFonts w:hint="eastAsia" w:ascii="宋体" w:hAnsi="宋体" w:eastAsia="宋体" w:cs="宋体"/>
                <w:snapToGrid w:val="0"/>
                <w:color w:val="auto"/>
                <w:kern w:val="0"/>
                <w:sz w:val="24"/>
                <w:highlight w:val="none"/>
              </w:rPr>
              <w:t>分</w:t>
            </w:r>
            <w:r>
              <w:rPr>
                <w:rFonts w:hint="eastAsia" w:ascii="宋体" w:hAnsi="宋体" w:eastAsia="宋体" w:cs="宋体"/>
                <w:color w:val="auto"/>
                <w:kern w:val="0"/>
                <w:sz w:val="24"/>
                <w:szCs w:val="24"/>
                <w:highlight w:val="none"/>
              </w:rPr>
              <w:t>；</w:t>
            </w:r>
          </w:p>
          <w:p w14:paraId="251FB5FF">
            <w:pPr>
              <w:pStyle w:val="24"/>
              <w:widowControl/>
              <w:snapToGrid w:val="0"/>
              <w:spacing w:line="360" w:lineRule="auto"/>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投标保证担保上传截止时间：</w:t>
            </w:r>
            <w:r>
              <w:rPr>
                <w:rFonts w:hint="eastAsia" w:ascii="宋体" w:hAnsi="宋体" w:cs="宋体"/>
                <w:snapToGrid w:val="0"/>
                <w:color w:val="auto"/>
                <w:kern w:val="0"/>
                <w:sz w:val="24"/>
                <w:highlight w:val="none"/>
                <w:u w:val="single"/>
                <w:lang w:val="en-US" w:eastAsia="zh-CN"/>
              </w:rPr>
              <w:t>2024</w:t>
            </w:r>
            <w:r>
              <w:rPr>
                <w:rFonts w:hint="eastAsia" w:ascii="宋体" w:hAnsi="宋体" w:eastAsia="宋体" w:cs="宋体"/>
                <w:snapToGrid w:val="0"/>
                <w:color w:val="auto"/>
                <w:kern w:val="0"/>
                <w:sz w:val="24"/>
                <w:highlight w:val="none"/>
              </w:rPr>
              <w:t>年</w:t>
            </w:r>
            <w:r>
              <w:rPr>
                <w:rFonts w:hint="eastAsia" w:ascii="宋体" w:hAnsi="宋体" w:cs="宋体"/>
                <w:snapToGrid w:val="0"/>
                <w:color w:val="auto"/>
                <w:kern w:val="0"/>
                <w:sz w:val="24"/>
                <w:highlight w:val="none"/>
                <w:u w:val="single"/>
                <w:lang w:val="en-US" w:eastAsia="zh-CN"/>
              </w:rPr>
              <w:t>12</w:t>
            </w:r>
            <w:r>
              <w:rPr>
                <w:rFonts w:hint="eastAsia" w:ascii="宋体" w:hAnsi="宋体" w:eastAsia="宋体" w:cs="宋体"/>
                <w:snapToGrid w:val="0"/>
                <w:color w:val="auto"/>
                <w:kern w:val="0"/>
                <w:sz w:val="24"/>
                <w:highlight w:val="none"/>
              </w:rPr>
              <w:t>月</w:t>
            </w:r>
            <w:r>
              <w:rPr>
                <w:rFonts w:hint="eastAsia" w:ascii="宋体" w:hAnsi="宋体" w:cs="宋体"/>
                <w:snapToGrid w:val="0"/>
                <w:color w:val="auto"/>
                <w:kern w:val="0"/>
                <w:sz w:val="24"/>
                <w:highlight w:val="none"/>
                <w:u w:val="single"/>
                <w:lang w:val="en-US" w:eastAsia="zh-CN"/>
              </w:rPr>
              <w:t>11</w:t>
            </w:r>
            <w:r>
              <w:rPr>
                <w:rFonts w:hint="eastAsia" w:ascii="宋体" w:hAnsi="宋体" w:eastAsia="宋体" w:cs="宋体"/>
                <w:snapToGrid w:val="0"/>
                <w:color w:val="auto"/>
                <w:kern w:val="0"/>
                <w:sz w:val="24"/>
                <w:highlight w:val="none"/>
              </w:rPr>
              <w:t>日</w:t>
            </w:r>
            <w:r>
              <w:rPr>
                <w:rFonts w:hint="eastAsia" w:ascii="宋体" w:hAnsi="宋体" w:cs="宋体"/>
                <w:snapToGrid w:val="0"/>
                <w:color w:val="auto"/>
                <w:kern w:val="0"/>
                <w:sz w:val="24"/>
                <w:highlight w:val="none"/>
                <w:u w:val="single"/>
                <w:lang w:val="en-US" w:eastAsia="zh-CN"/>
              </w:rPr>
              <w:t>09</w:t>
            </w:r>
            <w:r>
              <w:rPr>
                <w:rFonts w:hint="eastAsia" w:ascii="宋体" w:hAnsi="宋体" w:eastAsia="宋体" w:cs="宋体"/>
                <w:snapToGrid w:val="0"/>
                <w:color w:val="auto"/>
                <w:kern w:val="0"/>
                <w:sz w:val="24"/>
                <w:highlight w:val="none"/>
              </w:rPr>
              <w:t>时</w:t>
            </w:r>
            <w:r>
              <w:rPr>
                <w:rFonts w:hint="eastAsia" w:ascii="宋体" w:hAnsi="宋体" w:cs="宋体"/>
                <w:snapToGrid w:val="0"/>
                <w:color w:val="auto"/>
                <w:kern w:val="0"/>
                <w:sz w:val="24"/>
                <w:highlight w:val="none"/>
                <w:u w:val="single"/>
                <w:lang w:val="en-US" w:eastAsia="zh-CN"/>
              </w:rPr>
              <w:t>30</w:t>
            </w:r>
            <w:r>
              <w:rPr>
                <w:rFonts w:hint="eastAsia" w:ascii="宋体" w:hAnsi="宋体" w:eastAsia="宋体" w:cs="宋体"/>
                <w:snapToGrid w:val="0"/>
                <w:color w:val="auto"/>
                <w:kern w:val="0"/>
                <w:sz w:val="24"/>
                <w:highlight w:val="none"/>
              </w:rPr>
              <w:t>分</w:t>
            </w:r>
            <w:r>
              <w:rPr>
                <w:rFonts w:hint="eastAsia" w:ascii="宋体" w:hAnsi="宋体" w:eastAsia="宋体" w:cs="宋体"/>
                <w:color w:val="auto"/>
                <w:kern w:val="0"/>
                <w:sz w:val="24"/>
                <w:szCs w:val="24"/>
                <w:highlight w:val="none"/>
              </w:rPr>
              <w:t>；</w:t>
            </w:r>
          </w:p>
          <w:p w14:paraId="613388E1">
            <w:pPr>
              <w:pStyle w:val="24"/>
              <w:widowControl/>
              <w:snapToGrid w:val="0"/>
              <w:spacing w:line="360" w:lineRule="auto"/>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投标保证保险投保截止时间：</w:t>
            </w:r>
            <w:r>
              <w:rPr>
                <w:rFonts w:hint="eastAsia" w:ascii="宋体" w:hAnsi="宋体" w:cs="宋体"/>
                <w:snapToGrid w:val="0"/>
                <w:color w:val="auto"/>
                <w:kern w:val="0"/>
                <w:sz w:val="24"/>
                <w:highlight w:val="none"/>
                <w:u w:val="single"/>
                <w:lang w:val="en-US" w:eastAsia="zh-CN"/>
              </w:rPr>
              <w:t>2024</w:t>
            </w:r>
            <w:r>
              <w:rPr>
                <w:rFonts w:hint="eastAsia" w:ascii="宋体" w:hAnsi="宋体" w:eastAsia="宋体" w:cs="宋体"/>
                <w:snapToGrid w:val="0"/>
                <w:color w:val="auto"/>
                <w:kern w:val="0"/>
                <w:sz w:val="24"/>
                <w:highlight w:val="none"/>
              </w:rPr>
              <w:t>年</w:t>
            </w:r>
            <w:r>
              <w:rPr>
                <w:rFonts w:hint="eastAsia" w:ascii="宋体" w:hAnsi="宋体" w:cs="宋体"/>
                <w:snapToGrid w:val="0"/>
                <w:color w:val="auto"/>
                <w:kern w:val="0"/>
                <w:sz w:val="24"/>
                <w:highlight w:val="none"/>
                <w:u w:val="single"/>
                <w:lang w:val="en-US" w:eastAsia="zh-CN"/>
              </w:rPr>
              <w:t>12</w:t>
            </w:r>
            <w:r>
              <w:rPr>
                <w:rFonts w:hint="eastAsia" w:ascii="宋体" w:hAnsi="宋体" w:eastAsia="宋体" w:cs="宋体"/>
                <w:snapToGrid w:val="0"/>
                <w:color w:val="auto"/>
                <w:kern w:val="0"/>
                <w:sz w:val="24"/>
                <w:highlight w:val="none"/>
              </w:rPr>
              <w:t>月</w:t>
            </w:r>
            <w:r>
              <w:rPr>
                <w:rFonts w:hint="eastAsia" w:ascii="宋体" w:hAnsi="宋体" w:cs="宋体"/>
                <w:snapToGrid w:val="0"/>
                <w:color w:val="auto"/>
                <w:kern w:val="0"/>
                <w:sz w:val="24"/>
                <w:highlight w:val="none"/>
                <w:u w:val="single"/>
                <w:lang w:val="en-US" w:eastAsia="zh-CN"/>
              </w:rPr>
              <w:t>11</w:t>
            </w:r>
            <w:r>
              <w:rPr>
                <w:rFonts w:hint="eastAsia" w:ascii="宋体" w:hAnsi="宋体" w:eastAsia="宋体" w:cs="宋体"/>
                <w:snapToGrid w:val="0"/>
                <w:color w:val="auto"/>
                <w:kern w:val="0"/>
                <w:sz w:val="24"/>
                <w:highlight w:val="none"/>
              </w:rPr>
              <w:t>日</w:t>
            </w:r>
            <w:r>
              <w:rPr>
                <w:rFonts w:hint="eastAsia" w:ascii="宋体" w:hAnsi="宋体" w:cs="宋体"/>
                <w:snapToGrid w:val="0"/>
                <w:color w:val="auto"/>
                <w:kern w:val="0"/>
                <w:sz w:val="24"/>
                <w:highlight w:val="none"/>
                <w:u w:val="single"/>
                <w:lang w:val="en-US" w:eastAsia="zh-CN"/>
              </w:rPr>
              <w:t>09</w:t>
            </w:r>
            <w:r>
              <w:rPr>
                <w:rFonts w:hint="eastAsia" w:ascii="宋体" w:hAnsi="宋体" w:eastAsia="宋体" w:cs="宋体"/>
                <w:snapToGrid w:val="0"/>
                <w:color w:val="auto"/>
                <w:kern w:val="0"/>
                <w:sz w:val="24"/>
                <w:highlight w:val="none"/>
              </w:rPr>
              <w:t>时</w:t>
            </w:r>
            <w:r>
              <w:rPr>
                <w:rFonts w:hint="eastAsia" w:ascii="宋体" w:hAnsi="宋体" w:cs="宋体"/>
                <w:snapToGrid w:val="0"/>
                <w:color w:val="auto"/>
                <w:kern w:val="0"/>
                <w:sz w:val="24"/>
                <w:highlight w:val="none"/>
                <w:u w:val="single"/>
                <w:lang w:val="en-US" w:eastAsia="zh-CN"/>
              </w:rPr>
              <w:t>30</w:t>
            </w:r>
            <w:r>
              <w:rPr>
                <w:rFonts w:hint="eastAsia" w:ascii="宋体" w:hAnsi="宋体" w:eastAsia="宋体" w:cs="宋体"/>
                <w:snapToGrid w:val="0"/>
                <w:color w:val="auto"/>
                <w:kern w:val="0"/>
                <w:sz w:val="24"/>
                <w:highlight w:val="none"/>
              </w:rPr>
              <w:t>分</w:t>
            </w:r>
            <w:r>
              <w:rPr>
                <w:rFonts w:hint="eastAsia" w:ascii="宋体" w:hAnsi="宋体" w:eastAsia="宋体" w:cs="宋体"/>
                <w:color w:val="auto"/>
                <w:kern w:val="0"/>
                <w:sz w:val="24"/>
                <w:szCs w:val="24"/>
                <w:highlight w:val="none"/>
              </w:rPr>
              <w:t>。</w:t>
            </w:r>
          </w:p>
        </w:tc>
      </w:tr>
      <w:tr w14:paraId="0D13788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2" w:hRule="exact"/>
        </w:trPr>
        <w:tc>
          <w:tcPr>
            <w:tcW w:w="230" w:type="pct"/>
            <w:tcBorders>
              <w:top w:val="single" w:color="080000" w:sz="4" w:space="0"/>
              <w:left w:val="single" w:color="080000" w:sz="4" w:space="0"/>
              <w:bottom w:val="single" w:color="080000" w:sz="4" w:space="0"/>
              <w:right w:val="single" w:color="080000" w:sz="4" w:space="0"/>
            </w:tcBorders>
            <w:noWrap w:val="0"/>
            <w:vAlign w:val="center"/>
          </w:tcPr>
          <w:p w14:paraId="4BA3E2D1">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799" w:type="pct"/>
            <w:tcBorders>
              <w:top w:val="single" w:color="080000" w:sz="4" w:space="0"/>
              <w:left w:val="single" w:color="080000" w:sz="4" w:space="0"/>
              <w:bottom w:val="single" w:color="080000" w:sz="4" w:space="0"/>
              <w:right w:val="single" w:color="080000" w:sz="4" w:space="0"/>
            </w:tcBorders>
            <w:noWrap w:val="0"/>
            <w:vAlign w:val="center"/>
          </w:tcPr>
          <w:p w14:paraId="17877B56">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电子投标</w:t>
            </w:r>
          </w:p>
          <w:p w14:paraId="74C7B832">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截止时间</w:t>
            </w:r>
          </w:p>
        </w:tc>
        <w:tc>
          <w:tcPr>
            <w:tcW w:w="3969" w:type="pct"/>
            <w:tcBorders>
              <w:top w:val="single" w:color="080000" w:sz="4" w:space="0"/>
              <w:left w:val="single" w:color="080000" w:sz="4" w:space="0"/>
              <w:bottom w:val="single" w:color="080000" w:sz="4" w:space="0"/>
              <w:right w:val="single" w:color="080000" w:sz="4" w:space="0"/>
            </w:tcBorders>
            <w:noWrap w:val="0"/>
            <w:vAlign w:val="center"/>
          </w:tcPr>
          <w:p w14:paraId="28459609">
            <w:pPr>
              <w:pStyle w:val="24"/>
              <w:widowControl/>
              <w:snapToGrid w:val="0"/>
              <w:spacing w:line="360" w:lineRule="auto"/>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cs="宋体"/>
                <w:snapToGrid w:val="0"/>
                <w:color w:val="auto"/>
                <w:kern w:val="0"/>
                <w:sz w:val="24"/>
                <w:highlight w:val="none"/>
                <w:u w:val="single"/>
                <w:lang w:val="en-US" w:eastAsia="zh-CN"/>
              </w:rPr>
              <w:t>2024</w:t>
            </w:r>
            <w:r>
              <w:rPr>
                <w:rFonts w:hint="eastAsia" w:ascii="宋体" w:hAnsi="宋体" w:eastAsia="宋体" w:cs="宋体"/>
                <w:snapToGrid w:val="0"/>
                <w:color w:val="auto"/>
                <w:kern w:val="0"/>
                <w:sz w:val="24"/>
                <w:highlight w:val="none"/>
              </w:rPr>
              <w:t>年</w:t>
            </w:r>
            <w:r>
              <w:rPr>
                <w:rFonts w:hint="eastAsia" w:ascii="宋体" w:hAnsi="宋体" w:cs="宋体"/>
                <w:snapToGrid w:val="0"/>
                <w:color w:val="auto"/>
                <w:kern w:val="0"/>
                <w:sz w:val="24"/>
                <w:highlight w:val="none"/>
                <w:u w:val="single"/>
                <w:lang w:val="en-US" w:eastAsia="zh-CN"/>
              </w:rPr>
              <w:t>12</w:t>
            </w:r>
            <w:r>
              <w:rPr>
                <w:rFonts w:hint="eastAsia" w:ascii="宋体" w:hAnsi="宋体" w:eastAsia="宋体" w:cs="宋体"/>
                <w:snapToGrid w:val="0"/>
                <w:color w:val="auto"/>
                <w:kern w:val="0"/>
                <w:sz w:val="24"/>
                <w:highlight w:val="none"/>
              </w:rPr>
              <w:t>月</w:t>
            </w:r>
            <w:r>
              <w:rPr>
                <w:rFonts w:hint="eastAsia" w:ascii="宋体" w:hAnsi="宋体" w:cs="宋体"/>
                <w:snapToGrid w:val="0"/>
                <w:color w:val="auto"/>
                <w:kern w:val="0"/>
                <w:sz w:val="24"/>
                <w:highlight w:val="none"/>
                <w:u w:val="single"/>
                <w:lang w:val="en-US" w:eastAsia="zh-CN"/>
              </w:rPr>
              <w:t>12</w:t>
            </w:r>
            <w:r>
              <w:rPr>
                <w:rFonts w:hint="eastAsia" w:ascii="宋体" w:hAnsi="宋体" w:eastAsia="宋体" w:cs="宋体"/>
                <w:snapToGrid w:val="0"/>
                <w:color w:val="auto"/>
                <w:kern w:val="0"/>
                <w:sz w:val="24"/>
                <w:highlight w:val="none"/>
              </w:rPr>
              <w:t>日</w:t>
            </w:r>
            <w:r>
              <w:rPr>
                <w:rFonts w:hint="eastAsia" w:ascii="宋体" w:hAnsi="宋体" w:cs="宋体"/>
                <w:snapToGrid w:val="0"/>
                <w:color w:val="auto"/>
                <w:kern w:val="0"/>
                <w:sz w:val="24"/>
                <w:highlight w:val="none"/>
                <w:u w:val="single"/>
                <w:lang w:val="en-US" w:eastAsia="zh-CN"/>
              </w:rPr>
              <w:t>09</w:t>
            </w:r>
            <w:r>
              <w:rPr>
                <w:rFonts w:hint="eastAsia" w:ascii="宋体" w:hAnsi="宋体" w:eastAsia="宋体" w:cs="宋体"/>
                <w:snapToGrid w:val="0"/>
                <w:color w:val="auto"/>
                <w:kern w:val="0"/>
                <w:sz w:val="24"/>
                <w:highlight w:val="none"/>
              </w:rPr>
              <w:t>时</w:t>
            </w:r>
            <w:r>
              <w:rPr>
                <w:rFonts w:hint="eastAsia" w:ascii="宋体" w:hAnsi="宋体" w:cs="宋体"/>
                <w:snapToGrid w:val="0"/>
                <w:color w:val="auto"/>
                <w:kern w:val="0"/>
                <w:sz w:val="24"/>
                <w:highlight w:val="none"/>
                <w:u w:val="single"/>
                <w:lang w:val="en-US" w:eastAsia="zh-CN"/>
              </w:rPr>
              <w:t>30</w:t>
            </w:r>
            <w:r>
              <w:rPr>
                <w:rFonts w:hint="eastAsia" w:ascii="宋体" w:hAnsi="宋体" w:eastAsia="宋体" w:cs="宋体"/>
                <w:snapToGrid w:val="0"/>
                <w:color w:val="auto"/>
                <w:kern w:val="0"/>
                <w:sz w:val="24"/>
                <w:highlight w:val="none"/>
              </w:rPr>
              <w:t>分</w:t>
            </w:r>
          </w:p>
        </w:tc>
      </w:tr>
      <w:tr w14:paraId="6157E45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601" w:hRule="exact"/>
        </w:trPr>
        <w:tc>
          <w:tcPr>
            <w:tcW w:w="230" w:type="pct"/>
            <w:tcBorders>
              <w:top w:val="single" w:color="080000" w:sz="4" w:space="0"/>
              <w:left w:val="single" w:color="080000" w:sz="4" w:space="0"/>
              <w:bottom w:val="single" w:color="080000" w:sz="4" w:space="0"/>
              <w:right w:val="single" w:color="080000" w:sz="4" w:space="0"/>
            </w:tcBorders>
            <w:noWrap w:val="0"/>
            <w:vAlign w:val="center"/>
          </w:tcPr>
          <w:p w14:paraId="6121C36A">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799" w:type="pct"/>
            <w:tcBorders>
              <w:top w:val="single" w:color="080000" w:sz="4" w:space="0"/>
              <w:left w:val="single" w:color="080000" w:sz="4" w:space="0"/>
              <w:bottom w:val="single" w:color="080000" w:sz="4" w:space="0"/>
              <w:right w:val="single" w:color="080000" w:sz="4" w:space="0"/>
            </w:tcBorders>
            <w:noWrap w:val="0"/>
            <w:vAlign w:val="center"/>
          </w:tcPr>
          <w:p w14:paraId="5D9AE965">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投标评审原件（如有）</w:t>
            </w:r>
          </w:p>
          <w:p w14:paraId="19779F01">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递交时间</w:t>
            </w:r>
          </w:p>
        </w:tc>
        <w:tc>
          <w:tcPr>
            <w:tcW w:w="3969" w:type="pct"/>
            <w:tcBorders>
              <w:top w:val="single" w:color="080000" w:sz="4" w:space="0"/>
              <w:left w:val="single" w:color="080000" w:sz="4" w:space="0"/>
              <w:bottom w:val="single" w:color="080000" w:sz="4" w:space="0"/>
              <w:right w:val="single" w:color="080000" w:sz="4" w:space="0"/>
            </w:tcBorders>
            <w:noWrap w:val="0"/>
            <w:vAlign w:val="center"/>
          </w:tcPr>
          <w:p w14:paraId="7F6C9ABB">
            <w:pPr>
              <w:pStyle w:val="24"/>
              <w:widowControl/>
              <w:snapToGrid w:val="0"/>
              <w:spacing w:line="360" w:lineRule="auto"/>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cs="宋体"/>
                <w:snapToGrid w:val="0"/>
                <w:color w:val="auto"/>
                <w:kern w:val="0"/>
                <w:sz w:val="24"/>
                <w:highlight w:val="none"/>
                <w:u w:val="single"/>
                <w:lang w:val="en-US" w:eastAsia="zh-CN"/>
              </w:rPr>
              <w:t>2024</w:t>
            </w:r>
            <w:r>
              <w:rPr>
                <w:rFonts w:hint="eastAsia" w:ascii="宋体" w:hAnsi="宋体" w:eastAsia="宋体" w:cs="宋体"/>
                <w:snapToGrid w:val="0"/>
                <w:color w:val="auto"/>
                <w:kern w:val="0"/>
                <w:sz w:val="24"/>
                <w:highlight w:val="none"/>
              </w:rPr>
              <w:t>年</w:t>
            </w:r>
            <w:r>
              <w:rPr>
                <w:rFonts w:hint="eastAsia" w:ascii="宋体" w:hAnsi="宋体" w:cs="宋体"/>
                <w:snapToGrid w:val="0"/>
                <w:color w:val="auto"/>
                <w:kern w:val="0"/>
                <w:sz w:val="24"/>
                <w:highlight w:val="none"/>
                <w:u w:val="single"/>
                <w:lang w:val="en-US" w:eastAsia="zh-CN"/>
              </w:rPr>
              <w:t>12</w:t>
            </w:r>
            <w:r>
              <w:rPr>
                <w:rFonts w:hint="eastAsia" w:ascii="宋体" w:hAnsi="宋体" w:eastAsia="宋体" w:cs="宋体"/>
                <w:snapToGrid w:val="0"/>
                <w:color w:val="auto"/>
                <w:kern w:val="0"/>
                <w:sz w:val="24"/>
                <w:highlight w:val="none"/>
              </w:rPr>
              <w:t>月</w:t>
            </w:r>
            <w:r>
              <w:rPr>
                <w:rFonts w:hint="eastAsia" w:ascii="宋体" w:hAnsi="宋体" w:cs="宋体"/>
                <w:snapToGrid w:val="0"/>
                <w:color w:val="auto"/>
                <w:kern w:val="0"/>
                <w:sz w:val="24"/>
                <w:highlight w:val="none"/>
                <w:u w:val="single"/>
                <w:lang w:val="en-US" w:eastAsia="zh-CN"/>
              </w:rPr>
              <w:t>12</w:t>
            </w:r>
            <w:r>
              <w:rPr>
                <w:rFonts w:hint="eastAsia" w:ascii="宋体" w:hAnsi="宋体" w:eastAsia="宋体" w:cs="宋体"/>
                <w:snapToGrid w:val="0"/>
                <w:color w:val="auto"/>
                <w:kern w:val="0"/>
                <w:sz w:val="24"/>
                <w:highlight w:val="none"/>
              </w:rPr>
              <w:t>日</w:t>
            </w:r>
            <w:r>
              <w:rPr>
                <w:rFonts w:hint="eastAsia" w:ascii="宋体" w:hAnsi="宋体" w:cs="宋体"/>
                <w:snapToGrid w:val="0"/>
                <w:color w:val="auto"/>
                <w:kern w:val="0"/>
                <w:sz w:val="24"/>
                <w:highlight w:val="none"/>
                <w:u w:val="single"/>
                <w:lang w:val="en-US" w:eastAsia="zh-CN"/>
              </w:rPr>
              <w:t>09</w:t>
            </w:r>
            <w:r>
              <w:rPr>
                <w:rFonts w:hint="eastAsia" w:ascii="宋体" w:hAnsi="宋体" w:eastAsia="宋体" w:cs="宋体"/>
                <w:snapToGrid w:val="0"/>
                <w:color w:val="auto"/>
                <w:kern w:val="0"/>
                <w:sz w:val="24"/>
                <w:highlight w:val="none"/>
              </w:rPr>
              <w:t>时</w:t>
            </w:r>
            <w:r>
              <w:rPr>
                <w:rFonts w:hint="eastAsia" w:ascii="宋体" w:hAnsi="宋体" w:cs="宋体"/>
                <w:snapToGrid w:val="0"/>
                <w:color w:val="auto"/>
                <w:kern w:val="0"/>
                <w:sz w:val="24"/>
                <w:highlight w:val="none"/>
                <w:u w:val="single"/>
                <w:lang w:val="en-US" w:eastAsia="zh-CN"/>
              </w:rPr>
              <w:t>00</w:t>
            </w:r>
            <w:r>
              <w:rPr>
                <w:rFonts w:hint="eastAsia" w:ascii="宋体" w:hAnsi="宋体" w:eastAsia="宋体" w:cs="宋体"/>
                <w:snapToGrid w:val="0"/>
                <w:color w:val="auto"/>
                <w:kern w:val="0"/>
                <w:sz w:val="24"/>
                <w:highlight w:val="none"/>
              </w:rPr>
              <w:t>分</w:t>
            </w:r>
            <w:r>
              <w:rPr>
                <w:rFonts w:hint="eastAsia" w:ascii="宋体" w:hAnsi="宋体" w:eastAsia="宋体" w:cs="宋体"/>
                <w:color w:val="auto"/>
                <w:kern w:val="0"/>
                <w:sz w:val="24"/>
                <w:szCs w:val="24"/>
                <w:highlight w:val="none"/>
              </w:rPr>
              <w:t>至</w:t>
            </w:r>
            <w:r>
              <w:rPr>
                <w:rFonts w:hint="eastAsia" w:ascii="宋体" w:hAnsi="宋体" w:cs="宋体"/>
                <w:snapToGrid w:val="0"/>
                <w:color w:val="auto"/>
                <w:kern w:val="0"/>
                <w:sz w:val="24"/>
                <w:highlight w:val="none"/>
                <w:u w:val="single"/>
                <w:lang w:val="en-US" w:eastAsia="zh-CN"/>
              </w:rPr>
              <w:t>2024</w:t>
            </w:r>
            <w:r>
              <w:rPr>
                <w:rFonts w:hint="eastAsia" w:ascii="宋体" w:hAnsi="宋体" w:eastAsia="宋体" w:cs="宋体"/>
                <w:snapToGrid w:val="0"/>
                <w:color w:val="auto"/>
                <w:kern w:val="0"/>
                <w:sz w:val="24"/>
                <w:highlight w:val="none"/>
              </w:rPr>
              <w:t>年</w:t>
            </w:r>
            <w:r>
              <w:rPr>
                <w:rFonts w:hint="eastAsia" w:ascii="宋体" w:hAnsi="宋体" w:cs="宋体"/>
                <w:snapToGrid w:val="0"/>
                <w:color w:val="auto"/>
                <w:kern w:val="0"/>
                <w:sz w:val="24"/>
                <w:highlight w:val="none"/>
                <w:u w:val="single"/>
                <w:lang w:val="en-US" w:eastAsia="zh-CN"/>
              </w:rPr>
              <w:t>12</w:t>
            </w:r>
            <w:r>
              <w:rPr>
                <w:rFonts w:hint="eastAsia" w:ascii="宋体" w:hAnsi="宋体" w:eastAsia="宋体" w:cs="宋体"/>
                <w:snapToGrid w:val="0"/>
                <w:color w:val="auto"/>
                <w:kern w:val="0"/>
                <w:sz w:val="24"/>
                <w:highlight w:val="none"/>
              </w:rPr>
              <w:t>月</w:t>
            </w:r>
            <w:r>
              <w:rPr>
                <w:rFonts w:hint="eastAsia" w:ascii="宋体" w:hAnsi="宋体" w:cs="宋体"/>
                <w:snapToGrid w:val="0"/>
                <w:color w:val="auto"/>
                <w:kern w:val="0"/>
                <w:sz w:val="24"/>
                <w:highlight w:val="none"/>
                <w:u w:val="single"/>
                <w:lang w:val="en-US" w:eastAsia="zh-CN"/>
              </w:rPr>
              <w:t>12</w:t>
            </w:r>
            <w:r>
              <w:rPr>
                <w:rFonts w:hint="eastAsia" w:ascii="宋体" w:hAnsi="宋体" w:eastAsia="宋体" w:cs="宋体"/>
                <w:snapToGrid w:val="0"/>
                <w:color w:val="auto"/>
                <w:kern w:val="0"/>
                <w:sz w:val="24"/>
                <w:highlight w:val="none"/>
              </w:rPr>
              <w:t>日</w:t>
            </w:r>
            <w:r>
              <w:rPr>
                <w:rFonts w:hint="eastAsia" w:ascii="宋体" w:hAnsi="宋体" w:cs="宋体"/>
                <w:snapToGrid w:val="0"/>
                <w:color w:val="auto"/>
                <w:kern w:val="0"/>
                <w:sz w:val="24"/>
                <w:highlight w:val="none"/>
                <w:u w:val="single"/>
                <w:lang w:val="en-US" w:eastAsia="zh-CN"/>
              </w:rPr>
              <w:t>09</w:t>
            </w:r>
            <w:r>
              <w:rPr>
                <w:rFonts w:hint="eastAsia" w:ascii="宋体" w:hAnsi="宋体" w:eastAsia="宋体" w:cs="宋体"/>
                <w:snapToGrid w:val="0"/>
                <w:color w:val="auto"/>
                <w:kern w:val="0"/>
                <w:sz w:val="24"/>
                <w:highlight w:val="none"/>
              </w:rPr>
              <w:t>时</w:t>
            </w:r>
            <w:r>
              <w:rPr>
                <w:rFonts w:hint="eastAsia" w:ascii="宋体" w:hAnsi="宋体" w:cs="宋体"/>
                <w:snapToGrid w:val="0"/>
                <w:color w:val="auto"/>
                <w:kern w:val="0"/>
                <w:sz w:val="24"/>
                <w:highlight w:val="none"/>
                <w:u w:val="single"/>
                <w:lang w:val="en-US" w:eastAsia="zh-CN"/>
              </w:rPr>
              <w:t>30</w:t>
            </w:r>
            <w:r>
              <w:rPr>
                <w:rFonts w:hint="eastAsia" w:ascii="宋体" w:hAnsi="宋体" w:eastAsia="宋体" w:cs="宋体"/>
                <w:snapToGrid w:val="0"/>
                <w:color w:val="auto"/>
                <w:kern w:val="0"/>
                <w:sz w:val="24"/>
                <w:highlight w:val="none"/>
              </w:rPr>
              <w:t>分</w:t>
            </w:r>
          </w:p>
        </w:tc>
      </w:tr>
      <w:tr w14:paraId="662F73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84" w:hRule="exact"/>
        </w:trPr>
        <w:tc>
          <w:tcPr>
            <w:tcW w:w="230" w:type="pct"/>
            <w:tcBorders>
              <w:top w:val="single" w:color="080000" w:sz="4" w:space="0"/>
              <w:left w:val="single" w:color="080000" w:sz="4" w:space="0"/>
              <w:bottom w:val="single" w:color="080000" w:sz="4" w:space="0"/>
              <w:right w:val="single" w:color="080000" w:sz="4" w:space="0"/>
            </w:tcBorders>
            <w:noWrap w:val="0"/>
            <w:vAlign w:val="center"/>
          </w:tcPr>
          <w:p w14:paraId="2A86A0FF">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799" w:type="pct"/>
            <w:tcBorders>
              <w:top w:val="single" w:color="080000" w:sz="4" w:space="0"/>
              <w:left w:val="single" w:color="080000" w:sz="4" w:space="0"/>
              <w:bottom w:val="single" w:color="080000" w:sz="4" w:space="0"/>
              <w:right w:val="single" w:color="080000" w:sz="4" w:space="0"/>
            </w:tcBorders>
            <w:noWrap w:val="0"/>
            <w:vAlign w:val="center"/>
          </w:tcPr>
          <w:p w14:paraId="35FBE3AC">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投标评审原件（如有）</w:t>
            </w:r>
          </w:p>
          <w:p w14:paraId="448D6D7B">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递交地点</w:t>
            </w:r>
          </w:p>
        </w:tc>
        <w:tc>
          <w:tcPr>
            <w:tcW w:w="3969" w:type="pct"/>
            <w:tcBorders>
              <w:top w:val="single" w:color="080000" w:sz="4" w:space="0"/>
              <w:left w:val="single" w:color="080000" w:sz="4" w:space="0"/>
              <w:bottom w:val="single" w:color="080000" w:sz="4" w:space="0"/>
              <w:right w:val="single" w:color="080000" w:sz="4" w:space="0"/>
            </w:tcBorders>
            <w:noWrap w:val="0"/>
            <w:vAlign w:val="center"/>
          </w:tcPr>
          <w:p w14:paraId="51774902">
            <w:pPr>
              <w:pStyle w:val="24"/>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递交场所：韶关市公共资源交易中心仁化分中心</w:t>
            </w:r>
          </w:p>
          <w:p w14:paraId="42C0FA0B">
            <w:pPr>
              <w:pStyle w:val="24"/>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地址：仁化县丹霞大道228号11楼韶关市公共资源交易中心仁化分中心，具体房间号以当日现场通知为准。</w:t>
            </w:r>
          </w:p>
        </w:tc>
      </w:tr>
      <w:tr w14:paraId="15CDE0F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10" w:hRule="exact"/>
        </w:trPr>
        <w:tc>
          <w:tcPr>
            <w:tcW w:w="230" w:type="pct"/>
            <w:tcBorders>
              <w:top w:val="single" w:color="080000" w:sz="4" w:space="0"/>
              <w:left w:val="single" w:color="080000" w:sz="4" w:space="0"/>
              <w:bottom w:val="single" w:color="080000" w:sz="4" w:space="0"/>
              <w:right w:val="single" w:color="080000" w:sz="4" w:space="0"/>
            </w:tcBorders>
            <w:noWrap w:val="0"/>
            <w:vAlign w:val="center"/>
          </w:tcPr>
          <w:p w14:paraId="7A62082B">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799" w:type="pct"/>
            <w:tcBorders>
              <w:top w:val="single" w:color="080000" w:sz="4" w:space="0"/>
              <w:left w:val="single" w:color="080000" w:sz="4" w:space="0"/>
              <w:bottom w:val="single" w:color="080000" w:sz="4" w:space="0"/>
              <w:right w:val="single" w:color="080000" w:sz="4" w:space="0"/>
            </w:tcBorders>
            <w:noWrap w:val="0"/>
            <w:vAlign w:val="center"/>
          </w:tcPr>
          <w:p w14:paraId="3A8FA4E2">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开标时间</w:t>
            </w:r>
          </w:p>
        </w:tc>
        <w:tc>
          <w:tcPr>
            <w:tcW w:w="3969" w:type="pct"/>
            <w:tcBorders>
              <w:top w:val="single" w:color="080000" w:sz="4" w:space="0"/>
              <w:left w:val="single" w:color="080000" w:sz="4" w:space="0"/>
              <w:bottom w:val="single" w:color="080000" w:sz="4" w:space="0"/>
              <w:right w:val="single" w:color="080000" w:sz="4" w:space="0"/>
            </w:tcBorders>
            <w:noWrap w:val="0"/>
            <w:vAlign w:val="center"/>
          </w:tcPr>
          <w:p w14:paraId="19E86F24">
            <w:pPr>
              <w:pStyle w:val="24"/>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cs="宋体"/>
                <w:snapToGrid w:val="0"/>
                <w:color w:val="auto"/>
                <w:kern w:val="0"/>
                <w:sz w:val="24"/>
                <w:highlight w:val="none"/>
                <w:u w:val="single"/>
                <w:lang w:val="en-US" w:eastAsia="zh-CN"/>
              </w:rPr>
              <w:t>2024</w:t>
            </w:r>
            <w:r>
              <w:rPr>
                <w:rFonts w:hint="eastAsia" w:ascii="宋体" w:hAnsi="宋体" w:eastAsia="宋体" w:cs="宋体"/>
                <w:snapToGrid w:val="0"/>
                <w:color w:val="auto"/>
                <w:kern w:val="0"/>
                <w:sz w:val="24"/>
                <w:highlight w:val="none"/>
              </w:rPr>
              <w:t>年</w:t>
            </w:r>
            <w:r>
              <w:rPr>
                <w:rFonts w:hint="eastAsia" w:ascii="宋体" w:hAnsi="宋体" w:cs="宋体"/>
                <w:snapToGrid w:val="0"/>
                <w:color w:val="auto"/>
                <w:kern w:val="0"/>
                <w:sz w:val="24"/>
                <w:highlight w:val="none"/>
                <w:u w:val="single"/>
                <w:lang w:val="en-US" w:eastAsia="zh-CN"/>
              </w:rPr>
              <w:t>12</w:t>
            </w:r>
            <w:r>
              <w:rPr>
                <w:rFonts w:hint="eastAsia" w:ascii="宋体" w:hAnsi="宋体" w:eastAsia="宋体" w:cs="宋体"/>
                <w:snapToGrid w:val="0"/>
                <w:color w:val="auto"/>
                <w:kern w:val="0"/>
                <w:sz w:val="24"/>
                <w:highlight w:val="none"/>
              </w:rPr>
              <w:t>月</w:t>
            </w:r>
            <w:r>
              <w:rPr>
                <w:rFonts w:hint="eastAsia" w:ascii="宋体" w:hAnsi="宋体" w:cs="宋体"/>
                <w:snapToGrid w:val="0"/>
                <w:color w:val="auto"/>
                <w:kern w:val="0"/>
                <w:sz w:val="24"/>
                <w:highlight w:val="none"/>
                <w:u w:val="single"/>
                <w:lang w:val="en-US" w:eastAsia="zh-CN"/>
              </w:rPr>
              <w:t>12</w:t>
            </w:r>
            <w:r>
              <w:rPr>
                <w:rFonts w:hint="eastAsia" w:ascii="宋体" w:hAnsi="宋体" w:eastAsia="宋体" w:cs="宋体"/>
                <w:snapToGrid w:val="0"/>
                <w:color w:val="auto"/>
                <w:kern w:val="0"/>
                <w:sz w:val="24"/>
                <w:highlight w:val="none"/>
              </w:rPr>
              <w:t>日</w:t>
            </w:r>
            <w:r>
              <w:rPr>
                <w:rFonts w:hint="eastAsia" w:ascii="宋体" w:hAnsi="宋体" w:cs="宋体"/>
                <w:snapToGrid w:val="0"/>
                <w:color w:val="auto"/>
                <w:kern w:val="0"/>
                <w:sz w:val="24"/>
                <w:highlight w:val="none"/>
                <w:u w:val="single"/>
                <w:lang w:val="en-US" w:eastAsia="zh-CN"/>
              </w:rPr>
              <w:t>09</w:t>
            </w:r>
            <w:r>
              <w:rPr>
                <w:rFonts w:hint="eastAsia" w:ascii="宋体" w:hAnsi="宋体" w:eastAsia="宋体" w:cs="宋体"/>
                <w:snapToGrid w:val="0"/>
                <w:color w:val="auto"/>
                <w:kern w:val="0"/>
                <w:sz w:val="24"/>
                <w:highlight w:val="none"/>
              </w:rPr>
              <w:t>时</w:t>
            </w:r>
            <w:r>
              <w:rPr>
                <w:rFonts w:hint="eastAsia" w:ascii="宋体" w:hAnsi="宋体" w:cs="宋体"/>
                <w:snapToGrid w:val="0"/>
                <w:color w:val="auto"/>
                <w:kern w:val="0"/>
                <w:sz w:val="24"/>
                <w:highlight w:val="none"/>
                <w:u w:val="single"/>
                <w:lang w:val="en-US" w:eastAsia="zh-CN"/>
              </w:rPr>
              <w:t>30</w:t>
            </w:r>
            <w:r>
              <w:rPr>
                <w:rFonts w:hint="eastAsia" w:ascii="宋体" w:hAnsi="宋体" w:eastAsia="宋体" w:cs="宋体"/>
                <w:snapToGrid w:val="0"/>
                <w:color w:val="auto"/>
                <w:kern w:val="0"/>
                <w:sz w:val="24"/>
                <w:highlight w:val="none"/>
              </w:rPr>
              <w:t>分</w:t>
            </w:r>
          </w:p>
        </w:tc>
      </w:tr>
      <w:tr w14:paraId="39F90A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78" w:hRule="exact"/>
        </w:trPr>
        <w:tc>
          <w:tcPr>
            <w:tcW w:w="230" w:type="pct"/>
            <w:tcBorders>
              <w:top w:val="single" w:color="080000" w:sz="4" w:space="0"/>
              <w:left w:val="single" w:color="080000" w:sz="4" w:space="0"/>
              <w:bottom w:val="single" w:color="080000" w:sz="4" w:space="0"/>
              <w:right w:val="single" w:color="080000" w:sz="4" w:space="0"/>
            </w:tcBorders>
            <w:noWrap w:val="0"/>
            <w:vAlign w:val="center"/>
          </w:tcPr>
          <w:p w14:paraId="0B4CFAC5">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799" w:type="pct"/>
            <w:tcBorders>
              <w:top w:val="single" w:color="080000" w:sz="4" w:space="0"/>
              <w:left w:val="single" w:color="080000" w:sz="4" w:space="0"/>
              <w:bottom w:val="single" w:color="080000" w:sz="4" w:space="0"/>
              <w:right w:val="single" w:color="080000" w:sz="4" w:space="0"/>
            </w:tcBorders>
            <w:noWrap w:val="0"/>
            <w:vAlign w:val="center"/>
          </w:tcPr>
          <w:p w14:paraId="3EAA3930">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开标地点</w:t>
            </w:r>
          </w:p>
        </w:tc>
        <w:tc>
          <w:tcPr>
            <w:tcW w:w="3969" w:type="pct"/>
            <w:tcBorders>
              <w:top w:val="single" w:color="080000" w:sz="4" w:space="0"/>
              <w:left w:val="single" w:color="080000" w:sz="4" w:space="0"/>
              <w:bottom w:val="single" w:color="080000" w:sz="4" w:space="0"/>
              <w:right w:val="single" w:color="080000" w:sz="4" w:space="0"/>
            </w:tcBorders>
            <w:noWrap w:val="0"/>
            <w:vAlign w:val="center"/>
          </w:tcPr>
          <w:p w14:paraId="336FC042">
            <w:pPr>
              <w:pStyle w:val="24"/>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开标场所：韶关市公共资源交易中心仁化分中心</w:t>
            </w:r>
          </w:p>
          <w:p w14:paraId="5561C1E7">
            <w:pPr>
              <w:pStyle w:val="24"/>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地址：仁化县丹霞大道228号11楼韶关市公共资源交易中心仁化分中心，具体房间号以当日现场通知为准。</w:t>
            </w:r>
          </w:p>
        </w:tc>
      </w:tr>
      <w:tr w14:paraId="4D6C1D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98" w:hRule="exact"/>
        </w:trPr>
        <w:tc>
          <w:tcPr>
            <w:tcW w:w="1030" w:type="pct"/>
            <w:gridSpan w:val="2"/>
            <w:tcBorders>
              <w:top w:val="single" w:color="080000" w:sz="4" w:space="0"/>
              <w:left w:val="single" w:color="080000" w:sz="4" w:space="0"/>
              <w:bottom w:val="single" w:color="080000" w:sz="4" w:space="0"/>
              <w:right w:val="single" w:color="080000" w:sz="4" w:space="0"/>
            </w:tcBorders>
            <w:noWrap w:val="0"/>
            <w:vAlign w:val="center"/>
          </w:tcPr>
          <w:p w14:paraId="1803D266">
            <w:pPr>
              <w:pStyle w:val="2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备注</w:t>
            </w:r>
          </w:p>
        </w:tc>
        <w:tc>
          <w:tcPr>
            <w:tcW w:w="3969" w:type="pct"/>
            <w:tcBorders>
              <w:top w:val="single" w:color="080000" w:sz="4" w:space="0"/>
              <w:left w:val="single" w:color="080000" w:sz="4" w:space="0"/>
              <w:bottom w:val="single" w:color="080000" w:sz="4" w:space="0"/>
              <w:right w:val="single" w:color="080000" w:sz="4" w:space="0"/>
            </w:tcBorders>
            <w:noWrap w:val="0"/>
            <w:vAlign w:val="center"/>
          </w:tcPr>
          <w:p w14:paraId="2202BACE">
            <w:pPr>
              <w:pStyle w:val="24"/>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自行下载招标文件、资料文件及招标答疑书等。若由于投标人自身原因未能及时取得上述资料的，由此发生的任何责任由投标人自负。</w:t>
            </w:r>
          </w:p>
        </w:tc>
      </w:tr>
    </w:tbl>
    <w:p w14:paraId="3A6317CD">
      <w:pPr>
        <w:rPr>
          <w:rFonts w:hint="eastAsia" w:ascii="宋体" w:hAnsi="宋体" w:eastAsia="宋体" w:cs="宋体"/>
          <w:color w:val="auto"/>
        </w:rPr>
      </w:pPr>
    </w:p>
    <w:p w14:paraId="2F20FCC0">
      <w:pPr>
        <w:rPr>
          <w:rFonts w:hint="eastAsia" w:ascii="宋体" w:hAnsi="宋体" w:eastAsia="宋体" w:cs="宋体"/>
          <w:color w:val="auto"/>
        </w:rPr>
      </w:pPr>
    </w:p>
    <w:p w14:paraId="3519711B">
      <w:pPr>
        <w:rPr>
          <w:rFonts w:hint="eastAsia" w:ascii="宋体" w:hAnsi="宋体" w:eastAsia="宋体" w:cs="宋体"/>
          <w:color w:val="auto"/>
        </w:rPr>
      </w:pPr>
    </w:p>
    <w:p w14:paraId="656EF02E">
      <w:pPr>
        <w:rPr>
          <w:rFonts w:hint="eastAsia" w:ascii="宋体" w:hAnsi="宋体" w:eastAsia="宋体" w:cs="宋体"/>
          <w:color w:val="auto"/>
        </w:rPr>
      </w:pPr>
    </w:p>
    <w:p w14:paraId="595BF46A">
      <w:pPr>
        <w:rPr>
          <w:rFonts w:hint="eastAsia" w:ascii="宋体" w:hAnsi="宋体" w:eastAsia="宋体" w:cs="宋体"/>
          <w:color w:val="auto"/>
        </w:rPr>
      </w:pPr>
    </w:p>
    <w:p w14:paraId="5CD18C34">
      <w:pPr>
        <w:rPr>
          <w:rFonts w:hint="eastAsia" w:ascii="宋体" w:hAnsi="宋体" w:eastAsia="宋体" w:cs="宋体"/>
          <w:color w:val="auto"/>
        </w:rPr>
      </w:pPr>
    </w:p>
    <w:p w14:paraId="0E967F61">
      <w:pPr>
        <w:pStyle w:val="3"/>
        <w:wordWrap w:val="0"/>
        <w:autoSpaceDE/>
        <w:autoSpaceDN/>
        <w:snapToGrid w:val="0"/>
        <w:spacing w:before="260" w:after="260" w:line="240" w:lineRule="auto"/>
        <w:jc w:val="both"/>
        <w:rPr>
          <w:rFonts w:hint="eastAsia" w:ascii="宋体" w:hAnsi="宋体" w:eastAsia="宋体" w:cs="宋体"/>
          <w:b/>
          <w:snapToGrid w:val="0"/>
          <w:color w:val="auto"/>
          <w:sz w:val="24"/>
          <w:szCs w:val="24"/>
          <w:highlight w:val="none"/>
        </w:rPr>
      </w:pPr>
      <w:bookmarkStart w:id="11" w:name="_Hlt87793819"/>
      <w:bookmarkEnd w:id="11"/>
      <w:bookmarkStart w:id="12" w:name="_Hlt69698705"/>
      <w:bookmarkStart w:id="13" w:name="_Toc24477"/>
      <w:bookmarkStart w:id="14" w:name="_Hlt69698754"/>
      <w:r>
        <w:rPr>
          <w:rFonts w:hint="eastAsia" w:ascii="宋体" w:hAnsi="宋体" w:eastAsia="宋体" w:cs="宋体"/>
          <w:b/>
          <w:snapToGrid w:val="0"/>
          <w:color w:val="auto"/>
          <w:sz w:val="24"/>
          <w:szCs w:val="24"/>
          <w:highlight w:val="none"/>
        </w:rPr>
        <w:t>第三节</w:t>
      </w:r>
      <w:r>
        <w:rPr>
          <w:rFonts w:hint="eastAsia" w:ascii="宋体" w:hAnsi="宋体" w:eastAsia="宋体" w:cs="宋体"/>
          <w:b/>
          <w:snapToGrid w:val="0"/>
          <w:color w:val="auto"/>
          <w:sz w:val="24"/>
          <w:szCs w:val="24"/>
          <w:highlight w:val="none"/>
          <w:lang w:val="en-US" w:eastAsia="zh-CN"/>
        </w:rPr>
        <w:t xml:space="preserve">   </w:t>
      </w:r>
      <w:r>
        <w:rPr>
          <w:rFonts w:hint="eastAsia" w:ascii="宋体" w:hAnsi="宋体" w:eastAsia="宋体" w:cs="宋体"/>
          <w:b/>
          <w:snapToGrid w:val="0"/>
          <w:color w:val="auto"/>
          <w:sz w:val="24"/>
          <w:szCs w:val="24"/>
          <w:highlight w:val="none"/>
        </w:rPr>
        <w:t>投标人须知</w:t>
      </w:r>
      <w:bookmarkStart w:id="15" w:name="_Hlt69669159"/>
      <w:bookmarkEnd w:id="15"/>
      <w:r>
        <w:rPr>
          <w:rFonts w:hint="eastAsia" w:ascii="宋体" w:hAnsi="宋体" w:eastAsia="宋体" w:cs="宋体"/>
          <w:b/>
          <w:snapToGrid w:val="0"/>
          <w:color w:val="auto"/>
          <w:sz w:val="24"/>
          <w:szCs w:val="24"/>
          <w:highlight w:val="none"/>
        </w:rPr>
        <w:t>正文</w:t>
      </w:r>
      <w:bookmarkEnd w:id="12"/>
      <w:bookmarkEnd w:id="13"/>
      <w:bookmarkEnd w:id="14"/>
    </w:p>
    <w:p w14:paraId="0BDC953B">
      <w:pPr>
        <w:spacing w:line="360" w:lineRule="auto"/>
        <w:ind w:firstLine="480" w:firstLineChars="200"/>
        <w:rPr>
          <w:rFonts w:hint="eastAsia" w:ascii="宋体" w:hAnsi="宋体" w:eastAsia="宋体" w:cs="宋体"/>
          <w:color w:val="auto"/>
          <w:sz w:val="24"/>
          <w:szCs w:val="24"/>
        </w:rPr>
      </w:pPr>
      <w:bookmarkStart w:id="16" w:name="_Hlt119991399"/>
      <w:bookmarkEnd w:id="16"/>
      <w:bookmarkStart w:id="17" w:name="_Hlt74474735"/>
      <w:bookmarkEnd w:id="17"/>
      <w:bookmarkStart w:id="18" w:name="_Hlt109358474"/>
      <w:bookmarkEnd w:id="18"/>
      <w:bookmarkStart w:id="19" w:name="_Hlt87948285"/>
      <w:bookmarkEnd w:id="19"/>
      <w:bookmarkStart w:id="20" w:name="_Hlt78795222"/>
      <w:bookmarkEnd w:id="20"/>
      <w:r>
        <w:rPr>
          <w:rFonts w:hint="eastAsia" w:ascii="宋体" w:hAnsi="宋体" w:eastAsia="宋体" w:cs="宋体"/>
          <w:color w:val="auto"/>
          <w:sz w:val="24"/>
          <w:szCs w:val="24"/>
          <w:u w:val="single"/>
          <w:lang w:eastAsia="zh-CN"/>
        </w:rPr>
        <w:t>仁化县城、乡镇雨污分流基础配套设施建设</w:t>
      </w:r>
      <w:r>
        <w:rPr>
          <w:rFonts w:hint="eastAsia" w:ascii="宋体" w:hAnsi="宋体" w:eastAsia="宋体" w:cs="宋体"/>
          <w:color w:val="auto"/>
          <w:sz w:val="24"/>
          <w:szCs w:val="24"/>
        </w:rPr>
        <w:t>经</w:t>
      </w:r>
      <w:r>
        <w:rPr>
          <w:rFonts w:hint="eastAsia" w:ascii="宋体" w:hAnsi="宋体" w:eastAsia="宋体" w:cs="宋体"/>
          <w:color w:val="auto"/>
          <w:kern w:val="0"/>
          <w:sz w:val="24"/>
          <w:szCs w:val="22"/>
          <w:highlight w:val="none"/>
          <w:u w:val="single"/>
          <w:lang w:val="en-US" w:eastAsia="zh-CN"/>
        </w:rPr>
        <w:t>仁化县发展和改革局</w:t>
      </w:r>
      <w:r>
        <w:rPr>
          <w:rFonts w:hint="eastAsia" w:ascii="宋体" w:hAnsi="宋体" w:eastAsia="宋体" w:cs="宋体"/>
          <w:color w:val="auto"/>
          <w:kern w:val="0"/>
          <w:sz w:val="24"/>
          <w:szCs w:val="22"/>
          <w:highlight w:val="none"/>
          <w:u w:val="single"/>
        </w:rPr>
        <w:t>以《</w:t>
      </w:r>
      <w:r>
        <w:rPr>
          <w:rFonts w:hint="eastAsia" w:ascii="宋体" w:hAnsi="宋体" w:eastAsia="宋体" w:cs="宋体"/>
          <w:color w:val="auto"/>
          <w:kern w:val="0"/>
          <w:sz w:val="24"/>
          <w:szCs w:val="22"/>
          <w:highlight w:val="none"/>
          <w:u w:val="single"/>
          <w:lang w:eastAsia="zh-CN"/>
        </w:rPr>
        <w:t>仁化县发展和改革局关于仁化县城、乡镇雨污分流基础配套设施建设项目可行性研究报告的批复》（仁发改投审〔2021〕10号）</w:t>
      </w:r>
      <w:r>
        <w:rPr>
          <w:rFonts w:hint="eastAsia" w:ascii="宋体" w:hAnsi="宋体" w:eastAsia="宋体" w:cs="宋体"/>
          <w:color w:val="auto"/>
          <w:kern w:val="0"/>
          <w:sz w:val="24"/>
          <w:szCs w:val="22"/>
          <w:highlight w:val="none"/>
          <w:u w:val="none"/>
          <w:lang w:eastAsia="zh-CN"/>
        </w:rPr>
        <w:t>、</w:t>
      </w:r>
      <w:r>
        <w:rPr>
          <w:rFonts w:hint="eastAsia" w:ascii="宋体" w:hAnsi="宋体" w:eastAsia="宋体" w:cs="宋体"/>
          <w:color w:val="auto"/>
          <w:kern w:val="0"/>
          <w:sz w:val="24"/>
          <w:szCs w:val="22"/>
          <w:highlight w:val="none"/>
          <w:u w:val="single"/>
          <w:lang w:eastAsia="zh-CN"/>
        </w:rPr>
        <w:t>《仁化县发展和改革局关于仁化县城、乡镇雨污分流基础配套设施建设项目变更的复函》（仁发改投审〔2021〕12号）</w:t>
      </w:r>
      <w:r>
        <w:rPr>
          <w:rFonts w:hint="eastAsia" w:ascii="宋体" w:hAnsi="宋体" w:eastAsia="宋体" w:cs="宋体"/>
          <w:color w:val="auto"/>
          <w:kern w:val="0"/>
          <w:sz w:val="24"/>
          <w:szCs w:val="22"/>
          <w:highlight w:val="none"/>
        </w:rPr>
        <w:t>批准建设</w:t>
      </w:r>
      <w:r>
        <w:rPr>
          <w:rFonts w:hint="eastAsia" w:ascii="宋体" w:hAnsi="宋体" w:eastAsia="宋体" w:cs="宋体"/>
          <w:color w:val="auto"/>
          <w:sz w:val="24"/>
          <w:szCs w:val="24"/>
        </w:rPr>
        <w:t>，项目代码为</w:t>
      </w:r>
      <w:r>
        <w:rPr>
          <w:rFonts w:hint="eastAsia" w:ascii="宋体" w:hAnsi="宋体" w:eastAsia="宋体" w:cs="宋体"/>
          <w:color w:val="auto"/>
          <w:sz w:val="24"/>
          <w:szCs w:val="24"/>
          <w:u w:val="single"/>
          <w:lang w:eastAsia="zh-CN"/>
        </w:rPr>
        <w:t>2110-440224-04-01-352328</w:t>
      </w:r>
      <w:r>
        <w:rPr>
          <w:rFonts w:hint="eastAsia" w:ascii="宋体" w:hAnsi="宋体" w:eastAsia="宋体" w:cs="宋体"/>
          <w:color w:val="auto"/>
          <w:sz w:val="24"/>
          <w:szCs w:val="24"/>
        </w:rPr>
        <w:t>。本项目业主为</w:t>
      </w:r>
      <w:r>
        <w:rPr>
          <w:rFonts w:hint="eastAsia" w:ascii="宋体" w:hAnsi="宋体" w:eastAsia="宋体" w:cs="宋体"/>
          <w:color w:val="auto"/>
          <w:sz w:val="24"/>
          <w:szCs w:val="24"/>
          <w:u w:val="single"/>
          <w:lang w:val="en-US" w:eastAsia="zh-CN"/>
        </w:rPr>
        <w:t>仁化县市政工程公司</w:t>
      </w:r>
      <w:r>
        <w:rPr>
          <w:rFonts w:hint="eastAsia" w:ascii="宋体" w:hAnsi="宋体" w:eastAsia="宋体" w:cs="宋体"/>
          <w:color w:val="auto"/>
          <w:sz w:val="24"/>
          <w:szCs w:val="24"/>
        </w:rPr>
        <w:t>，建设资金来自</w:t>
      </w:r>
      <w:r>
        <w:rPr>
          <w:rFonts w:hint="eastAsia" w:ascii="宋体" w:hAnsi="宋体" w:eastAsia="宋体" w:cs="宋体"/>
          <w:color w:val="auto"/>
          <w:sz w:val="24"/>
          <w:szCs w:val="24"/>
          <w:u w:val="single"/>
          <w:lang w:eastAsia="zh-CN"/>
        </w:rPr>
        <w:t>上级资金和县财政资金解决</w:t>
      </w:r>
      <w:r>
        <w:rPr>
          <w:rFonts w:hint="eastAsia" w:ascii="宋体" w:hAnsi="宋体" w:eastAsia="宋体" w:cs="宋体"/>
          <w:color w:val="auto"/>
          <w:sz w:val="24"/>
          <w:szCs w:val="24"/>
        </w:rPr>
        <w:t>，出资比例为</w:t>
      </w:r>
      <w:r>
        <w:rPr>
          <w:rFonts w:hint="eastAsia" w:ascii="宋体" w:hAnsi="宋体" w:eastAsia="宋体" w:cs="宋体"/>
          <w:color w:val="auto"/>
          <w:sz w:val="24"/>
          <w:szCs w:val="24"/>
          <w:u w:val="single"/>
        </w:rPr>
        <w:t>100%</w:t>
      </w:r>
      <w:r>
        <w:rPr>
          <w:rFonts w:hint="eastAsia" w:ascii="宋体" w:hAnsi="宋体" w:eastAsia="宋体" w:cs="宋体"/>
          <w:color w:val="auto"/>
          <w:sz w:val="24"/>
          <w:szCs w:val="24"/>
        </w:rPr>
        <w:t>，招标人为</w:t>
      </w:r>
      <w:r>
        <w:rPr>
          <w:rFonts w:hint="eastAsia" w:ascii="宋体" w:hAnsi="宋体" w:eastAsia="宋体" w:cs="宋体"/>
          <w:color w:val="auto"/>
          <w:sz w:val="24"/>
          <w:szCs w:val="24"/>
          <w:u w:val="single"/>
          <w:lang w:eastAsia="zh-CN"/>
        </w:rPr>
        <w:t>仁化县市政工程公司</w:t>
      </w:r>
      <w:r>
        <w:rPr>
          <w:rFonts w:hint="eastAsia" w:ascii="宋体" w:hAnsi="宋体" w:eastAsia="宋体" w:cs="宋体"/>
          <w:color w:val="auto"/>
          <w:sz w:val="24"/>
          <w:szCs w:val="24"/>
        </w:rPr>
        <w:t>，招标代理机构为</w:t>
      </w:r>
      <w:r>
        <w:rPr>
          <w:rFonts w:hint="eastAsia" w:ascii="宋体" w:hAnsi="宋体" w:eastAsia="宋体" w:cs="宋体"/>
          <w:color w:val="auto"/>
          <w:sz w:val="24"/>
          <w:szCs w:val="24"/>
          <w:u w:val="single"/>
          <w:lang w:eastAsia="zh-CN"/>
        </w:rPr>
        <w:t>广东明正项目管理有限公司</w:t>
      </w:r>
      <w:r>
        <w:rPr>
          <w:rFonts w:hint="eastAsia" w:ascii="宋体" w:hAnsi="宋体" w:eastAsia="宋体" w:cs="宋体"/>
          <w:color w:val="auto"/>
          <w:sz w:val="24"/>
          <w:szCs w:val="24"/>
        </w:rPr>
        <w:t>。项目已具备招标条件，现对该项目的</w:t>
      </w:r>
      <w:r>
        <w:rPr>
          <w:rFonts w:hint="eastAsia" w:ascii="宋体" w:hAnsi="宋体" w:eastAsia="宋体" w:cs="宋体"/>
          <w:color w:val="auto"/>
          <w:sz w:val="24"/>
          <w:szCs w:val="24"/>
          <w:u w:val="single"/>
        </w:rPr>
        <w:t>施工</w:t>
      </w:r>
      <w:r>
        <w:rPr>
          <w:rFonts w:hint="eastAsia" w:ascii="宋体" w:hAnsi="宋体" w:eastAsia="宋体" w:cs="宋体"/>
          <w:color w:val="auto"/>
          <w:sz w:val="24"/>
          <w:szCs w:val="24"/>
        </w:rPr>
        <w:t>进行公开招标。</w:t>
      </w:r>
    </w:p>
    <w:p w14:paraId="7D7BEBA6">
      <w:pPr>
        <w:pStyle w:val="3"/>
        <w:bidi w:val="0"/>
        <w:spacing w:line="360" w:lineRule="auto"/>
        <w:ind w:firstLine="482" w:firstLineChars="200"/>
        <w:rPr>
          <w:rFonts w:hint="eastAsia" w:ascii="宋体" w:hAnsi="宋体" w:eastAsia="宋体" w:cs="宋体"/>
          <w:color w:val="auto"/>
          <w:sz w:val="24"/>
          <w:szCs w:val="24"/>
          <w:lang w:eastAsia="zh-CN"/>
        </w:rPr>
      </w:pPr>
      <w:bookmarkStart w:id="21" w:name="_Toc4383"/>
      <w:r>
        <w:rPr>
          <w:rFonts w:hint="eastAsia" w:ascii="宋体" w:hAnsi="宋体" w:eastAsia="宋体" w:cs="宋体"/>
          <w:color w:val="auto"/>
          <w:sz w:val="24"/>
          <w:szCs w:val="24"/>
          <w:lang w:eastAsia="zh-CN"/>
        </w:rPr>
        <w:t>1．项目概况、招标范围和标段划分、投标费用</w:t>
      </w:r>
      <w:bookmarkEnd w:id="21"/>
    </w:p>
    <w:p w14:paraId="4E62AD2B">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1.1</w:t>
      </w:r>
      <w:r>
        <w:rPr>
          <w:rFonts w:hint="eastAsia" w:ascii="宋体" w:hAnsi="宋体" w:eastAsia="宋体" w:cs="宋体"/>
          <w:color w:val="auto"/>
          <w:sz w:val="24"/>
          <w:szCs w:val="24"/>
          <w:lang w:eastAsia="zh-CN"/>
        </w:rPr>
        <w:t>项目概况</w:t>
      </w:r>
    </w:p>
    <w:p w14:paraId="591C29C4">
      <w:pPr>
        <w:spacing w:line="360" w:lineRule="auto"/>
        <w:ind w:firstLine="482" w:firstLineChars="200"/>
        <w:rPr>
          <w:rFonts w:hint="eastAsia" w:ascii="宋体" w:hAnsi="宋体" w:eastAsia="宋体" w:cs="宋体"/>
          <w:color w:val="auto"/>
          <w:sz w:val="24"/>
          <w:szCs w:val="24"/>
          <w:u w:val="single"/>
          <w:lang w:val="en-US" w:eastAsia="zh-CN"/>
        </w:rPr>
      </w:pPr>
      <w:r>
        <w:rPr>
          <w:rFonts w:hint="eastAsia" w:ascii="宋体" w:hAnsi="宋体" w:eastAsia="宋体" w:cs="宋体"/>
          <w:b/>
          <w:bCs/>
          <w:color w:val="auto"/>
          <w:sz w:val="24"/>
          <w:szCs w:val="24"/>
          <w:lang w:eastAsia="zh-CN"/>
        </w:rPr>
        <w:t>1.1.1</w:t>
      </w:r>
      <w:r>
        <w:rPr>
          <w:rFonts w:hint="eastAsia" w:ascii="宋体" w:hAnsi="宋体" w:eastAsia="宋体" w:cs="宋体"/>
          <w:color w:val="auto"/>
          <w:sz w:val="24"/>
          <w:szCs w:val="24"/>
          <w:lang w:eastAsia="zh-CN"/>
        </w:rPr>
        <w:t>建设地点：</w:t>
      </w:r>
      <w:r>
        <w:rPr>
          <w:rFonts w:hint="eastAsia" w:ascii="宋体" w:hAnsi="宋体" w:eastAsia="宋体" w:cs="宋体"/>
          <w:bCs/>
          <w:snapToGrid w:val="0"/>
          <w:color w:val="auto"/>
          <w:kern w:val="0"/>
          <w:sz w:val="24"/>
          <w:szCs w:val="24"/>
          <w:highlight w:val="none"/>
          <w:u w:val="single"/>
          <w:lang w:val="en-US" w:eastAsia="zh-CN"/>
        </w:rPr>
        <w:t>韶关市仁化县大岭工业园片区、大岭农场片区、535线两侧居民点片区、丹冶公寓片区</w:t>
      </w:r>
      <w:r>
        <w:rPr>
          <w:rFonts w:hint="eastAsia" w:ascii="宋体" w:hAnsi="宋体" w:eastAsia="宋体" w:cs="宋体"/>
          <w:color w:val="auto"/>
          <w:sz w:val="24"/>
          <w:szCs w:val="24"/>
          <w:u w:val="single"/>
          <w:lang w:eastAsia="zh-CN"/>
        </w:rPr>
        <w:t>。</w:t>
      </w:r>
    </w:p>
    <w:p w14:paraId="74079C5F">
      <w:pPr>
        <w:spacing w:line="360" w:lineRule="auto"/>
        <w:ind w:firstLine="482" w:firstLineChars="200"/>
        <w:rPr>
          <w:rFonts w:hint="eastAsia" w:ascii="宋体" w:hAnsi="宋体" w:eastAsia="宋体" w:cs="宋体"/>
          <w:color w:val="auto"/>
          <w:sz w:val="24"/>
          <w:szCs w:val="24"/>
          <w:u w:val="single"/>
          <w:lang w:val="en-US" w:eastAsia="zh-CN"/>
        </w:rPr>
      </w:pPr>
      <w:r>
        <w:rPr>
          <w:rFonts w:hint="eastAsia" w:ascii="宋体" w:hAnsi="宋体" w:eastAsia="宋体" w:cs="宋体"/>
          <w:b/>
          <w:bCs/>
          <w:color w:val="auto"/>
          <w:sz w:val="24"/>
          <w:szCs w:val="24"/>
          <w:lang w:eastAsia="zh-CN"/>
        </w:rPr>
        <w:t>1.1.2</w:t>
      </w:r>
      <w:r>
        <w:rPr>
          <w:rFonts w:hint="eastAsia" w:ascii="宋体" w:hAnsi="宋体" w:eastAsia="宋体" w:cs="宋体"/>
          <w:color w:val="auto"/>
          <w:sz w:val="24"/>
          <w:szCs w:val="24"/>
          <w:lang w:eastAsia="zh-CN"/>
        </w:rPr>
        <w:t>建设内容和规模：</w:t>
      </w:r>
      <w:r>
        <w:rPr>
          <w:rFonts w:hint="eastAsia" w:ascii="宋体" w:hAnsi="宋体" w:eastAsia="宋体" w:cs="宋体"/>
          <w:color w:val="auto"/>
          <w:sz w:val="24"/>
          <w:szCs w:val="24"/>
          <w:u w:val="single"/>
          <w:lang w:val="en-US" w:eastAsia="zh-CN"/>
        </w:rPr>
        <w:t>污水工程包括：（1）完善丹霞街道污水管网，提高污水接入率；（2）对现状雨污合流段进行整治，根据现场调研确定采用截流或新建管网进行雨污分流；（3）对部分高程低于现有污水处理厂管网区域，新建一体化污水提升泵站或小型污水处理系统；（4）对现状污水管网进行检测，修复。</w:t>
      </w:r>
    </w:p>
    <w:p w14:paraId="33B059BC">
      <w:pPr>
        <w:spacing w:line="360" w:lineRule="auto"/>
        <w:ind w:firstLine="480" w:firstLineChars="200"/>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u w:val="single"/>
          <w:lang w:val="en-US" w:eastAsia="zh-CN"/>
        </w:rPr>
        <w:t>雨水工程包括：（1）对原为雨污合流段进行改造，根据现状适当新建排水渠达到分流目的；（2）对原破损老旧排水沟渠进行修缮，保障排水通畅。</w:t>
      </w:r>
    </w:p>
    <w:p w14:paraId="4D564D9F">
      <w:pPr>
        <w:spacing w:line="360" w:lineRule="auto"/>
        <w:ind w:firstLine="482" w:firstLineChars="200"/>
        <w:rPr>
          <w:rFonts w:hint="eastAsia" w:ascii="宋体" w:hAnsi="宋体" w:eastAsia="宋体" w:cs="宋体"/>
          <w:color w:val="auto"/>
          <w:sz w:val="24"/>
          <w:szCs w:val="24"/>
          <w:u w:val="single"/>
          <w:lang w:eastAsia="zh-CN"/>
        </w:rPr>
      </w:pPr>
      <w:r>
        <w:rPr>
          <w:rFonts w:hint="eastAsia" w:ascii="宋体" w:hAnsi="宋体" w:eastAsia="宋体" w:cs="宋体"/>
          <w:b/>
          <w:bCs/>
          <w:color w:val="auto"/>
          <w:sz w:val="24"/>
          <w:szCs w:val="24"/>
          <w:u w:val="none"/>
          <w:lang w:eastAsia="zh-CN"/>
        </w:rPr>
        <w:t>1.1.3</w:t>
      </w:r>
      <w:r>
        <w:rPr>
          <w:rFonts w:hint="eastAsia" w:ascii="宋体" w:hAnsi="宋体" w:eastAsia="宋体" w:cs="宋体"/>
          <w:color w:val="auto"/>
          <w:sz w:val="24"/>
          <w:szCs w:val="24"/>
          <w:lang w:eastAsia="zh-CN"/>
        </w:rPr>
        <w:t>项目总投资</w:t>
      </w:r>
      <w:r>
        <w:rPr>
          <w:rFonts w:hint="eastAsia" w:ascii="宋体" w:hAnsi="宋体" w:eastAsia="宋体" w:cs="宋体"/>
          <w:color w:val="auto"/>
          <w:sz w:val="24"/>
          <w:szCs w:val="24"/>
          <w:u w:val="single"/>
          <w:lang w:eastAsia="zh-CN"/>
        </w:rPr>
        <w:t>：</w:t>
      </w:r>
      <w:r>
        <w:rPr>
          <w:rFonts w:hint="eastAsia" w:ascii="宋体" w:hAnsi="宋体" w:eastAsia="宋体" w:cs="宋体"/>
          <w:strike w:val="0"/>
          <w:dstrike w:val="0"/>
          <w:color w:val="auto"/>
          <w:kern w:val="0"/>
          <w:sz w:val="24"/>
          <w:szCs w:val="24"/>
          <w:highlight w:val="none"/>
          <w:u w:val="single"/>
          <w:lang w:val="en-US" w:eastAsia="zh-CN" w:bidi="ar-SA"/>
        </w:rPr>
        <w:t>建设项目概算总投资为4902.57万元,建筑安装工程费工程建安费为4129.73万元；其中一标段建安费为1880.76万元。</w:t>
      </w:r>
    </w:p>
    <w:p w14:paraId="2B804D0A">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1.2</w:t>
      </w:r>
      <w:r>
        <w:rPr>
          <w:rFonts w:hint="eastAsia" w:ascii="宋体" w:hAnsi="宋体" w:eastAsia="宋体" w:cs="宋体"/>
          <w:color w:val="auto"/>
          <w:sz w:val="24"/>
          <w:szCs w:val="24"/>
          <w:lang w:eastAsia="zh-CN"/>
        </w:rPr>
        <w:t>招标范围和标段划分</w:t>
      </w:r>
    </w:p>
    <w:p w14:paraId="43D17A9A">
      <w:pPr>
        <w:spacing w:line="360" w:lineRule="auto"/>
        <w:ind w:firstLine="482" w:firstLineChars="200"/>
        <w:rPr>
          <w:rFonts w:hint="eastAsia" w:ascii="宋体" w:hAnsi="宋体" w:eastAsia="宋体" w:cs="宋体"/>
          <w:color w:val="auto"/>
          <w:sz w:val="24"/>
          <w:szCs w:val="24"/>
          <w:u w:val="single"/>
          <w:lang w:eastAsia="zh-CN"/>
        </w:rPr>
      </w:pPr>
      <w:r>
        <w:rPr>
          <w:rFonts w:hint="eastAsia" w:ascii="宋体" w:hAnsi="宋体" w:eastAsia="宋体" w:cs="宋体"/>
          <w:b/>
          <w:bCs/>
          <w:color w:val="auto"/>
          <w:sz w:val="24"/>
          <w:szCs w:val="24"/>
          <w:lang w:eastAsia="zh-CN"/>
        </w:rPr>
        <w:t>1.2.1</w:t>
      </w:r>
      <w:r>
        <w:rPr>
          <w:rFonts w:hint="eastAsia" w:ascii="宋体" w:hAnsi="宋体" w:eastAsia="宋体" w:cs="宋体"/>
          <w:color w:val="auto"/>
          <w:sz w:val="24"/>
          <w:szCs w:val="24"/>
          <w:lang w:eastAsia="zh-CN"/>
        </w:rPr>
        <w:t>招标范围：</w:t>
      </w:r>
      <w:r>
        <w:rPr>
          <w:rFonts w:hint="eastAsia" w:ascii="宋体" w:hAnsi="宋体" w:eastAsia="宋体" w:cs="宋体"/>
          <w:color w:val="auto"/>
          <w:sz w:val="24"/>
          <w:szCs w:val="24"/>
          <w:u w:val="single"/>
          <w:lang w:eastAsia="zh-CN"/>
        </w:rPr>
        <w:t>施工图设计文件范围的所有工程施工。</w:t>
      </w:r>
    </w:p>
    <w:p w14:paraId="3A8090C0">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1.2.2</w:t>
      </w:r>
      <w:r>
        <w:rPr>
          <w:rFonts w:hint="eastAsia" w:ascii="宋体" w:hAnsi="宋体" w:eastAsia="宋体" w:cs="宋体"/>
          <w:color w:val="auto"/>
          <w:sz w:val="24"/>
          <w:szCs w:val="24"/>
          <w:lang w:eastAsia="zh-CN"/>
        </w:rPr>
        <w:t>标段划分：本招标项目不划分标段。</w:t>
      </w:r>
    </w:p>
    <w:p w14:paraId="589C6291">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1.3</w:t>
      </w:r>
      <w:r>
        <w:rPr>
          <w:rFonts w:hint="eastAsia" w:ascii="宋体" w:hAnsi="宋体" w:eastAsia="宋体" w:cs="宋体"/>
          <w:color w:val="auto"/>
          <w:sz w:val="24"/>
          <w:szCs w:val="24"/>
          <w:lang w:eastAsia="zh-CN"/>
        </w:rPr>
        <w:t>投标费用：投标人应承担所有准备和参加投标的相关费用，不论投标结果如何，招标人均无义务和责任承担这些费用。</w:t>
      </w:r>
    </w:p>
    <w:p w14:paraId="46E0EF9B">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val="en-US" w:eastAsia="zh-CN"/>
        </w:rPr>
        <w:t>1.4</w:t>
      </w:r>
      <w:r>
        <w:rPr>
          <w:rFonts w:hint="eastAsia" w:ascii="宋体" w:hAnsi="宋体" w:eastAsia="宋体" w:cs="宋体"/>
          <w:color w:val="auto"/>
          <w:sz w:val="24"/>
          <w:szCs w:val="24"/>
          <w:lang w:val="en-US" w:eastAsia="zh-CN"/>
        </w:rPr>
        <w:t>招标代理费用：□由招标人支付 ☑由中标人支付。</w:t>
      </w:r>
    </w:p>
    <w:p w14:paraId="7B494206">
      <w:pPr>
        <w:pStyle w:val="3"/>
        <w:bidi w:val="0"/>
        <w:spacing w:line="360" w:lineRule="auto"/>
        <w:ind w:firstLine="482" w:firstLineChars="200"/>
        <w:rPr>
          <w:rFonts w:hint="eastAsia" w:ascii="宋体" w:hAnsi="宋体" w:eastAsia="宋体" w:cs="宋体"/>
          <w:color w:val="auto"/>
          <w:sz w:val="24"/>
          <w:szCs w:val="24"/>
          <w:lang w:eastAsia="zh-CN"/>
        </w:rPr>
      </w:pPr>
      <w:bookmarkStart w:id="22" w:name="_Toc15834"/>
      <w:r>
        <w:rPr>
          <w:rFonts w:hint="eastAsia" w:ascii="宋体" w:hAnsi="宋体" w:eastAsia="宋体" w:cs="宋体"/>
          <w:color w:val="auto"/>
          <w:sz w:val="24"/>
          <w:szCs w:val="24"/>
          <w:lang w:eastAsia="zh-CN"/>
        </w:rPr>
        <w:t>2．投标人资格要求</w:t>
      </w:r>
      <w:bookmarkEnd w:id="22"/>
      <w:bookmarkStart w:id="23" w:name="_Hlt74496495"/>
      <w:bookmarkEnd w:id="23"/>
    </w:p>
    <w:p w14:paraId="42AA50C9">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2.1</w:t>
      </w:r>
      <w:r>
        <w:rPr>
          <w:rFonts w:hint="eastAsia" w:ascii="宋体" w:hAnsi="宋体" w:eastAsia="宋体" w:cs="宋体"/>
          <w:color w:val="auto"/>
          <w:sz w:val="24"/>
          <w:szCs w:val="24"/>
          <w:lang w:eastAsia="zh-CN"/>
        </w:rPr>
        <w:t>本次招标不接受联合体投标。</w:t>
      </w:r>
    </w:p>
    <w:p w14:paraId="0B542AE6">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2.2</w:t>
      </w:r>
      <w:r>
        <w:rPr>
          <w:rFonts w:hint="eastAsia" w:ascii="宋体" w:hAnsi="宋体" w:eastAsia="宋体" w:cs="宋体"/>
          <w:color w:val="auto"/>
          <w:sz w:val="24"/>
          <w:szCs w:val="24"/>
          <w:lang w:eastAsia="zh-CN"/>
        </w:rPr>
        <w:t>资格资质要求</w:t>
      </w:r>
    </w:p>
    <w:p w14:paraId="649A756A">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2.2.1</w:t>
      </w:r>
      <w:r>
        <w:rPr>
          <w:rFonts w:hint="eastAsia" w:ascii="宋体" w:hAnsi="宋体" w:eastAsia="宋体" w:cs="宋体"/>
          <w:color w:val="auto"/>
          <w:sz w:val="24"/>
          <w:szCs w:val="24"/>
          <w:lang w:eastAsia="zh-CN"/>
        </w:rPr>
        <w:t>投标人须具备独立法人资格，按国家法律经营。</w:t>
      </w:r>
    </w:p>
    <w:p w14:paraId="1C5306B0">
      <w:pPr>
        <w:rPr>
          <w:rFonts w:hint="eastAsia" w:ascii="宋体" w:hAnsi="宋体" w:eastAsia="宋体" w:cs="宋体"/>
          <w:color w:val="auto"/>
          <w:lang w:eastAsia="zh-CN"/>
        </w:rPr>
      </w:pPr>
    </w:p>
    <w:p w14:paraId="726B0CE4">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2.2.2</w:t>
      </w:r>
      <w:r>
        <w:rPr>
          <w:rFonts w:hint="eastAsia" w:ascii="宋体" w:hAnsi="宋体" w:eastAsia="宋体" w:cs="宋体"/>
          <w:color w:val="auto"/>
          <w:sz w:val="24"/>
          <w:szCs w:val="24"/>
          <w:lang w:eastAsia="zh-CN"/>
        </w:rPr>
        <w:t>投标人须持有建设行政主管部门颁发的企业资质证书及安全生产许可证。</w:t>
      </w:r>
    </w:p>
    <w:p w14:paraId="2E1FF9D5">
      <w:pPr>
        <w:spacing w:line="360" w:lineRule="auto"/>
        <w:ind w:firstLine="482" w:firstLineChars="200"/>
        <w:rPr>
          <w:rFonts w:hint="eastAsia" w:ascii="宋体" w:hAnsi="宋体" w:eastAsia="宋体" w:cs="宋体"/>
          <w:color w:val="auto"/>
          <w:sz w:val="24"/>
          <w:szCs w:val="24"/>
          <w:u w:val="single"/>
          <w:lang w:eastAsia="zh-CN"/>
        </w:rPr>
      </w:pPr>
      <w:r>
        <w:rPr>
          <w:rFonts w:hint="eastAsia" w:ascii="宋体" w:hAnsi="宋体" w:eastAsia="宋体" w:cs="宋体"/>
          <w:b/>
          <w:bCs/>
          <w:color w:val="auto"/>
          <w:sz w:val="24"/>
          <w:szCs w:val="24"/>
          <w:lang w:eastAsia="zh-CN"/>
        </w:rPr>
        <w:t>2.2.3</w:t>
      </w:r>
      <w:r>
        <w:rPr>
          <w:rFonts w:hint="eastAsia" w:ascii="宋体" w:hAnsi="宋体" w:eastAsia="宋体" w:cs="宋体"/>
          <w:color w:val="auto"/>
          <w:sz w:val="24"/>
          <w:szCs w:val="24"/>
          <w:lang w:eastAsia="zh-CN"/>
        </w:rPr>
        <w:t>投标人须具备以下资质：</w:t>
      </w:r>
      <w:r>
        <w:rPr>
          <w:rFonts w:hint="eastAsia" w:ascii="宋体" w:hAnsi="宋体" w:eastAsia="宋体" w:cs="宋体"/>
          <w:color w:val="auto"/>
          <w:sz w:val="24"/>
          <w:szCs w:val="24"/>
          <w:u w:val="single"/>
          <w:lang w:val="en-US" w:eastAsia="zh-CN"/>
        </w:rPr>
        <w:t>市政公用工程施工总承包三级以上（含三级）资质</w:t>
      </w:r>
      <w:r>
        <w:rPr>
          <w:rFonts w:hint="eastAsia" w:ascii="宋体" w:hAnsi="宋体" w:eastAsia="宋体" w:cs="宋体"/>
          <w:color w:val="auto"/>
          <w:sz w:val="24"/>
          <w:szCs w:val="24"/>
          <w:u w:val="single"/>
          <w:lang w:eastAsia="zh-CN"/>
        </w:rPr>
        <w:t>。</w:t>
      </w:r>
    </w:p>
    <w:p w14:paraId="1B2AE68A">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2.3</w:t>
      </w:r>
      <w:r>
        <w:rPr>
          <w:rFonts w:hint="eastAsia" w:ascii="宋体" w:hAnsi="宋体" w:eastAsia="宋体" w:cs="宋体"/>
          <w:color w:val="auto"/>
          <w:sz w:val="24"/>
          <w:szCs w:val="24"/>
          <w:lang w:eastAsia="zh-CN"/>
        </w:rPr>
        <w:t>相关人员要求</w:t>
      </w:r>
    </w:p>
    <w:p w14:paraId="30C5A1D1">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2.3.1</w:t>
      </w:r>
      <w:r>
        <w:rPr>
          <w:rFonts w:hint="eastAsia" w:ascii="宋体" w:hAnsi="宋体" w:eastAsia="宋体" w:cs="宋体"/>
          <w:color w:val="auto"/>
          <w:sz w:val="24"/>
          <w:szCs w:val="24"/>
          <w:lang w:eastAsia="zh-CN"/>
        </w:rPr>
        <w:t>拟派项目经理为</w:t>
      </w:r>
      <w:r>
        <w:rPr>
          <w:rFonts w:hint="eastAsia" w:ascii="宋体" w:hAnsi="宋体" w:eastAsia="宋体" w:cs="宋体"/>
          <w:color w:val="auto"/>
          <w:sz w:val="24"/>
          <w:szCs w:val="24"/>
          <w:u w:val="single"/>
          <w:lang w:val="en-US" w:eastAsia="zh-CN"/>
        </w:rPr>
        <w:t>市政公用工程</w:t>
      </w:r>
      <w:r>
        <w:rPr>
          <w:rFonts w:hint="eastAsia" w:ascii="宋体" w:hAnsi="宋体" w:eastAsia="宋体" w:cs="宋体"/>
          <w:color w:val="auto"/>
          <w:sz w:val="24"/>
          <w:szCs w:val="24"/>
          <w:lang w:eastAsia="zh-CN"/>
        </w:rPr>
        <w:t>专业一级</w:t>
      </w:r>
      <w:r>
        <w:rPr>
          <w:rFonts w:hint="eastAsia" w:ascii="宋体" w:hAnsi="宋体" w:eastAsia="宋体" w:cs="宋体"/>
          <w:snapToGrid w:val="0"/>
          <w:color w:val="auto"/>
          <w:kern w:val="0"/>
          <w:sz w:val="24"/>
          <w:szCs w:val="24"/>
          <w:highlight w:val="none"/>
          <w:lang w:eastAsia="zh-CN"/>
        </w:rPr>
        <w:t>或二级</w:t>
      </w:r>
      <w:r>
        <w:rPr>
          <w:rFonts w:hint="eastAsia" w:ascii="宋体" w:hAnsi="宋体" w:eastAsia="宋体" w:cs="宋体"/>
          <w:color w:val="auto"/>
          <w:sz w:val="24"/>
          <w:szCs w:val="24"/>
          <w:lang w:eastAsia="zh-CN"/>
        </w:rPr>
        <w:t>注册建造师，应持有国家住建部印发的有效注册证书和有效安全生产考核合格证明（B证，安全生产考核合格证书或广东省建筑施工企业管理人员安全生产考核系统考核合格信息打印页），且未担任其他在施（包括已中标未开工、已开工未竣工）建设工程项目的项目经理。</w:t>
      </w:r>
    </w:p>
    <w:p w14:paraId="2C8836EA">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2.3.2</w:t>
      </w:r>
      <w:r>
        <w:rPr>
          <w:rFonts w:hint="eastAsia" w:ascii="宋体" w:hAnsi="宋体" w:eastAsia="宋体" w:cs="宋体"/>
          <w:color w:val="auto"/>
          <w:sz w:val="24"/>
          <w:szCs w:val="24"/>
          <w:lang w:eastAsia="zh-CN"/>
        </w:rPr>
        <w:t>拟派项目技术负责人须具备</w:t>
      </w:r>
      <w:r>
        <w:rPr>
          <w:rFonts w:hint="eastAsia" w:ascii="宋体" w:hAnsi="宋体" w:eastAsia="宋体" w:cs="宋体"/>
          <w:color w:val="auto"/>
          <w:sz w:val="24"/>
          <w:szCs w:val="24"/>
          <w:u w:val="single"/>
          <w:lang w:eastAsia="zh-CN"/>
        </w:rPr>
        <w:t>市政公用工程</w:t>
      </w:r>
      <w:r>
        <w:rPr>
          <w:rFonts w:hint="eastAsia" w:ascii="宋体" w:hAnsi="宋体" w:eastAsia="宋体" w:cs="宋体"/>
          <w:color w:val="auto"/>
          <w:sz w:val="24"/>
          <w:szCs w:val="24"/>
          <w:lang w:eastAsia="zh-CN"/>
        </w:rPr>
        <w:t>相关专业中级或以上技术职称。</w:t>
      </w:r>
    </w:p>
    <w:p w14:paraId="0D502B46">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2.3.3</w:t>
      </w:r>
      <w:r>
        <w:rPr>
          <w:rFonts w:hint="eastAsia" w:ascii="宋体" w:hAnsi="宋体" w:eastAsia="宋体" w:cs="宋体"/>
          <w:color w:val="auto"/>
          <w:sz w:val="24"/>
          <w:szCs w:val="24"/>
          <w:lang w:eastAsia="zh-CN"/>
        </w:rPr>
        <w:t>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color w:val="auto"/>
          <w:sz w:val="24"/>
          <w:szCs w:val="24"/>
          <w:u w:val="single"/>
          <w:lang w:val="en-US" w:eastAsia="zh-CN"/>
        </w:rPr>
        <w:t>1</w:t>
      </w:r>
      <w:r>
        <w:rPr>
          <w:rFonts w:hint="eastAsia" w:ascii="宋体" w:hAnsi="宋体" w:eastAsia="宋体" w:cs="宋体"/>
          <w:color w:val="auto"/>
          <w:sz w:val="24"/>
          <w:szCs w:val="24"/>
          <w:lang w:eastAsia="zh-CN"/>
        </w:rPr>
        <w:t>人。</w:t>
      </w:r>
    </w:p>
    <w:p w14:paraId="64C6CC97">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2.3.4</w:t>
      </w:r>
      <w:r>
        <w:rPr>
          <w:rFonts w:hint="eastAsia" w:ascii="宋体" w:hAnsi="宋体" w:eastAsia="宋体" w:cs="宋体"/>
          <w:color w:val="auto"/>
          <w:sz w:val="24"/>
          <w:szCs w:val="24"/>
          <w:lang w:eastAsia="zh-CN"/>
        </w:rPr>
        <w:t>投标人（包括组成联合体的所有成员单位）与其拟派往本项目管理机构的所有人员之间必须具备合法、唯一的劳动聘用关系。拟派人员中具备注册执业资格的，其注册单位须与投标人保持一致。</w:t>
      </w:r>
    </w:p>
    <w:p w14:paraId="510B0A23">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2.4</w:t>
      </w:r>
      <w:r>
        <w:rPr>
          <w:rFonts w:hint="eastAsia" w:ascii="宋体" w:hAnsi="宋体" w:eastAsia="宋体" w:cs="宋体"/>
          <w:color w:val="auto"/>
          <w:sz w:val="24"/>
          <w:szCs w:val="24"/>
          <w:lang w:eastAsia="zh-CN"/>
        </w:rPr>
        <w:t>禁止投标条款</w:t>
      </w:r>
    </w:p>
    <w:p w14:paraId="7004AD96">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2.4.1</w:t>
      </w:r>
      <w:r>
        <w:rPr>
          <w:rFonts w:hint="eastAsia" w:ascii="宋体" w:hAnsi="宋体" w:eastAsia="宋体" w:cs="宋体"/>
          <w:color w:val="auto"/>
          <w:sz w:val="24"/>
          <w:szCs w:val="24"/>
          <w:lang w:eastAsia="zh-CN"/>
        </w:rPr>
        <w:t>投标人不得存在下列情形之一：</w:t>
      </w:r>
    </w:p>
    <w:p w14:paraId="3817FBC5">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（1）为招标人不具有独立法人资格的附属机构（单位）；</w:t>
      </w:r>
    </w:p>
    <w:p w14:paraId="165DE215">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（2）为本招标项目前期准备提供设计或咨询服务的；</w:t>
      </w:r>
    </w:p>
    <w:p w14:paraId="65E7B847">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（3）与本招标项目的其他投标人为同一个单位负责人；</w:t>
      </w:r>
    </w:p>
    <w:p w14:paraId="4D82E109">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（4）与本招标项目的其他投标人存在控股、管理关系；</w:t>
      </w:r>
    </w:p>
    <w:p w14:paraId="3053E946">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（5）为本招标项目的监理人；</w:t>
      </w:r>
    </w:p>
    <w:p w14:paraId="18FE2D0A">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（6）为本招标项目的代建人；</w:t>
      </w:r>
    </w:p>
    <w:p w14:paraId="553DB1C3">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（7）为本招标项目的招标代理机构；</w:t>
      </w:r>
    </w:p>
    <w:p w14:paraId="0C47B315">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（8）与本招标项目的监理人或代建人或招标代理机构同为一个法定代表人；</w:t>
      </w:r>
    </w:p>
    <w:p w14:paraId="441EBA00">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（9）与本招标项目的监理人或代建人或招标代理机构存在控股或参股关系；</w:t>
      </w:r>
    </w:p>
    <w:p w14:paraId="055279CD">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（10）与本招标项目的监理人或代建人或招标代理机构存在相互任职或工作关系；</w:t>
      </w:r>
    </w:p>
    <w:p w14:paraId="2F05DEC8">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（11）被依法暂停或者取消投标资格；</w:t>
      </w:r>
    </w:p>
    <w:p w14:paraId="698B3929">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（12）被责令停产停业、暂扣或者吊销许可证、暂扣或者吊销执照；</w:t>
      </w:r>
    </w:p>
    <w:p w14:paraId="355BC311">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（13）进入清算程序，或被宣告破产，或其他丧失履约能力的情形；</w:t>
      </w:r>
    </w:p>
    <w:p w14:paraId="3A39D2F2">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（14）在最近三年内发生重大工程质量或安全问题（以相关行业主管部门的行政处罚决定或司法机关出具的有关法律文书为准）；</w:t>
      </w:r>
    </w:p>
    <w:p w14:paraId="71D2036E">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（15）被“信用中国”网站（https://www.creditchina.gov.cn）发布的《法人和非法人组织公共信用信息报告》列为严重失信主体名单的。</w:t>
      </w:r>
    </w:p>
    <w:p w14:paraId="08D2AE28">
      <w:pPr>
        <w:spacing w:line="360" w:lineRule="auto"/>
        <w:ind w:firstLine="482" w:firstLineChars="200"/>
        <w:rPr>
          <w:rFonts w:hint="eastAsia" w:ascii="宋体" w:hAnsi="宋体" w:eastAsia="宋体" w:cs="宋体"/>
          <w:color w:val="auto"/>
          <w:lang w:eastAsia="zh-CN"/>
        </w:rPr>
      </w:pPr>
      <w:r>
        <w:rPr>
          <w:rFonts w:hint="eastAsia" w:ascii="宋体" w:hAnsi="宋体" w:eastAsia="宋体" w:cs="宋体"/>
          <w:b/>
          <w:bCs/>
          <w:color w:val="auto"/>
          <w:sz w:val="24"/>
          <w:szCs w:val="24"/>
          <w:lang w:eastAsia="zh-CN"/>
        </w:rPr>
        <w:t>2.4.2</w:t>
      </w:r>
      <w:r>
        <w:rPr>
          <w:rFonts w:hint="eastAsia" w:ascii="宋体" w:hAnsi="宋体" w:eastAsia="宋体" w:cs="宋体"/>
          <w:color w:val="auto"/>
          <w:sz w:val="24"/>
          <w:szCs w:val="24"/>
          <w:lang w:eastAsia="zh-CN"/>
        </w:rPr>
        <w:t>招标人拒绝以下名单中的单位参加本次投标：</w:t>
      </w:r>
    </w:p>
    <w:tbl>
      <w:tblPr>
        <w:tblStyle w:val="19"/>
        <w:tblW w:w="0" w:type="auto"/>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599"/>
        <w:gridCol w:w="4300"/>
      </w:tblGrid>
      <w:tr w14:paraId="731DF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6" w:type="dxa"/>
            <w:noWrap w:val="0"/>
            <w:vAlign w:val="center"/>
          </w:tcPr>
          <w:p w14:paraId="500576AA">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4599" w:type="dxa"/>
            <w:noWrap w:val="0"/>
            <w:vAlign w:val="center"/>
          </w:tcPr>
          <w:p w14:paraId="21900BD4">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4300" w:type="dxa"/>
            <w:noWrap w:val="0"/>
            <w:vAlign w:val="center"/>
          </w:tcPr>
          <w:p w14:paraId="3A51BDF5">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5857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6" w:type="dxa"/>
            <w:noWrap w:val="0"/>
            <w:vAlign w:val="center"/>
          </w:tcPr>
          <w:p w14:paraId="06E792ED">
            <w:pPr>
              <w:pStyle w:val="24"/>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4599" w:type="dxa"/>
            <w:noWrap w:val="0"/>
            <w:vAlign w:val="center"/>
          </w:tcPr>
          <w:p w14:paraId="2B4B36AD">
            <w:pPr>
              <w:pStyle w:val="24"/>
              <w:wordWrap w:val="0"/>
              <w:adjustRightInd w:val="0"/>
              <w:snapToGrid w:val="0"/>
              <w:spacing w:line="24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仁化县市政工程公司</w:t>
            </w:r>
          </w:p>
        </w:tc>
        <w:tc>
          <w:tcPr>
            <w:tcW w:w="4300" w:type="dxa"/>
            <w:noWrap w:val="0"/>
            <w:vAlign w:val="center"/>
          </w:tcPr>
          <w:p w14:paraId="3158FCC7">
            <w:pPr>
              <w:pStyle w:val="24"/>
              <w:wordWrap w:val="0"/>
              <w:adjustRightInd w:val="0"/>
              <w:snapToGrid w:val="0"/>
              <w:spacing w:line="24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w:t>
            </w:r>
            <w:r>
              <w:rPr>
                <w:rFonts w:hint="eastAsia" w:ascii="宋体" w:hAnsi="宋体" w:eastAsia="宋体" w:cs="宋体"/>
                <w:color w:val="auto"/>
                <w:sz w:val="24"/>
                <w:szCs w:val="24"/>
                <w:highlight w:val="none"/>
              </w:rPr>
              <w:t>本招标项目的</w:t>
            </w:r>
            <w:r>
              <w:rPr>
                <w:rFonts w:hint="eastAsia" w:ascii="宋体" w:hAnsi="宋体" w:eastAsia="宋体" w:cs="宋体"/>
                <w:snapToGrid w:val="0"/>
                <w:color w:val="auto"/>
                <w:kern w:val="0"/>
                <w:sz w:val="24"/>
                <w:szCs w:val="24"/>
                <w:highlight w:val="none"/>
              </w:rPr>
              <w:t>招标人</w:t>
            </w:r>
          </w:p>
        </w:tc>
      </w:tr>
      <w:tr w14:paraId="77793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6" w:type="dxa"/>
            <w:noWrap w:val="0"/>
            <w:vAlign w:val="center"/>
          </w:tcPr>
          <w:p w14:paraId="15EC0971">
            <w:pPr>
              <w:pStyle w:val="24"/>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4599" w:type="dxa"/>
            <w:noWrap w:val="0"/>
            <w:vAlign w:val="center"/>
          </w:tcPr>
          <w:p w14:paraId="22C1966E">
            <w:pPr>
              <w:wordWrap w:val="0"/>
              <w:adjustRightInd w:val="0"/>
              <w:snapToGrid w:val="0"/>
              <w:spacing w:line="240" w:lineRule="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深圳市建星项目管理顾问有限公司</w:t>
            </w:r>
          </w:p>
        </w:tc>
        <w:tc>
          <w:tcPr>
            <w:tcW w:w="4300" w:type="dxa"/>
            <w:noWrap w:val="0"/>
            <w:vAlign w:val="center"/>
          </w:tcPr>
          <w:p w14:paraId="2FBC20B9">
            <w:pPr>
              <w:pStyle w:val="24"/>
              <w:wordWrap w:val="0"/>
              <w:adjustRightInd w:val="0"/>
              <w:snapToGrid w:val="0"/>
              <w:spacing w:line="24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为本招标项目的可行性研究报告单位</w:t>
            </w:r>
          </w:p>
        </w:tc>
      </w:tr>
      <w:tr w14:paraId="4F50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16" w:type="dxa"/>
            <w:noWrap w:val="0"/>
            <w:vAlign w:val="center"/>
          </w:tcPr>
          <w:p w14:paraId="35449163">
            <w:pPr>
              <w:pStyle w:val="24"/>
              <w:wordWrap w:val="0"/>
              <w:adjustRightInd w:val="0"/>
              <w:snapToGrid w:val="0"/>
              <w:spacing w:line="24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w:t>
            </w:r>
          </w:p>
        </w:tc>
        <w:tc>
          <w:tcPr>
            <w:tcW w:w="4599" w:type="dxa"/>
            <w:noWrap w:val="0"/>
            <w:vAlign w:val="center"/>
          </w:tcPr>
          <w:p w14:paraId="06437A12">
            <w:pPr>
              <w:wordWrap w:val="0"/>
              <w:adjustRightInd w:val="0"/>
              <w:snapToGrid w:val="0"/>
              <w:spacing w:line="24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广州博厦建筑设计研究院有限公司</w:t>
            </w:r>
          </w:p>
        </w:tc>
        <w:tc>
          <w:tcPr>
            <w:tcW w:w="4300" w:type="dxa"/>
            <w:noWrap w:val="0"/>
            <w:vAlign w:val="center"/>
          </w:tcPr>
          <w:p w14:paraId="6E27AB18">
            <w:pPr>
              <w:pStyle w:val="24"/>
              <w:wordWrap w:val="0"/>
              <w:adjustRightInd w:val="0"/>
              <w:snapToGrid w:val="0"/>
              <w:spacing w:line="24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设计</w:t>
            </w:r>
            <w:r>
              <w:rPr>
                <w:rFonts w:hint="eastAsia" w:ascii="宋体" w:hAnsi="宋体" w:eastAsia="宋体" w:cs="宋体"/>
                <w:snapToGrid w:val="0"/>
                <w:color w:val="auto"/>
                <w:kern w:val="0"/>
                <w:sz w:val="24"/>
                <w:szCs w:val="24"/>
                <w:highlight w:val="none"/>
              </w:rPr>
              <w:t>单位</w:t>
            </w:r>
          </w:p>
        </w:tc>
      </w:tr>
      <w:tr w14:paraId="2F9B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6" w:type="dxa"/>
            <w:noWrap w:val="0"/>
            <w:vAlign w:val="center"/>
          </w:tcPr>
          <w:p w14:paraId="7CCFD628">
            <w:pPr>
              <w:pStyle w:val="24"/>
              <w:wordWrap w:val="0"/>
              <w:adjustRightInd w:val="0"/>
              <w:snapToGrid w:val="0"/>
              <w:spacing w:line="240" w:lineRule="auto"/>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4</w:t>
            </w:r>
          </w:p>
        </w:tc>
        <w:tc>
          <w:tcPr>
            <w:tcW w:w="4599" w:type="dxa"/>
            <w:shd w:val="clear" w:color="auto" w:fill="auto"/>
            <w:noWrap w:val="0"/>
            <w:vAlign w:val="center"/>
          </w:tcPr>
          <w:p w14:paraId="05522790">
            <w:pPr>
              <w:wordWrap w:val="0"/>
              <w:adjustRightInd w:val="0"/>
              <w:snapToGrid w:val="0"/>
              <w:spacing w:line="24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eastAsia="zh-CN"/>
              </w:rPr>
              <w:t>广东明正项目管理有限公司</w:t>
            </w:r>
          </w:p>
        </w:tc>
        <w:tc>
          <w:tcPr>
            <w:tcW w:w="4300" w:type="dxa"/>
            <w:shd w:val="clear" w:color="auto" w:fill="auto"/>
            <w:noWrap w:val="0"/>
            <w:vAlign w:val="center"/>
          </w:tcPr>
          <w:p w14:paraId="4BB99A91">
            <w:pPr>
              <w:pStyle w:val="24"/>
              <w:wordWrap w:val="0"/>
              <w:adjustRightInd w:val="0"/>
              <w:snapToGrid w:val="0"/>
              <w:spacing w:line="24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为本招标项目的招标代理机构</w:t>
            </w:r>
          </w:p>
        </w:tc>
      </w:tr>
      <w:tr w14:paraId="0FA7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6" w:type="dxa"/>
            <w:noWrap w:val="0"/>
            <w:vAlign w:val="center"/>
          </w:tcPr>
          <w:p w14:paraId="0F475109">
            <w:pPr>
              <w:pStyle w:val="24"/>
              <w:wordWrap w:val="0"/>
              <w:adjustRightInd w:val="0"/>
              <w:snapToGrid w:val="0"/>
              <w:spacing w:line="240" w:lineRule="auto"/>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5</w:t>
            </w:r>
          </w:p>
        </w:tc>
        <w:tc>
          <w:tcPr>
            <w:tcW w:w="4599" w:type="dxa"/>
            <w:shd w:val="clear" w:color="auto" w:fill="auto"/>
            <w:noWrap w:val="0"/>
            <w:vAlign w:val="center"/>
          </w:tcPr>
          <w:p w14:paraId="4A5F6866">
            <w:pPr>
              <w:wordWrap w:val="0"/>
              <w:adjustRightInd w:val="0"/>
              <w:snapToGrid w:val="0"/>
              <w:spacing w:line="24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lang w:eastAsia="zh-CN"/>
              </w:rPr>
              <w:t>广东聚佳项目管理咨询有限公司</w:t>
            </w:r>
          </w:p>
        </w:tc>
        <w:tc>
          <w:tcPr>
            <w:tcW w:w="4300" w:type="dxa"/>
            <w:shd w:val="clear" w:color="auto" w:fill="auto"/>
            <w:noWrap w:val="0"/>
            <w:vAlign w:val="center"/>
          </w:tcPr>
          <w:p w14:paraId="38271534">
            <w:pPr>
              <w:pStyle w:val="24"/>
              <w:wordWrap w:val="0"/>
              <w:adjustRightInd w:val="0"/>
              <w:snapToGrid w:val="0"/>
              <w:spacing w:line="24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为本招标项目的造价咨询单位</w:t>
            </w:r>
          </w:p>
        </w:tc>
      </w:tr>
      <w:tr w14:paraId="077D8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6" w:type="dxa"/>
            <w:noWrap w:val="0"/>
            <w:vAlign w:val="center"/>
          </w:tcPr>
          <w:p w14:paraId="1A50E865">
            <w:pPr>
              <w:pStyle w:val="24"/>
              <w:wordWrap w:val="0"/>
              <w:adjustRightInd w:val="0"/>
              <w:snapToGrid w:val="0"/>
              <w:spacing w:line="24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6</w:t>
            </w:r>
          </w:p>
        </w:tc>
        <w:tc>
          <w:tcPr>
            <w:tcW w:w="4599" w:type="dxa"/>
            <w:shd w:val="clear" w:color="auto" w:fill="auto"/>
            <w:noWrap w:val="0"/>
            <w:vAlign w:val="center"/>
          </w:tcPr>
          <w:p w14:paraId="63E7A84D">
            <w:pPr>
              <w:wordWrap w:val="0"/>
              <w:adjustRightInd w:val="0"/>
              <w:snapToGrid w:val="0"/>
              <w:spacing w:line="24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湖南中核岩土工程有限责任公司</w:t>
            </w:r>
          </w:p>
        </w:tc>
        <w:tc>
          <w:tcPr>
            <w:tcW w:w="4300" w:type="dxa"/>
            <w:shd w:val="clear" w:color="auto" w:fill="auto"/>
            <w:noWrap w:val="0"/>
            <w:vAlign w:val="center"/>
          </w:tcPr>
          <w:p w14:paraId="2273AD98">
            <w:pPr>
              <w:wordWrap w:val="0"/>
              <w:adjustRightInd w:val="0"/>
              <w:snapToGrid w:val="0"/>
              <w:spacing w:line="24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eastAsia="zh-CN"/>
              </w:rPr>
              <w:t>勘察、测绘</w:t>
            </w:r>
            <w:r>
              <w:rPr>
                <w:rFonts w:hint="eastAsia" w:ascii="宋体" w:hAnsi="宋体" w:eastAsia="宋体" w:cs="宋体"/>
                <w:color w:val="auto"/>
                <w:sz w:val="24"/>
                <w:szCs w:val="24"/>
                <w:highlight w:val="none"/>
                <w:lang w:val="en-US" w:eastAsia="zh-CN"/>
              </w:rPr>
              <w:t>单位</w:t>
            </w:r>
          </w:p>
        </w:tc>
      </w:tr>
      <w:tr w14:paraId="5A283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16" w:type="dxa"/>
            <w:noWrap w:val="0"/>
            <w:vAlign w:val="center"/>
          </w:tcPr>
          <w:p w14:paraId="5002F32C">
            <w:pPr>
              <w:pStyle w:val="24"/>
              <w:wordWrap w:val="0"/>
              <w:adjustRightInd w:val="0"/>
              <w:snapToGrid w:val="0"/>
              <w:spacing w:line="24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7</w:t>
            </w:r>
          </w:p>
        </w:tc>
        <w:tc>
          <w:tcPr>
            <w:tcW w:w="4599" w:type="dxa"/>
            <w:shd w:val="clear" w:color="auto" w:fill="auto"/>
            <w:noWrap w:val="0"/>
            <w:vAlign w:val="center"/>
          </w:tcPr>
          <w:p w14:paraId="2CD9448E">
            <w:pPr>
              <w:wordWrap w:val="0"/>
              <w:adjustRightInd w:val="0"/>
              <w:snapToGrid w:val="0"/>
              <w:spacing w:line="24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待定</w:t>
            </w:r>
          </w:p>
        </w:tc>
        <w:tc>
          <w:tcPr>
            <w:tcW w:w="4300" w:type="dxa"/>
            <w:shd w:val="clear" w:color="auto" w:fill="auto"/>
            <w:noWrap w:val="0"/>
            <w:vAlign w:val="center"/>
          </w:tcPr>
          <w:p w14:paraId="1A843B43">
            <w:pPr>
              <w:wordWrap w:val="0"/>
              <w:adjustRightInd w:val="0"/>
              <w:snapToGrid w:val="0"/>
              <w:spacing w:line="24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为本招标项目的监理单位</w:t>
            </w:r>
          </w:p>
        </w:tc>
      </w:tr>
    </w:tbl>
    <w:p w14:paraId="71A81F89">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2.5</w:t>
      </w:r>
      <w:r>
        <w:rPr>
          <w:rFonts w:hint="eastAsia" w:ascii="宋体" w:hAnsi="宋体" w:eastAsia="宋体" w:cs="宋体"/>
          <w:color w:val="auto"/>
          <w:sz w:val="24"/>
          <w:szCs w:val="24"/>
          <w:lang w:eastAsia="zh-CN"/>
        </w:rPr>
        <w:t>其他要求</w:t>
      </w:r>
    </w:p>
    <w:p w14:paraId="55797E94">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省外企业须按照《广东省住房和城乡建设厅关于取消省外建筑企业和人员进粤信息备案有关工作的通知》（粤建市﹝2015﹞52号）规定在“进粤企业和人员诚信信息登记平台”录入相关信息并通过数据规范检查。</w:t>
      </w:r>
    </w:p>
    <w:p w14:paraId="0237F539">
      <w:pPr>
        <w:pStyle w:val="3"/>
        <w:bidi w:val="0"/>
        <w:spacing w:line="360" w:lineRule="auto"/>
        <w:ind w:firstLine="482" w:firstLineChars="200"/>
        <w:rPr>
          <w:rFonts w:hint="eastAsia" w:ascii="宋体" w:hAnsi="宋体" w:eastAsia="宋体" w:cs="宋体"/>
          <w:color w:val="auto"/>
          <w:sz w:val="24"/>
          <w:szCs w:val="24"/>
          <w:lang w:val="en-US" w:eastAsia="zh-CN"/>
        </w:rPr>
      </w:pPr>
      <w:bookmarkStart w:id="24" w:name="_Toc5593"/>
      <w:r>
        <w:rPr>
          <w:rFonts w:hint="eastAsia" w:ascii="宋体" w:hAnsi="宋体" w:eastAsia="宋体" w:cs="宋体"/>
          <w:color w:val="auto"/>
          <w:sz w:val="24"/>
          <w:szCs w:val="24"/>
          <w:lang w:eastAsia="zh-CN"/>
        </w:rPr>
        <w:t>3．</w:t>
      </w:r>
      <w:r>
        <w:rPr>
          <w:rFonts w:hint="eastAsia" w:ascii="宋体" w:hAnsi="宋体" w:eastAsia="宋体" w:cs="宋体"/>
          <w:color w:val="auto"/>
          <w:sz w:val="24"/>
          <w:szCs w:val="24"/>
          <w:lang w:val="en-US" w:eastAsia="zh-CN"/>
        </w:rPr>
        <w:t>招标文件获取</w:t>
      </w:r>
      <w:bookmarkEnd w:id="24"/>
    </w:p>
    <w:p w14:paraId="3A33C2C5">
      <w:pPr>
        <w:spacing w:line="360" w:lineRule="auto"/>
        <w:ind w:firstLine="482" w:firstLineChars="200"/>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3.1</w:t>
      </w:r>
      <w:r>
        <w:rPr>
          <w:rFonts w:hint="eastAsia" w:ascii="宋体" w:hAnsi="宋体" w:eastAsia="宋体" w:cs="宋体"/>
          <w:color w:val="auto"/>
          <w:sz w:val="24"/>
          <w:szCs w:val="24"/>
          <w:lang w:val="en-US" w:eastAsia="zh-CN"/>
        </w:rPr>
        <w:t>本次招标实行全过程电子投标。</w:t>
      </w:r>
    </w:p>
    <w:p w14:paraId="526B3AA8">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本项目招标文件随招标公告一并在全国公共资源交易平台（广东省·韶关市）（https://ygp.gdzwfw.gov.cn/ggzy-portal/#/440200/index）网站发布。招标文件一经发布，视为发</w:t>
      </w:r>
      <w:r>
        <w:rPr>
          <w:rFonts w:hint="eastAsia" w:ascii="宋体" w:hAnsi="宋体" w:eastAsia="宋体" w:cs="宋体"/>
          <w:color w:val="auto"/>
          <w:sz w:val="24"/>
          <w:szCs w:val="24"/>
          <w:lang w:val="en-US" w:eastAsia="zh-CN"/>
        </w:rPr>
        <w:t>送</w:t>
      </w:r>
      <w:r>
        <w:rPr>
          <w:rFonts w:hint="eastAsia" w:ascii="宋体" w:hAnsi="宋体" w:eastAsia="宋体" w:cs="宋体"/>
          <w:color w:val="auto"/>
          <w:sz w:val="24"/>
          <w:szCs w:val="24"/>
          <w:lang w:eastAsia="zh-CN"/>
        </w:rPr>
        <w:t>投标人，招标文件及相关附件由投标人自行在全国公共资源交易平台（广东省·韶关市）网站下载，</w:t>
      </w:r>
      <w:r>
        <w:rPr>
          <w:rFonts w:hint="eastAsia" w:ascii="宋体" w:hAnsi="宋体" w:eastAsia="宋体" w:cs="宋体"/>
          <w:color w:val="auto"/>
          <w:sz w:val="24"/>
          <w:szCs w:val="24"/>
          <w:lang w:val="en-US" w:eastAsia="zh-CN"/>
        </w:rPr>
        <w:t>请于</w:t>
      </w:r>
      <w:r>
        <w:rPr>
          <w:rFonts w:hint="eastAsia" w:ascii="宋体" w:hAnsi="宋体" w:eastAsia="宋体" w:cs="宋体"/>
          <w:color w:val="auto"/>
          <w:sz w:val="24"/>
          <w:szCs w:val="24"/>
          <w:lang w:eastAsia="zh-CN"/>
        </w:rPr>
        <w:t>招标文件获取期间（</w:t>
      </w:r>
      <w:r>
        <w:rPr>
          <w:rFonts w:hint="eastAsia" w:ascii="宋体" w:hAnsi="宋体" w:eastAsia="宋体" w:cs="宋体"/>
          <w:color w:val="auto"/>
          <w:sz w:val="24"/>
          <w:szCs w:val="24"/>
          <w:lang w:val="en-US" w:eastAsia="zh-CN"/>
        </w:rPr>
        <w:t>见本章第二节</w:t>
      </w:r>
      <w:r>
        <w:rPr>
          <w:rFonts w:hint="eastAsia" w:ascii="宋体" w:hAnsi="宋体" w:eastAsia="宋体" w:cs="宋体"/>
          <w:color w:val="auto"/>
          <w:sz w:val="24"/>
          <w:szCs w:val="24"/>
          <w:lang w:eastAsia="zh-CN"/>
        </w:rPr>
        <w:t>“重要事项时间地点一览表”），</w:t>
      </w:r>
      <w:r>
        <w:rPr>
          <w:rFonts w:hint="eastAsia" w:ascii="宋体" w:hAnsi="宋体" w:eastAsia="宋体" w:cs="宋体"/>
          <w:color w:val="auto"/>
          <w:sz w:val="24"/>
          <w:szCs w:val="24"/>
          <w:lang w:val="en-US" w:eastAsia="zh-CN"/>
        </w:rPr>
        <w:t>招标文件获取期间</w:t>
      </w:r>
      <w:r>
        <w:rPr>
          <w:rFonts w:hint="eastAsia" w:ascii="宋体" w:hAnsi="宋体" w:eastAsia="宋体" w:cs="宋体"/>
          <w:color w:val="auto"/>
          <w:sz w:val="24"/>
          <w:szCs w:val="24"/>
          <w:lang w:eastAsia="zh-CN"/>
        </w:rPr>
        <w:t>与招标公告发布时间一致，投标人须登录全国公共资源交易平台（广东省·韶关市）（https://ygp.gdzwfw.gov.cn/ggzy-portal/#/440200/index），</w:t>
      </w:r>
      <w:r>
        <w:rPr>
          <w:rFonts w:hint="eastAsia" w:ascii="宋体" w:hAnsi="宋体" w:eastAsia="宋体" w:cs="宋体"/>
          <w:color w:val="auto"/>
          <w:sz w:val="24"/>
          <w:szCs w:val="24"/>
          <w:lang w:val="en-US" w:eastAsia="zh-CN"/>
        </w:rPr>
        <w:t>使用新建设工程交易系统进行下载招标文件及相关附件，</w:t>
      </w:r>
      <w:r>
        <w:rPr>
          <w:rFonts w:hint="eastAsia" w:ascii="宋体" w:hAnsi="宋体" w:eastAsia="宋体" w:cs="宋体"/>
          <w:color w:val="auto"/>
          <w:sz w:val="24"/>
          <w:szCs w:val="24"/>
          <w:lang w:eastAsia="zh-CN"/>
        </w:rPr>
        <w:t>并于电子投标截止时间（</w:t>
      </w:r>
      <w:r>
        <w:rPr>
          <w:rFonts w:hint="eastAsia" w:ascii="宋体" w:hAnsi="宋体" w:eastAsia="宋体" w:cs="宋体"/>
          <w:color w:val="auto"/>
          <w:sz w:val="24"/>
          <w:szCs w:val="24"/>
          <w:lang w:val="en-US" w:eastAsia="zh-CN"/>
        </w:rPr>
        <w:t>见本章第二节</w:t>
      </w:r>
      <w:r>
        <w:rPr>
          <w:rFonts w:hint="eastAsia" w:ascii="宋体" w:hAnsi="宋体" w:eastAsia="宋体" w:cs="宋体"/>
          <w:color w:val="auto"/>
          <w:sz w:val="24"/>
          <w:szCs w:val="24"/>
          <w:lang w:eastAsia="zh-CN"/>
        </w:rPr>
        <w:t>“重要事项时间地点一览表”）前完成电子投标。投标人可登录全国公共资源交易平台（广东省·韶关市）（https://ygp.gdzwfw.gov.cn/ggzy-portal/#/440200/index），在【</w:t>
      </w:r>
      <w:r>
        <w:rPr>
          <w:rFonts w:hint="eastAsia" w:ascii="宋体" w:hAnsi="宋体" w:eastAsia="宋体" w:cs="宋体"/>
          <w:color w:val="auto"/>
          <w:sz w:val="24"/>
          <w:szCs w:val="24"/>
          <w:lang w:val="en-US" w:eastAsia="zh-CN"/>
        </w:rPr>
        <w:t>服务指南</w:t>
      </w:r>
      <w:r>
        <w:rPr>
          <w:rFonts w:hint="eastAsia" w:ascii="宋体" w:hAnsi="宋体" w:eastAsia="宋体" w:cs="宋体"/>
          <w:color w:val="auto"/>
          <w:sz w:val="24"/>
          <w:szCs w:val="24"/>
          <w:lang w:eastAsia="zh-CN"/>
        </w:rPr>
        <w:t>】栏目中建设工程交易中下载《</w:t>
      </w:r>
      <w:r>
        <w:rPr>
          <w:rFonts w:hint="eastAsia" w:ascii="宋体" w:hAnsi="宋体" w:eastAsia="宋体" w:cs="宋体"/>
          <w:color w:val="auto"/>
          <w:sz w:val="24"/>
          <w:szCs w:val="24"/>
          <w:lang w:val="en-US" w:eastAsia="zh-CN"/>
        </w:rPr>
        <w:t>韶关市公共资源一体化平台——建设工程交易投标人操作指南（电子评标）</w:t>
      </w:r>
      <w:r>
        <w:rPr>
          <w:rFonts w:hint="eastAsia" w:ascii="宋体" w:hAnsi="宋体" w:eastAsia="宋体" w:cs="宋体"/>
          <w:color w:val="auto"/>
          <w:sz w:val="24"/>
          <w:szCs w:val="24"/>
          <w:lang w:eastAsia="zh-CN"/>
        </w:rPr>
        <w:t>》（附件2），了解网上获取招标文件操作流程。</w:t>
      </w:r>
      <w:r>
        <w:rPr>
          <w:rFonts w:hint="eastAsia" w:ascii="宋体" w:hAnsi="宋体" w:eastAsia="宋体" w:cs="宋体"/>
          <w:color w:val="auto"/>
          <w:sz w:val="24"/>
          <w:szCs w:val="24"/>
          <w:lang w:val="en-US" w:eastAsia="zh-CN"/>
        </w:rPr>
        <w:t>技术咨询电话：18819797080/0751-8379671伍先生，业务咨询电话：0751-8633211、8633071</w:t>
      </w:r>
      <w:r>
        <w:rPr>
          <w:rFonts w:hint="eastAsia" w:ascii="宋体" w:hAnsi="宋体" w:eastAsia="宋体" w:cs="宋体"/>
          <w:color w:val="auto"/>
          <w:sz w:val="24"/>
          <w:szCs w:val="24"/>
          <w:lang w:eastAsia="zh-CN"/>
        </w:rPr>
        <w:t>。</w:t>
      </w:r>
    </w:p>
    <w:p w14:paraId="2F36A150">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3.2</w:t>
      </w:r>
      <w:r>
        <w:rPr>
          <w:rFonts w:hint="eastAsia" w:ascii="宋体" w:hAnsi="宋体" w:eastAsia="宋体" w:cs="宋体"/>
          <w:color w:val="auto"/>
          <w:sz w:val="24"/>
          <w:szCs w:val="24"/>
          <w:lang w:eastAsia="zh-CN"/>
        </w:rPr>
        <w:t>只有申领了数字证书（CA）、“粤企签”或GDCA/SZCA/NETCA等符合法律法规规定的电子印章，并在交易系统中完成企业信息数据入库的投标人，方可使用交易系统进行网上获取招标文件和电子投标。</w:t>
      </w:r>
    </w:p>
    <w:p w14:paraId="0582F259">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首次在韶关市参与建设工程招标投标活动的投标人，必须在平台系统上传企业相关资料办理企业入库事宜。投标人可登录全国公共资源交易平台（广东省·韶关市）（https://ygp.gdzwfw.gov.cn/ggzy-portal/#/440200/index）办理办理企业入库、数字证书及电子印章事宜，具体请在平台查阅相应的交易指引。</w:t>
      </w:r>
    </w:p>
    <w:p w14:paraId="1CFF19A9">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已入库企业有关信息（如单位名称、基本账号、资质、人员等）发生变化的，须及时在交易系统进行相应变更。投标人未及时变更信息而造成的损失和后果，由投标人自行承担。</w:t>
      </w:r>
    </w:p>
    <w:p w14:paraId="345B2298">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58205F25">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3.3</w:t>
      </w:r>
      <w:r>
        <w:rPr>
          <w:rFonts w:hint="eastAsia" w:ascii="宋体" w:hAnsi="宋体" w:eastAsia="宋体" w:cs="宋体"/>
          <w:color w:val="auto"/>
          <w:sz w:val="24"/>
          <w:szCs w:val="24"/>
          <w:lang w:eastAsia="zh-CN"/>
        </w:rPr>
        <w:t>投标保证</w:t>
      </w:r>
    </w:p>
    <w:p w14:paraId="4D18DE19">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3.3.1</w:t>
      </w:r>
      <w:r>
        <w:rPr>
          <w:rFonts w:hint="eastAsia" w:ascii="宋体" w:hAnsi="宋体" w:eastAsia="宋体" w:cs="宋体"/>
          <w:color w:val="auto"/>
          <w:sz w:val="24"/>
          <w:szCs w:val="24"/>
          <w:lang w:eastAsia="zh-CN"/>
        </w:rPr>
        <w:t>投标人须缴纳金额为人民币</w:t>
      </w:r>
      <w:r>
        <w:rPr>
          <w:rFonts w:hint="eastAsia" w:ascii="宋体" w:hAnsi="宋体" w:eastAsia="宋体" w:cs="宋体"/>
          <w:color w:val="auto"/>
          <w:sz w:val="24"/>
          <w:szCs w:val="24"/>
          <w:u w:val="single"/>
          <w:lang w:val="en-US" w:eastAsia="zh-CN"/>
        </w:rPr>
        <w:t>20万元整</w:t>
      </w:r>
      <w:r>
        <w:rPr>
          <w:rFonts w:hint="eastAsia" w:ascii="宋体" w:hAnsi="宋体" w:eastAsia="宋体" w:cs="宋体"/>
          <w:color w:val="auto"/>
          <w:sz w:val="24"/>
          <w:szCs w:val="24"/>
          <w:lang w:eastAsia="zh-CN"/>
        </w:rPr>
        <w:t>的投标保证。</w:t>
      </w:r>
    </w:p>
    <w:p w14:paraId="7437CF92">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3.3.2</w:t>
      </w:r>
      <w:r>
        <w:rPr>
          <w:rFonts w:hint="eastAsia" w:ascii="宋体" w:hAnsi="宋体" w:eastAsia="宋体" w:cs="宋体"/>
          <w:color w:val="auto"/>
          <w:sz w:val="24"/>
          <w:szCs w:val="24"/>
          <w:lang w:eastAsia="zh-CN"/>
        </w:rPr>
        <w:t>投标保证的形式包括投标保证金、投标保证担保、投标保证保险三种，由投标人自主选择。</w:t>
      </w:r>
    </w:p>
    <w:p w14:paraId="715EFE4C">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（1）采用投标保证金的，投标人在建设工程交易获取招标文件完毕后，即可在系统申请缴纳投标保证金，获取本次招标投标保证金缴纳账号。投标人必须于投标保证金到账截止时间（见本</w:t>
      </w:r>
      <w:r>
        <w:rPr>
          <w:rFonts w:hint="eastAsia" w:ascii="宋体" w:hAnsi="宋体" w:eastAsia="宋体" w:cs="宋体"/>
          <w:color w:val="auto"/>
          <w:sz w:val="24"/>
          <w:szCs w:val="24"/>
          <w:lang w:val="en-US" w:eastAsia="zh-CN"/>
        </w:rPr>
        <w:t>招标文件</w:t>
      </w:r>
      <w:r>
        <w:rPr>
          <w:rFonts w:hint="eastAsia" w:ascii="宋体" w:hAnsi="宋体" w:eastAsia="宋体" w:cs="宋体"/>
          <w:color w:val="auto"/>
          <w:sz w:val="24"/>
          <w:szCs w:val="24"/>
          <w:lang w:eastAsia="zh-CN"/>
        </w:rPr>
        <w:t>“重要事项时间地点一览表”）前，从其基本账户将投标保证金转账到指定的缴纳账号。逾期到账的、从非投标人基本账户转出的，其投标无效。</w:t>
      </w:r>
    </w:p>
    <w:p w14:paraId="49A01551">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采用投标保证担保的，投标人应提交有效的银行保函，银行保函的有效期不得短于投标有效期。投标人必须在投标保证担保截止时间（详见“重要事项时间地点一览表”）前，使用工程建设交易系统完成网上办理电子保函</w:t>
      </w:r>
      <w:r>
        <w:rPr>
          <w:rFonts w:hint="eastAsia" w:ascii="宋体" w:hAnsi="宋体" w:eastAsia="宋体" w:cs="宋体"/>
          <w:color w:val="auto"/>
          <w:sz w:val="24"/>
          <w:szCs w:val="24"/>
          <w:lang w:val="en-US" w:eastAsia="zh-CN"/>
        </w:rPr>
        <w:t>或保证保险</w:t>
      </w:r>
      <w:r>
        <w:rPr>
          <w:rFonts w:hint="eastAsia" w:ascii="宋体" w:hAnsi="宋体" w:eastAsia="宋体" w:cs="宋体"/>
          <w:color w:val="auto"/>
          <w:sz w:val="24"/>
          <w:szCs w:val="24"/>
          <w:lang w:eastAsia="zh-CN"/>
        </w:rPr>
        <w:t>。</w:t>
      </w:r>
    </w:p>
    <w:p w14:paraId="6E4F774F">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（3）采用投标保证保险的，投标人须在投标保证保险投保截止时间（见本</w:t>
      </w:r>
      <w:r>
        <w:rPr>
          <w:rFonts w:hint="eastAsia" w:ascii="宋体" w:hAnsi="宋体" w:eastAsia="宋体" w:cs="宋体"/>
          <w:color w:val="auto"/>
          <w:sz w:val="24"/>
          <w:szCs w:val="24"/>
          <w:lang w:val="en-US" w:eastAsia="zh-CN"/>
        </w:rPr>
        <w:t>招标文件</w:t>
      </w:r>
      <w:r>
        <w:rPr>
          <w:rFonts w:hint="eastAsia" w:ascii="宋体" w:hAnsi="宋体" w:eastAsia="宋体" w:cs="宋体"/>
          <w:color w:val="auto"/>
          <w:sz w:val="24"/>
          <w:szCs w:val="24"/>
          <w:lang w:eastAsia="zh-CN"/>
        </w:rPr>
        <w:t>“重要事项时间地点一览表”）前，使用建设工程交易系统完成网上投保。投标人可在系统选择保险机构、录入投保信息、支付保费、</w:t>
      </w:r>
      <w:r>
        <w:rPr>
          <w:rFonts w:hint="eastAsia" w:ascii="宋体" w:hAnsi="宋体" w:eastAsia="宋体" w:cs="宋体"/>
          <w:color w:val="auto"/>
          <w:sz w:val="24"/>
          <w:szCs w:val="24"/>
          <w:lang w:val="en-US" w:eastAsia="zh-CN"/>
        </w:rPr>
        <w:t>下载</w:t>
      </w:r>
      <w:r>
        <w:rPr>
          <w:rFonts w:hint="eastAsia" w:ascii="宋体" w:hAnsi="宋体" w:eastAsia="宋体" w:cs="宋体"/>
          <w:color w:val="auto"/>
          <w:sz w:val="24"/>
          <w:szCs w:val="24"/>
          <w:lang w:eastAsia="zh-CN"/>
        </w:rPr>
        <w:t>电子保单，电子保单的有效期不得短于投标有效期。投标人可登录全国公共资源交易平台（广东省·韶关市）（https://ygp.gdzwfw.gov.cn/ggzy-portal/#/440200/index）查阅相应的服务指南，了解网上投保具体操作流程。逾期投保的，其投标无效。</w:t>
      </w:r>
    </w:p>
    <w:p w14:paraId="2D39F9FD">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温馨提醒：投标人采用投标保证担保或投标保证保险的，为避免在评标过程中因有效期发生争议，建议投标人将银行保函或电子保单有效期设置为较招标文件规定的投标有效期延长不少于20个日历天。</w:t>
      </w:r>
    </w:p>
    <w:p w14:paraId="5B290225">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3.4</w:t>
      </w:r>
      <w:r>
        <w:rPr>
          <w:rFonts w:hint="eastAsia" w:ascii="宋体" w:hAnsi="宋体" w:eastAsia="宋体" w:cs="宋体"/>
          <w:color w:val="auto"/>
          <w:sz w:val="24"/>
          <w:szCs w:val="24"/>
          <w:lang w:eastAsia="zh-CN"/>
        </w:rPr>
        <w:t>若投标人因自身原因未能正确完成网上</w:t>
      </w:r>
      <w:r>
        <w:rPr>
          <w:rFonts w:hint="eastAsia" w:ascii="宋体" w:hAnsi="宋体" w:eastAsia="宋体" w:cs="宋体"/>
          <w:color w:val="auto"/>
          <w:sz w:val="24"/>
          <w:szCs w:val="24"/>
          <w:lang w:val="en-US" w:eastAsia="zh-CN"/>
        </w:rPr>
        <w:t>招标文件获取</w:t>
      </w:r>
      <w:r>
        <w:rPr>
          <w:rFonts w:hint="eastAsia" w:ascii="宋体" w:hAnsi="宋体" w:eastAsia="宋体" w:cs="宋体"/>
          <w:color w:val="auto"/>
          <w:sz w:val="24"/>
          <w:szCs w:val="24"/>
          <w:lang w:eastAsia="zh-CN"/>
        </w:rPr>
        <w:t>、电子投标、缴纳投标保证的，其投标无效。</w:t>
      </w:r>
    </w:p>
    <w:p w14:paraId="36A31A30">
      <w:pPr>
        <w:pStyle w:val="3"/>
        <w:bidi w:val="0"/>
        <w:spacing w:line="360" w:lineRule="auto"/>
        <w:ind w:firstLine="482" w:firstLineChars="200"/>
        <w:rPr>
          <w:rFonts w:hint="eastAsia" w:ascii="宋体" w:hAnsi="宋体" w:eastAsia="宋体" w:cs="宋体"/>
          <w:color w:val="auto"/>
          <w:sz w:val="24"/>
          <w:szCs w:val="24"/>
          <w:lang w:eastAsia="zh-CN"/>
        </w:rPr>
      </w:pPr>
      <w:bookmarkStart w:id="25" w:name="_Toc19834"/>
      <w:r>
        <w:rPr>
          <w:rFonts w:hint="eastAsia" w:ascii="宋体" w:hAnsi="宋体" w:eastAsia="宋体" w:cs="宋体"/>
          <w:color w:val="auto"/>
          <w:sz w:val="24"/>
          <w:szCs w:val="24"/>
          <w:lang w:eastAsia="zh-CN"/>
        </w:rPr>
        <w:t>4．工期要求</w:t>
      </w:r>
      <w:bookmarkEnd w:id="25"/>
    </w:p>
    <w:p w14:paraId="6775BE31">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本招标项目施工招标工期为</w:t>
      </w:r>
      <w:r>
        <w:rPr>
          <w:rFonts w:hint="eastAsia" w:ascii="宋体" w:hAnsi="宋体" w:eastAsia="宋体" w:cs="宋体"/>
          <w:color w:val="auto"/>
          <w:sz w:val="24"/>
          <w:szCs w:val="24"/>
          <w:u w:val="single"/>
          <w:lang w:val="en-US" w:eastAsia="zh-CN"/>
        </w:rPr>
        <w:t>230</w:t>
      </w:r>
      <w:r>
        <w:rPr>
          <w:rFonts w:hint="eastAsia" w:ascii="宋体" w:hAnsi="宋体" w:eastAsia="宋体" w:cs="宋体"/>
          <w:color w:val="auto"/>
          <w:sz w:val="24"/>
          <w:szCs w:val="24"/>
          <w:lang w:eastAsia="zh-CN"/>
        </w:rPr>
        <w:t>个日历天，中标人必须在招标工期内完成招标范围内的全部内容。</w:t>
      </w:r>
    </w:p>
    <w:p w14:paraId="091E8E4A">
      <w:pPr>
        <w:pStyle w:val="3"/>
        <w:bidi w:val="0"/>
        <w:spacing w:line="360" w:lineRule="auto"/>
        <w:ind w:firstLine="482" w:firstLineChars="200"/>
        <w:rPr>
          <w:rFonts w:hint="eastAsia" w:ascii="宋体" w:hAnsi="宋体" w:eastAsia="宋体" w:cs="宋体"/>
          <w:color w:val="auto"/>
          <w:sz w:val="24"/>
          <w:szCs w:val="24"/>
          <w:lang w:eastAsia="zh-CN"/>
        </w:rPr>
      </w:pPr>
      <w:bookmarkStart w:id="26" w:name="_Toc6445"/>
      <w:r>
        <w:rPr>
          <w:rFonts w:hint="eastAsia" w:ascii="宋体" w:hAnsi="宋体" w:eastAsia="宋体" w:cs="宋体"/>
          <w:color w:val="auto"/>
          <w:sz w:val="24"/>
          <w:szCs w:val="24"/>
          <w:lang w:eastAsia="zh-CN"/>
        </w:rPr>
        <w:t>5．质量标准和材料、机械要求</w:t>
      </w:r>
      <w:bookmarkEnd w:id="26"/>
    </w:p>
    <w:p w14:paraId="72784C7C">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5.1</w:t>
      </w:r>
      <w:r>
        <w:rPr>
          <w:rFonts w:hint="eastAsia" w:ascii="宋体" w:hAnsi="宋体" w:eastAsia="宋体" w:cs="宋体"/>
          <w:color w:val="auto"/>
          <w:sz w:val="24"/>
          <w:szCs w:val="24"/>
          <w:lang w:eastAsia="zh-CN"/>
        </w:rPr>
        <w:t>施工工艺严格按照国家和广东省的有关现行施工技术规范及标准执行，工程质量标准须达到合格。</w:t>
      </w:r>
    </w:p>
    <w:p w14:paraId="3D1E679D">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5.2</w:t>
      </w:r>
      <w:r>
        <w:rPr>
          <w:rFonts w:hint="eastAsia" w:ascii="宋体" w:hAnsi="宋体" w:eastAsia="宋体" w:cs="宋体"/>
          <w:color w:val="auto"/>
          <w:sz w:val="24"/>
          <w:szCs w:val="24"/>
          <w:lang w:eastAsia="zh-CN"/>
        </w:rPr>
        <w:t>中标人在施工中如果工程质量不符合设计要求和有关规定，招标人或监理单位要求停工和返工的必须立即执行，并承担由此产生的各种费用，工期不予顺延。</w:t>
      </w:r>
    </w:p>
    <w:p w14:paraId="30697713">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5.3</w:t>
      </w:r>
      <w:r>
        <w:rPr>
          <w:rFonts w:hint="eastAsia" w:ascii="宋体" w:hAnsi="宋体" w:eastAsia="宋体" w:cs="宋体"/>
          <w:color w:val="auto"/>
          <w:sz w:val="24"/>
          <w:szCs w:val="24"/>
          <w:lang w:eastAsia="zh-CN"/>
        </w:rPr>
        <w:t>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41A43804">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val="en-US" w:eastAsia="zh-CN"/>
        </w:rPr>
        <w:t>5.4</w:t>
      </w:r>
      <w:r>
        <w:rPr>
          <w:rFonts w:hint="eastAsia" w:ascii="宋体" w:hAnsi="宋体" w:eastAsia="宋体" w:cs="宋体"/>
          <w:color w:val="auto"/>
          <w:sz w:val="24"/>
          <w:szCs w:val="24"/>
          <w:lang w:eastAsia="zh-CN"/>
        </w:rPr>
        <w:t>根据韶关市人民政府《关于加快推进全市绿色建筑发展工作的通知》（韶府办明电〔2013〕277号）有关规定，本招标项目不纳入绿色建设实施范围。</w:t>
      </w:r>
    </w:p>
    <w:p w14:paraId="2F2163A4">
      <w:pPr>
        <w:spacing w:line="360" w:lineRule="auto"/>
        <w:ind w:firstLine="482" w:firstLineChars="200"/>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eastAsia="zh-CN"/>
        </w:rPr>
        <w:t>5.</w:t>
      </w:r>
      <w:r>
        <w:rPr>
          <w:rFonts w:hint="eastAsia" w:ascii="宋体" w:hAnsi="宋体" w:eastAsia="宋体" w:cs="宋体"/>
          <w:b/>
          <w:bCs/>
          <w:color w:val="auto"/>
          <w:sz w:val="24"/>
          <w:szCs w:val="24"/>
          <w:lang w:val="en-US" w:eastAsia="zh-CN"/>
        </w:rPr>
        <w:t>5</w:t>
      </w:r>
      <w:r>
        <w:rPr>
          <w:rFonts w:hint="eastAsia" w:ascii="宋体" w:hAnsi="宋体" w:eastAsia="宋体" w:cs="宋体"/>
          <w:color w:val="auto"/>
          <w:sz w:val="24"/>
          <w:szCs w:val="24"/>
          <w:lang w:val="en-US" w:eastAsia="zh-CN"/>
        </w:rPr>
        <w:t>其它：本招标项目不纳入装配式建造建设实施范围。</w:t>
      </w:r>
    </w:p>
    <w:p w14:paraId="738DF742">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5.6</w:t>
      </w:r>
      <w:r>
        <w:rPr>
          <w:rFonts w:hint="eastAsia" w:ascii="宋体" w:hAnsi="宋体" w:eastAsia="宋体" w:cs="宋体"/>
          <w:color w:val="auto"/>
          <w:sz w:val="24"/>
          <w:szCs w:val="24"/>
          <w:lang w:eastAsia="zh-CN"/>
        </w:rPr>
        <w:t>其它：</w:t>
      </w:r>
      <w:bookmarkStart w:id="27" w:name="_Hlt74493474"/>
      <w:bookmarkEnd w:id="27"/>
      <w:bookmarkStart w:id="28" w:name="_Hlt120502666"/>
      <w:bookmarkEnd w:id="28"/>
      <w:bookmarkStart w:id="29" w:name="_Hlt111690342"/>
      <w:bookmarkEnd w:id="29"/>
      <w:bookmarkStart w:id="30" w:name="_Hlt88974078"/>
      <w:bookmarkEnd w:id="30"/>
      <w:bookmarkStart w:id="31" w:name="_Hlt69356505"/>
      <w:bookmarkEnd w:id="31"/>
      <w:bookmarkStart w:id="32" w:name="_Hlt69699204"/>
      <w:bookmarkEnd w:id="32"/>
      <w:bookmarkStart w:id="33" w:name="_Hlt74496537"/>
      <w:bookmarkEnd w:id="33"/>
      <w:bookmarkStart w:id="34" w:name="_Hlt121563076"/>
      <w:bookmarkEnd w:id="34"/>
      <w:r>
        <w:rPr>
          <w:rFonts w:hint="eastAsia" w:ascii="宋体" w:hAnsi="宋体" w:eastAsia="宋体" w:cs="宋体"/>
          <w:color w:val="auto"/>
          <w:sz w:val="24"/>
          <w:szCs w:val="24"/>
          <w:lang w:eastAsia="zh-CN"/>
        </w:rPr>
        <w:t>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w:t>
      </w:r>
    </w:p>
    <w:p w14:paraId="51BF02E9">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val="en-US" w:eastAsia="zh-CN"/>
        </w:rPr>
        <w:t>5.7</w:t>
      </w:r>
      <w:r>
        <w:rPr>
          <w:rFonts w:hint="eastAsia" w:ascii="宋体" w:hAnsi="宋体" w:eastAsia="宋体" w:cs="宋体"/>
          <w:color w:val="auto"/>
          <w:sz w:val="24"/>
          <w:szCs w:val="24"/>
          <w:lang w:val="en-US" w:eastAsia="zh-CN"/>
        </w:rPr>
        <w:t>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048B9B1A">
      <w:pPr>
        <w:pStyle w:val="3"/>
        <w:bidi w:val="0"/>
        <w:spacing w:line="360" w:lineRule="auto"/>
        <w:ind w:firstLine="482" w:firstLineChars="200"/>
        <w:rPr>
          <w:rFonts w:hint="eastAsia" w:ascii="宋体" w:hAnsi="宋体" w:eastAsia="宋体" w:cs="宋体"/>
          <w:color w:val="auto"/>
          <w:sz w:val="24"/>
          <w:szCs w:val="24"/>
          <w:lang w:eastAsia="zh-CN"/>
        </w:rPr>
      </w:pPr>
      <w:bookmarkStart w:id="35" w:name="_Toc2559"/>
      <w:r>
        <w:rPr>
          <w:rFonts w:hint="eastAsia" w:ascii="宋体" w:hAnsi="宋体" w:eastAsia="宋体" w:cs="宋体"/>
          <w:color w:val="auto"/>
          <w:sz w:val="24"/>
          <w:szCs w:val="24"/>
          <w:lang w:eastAsia="zh-CN"/>
        </w:rPr>
        <w:t>6．施工条件及现场踏勘</w:t>
      </w:r>
      <w:bookmarkEnd w:id="35"/>
    </w:p>
    <w:p w14:paraId="39213953">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6.1</w:t>
      </w:r>
      <w:r>
        <w:rPr>
          <w:rFonts w:hint="eastAsia" w:ascii="宋体" w:hAnsi="宋体" w:eastAsia="宋体" w:cs="宋体"/>
          <w:color w:val="auto"/>
          <w:sz w:val="24"/>
          <w:szCs w:val="24"/>
          <w:lang w:eastAsia="zh-CN"/>
        </w:rPr>
        <w:t>招标人仅在本招标项目征地红线范围内提供场地，其他一切场地费用由中标人自行负责（含临时道路）。</w:t>
      </w:r>
    </w:p>
    <w:p w14:paraId="7508D491">
      <w:pPr>
        <w:spacing w:line="360" w:lineRule="auto"/>
        <w:ind w:firstLine="482" w:firstLineChars="200"/>
        <w:rPr>
          <w:rFonts w:hint="eastAsia" w:ascii="宋体" w:hAnsi="宋体" w:eastAsia="宋体" w:cs="宋体"/>
          <w:color w:val="auto"/>
          <w:sz w:val="24"/>
          <w:szCs w:val="24"/>
          <w:u w:val="single"/>
          <w:lang w:eastAsia="zh-CN"/>
        </w:rPr>
      </w:pPr>
      <w:r>
        <w:rPr>
          <w:rFonts w:hint="eastAsia" w:ascii="宋体" w:hAnsi="宋体" w:eastAsia="宋体" w:cs="宋体"/>
          <w:b/>
          <w:bCs/>
          <w:color w:val="auto"/>
          <w:sz w:val="24"/>
          <w:szCs w:val="24"/>
          <w:lang w:eastAsia="zh-CN"/>
        </w:rPr>
        <w:t>6.2</w:t>
      </w:r>
      <w:r>
        <w:rPr>
          <w:rFonts w:hint="eastAsia" w:ascii="宋体" w:hAnsi="宋体" w:eastAsia="宋体" w:cs="宋体"/>
          <w:color w:val="auto"/>
          <w:sz w:val="24"/>
          <w:szCs w:val="24"/>
          <w:lang w:eastAsia="zh-CN"/>
        </w:rPr>
        <w:t>施工用水：</w:t>
      </w:r>
      <w:r>
        <w:rPr>
          <w:rFonts w:hint="eastAsia" w:ascii="宋体" w:hAnsi="宋体" w:eastAsia="宋体" w:cs="宋体"/>
          <w:color w:val="auto"/>
          <w:sz w:val="24"/>
          <w:szCs w:val="24"/>
          <w:u w:val="single"/>
          <w:lang w:eastAsia="zh-CN"/>
        </w:rPr>
        <w:t>招标人协调，由中标人自行解决，费用考虑在投标报价中。</w:t>
      </w:r>
    </w:p>
    <w:p w14:paraId="3AF687A8">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6.3</w:t>
      </w:r>
      <w:r>
        <w:rPr>
          <w:rFonts w:hint="eastAsia" w:ascii="宋体" w:hAnsi="宋体" w:eastAsia="宋体" w:cs="宋体"/>
          <w:color w:val="auto"/>
          <w:sz w:val="24"/>
          <w:szCs w:val="24"/>
          <w:lang w:eastAsia="zh-CN"/>
        </w:rPr>
        <w:t>施工用电：</w:t>
      </w:r>
      <w:r>
        <w:rPr>
          <w:rFonts w:hint="eastAsia" w:ascii="宋体" w:hAnsi="宋体" w:eastAsia="宋体" w:cs="宋体"/>
          <w:color w:val="auto"/>
          <w:sz w:val="24"/>
          <w:szCs w:val="24"/>
          <w:u w:val="single"/>
          <w:lang w:eastAsia="zh-CN"/>
        </w:rPr>
        <w:t>招标人协调，由中标人自行解决，费用考虑在投标报价中。</w:t>
      </w:r>
    </w:p>
    <w:p w14:paraId="3E79B9FB">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6.4</w:t>
      </w:r>
      <w:r>
        <w:rPr>
          <w:rFonts w:hint="eastAsia" w:ascii="宋体" w:hAnsi="宋体" w:eastAsia="宋体" w:cs="宋体"/>
          <w:color w:val="auto"/>
          <w:sz w:val="24"/>
          <w:szCs w:val="24"/>
          <w:lang w:eastAsia="zh-CN"/>
        </w:rPr>
        <w:t>施工用水、用电招标人各提供一驳接点到现场边缘。要求中标人单独安装水表、电表，其水、电费按项目所在地</w:t>
      </w:r>
      <w:r>
        <w:rPr>
          <w:rFonts w:hint="eastAsia" w:ascii="宋体" w:hAnsi="宋体" w:eastAsia="宋体" w:cs="宋体"/>
          <w:color w:val="auto"/>
          <w:sz w:val="24"/>
          <w:szCs w:val="24"/>
          <w:u w:val="single"/>
          <w:lang w:eastAsia="zh-CN"/>
        </w:rPr>
        <w:t>韶关市仁化县</w:t>
      </w:r>
      <w:r>
        <w:rPr>
          <w:rFonts w:hint="eastAsia" w:ascii="宋体" w:hAnsi="宋体" w:eastAsia="宋体" w:cs="宋体"/>
          <w:color w:val="auto"/>
          <w:sz w:val="24"/>
          <w:szCs w:val="24"/>
          <w:lang w:eastAsia="zh-CN"/>
        </w:rPr>
        <w:t>基建工程水、电计费标准计算并由中标人缴纳。</w:t>
      </w:r>
    </w:p>
    <w:p w14:paraId="2FDF202A">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6.5</w:t>
      </w:r>
      <w:r>
        <w:rPr>
          <w:rFonts w:hint="eastAsia" w:ascii="宋体" w:hAnsi="宋体" w:eastAsia="宋体" w:cs="宋体"/>
          <w:color w:val="auto"/>
          <w:sz w:val="24"/>
          <w:szCs w:val="24"/>
          <w:lang w:eastAsia="zh-CN"/>
        </w:rPr>
        <w:t>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1FFAC85B">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6.6</w:t>
      </w:r>
      <w:r>
        <w:rPr>
          <w:rFonts w:hint="eastAsia" w:ascii="宋体" w:hAnsi="宋体" w:eastAsia="宋体" w:cs="宋体"/>
          <w:color w:val="auto"/>
          <w:sz w:val="24"/>
          <w:szCs w:val="24"/>
          <w:lang w:eastAsia="zh-CN"/>
        </w:rPr>
        <w:t>在现场踏勘过程中，投标人应确保自身安全，投标人如果发生人身伤亡、财物或其他损失，法律法规有规定的按有关规定处理，没有规定的由投标人自行负责。</w:t>
      </w:r>
    </w:p>
    <w:p w14:paraId="786F0CB4">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6.7</w:t>
      </w:r>
      <w:r>
        <w:rPr>
          <w:rFonts w:hint="eastAsia" w:ascii="宋体" w:hAnsi="宋体" w:eastAsia="宋体" w:cs="宋体"/>
          <w:color w:val="auto"/>
          <w:sz w:val="24"/>
          <w:szCs w:val="24"/>
          <w:lang w:eastAsia="zh-CN"/>
        </w:rPr>
        <w:t>现场踏勘期间的交通、食宿由投标人自行安排，费用自理。</w:t>
      </w:r>
    </w:p>
    <w:p w14:paraId="360AF43F">
      <w:pPr>
        <w:pStyle w:val="3"/>
        <w:bidi w:val="0"/>
        <w:spacing w:line="360" w:lineRule="auto"/>
        <w:ind w:firstLine="482" w:firstLineChars="200"/>
        <w:rPr>
          <w:rFonts w:hint="eastAsia" w:ascii="宋体" w:hAnsi="宋体" w:eastAsia="宋体" w:cs="宋体"/>
          <w:color w:val="auto"/>
          <w:sz w:val="24"/>
          <w:szCs w:val="24"/>
          <w:lang w:eastAsia="zh-CN"/>
        </w:rPr>
      </w:pPr>
      <w:bookmarkStart w:id="36" w:name="_Toc30904"/>
      <w:r>
        <w:rPr>
          <w:rFonts w:hint="eastAsia" w:ascii="宋体" w:hAnsi="宋体" w:eastAsia="宋体" w:cs="宋体"/>
          <w:color w:val="auto"/>
          <w:sz w:val="24"/>
          <w:szCs w:val="24"/>
          <w:lang w:eastAsia="zh-CN"/>
        </w:rPr>
        <w:t>7．招标文件的提问和答疑</w:t>
      </w:r>
      <w:bookmarkEnd w:id="36"/>
      <w:bookmarkStart w:id="37" w:name="_Hlt74496410"/>
      <w:bookmarkEnd w:id="37"/>
    </w:p>
    <w:p w14:paraId="7D147BE4">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7.1</w:t>
      </w:r>
      <w:r>
        <w:rPr>
          <w:rFonts w:hint="eastAsia" w:ascii="宋体" w:hAnsi="宋体" w:eastAsia="宋体" w:cs="宋体"/>
          <w:color w:val="auto"/>
          <w:sz w:val="24"/>
          <w:szCs w:val="24"/>
          <w:lang w:eastAsia="zh-CN"/>
        </w:rPr>
        <w:t>投标人若对招标文件有疑问，应在提问截止时间（见本章第二节“重要事项时间地点一览表”）前使用建设工程交易系统提出问题。未在指定时间前、未采用指定方式提出的，招标人不予受理。</w:t>
      </w:r>
    </w:p>
    <w:p w14:paraId="09294CAD">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7.2</w:t>
      </w:r>
      <w:r>
        <w:rPr>
          <w:rFonts w:hint="eastAsia" w:ascii="宋体" w:hAnsi="宋体" w:eastAsia="宋体" w:cs="宋体"/>
          <w:color w:val="auto"/>
          <w:sz w:val="24"/>
          <w:szCs w:val="24"/>
          <w:lang w:eastAsia="zh-CN"/>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1341360E">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7.3</w:t>
      </w:r>
      <w:r>
        <w:rPr>
          <w:rFonts w:hint="eastAsia" w:ascii="宋体" w:hAnsi="宋体" w:eastAsia="宋体" w:cs="宋体"/>
          <w:color w:val="auto"/>
          <w:sz w:val="24"/>
          <w:szCs w:val="24"/>
          <w:lang w:eastAsia="zh-CN"/>
        </w:rPr>
        <w:t>招标人对招标文件所作的答疑（或修改）公告，构成招标文件的组成部分。</w:t>
      </w:r>
      <w:bookmarkStart w:id="38" w:name="_Hlt92513715"/>
      <w:bookmarkEnd w:id="38"/>
      <w:bookmarkStart w:id="39" w:name="_Hlt69699188"/>
      <w:bookmarkEnd w:id="39"/>
      <w:bookmarkStart w:id="40" w:name="_Hlt92513711"/>
      <w:bookmarkEnd w:id="40"/>
    </w:p>
    <w:p w14:paraId="44EC3624">
      <w:pPr>
        <w:pStyle w:val="3"/>
        <w:bidi w:val="0"/>
        <w:spacing w:line="360" w:lineRule="auto"/>
        <w:ind w:firstLine="482" w:firstLineChars="200"/>
        <w:rPr>
          <w:rFonts w:hint="eastAsia" w:ascii="宋体" w:hAnsi="宋体" w:eastAsia="宋体" w:cs="宋体"/>
          <w:color w:val="auto"/>
          <w:sz w:val="24"/>
          <w:szCs w:val="24"/>
          <w:lang w:eastAsia="zh-CN"/>
        </w:rPr>
      </w:pPr>
      <w:bookmarkStart w:id="41" w:name="_Toc29228"/>
      <w:r>
        <w:rPr>
          <w:rFonts w:hint="eastAsia" w:ascii="宋体" w:hAnsi="宋体" w:eastAsia="宋体" w:cs="宋体"/>
          <w:color w:val="auto"/>
          <w:sz w:val="24"/>
          <w:szCs w:val="24"/>
          <w:lang w:eastAsia="zh-CN"/>
        </w:rPr>
        <w:t>8．招标控制价</w:t>
      </w:r>
      <w:bookmarkEnd w:id="41"/>
    </w:p>
    <w:p w14:paraId="79E3B324">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8.1</w:t>
      </w:r>
      <w:r>
        <w:rPr>
          <w:rFonts w:hint="eastAsia" w:ascii="宋体" w:hAnsi="宋体" w:eastAsia="宋体" w:cs="宋体"/>
          <w:color w:val="auto"/>
          <w:sz w:val="24"/>
          <w:szCs w:val="24"/>
          <w:lang w:eastAsia="zh-CN"/>
        </w:rPr>
        <w:t>本工程按照以下依据编制招标控制价：</w:t>
      </w:r>
    </w:p>
    <w:p w14:paraId="1E396879">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（1）《建设工程工程量清单计价规范》（GB50500—2013）；</w:t>
      </w:r>
    </w:p>
    <w:p w14:paraId="7F1DC6A7">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366AF99B">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（3）概算书及相关资料；</w:t>
      </w:r>
    </w:p>
    <w:p w14:paraId="4C417AD8">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（4）招标文件；</w:t>
      </w:r>
    </w:p>
    <w:p w14:paraId="2592B806">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（5）施工现场情况、工程特点及常规施工方案；</w:t>
      </w:r>
    </w:p>
    <w:p w14:paraId="25218C0C">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（6）项目所在地工程造价管理机构发布的工程造价信息，工程造价信息缺项的，参照市场价格；</w:t>
      </w:r>
    </w:p>
    <w:p w14:paraId="1A0839C4">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（7）与建设项目相关的标准、规范、技术资料。</w:t>
      </w:r>
    </w:p>
    <w:p w14:paraId="3E07A776">
      <w:pPr>
        <w:spacing w:line="360" w:lineRule="auto"/>
        <w:ind w:firstLine="482" w:firstLineChars="200"/>
        <w:rPr>
          <w:rFonts w:hint="eastAsia" w:ascii="宋体" w:hAnsi="宋体" w:eastAsia="宋体" w:cs="宋体"/>
          <w:color w:val="auto"/>
          <w:lang w:val="en-US" w:eastAsia="zh-CN"/>
        </w:rPr>
      </w:pPr>
      <w:r>
        <w:rPr>
          <w:rFonts w:hint="eastAsia" w:ascii="宋体" w:hAnsi="宋体" w:eastAsia="宋体" w:cs="宋体"/>
          <w:b/>
          <w:bCs/>
          <w:color w:val="auto"/>
          <w:sz w:val="24"/>
          <w:szCs w:val="24"/>
          <w:lang w:val="en-US" w:eastAsia="zh-CN"/>
        </w:rPr>
        <w:t>8.2</w:t>
      </w:r>
      <w:r>
        <w:rPr>
          <w:rFonts w:hint="eastAsia" w:ascii="宋体" w:hAnsi="宋体" w:eastAsia="宋体" w:cs="宋体"/>
          <w:bCs/>
          <w:snapToGrid w:val="0"/>
          <w:color w:val="auto"/>
          <w:kern w:val="0"/>
          <w:sz w:val="24"/>
          <w:szCs w:val="24"/>
          <w:highlight w:val="none"/>
          <w:lang w:val="en-US" w:eastAsia="zh-CN"/>
        </w:rPr>
        <w:t>本招标项目招标控制价为人民币（大写）：</w:t>
      </w:r>
      <w:r>
        <w:rPr>
          <w:rFonts w:hint="eastAsia" w:ascii="宋体" w:hAnsi="宋体" w:eastAsia="宋体" w:cs="宋体"/>
          <w:bCs/>
          <w:snapToGrid w:val="0"/>
          <w:color w:val="auto"/>
          <w:kern w:val="0"/>
          <w:sz w:val="24"/>
          <w:szCs w:val="24"/>
          <w:highlight w:val="none"/>
          <w:u w:val="single"/>
          <w:lang w:val="en-US" w:eastAsia="zh-CN"/>
        </w:rPr>
        <w:t>壹仟捌佰贰拾肆万叁仟叁佰柒拾贰元整</w:t>
      </w:r>
      <w:r>
        <w:rPr>
          <w:rFonts w:hint="eastAsia" w:ascii="宋体" w:hAnsi="宋体" w:eastAsia="宋体" w:cs="宋体"/>
          <w:bCs/>
          <w:snapToGrid w:val="0"/>
          <w:color w:val="auto"/>
          <w:kern w:val="0"/>
          <w:sz w:val="24"/>
          <w:szCs w:val="24"/>
          <w:highlight w:val="none"/>
          <w:lang w:val="en-US" w:eastAsia="zh-CN"/>
        </w:rPr>
        <w:t>（</w:t>
      </w:r>
      <w:r>
        <w:rPr>
          <w:rFonts w:hint="eastAsia" w:ascii="宋体" w:hAnsi="宋体" w:eastAsia="宋体" w:cs="宋体"/>
          <w:bCs/>
          <w:snapToGrid w:val="0"/>
          <w:color w:val="auto"/>
          <w:kern w:val="0"/>
          <w:sz w:val="24"/>
          <w:szCs w:val="24"/>
          <w:highlight w:val="none"/>
          <w:u w:val="single"/>
          <w:lang w:val="en-US" w:eastAsia="zh-CN"/>
        </w:rPr>
        <w:t>¥18,243,372.00元</w:t>
      </w:r>
      <w:r>
        <w:rPr>
          <w:rFonts w:hint="eastAsia" w:ascii="宋体" w:hAnsi="宋体" w:eastAsia="宋体" w:cs="宋体"/>
          <w:bCs/>
          <w:snapToGrid w:val="0"/>
          <w:color w:val="auto"/>
          <w:kern w:val="0"/>
          <w:sz w:val="24"/>
          <w:szCs w:val="24"/>
          <w:highlight w:val="none"/>
          <w:lang w:val="en-US" w:eastAsia="zh-CN"/>
        </w:rPr>
        <w:t>）。</w:t>
      </w:r>
    </w:p>
    <w:tbl>
      <w:tblPr>
        <w:tblStyle w:val="19"/>
        <w:tblW w:w="975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4"/>
        <w:gridCol w:w="3517"/>
        <w:gridCol w:w="1967"/>
        <w:gridCol w:w="1416"/>
        <w:gridCol w:w="2117"/>
      </w:tblGrid>
      <w:tr w14:paraId="44E61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34" w:type="dxa"/>
            <w:tcBorders>
              <w:top w:val="single" w:color="000000" w:sz="8" w:space="0"/>
              <w:left w:val="single" w:color="000000" w:sz="8" w:space="0"/>
              <w:bottom w:val="single" w:color="auto" w:sz="4" w:space="0"/>
              <w:right w:val="single" w:color="000000" w:sz="4" w:space="0"/>
            </w:tcBorders>
            <w:shd w:val="clear" w:color="FFFFFF" w:fill="FFFFFF"/>
            <w:noWrap w:val="0"/>
            <w:vAlign w:val="center"/>
          </w:tcPr>
          <w:p w14:paraId="542F3C45">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序号</w:t>
            </w:r>
          </w:p>
        </w:tc>
        <w:tc>
          <w:tcPr>
            <w:tcW w:w="3517" w:type="dxa"/>
            <w:tcBorders>
              <w:top w:val="single" w:color="000000" w:sz="8" w:space="0"/>
              <w:left w:val="single" w:color="000000" w:sz="4" w:space="0"/>
              <w:bottom w:val="single" w:color="auto" w:sz="4" w:space="0"/>
              <w:right w:val="single" w:color="000000" w:sz="4" w:space="0"/>
            </w:tcBorders>
            <w:shd w:val="clear" w:color="FFFFFF" w:fill="FFFFFF"/>
            <w:noWrap w:val="0"/>
            <w:vAlign w:val="center"/>
          </w:tcPr>
          <w:p w14:paraId="6DA5F00F">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单位工程名称</w:t>
            </w:r>
          </w:p>
        </w:tc>
        <w:tc>
          <w:tcPr>
            <w:tcW w:w="1967" w:type="dxa"/>
            <w:tcBorders>
              <w:top w:val="single" w:color="000000" w:sz="8" w:space="0"/>
              <w:left w:val="single" w:color="000000" w:sz="4" w:space="0"/>
              <w:bottom w:val="single" w:color="auto" w:sz="4" w:space="0"/>
              <w:right w:val="single" w:color="000000" w:sz="4" w:space="0"/>
            </w:tcBorders>
            <w:shd w:val="clear" w:color="FFFFFF" w:fill="FFFFFF"/>
            <w:noWrap w:val="0"/>
            <w:vAlign w:val="center"/>
          </w:tcPr>
          <w:p w14:paraId="6FD3E1E5">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概算建安费（元）</w:t>
            </w:r>
          </w:p>
        </w:tc>
        <w:tc>
          <w:tcPr>
            <w:tcW w:w="1416" w:type="dxa"/>
            <w:tcBorders>
              <w:top w:val="single" w:color="000000" w:sz="8" w:space="0"/>
              <w:left w:val="single" w:color="000000" w:sz="4" w:space="0"/>
              <w:bottom w:val="single" w:color="auto" w:sz="4" w:space="0"/>
              <w:right w:val="single" w:color="000000" w:sz="4" w:space="0"/>
            </w:tcBorders>
            <w:shd w:val="clear" w:color="FFFFFF" w:fill="FFFFFF"/>
            <w:noWrap w:val="0"/>
            <w:vAlign w:val="center"/>
          </w:tcPr>
          <w:p w14:paraId="4E4CC069">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投标下浮率</w:t>
            </w:r>
          </w:p>
        </w:tc>
        <w:tc>
          <w:tcPr>
            <w:tcW w:w="2117" w:type="dxa"/>
            <w:tcBorders>
              <w:top w:val="single" w:color="000000" w:sz="8" w:space="0"/>
              <w:left w:val="single" w:color="000000" w:sz="4" w:space="0"/>
              <w:bottom w:val="single" w:color="000000" w:sz="4" w:space="0"/>
              <w:right w:val="single" w:color="auto" w:sz="4" w:space="0"/>
            </w:tcBorders>
            <w:shd w:val="clear" w:color="FFFFFF" w:fill="FFFFFF"/>
            <w:noWrap w:val="0"/>
            <w:vAlign w:val="center"/>
          </w:tcPr>
          <w:p w14:paraId="22073E5D">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招标控制价（元）</w:t>
            </w:r>
          </w:p>
        </w:tc>
      </w:tr>
      <w:tr w14:paraId="56BB3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4" w:hRule="exact"/>
        </w:trPr>
        <w:tc>
          <w:tcPr>
            <w:tcW w:w="734" w:type="dxa"/>
            <w:tcBorders>
              <w:top w:val="single" w:color="auto" w:sz="4" w:space="0"/>
              <w:left w:val="single" w:color="000000" w:sz="8" w:space="0"/>
              <w:bottom w:val="single" w:color="auto" w:sz="4" w:space="0"/>
              <w:right w:val="single" w:color="000000" w:sz="4" w:space="0"/>
            </w:tcBorders>
            <w:shd w:val="clear" w:color="FFFFFF" w:fill="FFFFFF"/>
            <w:noWrap w:val="0"/>
            <w:vAlign w:val="center"/>
          </w:tcPr>
          <w:p w14:paraId="55A99242">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p>
        </w:tc>
        <w:tc>
          <w:tcPr>
            <w:tcW w:w="3517" w:type="dxa"/>
            <w:tcBorders>
              <w:top w:val="single" w:color="auto" w:sz="4" w:space="0"/>
              <w:left w:val="single" w:color="000000" w:sz="4" w:space="0"/>
              <w:bottom w:val="single" w:color="auto" w:sz="4" w:space="0"/>
              <w:right w:val="single" w:color="000000" w:sz="4" w:space="0"/>
            </w:tcBorders>
            <w:shd w:val="clear" w:color="FFFFFF" w:fill="FFFFFF"/>
            <w:noWrap w:val="0"/>
            <w:vAlign w:val="center"/>
          </w:tcPr>
          <w:p w14:paraId="1DD2E807">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snapToGrid w:val="0"/>
                <w:color w:val="auto"/>
                <w:kern w:val="0"/>
                <w:sz w:val="24"/>
                <w:szCs w:val="24"/>
                <w:highlight w:val="none"/>
                <w:lang w:eastAsia="zh-CN"/>
              </w:rPr>
              <w:t>仁化县城、乡镇雨污分流基础配套设施建设-丹霞街道（一标段）施工</w:t>
            </w:r>
          </w:p>
        </w:tc>
        <w:tc>
          <w:tcPr>
            <w:tcW w:w="1967" w:type="dxa"/>
            <w:tcBorders>
              <w:top w:val="single" w:color="auto" w:sz="4" w:space="0"/>
              <w:left w:val="single" w:color="000000" w:sz="4" w:space="0"/>
              <w:bottom w:val="single" w:color="auto" w:sz="4" w:space="0"/>
              <w:right w:val="single" w:color="000000" w:sz="4" w:space="0"/>
            </w:tcBorders>
            <w:shd w:val="clear" w:color="FFFFFF" w:fill="FFFFFF"/>
            <w:noWrap w:val="0"/>
            <w:vAlign w:val="center"/>
          </w:tcPr>
          <w:p w14:paraId="7A0E6398">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18807600.00</w:t>
            </w:r>
          </w:p>
        </w:tc>
        <w:tc>
          <w:tcPr>
            <w:tcW w:w="1416" w:type="dxa"/>
            <w:tcBorders>
              <w:top w:val="single" w:color="auto" w:sz="4" w:space="0"/>
              <w:left w:val="single" w:color="000000" w:sz="4" w:space="0"/>
              <w:bottom w:val="single" w:color="auto" w:sz="4" w:space="0"/>
              <w:right w:val="single" w:color="000000" w:sz="4" w:space="0"/>
            </w:tcBorders>
            <w:shd w:val="clear" w:color="FFFFFF" w:fill="FFFFFF"/>
            <w:noWrap w:val="0"/>
            <w:vAlign w:val="center"/>
          </w:tcPr>
          <w:p w14:paraId="0CCA639B">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1"/>
                <w:sz w:val="24"/>
                <w:szCs w:val="24"/>
                <w:highlight w:val="none"/>
                <w:u w:val="none"/>
                <w:lang w:eastAsia="zh-CN"/>
              </w:rPr>
              <w:t>≥</w:t>
            </w:r>
            <w:r>
              <w:rPr>
                <w:rFonts w:hint="eastAsia" w:ascii="宋体" w:hAnsi="宋体" w:eastAsia="宋体" w:cs="宋体"/>
                <w:color w:val="auto"/>
                <w:kern w:val="1"/>
                <w:sz w:val="24"/>
                <w:szCs w:val="24"/>
                <w:highlight w:val="none"/>
                <w:u w:val="none"/>
                <w:lang w:val="en-US" w:eastAsia="zh-CN"/>
              </w:rPr>
              <w:t>3</w:t>
            </w:r>
            <w:r>
              <w:rPr>
                <w:rFonts w:hint="eastAsia" w:ascii="宋体" w:hAnsi="宋体" w:eastAsia="宋体" w:cs="宋体"/>
                <w:color w:val="auto"/>
                <w:kern w:val="1"/>
                <w:sz w:val="24"/>
                <w:szCs w:val="24"/>
                <w:highlight w:val="none"/>
                <w:u w:val="none"/>
              </w:rPr>
              <w:t>.00%</w:t>
            </w:r>
          </w:p>
        </w:tc>
        <w:tc>
          <w:tcPr>
            <w:tcW w:w="2117" w:type="dxa"/>
            <w:tcBorders>
              <w:top w:val="single" w:color="000000" w:sz="4" w:space="0"/>
              <w:left w:val="single" w:color="000000" w:sz="4" w:space="0"/>
              <w:bottom w:val="single" w:color="000000" w:sz="4" w:space="0"/>
              <w:right w:val="single" w:color="auto" w:sz="4" w:space="0"/>
            </w:tcBorders>
            <w:shd w:val="clear" w:color="FFFFFF" w:fill="FFFFFF"/>
            <w:noWrap w:val="0"/>
            <w:vAlign w:val="center"/>
          </w:tcPr>
          <w:p w14:paraId="7B0F372A">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18243372.00</w:t>
            </w:r>
          </w:p>
        </w:tc>
      </w:tr>
      <w:tr w14:paraId="54082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51" w:type="dxa"/>
            <w:gridSpan w:val="2"/>
            <w:tcBorders>
              <w:top w:val="single" w:color="000000" w:sz="4" w:space="0"/>
              <w:left w:val="single" w:color="000000" w:sz="8" w:space="0"/>
              <w:bottom w:val="single" w:color="000000" w:sz="8" w:space="0"/>
              <w:right w:val="single" w:color="000000" w:sz="4" w:space="0"/>
            </w:tcBorders>
            <w:shd w:val="clear" w:color="FFFFFF" w:fill="FFFFFF"/>
            <w:noWrap w:val="0"/>
            <w:vAlign w:val="center"/>
          </w:tcPr>
          <w:p w14:paraId="52E7B11E">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合计</w:t>
            </w:r>
          </w:p>
        </w:tc>
        <w:tc>
          <w:tcPr>
            <w:tcW w:w="1967" w:type="dxa"/>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14:paraId="390B18BA">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c>
          <w:tcPr>
            <w:tcW w:w="1416" w:type="dxa"/>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14:paraId="6FEF6FC7">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c>
          <w:tcPr>
            <w:tcW w:w="2117" w:type="dxa"/>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14:paraId="2A02522C">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18243372.00</w:t>
            </w:r>
          </w:p>
        </w:tc>
      </w:tr>
    </w:tbl>
    <w:p w14:paraId="4DFFE90A">
      <w:pPr>
        <w:spacing w:line="360" w:lineRule="auto"/>
        <w:ind w:firstLine="480" w:firstLineChars="200"/>
        <w:rPr>
          <w:rFonts w:hint="eastAsia" w:ascii="宋体" w:hAnsi="宋体" w:eastAsia="宋体" w:cs="宋体"/>
          <w:color w:val="auto"/>
          <w:lang w:eastAsia="zh-CN"/>
        </w:rPr>
      </w:pPr>
      <w:r>
        <w:rPr>
          <w:rFonts w:hint="eastAsia" w:ascii="宋体" w:hAnsi="宋体" w:eastAsia="宋体" w:cs="宋体"/>
          <w:color w:val="auto"/>
          <w:sz w:val="24"/>
          <w:szCs w:val="24"/>
          <w:lang w:eastAsia="zh-CN"/>
        </w:rPr>
        <w:t>备注：</w:t>
      </w:r>
      <w:r>
        <w:rPr>
          <w:rFonts w:hint="eastAsia" w:ascii="宋体" w:hAnsi="宋体" w:eastAsia="宋体" w:cs="宋体"/>
          <w:color w:val="auto"/>
          <w:kern w:val="1"/>
          <w:sz w:val="24"/>
          <w:szCs w:val="24"/>
          <w:highlight w:val="none"/>
        </w:rPr>
        <w:t>建安工程费报价=</w:t>
      </w:r>
      <w:r>
        <w:rPr>
          <w:rFonts w:hint="eastAsia" w:ascii="宋体" w:hAnsi="宋体" w:eastAsia="宋体" w:cs="宋体"/>
          <w:color w:val="auto"/>
          <w:kern w:val="2"/>
          <w:sz w:val="24"/>
          <w:szCs w:val="24"/>
          <w:lang w:val="en-US" w:eastAsia="zh-CN" w:bidi="ar-SA"/>
        </w:rPr>
        <w:t>18807600.00</w:t>
      </w:r>
      <w:r>
        <w:rPr>
          <w:rFonts w:hint="eastAsia" w:ascii="宋体" w:hAnsi="宋体" w:eastAsia="宋体" w:cs="宋体"/>
          <w:color w:val="auto"/>
          <w:kern w:val="1"/>
          <w:sz w:val="24"/>
          <w:szCs w:val="24"/>
          <w:highlight w:val="none"/>
        </w:rPr>
        <w:t>元×（1-建安工程费投标下浮率）</w:t>
      </w:r>
      <w:r>
        <w:rPr>
          <w:rFonts w:hint="eastAsia" w:ascii="宋体" w:hAnsi="宋体" w:eastAsia="宋体" w:cs="宋体"/>
          <w:color w:val="auto"/>
          <w:kern w:val="1"/>
          <w:sz w:val="24"/>
          <w:szCs w:val="24"/>
          <w:highlight w:val="none"/>
          <w:lang w:eastAsia="zh-CN"/>
        </w:rPr>
        <w:t>，</w:t>
      </w:r>
      <w:r>
        <w:rPr>
          <w:rFonts w:hint="eastAsia" w:ascii="宋体" w:hAnsi="宋体" w:eastAsia="宋体" w:cs="宋体"/>
          <w:color w:val="auto"/>
          <w:kern w:val="1"/>
          <w:sz w:val="24"/>
          <w:szCs w:val="24"/>
          <w:highlight w:val="none"/>
        </w:rPr>
        <w:t>投标人应分别报投标下浮率和建安工程费</w:t>
      </w:r>
      <w:r>
        <w:rPr>
          <w:rFonts w:hint="eastAsia" w:ascii="宋体" w:hAnsi="宋体" w:eastAsia="宋体" w:cs="宋体"/>
          <w:color w:val="auto"/>
          <w:sz w:val="24"/>
          <w:szCs w:val="24"/>
          <w:lang w:eastAsia="zh-CN"/>
        </w:rPr>
        <w:t>。</w:t>
      </w:r>
    </w:p>
    <w:p w14:paraId="46317B06">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8.3</w:t>
      </w:r>
      <w:r>
        <w:rPr>
          <w:rFonts w:hint="eastAsia" w:ascii="宋体" w:hAnsi="宋体" w:eastAsia="宋体" w:cs="宋体"/>
          <w:color w:val="auto"/>
          <w:sz w:val="24"/>
          <w:szCs w:val="24"/>
          <w:lang w:eastAsia="zh-CN"/>
        </w:rPr>
        <w:t>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09A66DF0">
      <w:pPr>
        <w:spacing w:line="360" w:lineRule="auto"/>
        <w:ind w:firstLine="482" w:firstLineChars="200"/>
        <w:rPr>
          <w:rFonts w:hint="eastAsia" w:ascii="宋体" w:hAnsi="宋体" w:eastAsia="宋体" w:cs="宋体"/>
          <w:color w:val="auto"/>
          <w:sz w:val="24"/>
          <w:szCs w:val="24"/>
          <w:u w:val="single"/>
          <w:lang w:eastAsia="zh-CN"/>
        </w:rPr>
      </w:pPr>
      <w:r>
        <w:rPr>
          <w:rFonts w:hint="eastAsia" w:ascii="宋体" w:hAnsi="宋体" w:eastAsia="宋体" w:cs="宋体"/>
          <w:b/>
          <w:bCs/>
          <w:color w:val="auto"/>
          <w:sz w:val="24"/>
          <w:szCs w:val="24"/>
          <w:lang w:eastAsia="zh-CN"/>
        </w:rPr>
        <w:t>8.4</w:t>
      </w:r>
      <w:r>
        <w:rPr>
          <w:rFonts w:hint="eastAsia" w:ascii="宋体" w:hAnsi="宋体" w:eastAsia="宋体" w:cs="宋体"/>
          <w:color w:val="auto"/>
          <w:sz w:val="24"/>
          <w:szCs w:val="24"/>
          <w:lang w:eastAsia="zh-CN"/>
        </w:rPr>
        <w:t>本工程以暂估价形式列入招标工程量清单中的材料、工程设备、专业工程（以下统称“暂估价项目”）包括：（若有，具体详见工程清单）</w:t>
      </w:r>
      <w:r>
        <w:rPr>
          <w:rFonts w:hint="eastAsia" w:ascii="宋体" w:hAnsi="宋体" w:eastAsia="宋体" w:cs="宋体"/>
          <w:color w:val="auto"/>
          <w:sz w:val="24"/>
          <w:szCs w:val="24"/>
          <w:u w:val="single"/>
          <w:lang w:eastAsia="zh-CN"/>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14:paraId="454F4A29">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8.5</w:t>
      </w:r>
      <w:r>
        <w:rPr>
          <w:rFonts w:hint="eastAsia" w:ascii="宋体" w:hAnsi="宋体" w:eastAsia="宋体" w:cs="宋体"/>
          <w:color w:val="auto"/>
          <w:sz w:val="24"/>
          <w:szCs w:val="24"/>
          <w:lang w:eastAsia="zh-CN"/>
        </w:rPr>
        <w:t>当暂估价项目的内容、标准、要求在项目实施过程中得以深化、明确、固定后，按以下原则发包：</w:t>
      </w:r>
    </w:p>
    <w:p w14:paraId="7D4386FE">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（1）暂估价项目按工程、货物（指材料或工程设备，下同）的类别分类汇总的金额，达到必须招标规模标准的，由</w:t>
      </w:r>
      <w:r>
        <w:rPr>
          <w:rFonts w:hint="eastAsia" w:ascii="宋体" w:hAnsi="宋体" w:eastAsia="宋体" w:cs="宋体"/>
          <w:color w:val="auto"/>
          <w:sz w:val="24"/>
          <w:szCs w:val="24"/>
          <w:u w:val="single"/>
          <w:lang w:eastAsia="zh-CN"/>
        </w:rPr>
        <w:t>中标人招标，招标人参与管理</w:t>
      </w:r>
      <w:r>
        <w:rPr>
          <w:rFonts w:hint="eastAsia" w:ascii="宋体" w:hAnsi="宋体" w:eastAsia="宋体" w:cs="宋体"/>
          <w:color w:val="auto"/>
          <w:sz w:val="24"/>
          <w:szCs w:val="24"/>
          <w:lang w:eastAsia="zh-CN"/>
        </w:rPr>
        <w:t>，确定专业工程承包人（或材料、工程设备供应商）和合同价格。</w:t>
      </w:r>
    </w:p>
    <w:p w14:paraId="33954F43">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（2）暂估价项目按工程、货物的类别分类汇总的金额，未达到必须招标规模标准但适用政府采购规定的，按照政府采购规定确定专业工程承包人（或材料、工程设备供应商）和合同价格。</w:t>
      </w:r>
    </w:p>
    <w:p w14:paraId="1966F2FA">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6FAABD47">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（4）暂估价项目按工程、货物的类别分类汇总的金额，未达到必须招标规模标准也不适用政府采购规定，中标人既不具备相应资格条件又不具备分包权的，由招标人另行发包。</w:t>
      </w:r>
    </w:p>
    <w:p w14:paraId="51AC3840">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（5）暂估价项目由其他承包人承包的，纳入中标人的管理和协调范围，由其他承包人向中标人承担质量、安全、文明施工、工期责任，中标人向招标人承担责任。</w:t>
      </w:r>
    </w:p>
    <w:p w14:paraId="25A761FA">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8.6</w:t>
      </w:r>
      <w:r>
        <w:rPr>
          <w:rFonts w:hint="eastAsia" w:ascii="宋体" w:hAnsi="宋体" w:eastAsia="宋体" w:cs="宋体"/>
          <w:color w:val="auto"/>
          <w:sz w:val="24"/>
          <w:szCs w:val="24"/>
          <w:lang w:eastAsia="zh-CN"/>
        </w:rPr>
        <w:t>本工程以暂列金额形式列入招标工程量清单中的所需货物和服务的采购（以下统称“暂列金额项目”）若有发生，按照本节第</w:t>
      </w:r>
      <w:r>
        <w:rPr>
          <w:rFonts w:hint="eastAsia" w:ascii="宋体" w:hAnsi="宋体" w:eastAsia="宋体" w:cs="宋体"/>
          <w:b/>
          <w:bCs/>
          <w:color w:val="auto"/>
          <w:sz w:val="24"/>
          <w:szCs w:val="24"/>
          <w:lang w:eastAsia="zh-CN"/>
        </w:rPr>
        <w:t>8.</w:t>
      </w:r>
      <w:r>
        <w:rPr>
          <w:rFonts w:hint="eastAsia" w:ascii="宋体" w:hAnsi="宋体" w:eastAsia="宋体" w:cs="宋体"/>
          <w:b/>
          <w:bCs/>
          <w:color w:val="auto"/>
          <w:sz w:val="24"/>
          <w:szCs w:val="24"/>
          <w:lang w:val="en-US" w:eastAsia="zh-CN"/>
        </w:rPr>
        <w:t>4</w:t>
      </w:r>
      <w:r>
        <w:rPr>
          <w:rFonts w:hint="eastAsia" w:ascii="宋体" w:hAnsi="宋体" w:eastAsia="宋体" w:cs="宋体"/>
          <w:color w:val="auto"/>
          <w:sz w:val="24"/>
          <w:szCs w:val="24"/>
          <w:lang w:eastAsia="zh-CN"/>
        </w:rPr>
        <w:t>条的规定确定货物（或服务）供应商和合同价格。暂列金额项目由其他承包人承包的，纳入中标人的管理和协调范围，由其他承包人向中标人承担质量、安全、文明施工、工期责任，中标人向招标人承担责任。</w:t>
      </w:r>
    </w:p>
    <w:p w14:paraId="300D470B">
      <w:pPr>
        <w:pStyle w:val="3"/>
        <w:bidi w:val="0"/>
        <w:spacing w:line="360" w:lineRule="auto"/>
        <w:ind w:firstLine="482" w:firstLineChars="200"/>
        <w:rPr>
          <w:rFonts w:hint="eastAsia" w:ascii="宋体" w:hAnsi="宋体" w:eastAsia="宋体" w:cs="宋体"/>
          <w:color w:val="auto"/>
          <w:sz w:val="24"/>
          <w:szCs w:val="24"/>
          <w:lang w:eastAsia="zh-CN"/>
        </w:rPr>
      </w:pPr>
      <w:bookmarkStart w:id="42" w:name="_Toc22885"/>
      <w:r>
        <w:rPr>
          <w:rFonts w:hint="eastAsia" w:ascii="宋体" w:hAnsi="宋体" w:eastAsia="宋体" w:cs="宋体"/>
          <w:color w:val="auto"/>
          <w:sz w:val="24"/>
          <w:szCs w:val="24"/>
          <w:lang w:eastAsia="zh-CN"/>
        </w:rPr>
        <w:t>9．投标报价</w:t>
      </w:r>
      <w:bookmarkEnd w:id="42"/>
      <w:bookmarkStart w:id="43" w:name="_Hlt74498519"/>
      <w:bookmarkEnd w:id="43"/>
    </w:p>
    <w:p w14:paraId="5C2E208E">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9.1</w:t>
      </w:r>
      <w:r>
        <w:rPr>
          <w:rFonts w:hint="eastAsia" w:ascii="宋体" w:hAnsi="宋体" w:eastAsia="宋体" w:cs="宋体"/>
          <w:color w:val="auto"/>
          <w:sz w:val="24"/>
          <w:szCs w:val="24"/>
          <w:lang w:eastAsia="zh-CN"/>
        </w:rPr>
        <w:t>投标人应按照以下依据编制投标报价：</w:t>
      </w:r>
    </w:p>
    <w:p w14:paraId="36201FA0">
      <w:pPr>
        <w:spacing w:line="360" w:lineRule="auto"/>
        <w:ind w:firstLine="480" w:firstLineChars="200"/>
        <w:rPr>
          <w:rFonts w:hint="eastAsia" w:ascii="宋体" w:hAnsi="宋体" w:eastAsia="宋体" w:cs="宋体"/>
          <w:color w:val="auto"/>
          <w:sz w:val="24"/>
          <w:szCs w:val="24"/>
          <w:lang w:eastAsia="zh-CN"/>
        </w:rPr>
      </w:pPr>
      <w:bookmarkStart w:id="44" w:name="_Hlt69335755"/>
      <w:bookmarkEnd w:id="44"/>
      <w:r>
        <w:rPr>
          <w:rFonts w:hint="eastAsia" w:ascii="宋体" w:hAnsi="宋体" w:eastAsia="宋体" w:cs="宋体"/>
          <w:color w:val="auto"/>
          <w:sz w:val="24"/>
          <w:szCs w:val="24"/>
          <w:lang w:eastAsia="zh-CN"/>
        </w:rPr>
        <w:t>（1）《建设工程工程量清单计价规范》（GB50500—2013）；</w:t>
      </w:r>
    </w:p>
    <w:p w14:paraId="22EA02BF">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5985E6FB">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（3）企业定额；</w:t>
      </w:r>
    </w:p>
    <w:p w14:paraId="0CE6396A">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（4）招标文件及其答疑（或修改）公告；</w:t>
      </w:r>
    </w:p>
    <w:p w14:paraId="042D0508">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（5）概算书及相关资料；</w:t>
      </w:r>
    </w:p>
    <w:p w14:paraId="09DDA34E">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（6）施工现场情况、工程特点；</w:t>
      </w:r>
    </w:p>
    <w:p w14:paraId="00902F64">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（7）市场价格信息或项目所在地工程造价管理机构发布的工程造价信息；</w:t>
      </w:r>
    </w:p>
    <w:p w14:paraId="6ABF14CA">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（8）与建设项目相关的标准、规范、技术资料。</w:t>
      </w:r>
    </w:p>
    <w:p w14:paraId="4AA62ADF">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val="en-US" w:eastAsia="zh-CN"/>
        </w:rPr>
        <w:t>9.2</w:t>
      </w:r>
      <w:r>
        <w:rPr>
          <w:rFonts w:hint="eastAsia" w:ascii="宋体" w:hAnsi="宋体" w:eastAsia="宋体" w:cs="宋体"/>
          <w:color w:val="auto"/>
          <w:sz w:val="24"/>
          <w:szCs w:val="24"/>
          <w:lang w:eastAsia="zh-CN"/>
        </w:rPr>
        <w:t>投标人应根据有关要求、施工现场实际情况、本单位的企业定额和市场价格进行编制，自行报价，并承担一定范围风险费用。所谓“一定范围内的风险”是指合同约定的风险。</w:t>
      </w:r>
    </w:p>
    <w:p w14:paraId="6C20C549">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9.3</w:t>
      </w:r>
      <w:r>
        <w:rPr>
          <w:rFonts w:hint="eastAsia" w:ascii="宋体" w:hAnsi="宋体" w:eastAsia="宋体" w:cs="宋体"/>
          <w:color w:val="auto"/>
          <w:sz w:val="24"/>
          <w:szCs w:val="24"/>
          <w:lang w:eastAsia="zh-CN"/>
        </w:rPr>
        <w:t>招标人及招标代理机构不集中组织现场踏勘，投标人需要了解现场情况的，可自行进行现场踏勘。各投标人应勘察施工现场及周围环境、地形、地貌、水文、交通等情况，以获得一切可能影响到投标的直</w:t>
      </w:r>
      <w:bookmarkStart w:id="45" w:name="_Hlt66509056"/>
      <w:bookmarkEnd w:id="45"/>
      <w:r>
        <w:rPr>
          <w:rFonts w:hint="eastAsia" w:ascii="宋体" w:hAnsi="宋体" w:eastAsia="宋体" w:cs="宋体"/>
          <w:color w:val="auto"/>
          <w:sz w:val="24"/>
          <w:szCs w:val="24"/>
          <w:lang w:eastAsia="zh-CN"/>
        </w:rPr>
        <w:t>接资料。投标人应针对现场情况编制施工组织设计，并在编制投标报价时考虑现场情况的影响。</w:t>
      </w:r>
    </w:p>
    <w:p w14:paraId="3CE4C1A3">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9.</w:t>
      </w:r>
      <w:r>
        <w:rPr>
          <w:rFonts w:hint="eastAsia" w:ascii="宋体" w:hAnsi="宋体" w:eastAsia="宋体" w:cs="宋体"/>
          <w:b/>
          <w:bCs/>
          <w:color w:val="auto"/>
          <w:sz w:val="24"/>
          <w:szCs w:val="24"/>
          <w:lang w:val="en-US" w:eastAsia="zh-CN"/>
        </w:rPr>
        <w:t>4</w:t>
      </w:r>
      <w:r>
        <w:rPr>
          <w:rFonts w:hint="eastAsia" w:ascii="宋体" w:hAnsi="宋体" w:eastAsia="宋体" w:cs="宋体"/>
          <w:color w:val="auto"/>
          <w:sz w:val="24"/>
          <w:szCs w:val="24"/>
          <w:lang w:eastAsia="zh-CN"/>
        </w:rPr>
        <w:t>招标人向投标人提供的有关现场的数据和资料，是招标人现有的能被投标人利用的资料，招标人对投标人做出的任何推论、理解和结论均不负责任。</w:t>
      </w:r>
    </w:p>
    <w:p w14:paraId="31B06C36">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9.</w:t>
      </w:r>
      <w:r>
        <w:rPr>
          <w:rFonts w:hint="eastAsia" w:ascii="宋体" w:hAnsi="宋体" w:eastAsia="宋体" w:cs="宋体"/>
          <w:b/>
          <w:bCs/>
          <w:color w:val="auto"/>
          <w:sz w:val="24"/>
          <w:szCs w:val="24"/>
          <w:lang w:val="en-US" w:eastAsia="zh-CN"/>
        </w:rPr>
        <w:t>5</w:t>
      </w:r>
      <w:r>
        <w:rPr>
          <w:rFonts w:hint="eastAsia" w:ascii="宋体" w:hAnsi="宋体" w:eastAsia="宋体" w:cs="宋体"/>
          <w:color w:val="auto"/>
          <w:sz w:val="24"/>
          <w:szCs w:val="24"/>
          <w:lang w:eastAsia="zh-CN"/>
        </w:rPr>
        <w:t>所有报价均以人民币“元”为单位，并保留小数点后两位。</w:t>
      </w:r>
    </w:p>
    <w:p w14:paraId="25F18E74">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9.</w:t>
      </w:r>
      <w:r>
        <w:rPr>
          <w:rFonts w:hint="eastAsia" w:ascii="宋体" w:hAnsi="宋体" w:eastAsia="宋体" w:cs="宋体"/>
          <w:b/>
          <w:bCs/>
          <w:color w:val="auto"/>
          <w:sz w:val="24"/>
          <w:szCs w:val="24"/>
          <w:lang w:val="en-US" w:eastAsia="zh-CN"/>
        </w:rPr>
        <w:t>6</w:t>
      </w:r>
      <w:r>
        <w:rPr>
          <w:rFonts w:hint="eastAsia" w:ascii="宋体" w:hAnsi="宋体" w:eastAsia="宋体" w:cs="宋体"/>
          <w:color w:val="auto"/>
          <w:sz w:val="24"/>
          <w:szCs w:val="24"/>
          <w:lang w:eastAsia="zh-CN"/>
        </w:rPr>
        <w:t>投标人只允许有一个投标总价。投标总价必须同时用大、小写表示，大、小写报价应保持一致，若不一致，以大写报价为准。</w:t>
      </w:r>
    </w:p>
    <w:p w14:paraId="756078AE">
      <w:pPr>
        <w:spacing w:line="360" w:lineRule="auto"/>
        <w:ind w:firstLine="482" w:firstLineChars="200"/>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9.</w:t>
      </w:r>
      <w:r>
        <w:rPr>
          <w:rFonts w:hint="eastAsia" w:ascii="宋体" w:hAnsi="宋体" w:eastAsia="宋体" w:cs="宋体"/>
          <w:b/>
          <w:bCs/>
          <w:color w:val="auto"/>
          <w:sz w:val="24"/>
          <w:szCs w:val="24"/>
          <w:lang w:val="en-US" w:eastAsia="zh-CN"/>
        </w:rPr>
        <w:t>7</w:t>
      </w:r>
      <w:r>
        <w:rPr>
          <w:rFonts w:hint="eastAsia" w:ascii="宋体" w:hAnsi="宋体" w:eastAsia="宋体" w:cs="宋体"/>
          <w:color w:val="auto"/>
          <w:sz w:val="24"/>
          <w:szCs w:val="24"/>
          <w:lang w:eastAsia="zh-CN"/>
        </w:rPr>
        <w:t>投标人的投标总价不得高于招标控制价，也不得低于工程成本。投标人对投标总价的所有优惠（降价、让利等），均应当反映在具体清单项目或其综合单价的报价上。</w:t>
      </w:r>
      <w:r>
        <w:rPr>
          <w:rFonts w:hint="eastAsia" w:ascii="宋体" w:hAnsi="宋体" w:eastAsia="宋体" w:cs="宋体"/>
          <w:b/>
          <w:bCs/>
          <w:color w:val="auto"/>
          <w:sz w:val="24"/>
          <w:szCs w:val="24"/>
          <w:lang w:eastAsia="zh-CN"/>
        </w:rPr>
        <w:t>如果投标人的投标总价下浮率高于15%时，投标人必须在投标文件中专项作出详细合理的书面说明并提供以往类似工程详细成本分析报告供评标委员会审查。投标总价下浮率＝（1－投标总价÷招标控制价）×100%。</w:t>
      </w:r>
    </w:p>
    <w:p w14:paraId="35F24579">
      <w:pPr>
        <w:spacing w:line="360" w:lineRule="auto"/>
        <w:ind w:firstLine="482" w:firstLineChars="200"/>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eastAsia="zh-CN"/>
        </w:rPr>
        <w:t>9.</w:t>
      </w:r>
      <w:r>
        <w:rPr>
          <w:rFonts w:hint="eastAsia" w:ascii="宋体" w:hAnsi="宋体" w:eastAsia="宋体" w:cs="宋体"/>
          <w:b/>
          <w:bCs/>
          <w:color w:val="auto"/>
          <w:sz w:val="24"/>
          <w:szCs w:val="24"/>
          <w:lang w:val="en-US" w:eastAsia="zh-CN"/>
        </w:rPr>
        <w:t>8</w:t>
      </w:r>
      <w:r>
        <w:rPr>
          <w:rFonts w:hint="eastAsia" w:ascii="宋体" w:hAnsi="宋体" w:eastAsia="宋体" w:cs="宋体"/>
          <w:color w:val="auto"/>
          <w:sz w:val="24"/>
          <w:szCs w:val="24"/>
          <w:lang w:val="en-US" w:eastAsia="zh-CN"/>
        </w:rPr>
        <w:t>预算包干内容一般包括施工雨（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外运等，投标报价时，应按《广东省建设工程计价依据（2018）》规定的费率报价。</w:t>
      </w:r>
    </w:p>
    <w:p w14:paraId="00B583D2">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val="en-US" w:eastAsia="zh-CN"/>
        </w:rPr>
        <w:t>9.9</w:t>
      </w:r>
      <w:r>
        <w:rPr>
          <w:rFonts w:hint="eastAsia" w:ascii="宋体" w:hAnsi="宋体" w:eastAsia="宋体" w:cs="宋体"/>
          <w:color w:val="auto"/>
          <w:sz w:val="24"/>
          <w:szCs w:val="24"/>
          <w:lang w:eastAsia="zh-CN"/>
        </w:rPr>
        <w:t>招标代理费和评标专家酬劳的支付：本工程的招标代理费和评标专家酬劳由中标人支付，该费用不再另行报价，由投标人在投标报价时综合考虑在内。中标人在领取中标通知书前须向招标代理机构一次性支付（评标专家酬劳包括食宿费用、交通费、专家评审劳务费等。）</w:t>
      </w:r>
      <w:bookmarkStart w:id="46" w:name="_（十）投标文件的编制、包装、密封"/>
      <w:bookmarkEnd w:id="46"/>
    </w:p>
    <w:p w14:paraId="47A9F297">
      <w:pPr>
        <w:pStyle w:val="3"/>
        <w:bidi w:val="0"/>
        <w:spacing w:line="360" w:lineRule="auto"/>
        <w:ind w:firstLine="482" w:firstLineChars="200"/>
        <w:rPr>
          <w:rFonts w:hint="eastAsia" w:ascii="宋体" w:hAnsi="宋体" w:eastAsia="宋体" w:cs="宋体"/>
          <w:color w:val="auto"/>
          <w:sz w:val="24"/>
          <w:szCs w:val="24"/>
          <w:lang w:eastAsia="zh-CN"/>
        </w:rPr>
      </w:pPr>
      <w:bookmarkStart w:id="47" w:name="_Toc31661"/>
      <w:r>
        <w:rPr>
          <w:rFonts w:hint="eastAsia" w:ascii="宋体" w:hAnsi="宋体" w:eastAsia="宋体" w:cs="宋体"/>
          <w:color w:val="auto"/>
          <w:sz w:val="24"/>
          <w:szCs w:val="24"/>
          <w:lang w:eastAsia="zh-CN"/>
        </w:rPr>
        <w:t>10．投标文件的编制</w:t>
      </w:r>
      <w:bookmarkStart w:id="48" w:name="_Hlt69208262"/>
      <w:bookmarkEnd w:id="48"/>
      <w:bookmarkStart w:id="49" w:name="_Hlt69332370"/>
      <w:bookmarkEnd w:id="49"/>
      <w:r>
        <w:rPr>
          <w:rFonts w:hint="eastAsia" w:ascii="宋体" w:hAnsi="宋体" w:eastAsia="宋体" w:cs="宋体"/>
          <w:color w:val="auto"/>
          <w:sz w:val="24"/>
          <w:szCs w:val="24"/>
          <w:lang w:eastAsia="zh-CN"/>
        </w:rPr>
        <w:t>要求</w:t>
      </w:r>
      <w:bookmarkEnd w:id="47"/>
      <w:bookmarkStart w:id="50" w:name="_Hlt74497202"/>
      <w:bookmarkEnd w:id="50"/>
      <w:bookmarkStart w:id="51" w:name="_Hlt78768224"/>
      <w:bookmarkEnd w:id="51"/>
      <w:bookmarkStart w:id="52" w:name="_Hlt74495594"/>
      <w:bookmarkEnd w:id="52"/>
    </w:p>
    <w:p w14:paraId="1D752AF7">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10.1</w:t>
      </w:r>
      <w:r>
        <w:rPr>
          <w:rFonts w:hint="eastAsia" w:ascii="宋体" w:hAnsi="宋体" w:eastAsia="宋体" w:cs="宋体"/>
          <w:color w:val="auto"/>
          <w:sz w:val="24"/>
          <w:szCs w:val="24"/>
          <w:lang w:eastAsia="zh-CN"/>
        </w:rPr>
        <w:t>一般要求</w:t>
      </w:r>
    </w:p>
    <w:p w14:paraId="387147FA">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投标文件应按第六章投标文件格式规定的内容，投标人提交的投标文件应当使用招标文件所提供的投标文件全部格式。</w:t>
      </w:r>
    </w:p>
    <w:p w14:paraId="17A335F5">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10.1.1</w:t>
      </w:r>
      <w:r>
        <w:rPr>
          <w:rFonts w:hint="eastAsia" w:ascii="宋体" w:hAnsi="宋体" w:eastAsia="宋体" w:cs="宋体"/>
          <w:color w:val="auto"/>
          <w:sz w:val="24"/>
          <w:szCs w:val="24"/>
          <w:lang w:eastAsia="zh-CN"/>
        </w:rPr>
        <w:t>投标人必须响应招标文件，并在充分理解招标人提供的全部文件、资料及现场条件的基础上编制投标文件。因投标文件不符合招标文件的要求而造成的损失和后果，由投标人自行承担。</w:t>
      </w:r>
      <w:bookmarkStart w:id="53" w:name="_Hlt74496890"/>
      <w:bookmarkEnd w:id="53"/>
    </w:p>
    <w:p w14:paraId="3A6CEFCF">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10.1.2</w:t>
      </w:r>
      <w:r>
        <w:rPr>
          <w:rFonts w:hint="eastAsia" w:ascii="宋体" w:hAnsi="宋体" w:eastAsia="宋体" w:cs="宋体"/>
          <w:color w:val="auto"/>
          <w:sz w:val="24"/>
          <w:szCs w:val="24"/>
          <w:lang w:eastAsia="zh-CN"/>
        </w:rPr>
        <w:t>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https://ygp.gdzwfw.gov.cn/ggzy-portal/#/440200/index）交易指引。</w:t>
      </w:r>
    </w:p>
    <w:p w14:paraId="532E05D9">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10.1.3</w:t>
      </w:r>
      <w:r>
        <w:rPr>
          <w:rFonts w:hint="eastAsia" w:ascii="宋体" w:hAnsi="宋体" w:eastAsia="宋体" w:cs="宋体"/>
          <w:color w:val="auto"/>
          <w:sz w:val="24"/>
          <w:szCs w:val="24"/>
          <w:lang w:eastAsia="zh-CN"/>
        </w:rPr>
        <w:t>投标文件需按以下要求签字、盖章：电子投标文件：</w:t>
      </w:r>
    </w:p>
    <w:p w14:paraId="3B66B365">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10.1.3.1</w:t>
      </w:r>
      <w:r>
        <w:rPr>
          <w:rFonts w:hint="eastAsia" w:ascii="宋体" w:hAnsi="宋体" w:eastAsia="宋体" w:cs="宋体"/>
          <w:color w:val="auto"/>
          <w:sz w:val="24"/>
          <w:szCs w:val="24"/>
          <w:lang w:eastAsia="zh-CN"/>
        </w:rPr>
        <w:t>投标文件封面、组成内容中凡注明“签字”处由要求的人员签字或电子签章；凡注明“签字或盖章”处由要求的人员签字或盖其私章（电子印章）；凡注明“签字并盖执业印章”处由要求的人员签字并盖其执业印章。</w:t>
      </w:r>
    </w:p>
    <w:p w14:paraId="276B2ACB">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10.1.3.2</w:t>
      </w:r>
      <w:r>
        <w:rPr>
          <w:rFonts w:hint="eastAsia" w:ascii="宋体" w:hAnsi="宋体" w:eastAsia="宋体" w:cs="宋体"/>
          <w:color w:val="auto"/>
          <w:sz w:val="24"/>
          <w:szCs w:val="24"/>
          <w:lang w:eastAsia="zh-CN"/>
        </w:rPr>
        <w:t>投标文件封套、封面、组成内容中凡要求录入投标人名称且注明“盖单位章”处盖单位法人公章（电子印章）。</w:t>
      </w:r>
    </w:p>
    <w:p w14:paraId="711EC6C5">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10.1.3.3</w:t>
      </w:r>
      <w:r>
        <w:rPr>
          <w:rFonts w:hint="eastAsia" w:ascii="宋体" w:hAnsi="宋体" w:eastAsia="宋体" w:cs="宋体"/>
          <w:color w:val="auto"/>
          <w:sz w:val="24"/>
          <w:szCs w:val="24"/>
          <w:lang w:eastAsia="zh-CN"/>
        </w:rPr>
        <w:t>投标文件的签字均为签字人本人亲笔署名或签章（电子印章），其余部分的复印件无须另行签字、盖章。</w:t>
      </w:r>
    </w:p>
    <w:p w14:paraId="429503C8">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10.1.3.4</w:t>
      </w:r>
      <w:r>
        <w:rPr>
          <w:rFonts w:hint="eastAsia" w:ascii="宋体" w:hAnsi="宋体" w:eastAsia="宋体" w:cs="宋体"/>
          <w:color w:val="auto"/>
          <w:sz w:val="24"/>
          <w:szCs w:val="24"/>
          <w:lang w:eastAsia="zh-CN"/>
        </w:rPr>
        <w:t>联合体投标的，除《联合体协议书》外，由联合体牵头人按以上要求签字（电子印章）、盖章（电子印章）即可。</w:t>
      </w:r>
      <w:bookmarkStart w:id="54" w:name="_Toc274313880"/>
      <w:bookmarkStart w:id="55" w:name="_Toc257031159"/>
    </w:p>
    <w:p w14:paraId="521F300F">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10.2</w:t>
      </w:r>
      <w:r>
        <w:rPr>
          <w:rFonts w:hint="eastAsia" w:ascii="宋体" w:hAnsi="宋体" w:eastAsia="宋体" w:cs="宋体"/>
          <w:color w:val="auto"/>
          <w:sz w:val="24"/>
          <w:szCs w:val="24"/>
          <w:lang w:eastAsia="zh-CN"/>
        </w:rPr>
        <w:t>商务标书的编制要求</w:t>
      </w:r>
      <w:bookmarkEnd w:id="54"/>
      <w:bookmarkEnd w:id="55"/>
    </w:p>
    <w:p w14:paraId="7D17E2B5">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10.2.1</w:t>
      </w:r>
      <w:r>
        <w:rPr>
          <w:rFonts w:hint="eastAsia" w:ascii="宋体" w:hAnsi="宋体" w:eastAsia="宋体" w:cs="宋体"/>
          <w:color w:val="auto"/>
          <w:sz w:val="24"/>
          <w:szCs w:val="24"/>
          <w:lang w:eastAsia="zh-CN"/>
        </w:rPr>
        <w:t>商务标书包括但不限于以下内容：</w:t>
      </w:r>
    </w:p>
    <w:p w14:paraId="185D58AB">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（1）封面（格式一）；</w:t>
      </w:r>
    </w:p>
    <w:p w14:paraId="314FB73E">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（2）目录；</w:t>
      </w:r>
    </w:p>
    <w:p w14:paraId="4DDACB07">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（3）《投标函》（格式二）；</w:t>
      </w:r>
    </w:p>
    <w:p w14:paraId="3C45D676">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（4）《各项承诺一览表》（格式三）；</w:t>
      </w:r>
    </w:p>
    <w:p w14:paraId="49E9E559">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（5）《授权委托书》（格式四）；</w:t>
      </w:r>
    </w:p>
    <w:p w14:paraId="2672DDDE">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（6）《法定代表人身份证明》（格式五）；</w:t>
      </w:r>
    </w:p>
    <w:p w14:paraId="777ACE5B">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lang w:eastAsia="zh-CN"/>
        </w:rPr>
        <w:t>）投标保证缴纳证明（投标人采用投标保证金的，附建设工程交易系统《缴纳投标保证金通知书》页面截图打印件和银行转账单</w:t>
      </w:r>
      <w:r>
        <w:rPr>
          <w:rFonts w:hint="eastAsia" w:ascii="宋体" w:hAnsi="宋体" w:eastAsia="宋体" w:cs="宋体"/>
          <w:color w:val="auto"/>
          <w:sz w:val="24"/>
          <w:szCs w:val="24"/>
          <w:lang w:val="en-US" w:eastAsia="zh-CN"/>
        </w:rPr>
        <w:t>彩色扫描件</w:t>
      </w:r>
      <w:r>
        <w:rPr>
          <w:rFonts w:hint="eastAsia" w:ascii="宋体" w:hAnsi="宋体" w:eastAsia="宋体" w:cs="宋体"/>
          <w:color w:val="auto"/>
          <w:sz w:val="24"/>
          <w:szCs w:val="24"/>
          <w:lang w:eastAsia="zh-CN"/>
        </w:rPr>
        <w:t>；采用投标保证担保的，附银行保函</w:t>
      </w:r>
      <w:r>
        <w:rPr>
          <w:rFonts w:hint="eastAsia" w:ascii="宋体" w:hAnsi="宋体" w:eastAsia="宋体" w:cs="宋体"/>
          <w:color w:val="auto"/>
          <w:sz w:val="24"/>
          <w:szCs w:val="24"/>
          <w:lang w:val="en-US" w:eastAsia="zh-CN"/>
        </w:rPr>
        <w:t>彩色扫描件</w:t>
      </w:r>
      <w:r>
        <w:rPr>
          <w:rFonts w:hint="eastAsia" w:ascii="宋体" w:hAnsi="宋体" w:eastAsia="宋体" w:cs="宋体"/>
          <w:color w:val="auto"/>
          <w:sz w:val="24"/>
          <w:szCs w:val="24"/>
          <w:lang w:eastAsia="zh-CN"/>
        </w:rPr>
        <w:t>；采用投标保证保险的，附电子保单</w:t>
      </w:r>
      <w:r>
        <w:rPr>
          <w:rFonts w:hint="eastAsia" w:ascii="宋体" w:hAnsi="宋体" w:eastAsia="宋体" w:cs="宋体"/>
          <w:color w:val="auto"/>
          <w:sz w:val="24"/>
          <w:szCs w:val="24"/>
          <w:lang w:val="en-US" w:eastAsia="zh-CN"/>
        </w:rPr>
        <w:t>和《韶关市公共资源交易一体化平台保证金缴纳信息》页面截图</w:t>
      </w:r>
      <w:r>
        <w:rPr>
          <w:rFonts w:hint="eastAsia" w:ascii="宋体" w:hAnsi="宋体" w:eastAsia="宋体" w:cs="宋体"/>
          <w:color w:val="auto"/>
          <w:sz w:val="24"/>
          <w:szCs w:val="24"/>
          <w:lang w:eastAsia="zh-CN"/>
        </w:rPr>
        <w:t>）；</w:t>
      </w:r>
    </w:p>
    <w:p w14:paraId="4AE6E3A5">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lang w:eastAsia="zh-CN"/>
        </w:rPr>
        <w:t>）《投标人基本情况表》（格式六）及所附资料；</w:t>
      </w:r>
    </w:p>
    <w:p w14:paraId="5969B022">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lang w:eastAsia="zh-CN"/>
        </w:rPr>
        <w:t>）《项目经理简历表》（格式七）及所附资料；</w:t>
      </w:r>
    </w:p>
    <w:p w14:paraId="360B7CFB">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lang w:eastAsia="zh-CN"/>
        </w:rPr>
        <w:t>）《项目经理任职声明》（格式八）；</w:t>
      </w:r>
    </w:p>
    <w:p w14:paraId="46B3DA8E">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）《项目技术负责人简历表》（格式九）及所附资料；</w:t>
      </w:r>
    </w:p>
    <w:p w14:paraId="788DFAA6">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）《项目管理机构组成表》（格式十）及所附资料；</w:t>
      </w:r>
    </w:p>
    <w:p w14:paraId="1F61AB34">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）本节第15.5.1目“评标方法”要求提供的评审资料；</w:t>
      </w:r>
    </w:p>
    <w:p w14:paraId="676898C8">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）投标人认为有必要补充的其他资料。（例如投标人已经工商变更，但其企业资质证书、安全生产许可证或其员工执业资格注册证书上的企业名称未能在投标期间完成变更的书面说明和佐证材料</w:t>
      </w:r>
      <w:r>
        <w:rPr>
          <w:rFonts w:hint="eastAsia" w:ascii="宋体" w:hAnsi="宋体" w:eastAsia="宋体" w:cs="宋体"/>
          <w:color w:val="auto"/>
          <w:sz w:val="24"/>
          <w:szCs w:val="24"/>
          <w:lang w:val="en-US" w:eastAsia="zh-CN"/>
        </w:rPr>
        <w:t>等</w:t>
      </w:r>
      <w:r>
        <w:rPr>
          <w:rFonts w:hint="eastAsia" w:ascii="宋体" w:hAnsi="宋体" w:eastAsia="宋体" w:cs="宋体"/>
          <w:color w:val="auto"/>
          <w:sz w:val="24"/>
          <w:szCs w:val="24"/>
          <w:lang w:eastAsia="zh-CN"/>
        </w:rPr>
        <w:t>）</w:t>
      </w:r>
    </w:p>
    <w:p w14:paraId="368FF626">
      <w:pPr>
        <w:spacing w:line="360" w:lineRule="auto"/>
        <w:ind w:firstLine="482" w:firstLineChars="200"/>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10.2.2</w:t>
      </w:r>
      <w:r>
        <w:rPr>
          <w:rFonts w:hint="eastAsia" w:ascii="宋体" w:hAnsi="宋体" w:eastAsia="宋体" w:cs="宋体"/>
          <w:color w:val="auto"/>
          <w:sz w:val="24"/>
          <w:szCs w:val="24"/>
          <w:lang w:eastAsia="zh-CN"/>
        </w:rPr>
        <w:t>本节第10.2.1目中所列出的商务标书组成内容中，第（1）至第（13）项所有投标人均应提供</w:t>
      </w:r>
      <w:r>
        <w:rPr>
          <w:rFonts w:hint="eastAsia" w:ascii="宋体" w:hAnsi="宋体" w:eastAsia="宋体" w:cs="宋体"/>
          <w:b w:val="0"/>
          <w:bCs w:val="0"/>
          <w:color w:val="auto"/>
          <w:sz w:val="24"/>
          <w:szCs w:val="24"/>
          <w:lang w:eastAsia="zh-CN"/>
        </w:rPr>
        <w:t>。</w:t>
      </w:r>
    </w:p>
    <w:p w14:paraId="165E7A94">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10.2.</w:t>
      </w:r>
      <w:r>
        <w:rPr>
          <w:rFonts w:hint="eastAsia" w:ascii="宋体" w:hAnsi="宋体" w:eastAsia="宋体" w:cs="宋体"/>
          <w:b/>
          <w:bCs/>
          <w:color w:val="auto"/>
          <w:sz w:val="24"/>
          <w:szCs w:val="24"/>
          <w:lang w:val="en-US" w:eastAsia="zh-CN"/>
        </w:rPr>
        <w:t>3</w:t>
      </w:r>
      <w:r>
        <w:rPr>
          <w:rFonts w:hint="eastAsia" w:ascii="宋体" w:hAnsi="宋体" w:eastAsia="宋体" w:cs="宋体"/>
          <w:color w:val="auto"/>
          <w:sz w:val="24"/>
          <w:szCs w:val="24"/>
          <w:lang w:eastAsia="zh-CN"/>
        </w:rPr>
        <w:t>商务标书的组成内容按本节第10.2.1目规定的顺序整理、编排后，逐页连续标记页码。</w:t>
      </w:r>
      <w:bookmarkStart w:id="56" w:name="_Hlt69670029"/>
      <w:bookmarkEnd w:id="56"/>
      <w:bookmarkStart w:id="57" w:name="_Hlt87783273"/>
      <w:bookmarkEnd w:id="57"/>
      <w:bookmarkStart w:id="58" w:name="_Toc274313881"/>
    </w:p>
    <w:bookmarkEnd w:id="58"/>
    <w:p w14:paraId="0796C725">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10.</w:t>
      </w:r>
      <w:r>
        <w:rPr>
          <w:rFonts w:hint="eastAsia" w:ascii="宋体" w:hAnsi="宋体" w:eastAsia="宋体" w:cs="宋体"/>
          <w:b/>
          <w:bCs/>
          <w:color w:val="auto"/>
          <w:sz w:val="24"/>
          <w:szCs w:val="24"/>
          <w:lang w:val="en-US" w:eastAsia="zh-CN"/>
        </w:rPr>
        <w:t>3</w:t>
      </w:r>
      <w:r>
        <w:rPr>
          <w:rFonts w:hint="eastAsia" w:ascii="宋体" w:hAnsi="宋体" w:eastAsia="宋体" w:cs="宋体"/>
          <w:color w:val="auto"/>
          <w:sz w:val="24"/>
          <w:szCs w:val="24"/>
          <w:lang w:eastAsia="zh-CN"/>
        </w:rPr>
        <w:t>施工组织设计的编制要求</w:t>
      </w:r>
    </w:p>
    <w:p w14:paraId="2235A635">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10.</w:t>
      </w: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lang w:eastAsia="zh-CN"/>
        </w:rPr>
        <w:t>.1</w:t>
      </w:r>
      <w:r>
        <w:rPr>
          <w:rFonts w:hint="eastAsia" w:ascii="宋体" w:hAnsi="宋体" w:eastAsia="宋体" w:cs="宋体"/>
          <w:color w:val="auto"/>
          <w:sz w:val="24"/>
          <w:szCs w:val="24"/>
          <w:lang w:eastAsia="zh-CN"/>
        </w:rPr>
        <w:t>施工组织设计的编制依据包括且不限于：</w:t>
      </w:r>
    </w:p>
    <w:p w14:paraId="7AC9069C">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（1）招标文件及其答疑（或修改）公告；</w:t>
      </w:r>
    </w:p>
    <w:p w14:paraId="3334983E">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（2）概算书及相关资料；</w:t>
      </w:r>
    </w:p>
    <w:p w14:paraId="21985E53">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（3）施工现场情况、工程特点；</w:t>
      </w:r>
    </w:p>
    <w:p w14:paraId="606539D3">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（4）相关法律、法规、规定；</w:t>
      </w:r>
    </w:p>
    <w:p w14:paraId="0231B20F">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5D04C4E5">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（6）企业内部标准、工法。</w:t>
      </w:r>
    </w:p>
    <w:p w14:paraId="10E99715">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10.</w:t>
      </w: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lang w:eastAsia="zh-CN"/>
        </w:rPr>
        <w:t>.2</w:t>
      </w:r>
      <w:r>
        <w:rPr>
          <w:rFonts w:hint="eastAsia" w:ascii="宋体" w:hAnsi="宋体" w:eastAsia="宋体" w:cs="宋体"/>
          <w:color w:val="auto"/>
          <w:sz w:val="24"/>
          <w:szCs w:val="24"/>
          <w:lang w:eastAsia="zh-CN"/>
        </w:rPr>
        <w:t>施工组织设计包括但不限于以下内容：</w:t>
      </w:r>
    </w:p>
    <w:p w14:paraId="4895B205">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（1）封面（格式一）；</w:t>
      </w:r>
    </w:p>
    <w:p w14:paraId="741D56E5">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（2）目录；</w:t>
      </w:r>
    </w:p>
    <w:p w14:paraId="7BFCDCA8">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（3）总体概述；</w:t>
      </w:r>
    </w:p>
    <w:p w14:paraId="44A2D51C">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（4）施工总进度计划及保证措施；</w:t>
      </w:r>
    </w:p>
    <w:p w14:paraId="36468C7A">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（5）质量保证措施；</w:t>
      </w:r>
    </w:p>
    <w:p w14:paraId="6AAD5C09">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（6）施工技术措施；</w:t>
      </w:r>
    </w:p>
    <w:p w14:paraId="33023A50">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（7）绿色施工、安全防护、文明施工措施计划</w:t>
      </w:r>
      <w:r>
        <w:rPr>
          <w:rFonts w:hint="eastAsia" w:ascii="宋体" w:hAnsi="宋体" w:eastAsia="宋体" w:cs="宋体"/>
          <w:b w:val="0"/>
          <w:bCs w:val="0"/>
          <w:color w:val="auto"/>
          <w:sz w:val="24"/>
          <w:szCs w:val="24"/>
          <w:lang w:eastAsia="zh-CN"/>
        </w:rPr>
        <w:t>；</w:t>
      </w:r>
    </w:p>
    <w:p w14:paraId="391C9E37">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（8）施工现场总平面布置；</w:t>
      </w:r>
    </w:p>
    <w:p w14:paraId="39F76AEB">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（9）项目管理机构；</w:t>
      </w:r>
    </w:p>
    <w:p w14:paraId="4C9BC1CD">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（10）投标人认为有必要补充的其他内容。</w:t>
      </w:r>
    </w:p>
    <w:p w14:paraId="60A651C9">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10.</w:t>
      </w: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lang w:eastAsia="zh-CN"/>
        </w:rPr>
        <w:t>.3</w:t>
      </w:r>
      <w:r>
        <w:rPr>
          <w:rFonts w:hint="eastAsia" w:ascii="宋体" w:hAnsi="宋体" w:eastAsia="宋体" w:cs="宋体"/>
          <w:color w:val="auto"/>
          <w:sz w:val="24"/>
          <w:szCs w:val="24"/>
          <w:lang w:eastAsia="zh-CN"/>
        </w:rPr>
        <w:t>本节第</w:t>
      </w:r>
      <w:r>
        <w:rPr>
          <w:rFonts w:hint="eastAsia" w:ascii="宋体" w:hAnsi="宋体" w:eastAsia="宋体" w:cs="宋体"/>
          <w:b/>
          <w:bCs/>
          <w:color w:val="auto"/>
          <w:sz w:val="24"/>
          <w:szCs w:val="24"/>
          <w:lang w:eastAsia="zh-CN"/>
        </w:rPr>
        <w:t>10.</w:t>
      </w: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lang w:eastAsia="zh-CN"/>
        </w:rPr>
        <w:t>.2</w:t>
      </w:r>
      <w:r>
        <w:rPr>
          <w:rFonts w:hint="eastAsia" w:ascii="宋体" w:hAnsi="宋体" w:eastAsia="宋体" w:cs="宋体"/>
          <w:color w:val="auto"/>
          <w:sz w:val="24"/>
          <w:szCs w:val="24"/>
          <w:lang w:eastAsia="zh-CN"/>
        </w:rPr>
        <w:t>目中所列出的施工组织设计组成内容中，第（1）至第（9）项所有投标人均应提供。</w:t>
      </w:r>
    </w:p>
    <w:p w14:paraId="1DBA5DBC">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10.</w:t>
      </w: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4</w:t>
      </w:r>
      <w:r>
        <w:rPr>
          <w:rFonts w:hint="eastAsia" w:ascii="宋体" w:hAnsi="宋体" w:eastAsia="宋体" w:cs="宋体"/>
          <w:color w:val="auto"/>
          <w:sz w:val="24"/>
          <w:szCs w:val="24"/>
          <w:lang w:eastAsia="zh-CN"/>
        </w:rPr>
        <w:t>施工组织设计的组成内容按本节第</w:t>
      </w:r>
      <w:r>
        <w:rPr>
          <w:rFonts w:hint="eastAsia" w:ascii="宋体" w:hAnsi="宋体" w:eastAsia="宋体" w:cs="宋体"/>
          <w:b/>
          <w:bCs/>
          <w:color w:val="auto"/>
          <w:sz w:val="24"/>
          <w:szCs w:val="24"/>
          <w:lang w:eastAsia="zh-CN"/>
        </w:rPr>
        <w:t>10.</w:t>
      </w: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lang w:eastAsia="zh-CN"/>
        </w:rPr>
        <w:t>.2</w:t>
      </w:r>
      <w:r>
        <w:rPr>
          <w:rFonts w:hint="eastAsia" w:ascii="宋体" w:hAnsi="宋体" w:eastAsia="宋体" w:cs="宋体"/>
          <w:color w:val="auto"/>
          <w:sz w:val="24"/>
          <w:szCs w:val="24"/>
          <w:lang w:eastAsia="zh-CN"/>
        </w:rPr>
        <w:t>目规定的顺序整理、编排后，逐页连续标记页码。</w:t>
      </w:r>
    </w:p>
    <w:p w14:paraId="4F7BD3B0">
      <w:pPr>
        <w:pStyle w:val="3"/>
        <w:bidi w:val="0"/>
        <w:spacing w:line="360" w:lineRule="auto"/>
        <w:ind w:firstLine="482" w:firstLineChars="200"/>
        <w:rPr>
          <w:rFonts w:hint="eastAsia" w:ascii="宋体" w:hAnsi="宋体" w:eastAsia="宋体" w:cs="宋体"/>
          <w:color w:val="auto"/>
          <w:sz w:val="24"/>
          <w:szCs w:val="24"/>
          <w:lang w:eastAsia="zh-CN"/>
        </w:rPr>
      </w:pPr>
      <w:bookmarkStart w:id="59" w:name="_Toc21745"/>
      <w:r>
        <w:rPr>
          <w:rFonts w:hint="eastAsia" w:ascii="宋体" w:hAnsi="宋体" w:eastAsia="宋体" w:cs="宋体"/>
          <w:color w:val="auto"/>
          <w:sz w:val="24"/>
          <w:szCs w:val="24"/>
          <w:lang w:eastAsia="zh-CN"/>
        </w:rPr>
        <w:t>11．电子投标</w:t>
      </w:r>
      <w:bookmarkEnd w:id="59"/>
    </w:p>
    <w:p w14:paraId="041197C1">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11.1</w:t>
      </w:r>
      <w:r>
        <w:rPr>
          <w:rFonts w:hint="eastAsia" w:ascii="宋体" w:hAnsi="宋体" w:eastAsia="宋体" w:cs="宋体"/>
          <w:color w:val="auto"/>
          <w:sz w:val="24"/>
          <w:szCs w:val="24"/>
          <w:lang w:eastAsia="zh-CN"/>
        </w:rPr>
        <w:t>在建设工程交易系统上传加盖了电子印章的投标文件、录入相关信息及标书页码信息，（页码起始从封面开始）并提交投标标书。提交标书为已加密投标文件。具体操作参照《韶关市公共资源建设工程交易系统-投标人操作指南（电子评标）》。本项目评标采用全流程电子化进行招标投标（投标人应根据韶关市公共资源建设工程交易系统进行编辑投标相关内容、按招标文件电子投标要求上传已加盖电子印章投标文件，否则将自行承担不利后果）。投标文件完成上传后，投标人应使用CA数字证书对投标文件进行文件加密，形成加密的投标文件并提交标书。</w:t>
      </w:r>
    </w:p>
    <w:p w14:paraId="411CD4BE">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11.2</w:t>
      </w:r>
      <w:r>
        <w:rPr>
          <w:rFonts w:hint="eastAsia" w:ascii="宋体" w:hAnsi="宋体" w:eastAsia="宋体" w:cs="宋体"/>
          <w:color w:val="auto"/>
          <w:sz w:val="24"/>
          <w:szCs w:val="24"/>
          <w:lang w:eastAsia="zh-CN"/>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5AD5832F">
      <w:pPr>
        <w:pStyle w:val="3"/>
        <w:bidi w:val="0"/>
        <w:spacing w:line="360" w:lineRule="auto"/>
        <w:ind w:firstLine="482" w:firstLineChars="200"/>
        <w:rPr>
          <w:rFonts w:hint="eastAsia" w:ascii="宋体" w:hAnsi="宋体" w:eastAsia="宋体" w:cs="宋体"/>
          <w:color w:val="auto"/>
          <w:sz w:val="24"/>
          <w:szCs w:val="24"/>
          <w:lang w:eastAsia="zh-CN"/>
        </w:rPr>
      </w:pPr>
      <w:bookmarkStart w:id="60" w:name="_Toc28926"/>
      <w:r>
        <w:rPr>
          <w:rFonts w:hint="eastAsia" w:ascii="宋体" w:hAnsi="宋体" w:eastAsia="宋体" w:cs="宋体"/>
          <w:color w:val="auto"/>
          <w:sz w:val="24"/>
          <w:szCs w:val="24"/>
          <w:lang w:eastAsia="zh-CN"/>
        </w:rPr>
        <w:t>12．电子投标及投标解密失败及突发情况的补救方案</w:t>
      </w:r>
      <w:bookmarkEnd w:id="60"/>
    </w:p>
    <w:p w14:paraId="0431DAA0">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12.1</w:t>
      </w:r>
      <w:r>
        <w:rPr>
          <w:rFonts w:hint="eastAsia" w:ascii="宋体" w:hAnsi="宋体" w:eastAsia="宋体" w:cs="宋体"/>
          <w:color w:val="auto"/>
          <w:sz w:val="24"/>
          <w:szCs w:val="24"/>
          <w:lang w:eastAsia="zh-CN"/>
        </w:rPr>
        <w:t>按照交易平台关于全流程电子化项目的相关指南进行操作。详见：全国公共资源交易平台（广东省·韶关市）（https://ygp.gdzwfw.gov.cn/ggzy-portal/#/440200/index）服务指南栏目发布的最新版操作指引。</w:t>
      </w:r>
    </w:p>
    <w:p w14:paraId="723E7247">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12.2</w:t>
      </w:r>
      <w:r>
        <w:rPr>
          <w:rFonts w:hint="eastAsia" w:ascii="宋体" w:hAnsi="宋体" w:eastAsia="宋体" w:cs="宋体"/>
          <w:color w:val="auto"/>
          <w:sz w:val="24"/>
          <w:szCs w:val="24"/>
          <w:lang w:eastAsia="zh-CN"/>
        </w:rPr>
        <w:t>补救方案：</w:t>
      </w:r>
    </w:p>
    <w:p w14:paraId="0994460D">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12.2.1</w:t>
      </w:r>
      <w:r>
        <w:rPr>
          <w:rFonts w:hint="eastAsia" w:ascii="宋体" w:hAnsi="宋体" w:eastAsia="宋体" w:cs="宋体"/>
          <w:color w:val="auto"/>
          <w:sz w:val="24"/>
          <w:szCs w:val="24"/>
          <w:lang w:eastAsia="zh-CN"/>
        </w:rPr>
        <w:t>投标文件解密失败的补救方案：</w:t>
      </w:r>
    </w:p>
    <w:p w14:paraId="2BBACAE7">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w:t>
      </w:r>
      <w:bookmarkStart w:id="61" w:name="bookmark122"/>
      <w:bookmarkEnd w:id="61"/>
      <w:r>
        <w:rPr>
          <w:rFonts w:hint="eastAsia" w:ascii="宋体" w:hAnsi="宋体" w:eastAsia="宋体" w:cs="宋体"/>
          <w:color w:val="auto"/>
          <w:sz w:val="24"/>
          <w:szCs w:val="24"/>
          <w:lang w:eastAsia="zh-CN"/>
        </w:rPr>
        <w:t>重新提交投标文件继续开标程序。</w:t>
      </w:r>
    </w:p>
    <w:p w14:paraId="0507B960">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12.2.2</w:t>
      </w:r>
      <w:r>
        <w:rPr>
          <w:rFonts w:hint="eastAsia" w:ascii="宋体" w:hAnsi="宋体" w:eastAsia="宋体" w:cs="宋体"/>
          <w:color w:val="auto"/>
          <w:sz w:val="24"/>
          <w:szCs w:val="24"/>
          <w:lang w:eastAsia="zh-CN"/>
        </w:rPr>
        <w:t>评标时突发情况的补救方案</w:t>
      </w:r>
    </w:p>
    <w:p w14:paraId="55838836">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50029DF1">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12.2.3</w:t>
      </w:r>
      <w:r>
        <w:rPr>
          <w:rFonts w:hint="eastAsia" w:ascii="宋体" w:hAnsi="宋体" w:eastAsia="宋体" w:cs="宋体"/>
          <w:color w:val="auto"/>
          <w:sz w:val="24"/>
          <w:szCs w:val="24"/>
          <w:lang w:eastAsia="zh-CN"/>
        </w:rPr>
        <w:t>除发生上述情况外，开标评标均以投标人（联合体投标的，由联合体牵头人）通过交易平台网上递交的电子投标文件为准。</w:t>
      </w:r>
    </w:p>
    <w:p w14:paraId="509C43CE">
      <w:pPr>
        <w:pStyle w:val="3"/>
        <w:bidi w:val="0"/>
        <w:spacing w:line="360" w:lineRule="auto"/>
        <w:ind w:firstLine="482" w:firstLineChars="200"/>
        <w:rPr>
          <w:rFonts w:hint="eastAsia" w:ascii="宋体" w:hAnsi="宋体" w:eastAsia="宋体" w:cs="宋体"/>
          <w:color w:val="auto"/>
          <w:sz w:val="24"/>
          <w:szCs w:val="24"/>
          <w:lang w:eastAsia="zh-CN"/>
        </w:rPr>
      </w:pPr>
      <w:bookmarkStart w:id="62" w:name="_Toc11446"/>
      <w:r>
        <w:rPr>
          <w:rFonts w:hint="eastAsia" w:ascii="宋体" w:hAnsi="宋体" w:eastAsia="宋体" w:cs="宋体"/>
          <w:color w:val="auto"/>
          <w:sz w:val="24"/>
          <w:szCs w:val="24"/>
          <w:lang w:eastAsia="zh-CN"/>
        </w:rPr>
        <w:t>1</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．投标文件的递交</w:t>
      </w:r>
      <w:bookmarkEnd w:id="62"/>
    </w:p>
    <w:p w14:paraId="1D7C6E7C">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val="en-US" w:eastAsia="zh-CN"/>
        </w:rPr>
        <w:t>13.1</w:t>
      </w:r>
      <w:r>
        <w:rPr>
          <w:rFonts w:hint="eastAsia" w:ascii="宋体" w:hAnsi="宋体" w:eastAsia="宋体" w:cs="宋体"/>
          <w:color w:val="auto"/>
          <w:sz w:val="24"/>
          <w:szCs w:val="24"/>
          <w:lang w:eastAsia="zh-CN"/>
        </w:rPr>
        <w:t>在投标文件提交截止时间前，投标人通过全国公共资源交易平台（广东省·韶关市）提交已加密投标文件。逾期提交的电子投标文件，全国公共资源交易平台（广东省·韶关市）将予以拒收。</w:t>
      </w:r>
    </w:p>
    <w:p w14:paraId="0341956C">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w:t>
      </w: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lang w:eastAsia="zh-CN"/>
        </w:rPr>
        <w:t>.2</w:t>
      </w:r>
      <w:r>
        <w:rPr>
          <w:rFonts w:hint="eastAsia" w:ascii="宋体" w:hAnsi="宋体" w:eastAsia="宋体" w:cs="宋体"/>
          <w:color w:val="auto"/>
          <w:sz w:val="24"/>
          <w:szCs w:val="24"/>
          <w:lang w:eastAsia="zh-CN"/>
        </w:rPr>
        <w:t>提交电子投标文件截止时间：见本章第二节“重要事项时间地点一览表”</w:t>
      </w:r>
    </w:p>
    <w:p w14:paraId="199AF000">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w:t>
      </w: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lang w:eastAsia="zh-CN"/>
        </w:rPr>
        <w:t>.3</w:t>
      </w:r>
      <w:r>
        <w:rPr>
          <w:rFonts w:hint="eastAsia" w:ascii="宋体" w:hAnsi="宋体" w:eastAsia="宋体" w:cs="宋体"/>
          <w:color w:val="auto"/>
          <w:sz w:val="24"/>
          <w:szCs w:val="24"/>
          <w:lang w:eastAsia="zh-CN"/>
        </w:rPr>
        <w:t>递交时间和地点：投标人如有招标文件要求提交的用于评审的证书、证件、证明原件（附一式两份清单），由投标人法定代表人或其委托代理人在指定的时间和地点递交（见“重要事项时间地点一览表”）。</w:t>
      </w:r>
    </w:p>
    <w:p w14:paraId="19959264">
      <w:pPr>
        <w:spacing w:line="360" w:lineRule="auto"/>
        <w:ind w:firstLine="482" w:firstLineChars="200"/>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13.4</w:t>
      </w:r>
      <w:r>
        <w:rPr>
          <w:rFonts w:hint="eastAsia" w:ascii="宋体" w:hAnsi="宋体" w:eastAsia="宋体" w:cs="宋体"/>
          <w:color w:val="auto"/>
          <w:sz w:val="24"/>
          <w:szCs w:val="24"/>
          <w:lang w:val="en-US" w:eastAsia="zh-CN"/>
        </w:rPr>
        <w:t>代理机构对因不可抗力事件造成的投标文件的损坏、丢失的，不承担责任。</w:t>
      </w:r>
    </w:p>
    <w:p w14:paraId="7CA9CAE3">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val="en-US" w:eastAsia="zh-CN"/>
        </w:rPr>
        <w:t>13.5</w:t>
      </w:r>
      <w:r>
        <w:rPr>
          <w:rFonts w:hint="eastAsia" w:ascii="宋体" w:hAnsi="宋体" w:eastAsia="宋体" w:cs="宋体"/>
          <w:color w:val="auto"/>
          <w:sz w:val="24"/>
          <w:szCs w:val="24"/>
          <w:lang w:eastAsia="zh-CN"/>
        </w:rPr>
        <w:t>出现下述情形之一，属于未成功提交投标文件，按无效投标处理：</w:t>
      </w:r>
    </w:p>
    <w:p w14:paraId="331455C5">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（1）至提交投标文件截止时，投标文件未完整上传或未提交</w:t>
      </w:r>
      <w:r>
        <w:rPr>
          <w:rFonts w:hint="eastAsia" w:ascii="宋体" w:hAnsi="宋体" w:eastAsia="宋体" w:cs="宋体"/>
          <w:color w:val="auto"/>
          <w:sz w:val="24"/>
          <w:szCs w:val="24"/>
          <w:lang w:val="en-US" w:eastAsia="zh-CN"/>
        </w:rPr>
        <w:t>标书</w:t>
      </w:r>
      <w:r>
        <w:rPr>
          <w:rFonts w:hint="eastAsia" w:ascii="宋体" w:hAnsi="宋体" w:eastAsia="宋体" w:cs="宋体"/>
          <w:color w:val="auto"/>
          <w:sz w:val="24"/>
          <w:szCs w:val="24"/>
          <w:lang w:eastAsia="zh-CN"/>
        </w:rPr>
        <w:t>。</w:t>
      </w:r>
    </w:p>
    <w:p w14:paraId="33358A19">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（2）解密失败且在规定时间内未重新提交投标文件的；</w:t>
      </w:r>
    </w:p>
    <w:p w14:paraId="37F48471">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（3）投标文件损坏或格式不正确的</w:t>
      </w:r>
      <w:r>
        <w:rPr>
          <w:rFonts w:hint="eastAsia" w:ascii="宋体" w:hAnsi="宋体" w:eastAsia="宋体" w:cs="宋体"/>
          <w:color w:val="auto"/>
          <w:sz w:val="24"/>
          <w:szCs w:val="24"/>
          <w:lang w:val="en-US" w:eastAsia="zh-CN"/>
        </w:rPr>
        <w:t>。</w:t>
      </w:r>
    </w:p>
    <w:p w14:paraId="486FACAB">
      <w:pPr>
        <w:spacing w:line="360" w:lineRule="auto"/>
        <w:ind w:firstLine="482" w:firstLineChars="200"/>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13.6</w:t>
      </w:r>
      <w:r>
        <w:rPr>
          <w:rFonts w:hint="eastAsia" w:ascii="宋体" w:hAnsi="宋体" w:eastAsia="宋体" w:cs="宋体"/>
          <w:color w:val="auto"/>
          <w:sz w:val="24"/>
          <w:szCs w:val="24"/>
          <w:lang w:val="en-US" w:eastAsia="zh-CN"/>
        </w:rPr>
        <w:t>招标人或其授权的招标代理机构核对、接收投标人递交的投标相关资料后，应向投标人出具标明签收人和签收时间的凭证，并妥善保管。</w:t>
      </w:r>
    </w:p>
    <w:p w14:paraId="09B8CB05">
      <w:pPr>
        <w:spacing w:line="360" w:lineRule="auto"/>
        <w:ind w:firstLine="482" w:firstLineChars="200"/>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13.7</w:t>
      </w:r>
      <w:r>
        <w:rPr>
          <w:rFonts w:hint="eastAsia" w:ascii="宋体" w:hAnsi="宋体" w:eastAsia="宋体" w:cs="宋体"/>
          <w:color w:val="auto"/>
          <w:sz w:val="24"/>
          <w:szCs w:val="24"/>
          <w:lang w:val="en-US" w:eastAsia="zh-CN"/>
        </w:rPr>
        <w:t>本次招标投标有效期为</w:t>
      </w:r>
      <w:r>
        <w:rPr>
          <w:rFonts w:hint="eastAsia" w:ascii="宋体" w:hAnsi="宋体" w:eastAsia="宋体" w:cs="宋体"/>
          <w:color w:val="auto"/>
          <w:sz w:val="24"/>
          <w:szCs w:val="24"/>
          <w:u w:val="single"/>
          <w:lang w:val="en-US" w:eastAsia="zh-CN"/>
        </w:rPr>
        <w:t>90</w:t>
      </w:r>
      <w:r>
        <w:rPr>
          <w:rFonts w:hint="eastAsia" w:ascii="宋体" w:hAnsi="宋体" w:eastAsia="宋体" w:cs="宋体"/>
          <w:color w:val="auto"/>
          <w:sz w:val="24"/>
          <w:szCs w:val="24"/>
          <w:lang w:val="en-US" w:eastAsia="zh-CN"/>
        </w:rPr>
        <w:t>个日历天，投标有效期从提交投标文件的截止之日起计算。在此期间，投标人不得撤销或修改其投标文件，否则其投标保证不予退还。</w:t>
      </w:r>
    </w:p>
    <w:p w14:paraId="338D89A8">
      <w:pPr>
        <w:pStyle w:val="3"/>
        <w:bidi w:val="0"/>
        <w:spacing w:line="360" w:lineRule="auto"/>
        <w:ind w:firstLine="482" w:firstLineChars="200"/>
        <w:rPr>
          <w:rFonts w:hint="eastAsia" w:ascii="宋体" w:hAnsi="宋体" w:eastAsia="宋体" w:cs="宋体"/>
          <w:color w:val="auto"/>
          <w:sz w:val="24"/>
          <w:szCs w:val="24"/>
          <w:lang w:eastAsia="zh-CN"/>
        </w:rPr>
      </w:pPr>
      <w:bookmarkStart w:id="63" w:name="_Toc29604"/>
      <w:r>
        <w:rPr>
          <w:rFonts w:hint="eastAsia" w:ascii="宋体" w:hAnsi="宋体" w:eastAsia="宋体" w:cs="宋体"/>
          <w:color w:val="auto"/>
          <w:sz w:val="24"/>
          <w:szCs w:val="24"/>
          <w:lang w:eastAsia="zh-CN"/>
        </w:rPr>
        <w:t>14．开标</w:t>
      </w:r>
      <w:bookmarkEnd w:id="63"/>
    </w:p>
    <w:p w14:paraId="76E1FFFA">
      <w:pPr>
        <w:spacing w:line="360" w:lineRule="auto"/>
        <w:ind w:firstLine="482" w:firstLineChars="200"/>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14.1</w:t>
      </w:r>
      <w:r>
        <w:rPr>
          <w:rFonts w:hint="eastAsia" w:ascii="宋体" w:hAnsi="宋体" w:eastAsia="宋体" w:cs="宋体"/>
          <w:color w:val="auto"/>
          <w:sz w:val="24"/>
          <w:szCs w:val="24"/>
          <w:lang w:val="en-US" w:eastAsia="zh-CN"/>
        </w:rPr>
        <w:t>招标人邀请所有正确获取招标文件、电子投标、缴纳投标保证的投标人参加开标，投标人可自主决定是否参加。投标人可登陆交易平台观看开标实况、提出异议或进行澄清、确认等操作（具体按招标文件和系统操作手册为准）。投标人不参加开</w:t>
      </w:r>
      <w:bookmarkStart w:id="64" w:name="bookmark123"/>
      <w:bookmarkEnd w:id="64"/>
      <w:r>
        <w:rPr>
          <w:rFonts w:hint="eastAsia" w:ascii="宋体" w:hAnsi="宋体" w:eastAsia="宋体" w:cs="宋体"/>
          <w:color w:val="auto"/>
          <w:sz w:val="24"/>
          <w:szCs w:val="24"/>
          <w:lang w:val="en-US" w:eastAsia="zh-CN"/>
        </w:rPr>
        <w:t>标的，视其默认开标结果，以及放弃在开标期间见证、监督、投诉、申辩的权利。</w:t>
      </w:r>
    </w:p>
    <w:p w14:paraId="3F3CCF12">
      <w:pPr>
        <w:spacing w:line="360" w:lineRule="auto"/>
        <w:ind w:firstLine="482" w:firstLineChars="200"/>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14.1.1</w:t>
      </w:r>
      <w:r>
        <w:rPr>
          <w:rFonts w:hint="eastAsia" w:ascii="宋体" w:hAnsi="宋体" w:eastAsia="宋体" w:cs="宋体"/>
          <w:color w:val="auto"/>
          <w:sz w:val="24"/>
          <w:szCs w:val="24"/>
          <w:lang w:val="en-US" w:eastAsia="zh-CN"/>
        </w:rPr>
        <w:t>开标时间和地点：见本章第二节“重要事项时间地点一览表”。</w:t>
      </w:r>
    </w:p>
    <w:p w14:paraId="4F286CB6">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14.1.2</w:t>
      </w:r>
      <w:r>
        <w:rPr>
          <w:rFonts w:hint="eastAsia" w:ascii="宋体" w:hAnsi="宋体" w:eastAsia="宋体" w:cs="宋体"/>
          <w:color w:val="auto"/>
          <w:sz w:val="24"/>
          <w:szCs w:val="24"/>
          <w:lang w:eastAsia="zh-CN"/>
        </w:rPr>
        <w:t>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全国公共资源交易平台（广东省·韶关市）（https://ygp.gdzwfw.gov.cn/ggzy-portal/#/440200/index）查询是否发布了取消开标活动的相关信息。</w:t>
      </w:r>
    </w:p>
    <w:p w14:paraId="31F2C2A8">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14.1.3</w:t>
      </w:r>
      <w:r>
        <w:rPr>
          <w:rFonts w:hint="eastAsia" w:ascii="宋体" w:hAnsi="宋体" w:eastAsia="宋体" w:cs="宋体"/>
          <w:color w:val="auto"/>
          <w:sz w:val="24"/>
          <w:szCs w:val="24"/>
          <w:lang w:eastAsia="zh-CN"/>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3ABD04AB">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14.2</w:t>
      </w:r>
      <w:r>
        <w:rPr>
          <w:rFonts w:hint="eastAsia" w:ascii="宋体" w:hAnsi="宋体" w:eastAsia="宋体" w:cs="宋体"/>
          <w:color w:val="auto"/>
          <w:sz w:val="24"/>
          <w:szCs w:val="24"/>
          <w:lang w:eastAsia="zh-CN"/>
        </w:rPr>
        <w:t>开标程序</w:t>
      </w:r>
    </w:p>
    <w:p w14:paraId="4751AD07">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（1）主持人（招标人代表或招标人授权的招标代理机构人员）宣读开标纪律。</w:t>
      </w:r>
    </w:p>
    <w:p w14:paraId="32F55546">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（2）主持人宣布唱标人、记录人、见证人、监督人等有关人员姓名。</w:t>
      </w:r>
    </w:p>
    <w:p w14:paraId="14A13E65">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（3）唱标人公布在投标截止时间前进行投标文件的投标人数量和名称</w:t>
      </w:r>
    </w:p>
    <w:p w14:paraId="052171C0">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（4）招标代理机构会同交易场所工作人员对投标人的电子投标信息进行解密，</w:t>
      </w:r>
    </w:p>
    <w:p w14:paraId="2569A45C">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建设工程交易系统自动生成《投标保证缴纳情况表》和《开标一览表》。</w:t>
      </w:r>
    </w:p>
    <w:p w14:paraId="5DA2CCA3">
      <w:pPr>
        <w:spacing w:line="360" w:lineRule="auto"/>
        <w:ind w:firstLine="482" w:firstLineChars="200"/>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2872323F">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14.3</w:t>
      </w:r>
      <w:r>
        <w:rPr>
          <w:rFonts w:hint="eastAsia" w:ascii="宋体" w:hAnsi="宋体" w:eastAsia="宋体" w:cs="宋体"/>
          <w:color w:val="auto"/>
          <w:sz w:val="24"/>
          <w:szCs w:val="24"/>
          <w:lang w:eastAsia="zh-CN"/>
        </w:rPr>
        <w:t>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37ED9557">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14.4</w:t>
      </w:r>
      <w:r>
        <w:rPr>
          <w:rFonts w:hint="eastAsia" w:ascii="宋体" w:hAnsi="宋体" w:eastAsia="宋体" w:cs="宋体"/>
          <w:color w:val="auto"/>
          <w:sz w:val="24"/>
          <w:szCs w:val="24"/>
          <w:lang w:eastAsia="zh-CN"/>
        </w:rPr>
        <w:t>招标代理机构将资料原件（如有）、《开标一览表》以及其他有关资料移交评标委员会。</w:t>
      </w:r>
    </w:p>
    <w:p w14:paraId="280C6452">
      <w:pPr>
        <w:pStyle w:val="3"/>
        <w:bidi w:val="0"/>
        <w:spacing w:line="360" w:lineRule="auto"/>
        <w:ind w:firstLine="482" w:firstLineChars="200"/>
        <w:rPr>
          <w:rFonts w:hint="eastAsia" w:ascii="宋体" w:hAnsi="宋体" w:eastAsia="宋体" w:cs="宋体"/>
          <w:color w:val="auto"/>
          <w:sz w:val="24"/>
          <w:szCs w:val="24"/>
          <w:lang w:eastAsia="zh-CN"/>
        </w:rPr>
      </w:pPr>
      <w:bookmarkStart w:id="65" w:name="_Toc29580"/>
      <w:r>
        <w:rPr>
          <w:rFonts w:hint="eastAsia" w:ascii="宋体" w:hAnsi="宋体" w:eastAsia="宋体" w:cs="宋体"/>
          <w:color w:val="auto"/>
          <w:sz w:val="24"/>
          <w:szCs w:val="24"/>
          <w:lang w:eastAsia="zh-CN"/>
        </w:rPr>
        <w:t>15．评标</w:t>
      </w:r>
      <w:bookmarkEnd w:id="65"/>
    </w:p>
    <w:p w14:paraId="44785385">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评标分为初步评审和详细评审两个阶段，由评标委员会在有关部门的监督下，严格按照本招标文件指定的评标方法，对投标人的投标文件进行审查、评审。评标委员会完成评标后，向招标人推荐3个中标候选人，并向招标人提交由全体评标委员会成员签字的评标报告。</w:t>
      </w:r>
    </w:p>
    <w:p w14:paraId="12BF3A08">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15.1</w:t>
      </w:r>
      <w:r>
        <w:rPr>
          <w:rFonts w:hint="eastAsia" w:ascii="宋体" w:hAnsi="宋体" w:eastAsia="宋体" w:cs="宋体"/>
          <w:color w:val="auto"/>
          <w:sz w:val="24"/>
          <w:szCs w:val="24"/>
          <w:lang w:eastAsia="zh-CN"/>
        </w:rPr>
        <w:t>评标委员会</w:t>
      </w:r>
    </w:p>
    <w:p w14:paraId="39B7EE8E">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15.1.1</w:t>
      </w:r>
      <w:r>
        <w:rPr>
          <w:rFonts w:hint="eastAsia" w:ascii="宋体" w:hAnsi="宋体" w:eastAsia="宋体" w:cs="宋体"/>
          <w:color w:val="auto"/>
          <w:sz w:val="24"/>
          <w:szCs w:val="24"/>
          <w:lang w:eastAsia="zh-CN"/>
        </w:rPr>
        <w:t>评标委员会由</w:t>
      </w:r>
      <w:r>
        <w:rPr>
          <w:rFonts w:hint="eastAsia" w:ascii="宋体" w:hAnsi="宋体" w:eastAsia="宋体" w:cs="宋体"/>
          <w:color w:val="auto"/>
          <w:sz w:val="24"/>
          <w:szCs w:val="24"/>
          <w:u w:val="single"/>
          <w:lang w:eastAsia="zh-CN"/>
        </w:rPr>
        <w:t>5</w:t>
      </w:r>
      <w:r>
        <w:rPr>
          <w:rFonts w:hint="eastAsia" w:ascii="宋体" w:hAnsi="宋体" w:eastAsia="宋体" w:cs="宋体"/>
          <w:color w:val="auto"/>
          <w:sz w:val="24"/>
          <w:szCs w:val="24"/>
          <w:lang w:eastAsia="zh-CN"/>
        </w:rPr>
        <w:t>人组成，其中招标人代表</w:t>
      </w:r>
      <w:r>
        <w:rPr>
          <w:rFonts w:hint="eastAsia" w:ascii="宋体" w:hAnsi="宋体" w:eastAsia="宋体" w:cs="宋体"/>
          <w:color w:val="auto"/>
          <w:sz w:val="24"/>
          <w:szCs w:val="24"/>
          <w:u w:val="single"/>
          <w:lang w:eastAsia="zh-CN"/>
        </w:rPr>
        <w:t>0</w:t>
      </w:r>
      <w:r>
        <w:rPr>
          <w:rFonts w:hint="eastAsia" w:ascii="宋体" w:hAnsi="宋体" w:eastAsia="宋体" w:cs="宋体"/>
          <w:color w:val="auto"/>
          <w:sz w:val="24"/>
          <w:szCs w:val="24"/>
          <w:lang w:eastAsia="zh-CN"/>
        </w:rPr>
        <w:t>人，专家</w:t>
      </w:r>
      <w:r>
        <w:rPr>
          <w:rFonts w:hint="eastAsia" w:ascii="宋体" w:hAnsi="宋体" w:eastAsia="宋体" w:cs="宋体"/>
          <w:color w:val="auto"/>
          <w:sz w:val="24"/>
          <w:szCs w:val="24"/>
          <w:u w:val="single"/>
          <w:lang w:eastAsia="zh-CN"/>
        </w:rPr>
        <w:t>5</w:t>
      </w:r>
      <w:r>
        <w:rPr>
          <w:rFonts w:hint="eastAsia" w:ascii="宋体" w:hAnsi="宋体" w:eastAsia="宋体" w:cs="宋体"/>
          <w:color w:val="auto"/>
          <w:sz w:val="24"/>
          <w:szCs w:val="24"/>
          <w:lang w:eastAsia="zh-CN"/>
        </w:rPr>
        <w:t>人。专家从广东省综合评标评审专家库--韶关区域中随机抽取，其中技术类专家</w:t>
      </w:r>
      <w:r>
        <w:rPr>
          <w:rFonts w:hint="eastAsia" w:ascii="宋体" w:hAnsi="宋体" w:eastAsia="宋体" w:cs="宋体"/>
          <w:color w:val="auto"/>
          <w:sz w:val="24"/>
          <w:szCs w:val="24"/>
          <w:u w:val="single"/>
          <w:lang w:eastAsia="zh-CN"/>
        </w:rPr>
        <w:t>3</w:t>
      </w:r>
      <w:r>
        <w:rPr>
          <w:rFonts w:hint="eastAsia" w:ascii="宋体" w:hAnsi="宋体" w:eastAsia="宋体" w:cs="宋体"/>
          <w:color w:val="auto"/>
          <w:sz w:val="24"/>
          <w:szCs w:val="24"/>
          <w:lang w:eastAsia="zh-CN"/>
        </w:rPr>
        <w:t>人，经济类专家</w:t>
      </w:r>
      <w:r>
        <w:rPr>
          <w:rFonts w:hint="eastAsia" w:ascii="宋体" w:hAnsi="宋体" w:eastAsia="宋体" w:cs="宋体"/>
          <w:color w:val="auto"/>
          <w:sz w:val="24"/>
          <w:szCs w:val="24"/>
          <w:u w:val="single"/>
          <w:lang w:eastAsia="zh-CN"/>
        </w:rPr>
        <w:t>2</w:t>
      </w:r>
      <w:r>
        <w:rPr>
          <w:rFonts w:hint="eastAsia" w:ascii="宋体" w:hAnsi="宋体" w:eastAsia="宋体" w:cs="宋体"/>
          <w:color w:val="auto"/>
          <w:sz w:val="24"/>
          <w:szCs w:val="24"/>
          <w:lang w:eastAsia="zh-CN"/>
        </w:rPr>
        <w:t>人。评标委员会设负责人，由评标委员会成员推举产生。评标委员会负责人与评标委员会的其他成员有同等的表决权。</w:t>
      </w:r>
    </w:p>
    <w:p w14:paraId="600AE656">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15.1.2</w:t>
      </w:r>
      <w:r>
        <w:rPr>
          <w:rFonts w:hint="eastAsia" w:ascii="宋体" w:hAnsi="宋体" w:eastAsia="宋体" w:cs="宋体"/>
          <w:color w:val="auto"/>
          <w:sz w:val="24"/>
          <w:szCs w:val="24"/>
          <w:lang w:eastAsia="zh-CN"/>
        </w:rPr>
        <w:t>评标委员会应认真、公正、诚实、廉洁地履行职责。有下列情形之一的，不得担任评标委员会成员：</w:t>
      </w:r>
    </w:p>
    <w:p w14:paraId="51125557">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（1）投标人或投标人主要负责人的近亲属；</w:t>
      </w:r>
    </w:p>
    <w:p w14:paraId="3034D617">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（2）项目主管部门或者行政监督部门的人员；</w:t>
      </w:r>
    </w:p>
    <w:p w14:paraId="2C59ED07">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（3）与投标人有经济利益关系，可能影响对投标公正评审的；</w:t>
      </w:r>
    </w:p>
    <w:p w14:paraId="4CA0349D">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（4）曾因在招标、评标以及其他与招标投标有关活动中从事违法行为而受过行政处罚或刑事处罚的。</w:t>
      </w:r>
    </w:p>
    <w:p w14:paraId="7B39EB1B">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评标委员会成员有以上情形之一的，应主动提出回避。</w:t>
      </w:r>
    </w:p>
    <w:p w14:paraId="4AE38F44">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15.1.3</w:t>
      </w:r>
      <w:r>
        <w:rPr>
          <w:rFonts w:hint="eastAsia" w:ascii="宋体" w:hAnsi="宋体" w:eastAsia="宋体" w:cs="宋体"/>
          <w:color w:val="auto"/>
          <w:sz w:val="24"/>
          <w:szCs w:val="24"/>
          <w:lang w:eastAsia="zh-CN"/>
        </w:rPr>
        <w:t>评标全过程实行封闭式管理，在中标结果公布前，禁止评标委员会成员以任何方式私下接触投标人。</w:t>
      </w:r>
    </w:p>
    <w:p w14:paraId="4BA6E39F">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15.1.4</w:t>
      </w:r>
      <w:r>
        <w:rPr>
          <w:rFonts w:hint="eastAsia" w:ascii="宋体" w:hAnsi="宋体" w:eastAsia="宋体" w:cs="宋体"/>
          <w:color w:val="auto"/>
          <w:sz w:val="24"/>
          <w:szCs w:val="24"/>
          <w:lang w:eastAsia="zh-CN"/>
        </w:rPr>
        <w:t>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72209EA7">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15.1.5</w:t>
      </w:r>
      <w:r>
        <w:rPr>
          <w:rFonts w:hint="eastAsia" w:ascii="宋体" w:hAnsi="宋体" w:eastAsia="宋体" w:cs="宋体"/>
          <w:color w:val="auto"/>
          <w:sz w:val="24"/>
          <w:szCs w:val="24"/>
          <w:lang w:eastAsia="zh-CN"/>
        </w:rPr>
        <w:t>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51710ECF">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15.2</w:t>
      </w:r>
      <w:r>
        <w:rPr>
          <w:rFonts w:hint="eastAsia" w:ascii="宋体" w:hAnsi="宋体" w:eastAsia="宋体" w:cs="宋体"/>
          <w:color w:val="auto"/>
          <w:sz w:val="24"/>
          <w:szCs w:val="24"/>
          <w:lang w:eastAsia="zh-CN"/>
        </w:rPr>
        <w:t>评标方法</w:t>
      </w:r>
    </w:p>
    <w:p w14:paraId="48CEC0C6">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根据有关法律、法规的相关规定，结合本招标项目资金来源和规模特点，本次招标采用</w:t>
      </w:r>
      <w:r>
        <w:rPr>
          <w:rFonts w:hint="eastAsia" w:ascii="宋体" w:hAnsi="宋体" w:eastAsia="宋体" w:cs="宋体"/>
          <w:color w:val="auto"/>
          <w:sz w:val="24"/>
          <w:szCs w:val="24"/>
          <w:u w:val="single"/>
          <w:lang w:eastAsia="zh-CN"/>
        </w:rPr>
        <w:t>综合评估法</w:t>
      </w:r>
      <w:r>
        <w:rPr>
          <w:rFonts w:hint="eastAsia" w:ascii="宋体" w:hAnsi="宋体" w:eastAsia="宋体" w:cs="宋体"/>
          <w:color w:val="auto"/>
          <w:sz w:val="24"/>
          <w:szCs w:val="24"/>
          <w:lang w:eastAsia="zh-CN"/>
        </w:rPr>
        <w:t>进行评标。</w:t>
      </w:r>
    </w:p>
    <w:p w14:paraId="3F154503">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15.3</w:t>
      </w:r>
      <w:r>
        <w:rPr>
          <w:rFonts w:hint="eastAsia" w:ascii="宋体" w:hAnsi="宋体" w:eastAsia="宋体" w:cs="宋体"/>
          <w:color w:val="auto"/>
          <w:sz w:val="24"/>
          <w:szCs w:val="24"/>
          <w:lang w:eastAsia="zh-CN"/>
        </w:rPr>
        <w:t>评审范围：评标委员会应对所有投标人的投标文件进行评审。</w:t>
      </w:r>
    </w:p>
    <w:p w14:paraId="47460761">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15.4</w:t>
      </w:r>
      <w:r>
        <w:rPr>
          <w:rFonts w:hint="eastAsia" w:ascii="宋体" w:hAnsi="宋体" w:eastAsia="宋体" w:cs="宋体"/>
          <w:color w:val="auto"/>
          <w:sz w:val="24"/>
          <w:szCs w:val="24"/>
          <w:lang w:eastAsia="zh-CN"/>
        </w:rPr>
        <w:t>初步评审阶段</w:t>
      </w:r>
    </w:p>
    <w:p w14:paraId="0F7FC8F3">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初步评审阶段分为资格评审、形式评审和响应性评审三个环节。</w:t>
      </w:r>
    </w:p>
    <w:p w14:paraId="73C4FD05">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15.4.1</w:t>
      </w:r>
      <w:r>
        <w:rPr>
          <w:rFonts w:hint="eastAsia" w:ascii="宋体" w:hAnsi="宋体" w:eastAsia="宋体" w:cs="宋体"/>
          <w:color w:val="auto"/>
          <w:sz w:val="24"/>
          <w:szCs w:val="24"/>
          <w:lang w:eastAsia="zh-CN"/>
        </w:rPr>
        <w:t>资格评审环节</w:t>
      </w:r>
    </w:p>
    <w:p w14:paraId="443E5F03">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资格评审事项包括：</w:t>
      </w:r>
    </w:p>
    <w:p w14:paraId="26C7BD91">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（1）投标人是否符合本章第三节第2.4条“禁止投标条款”规定。</w:t>
      </w:r>
    </w:p>
    <w:p w14:paraId="3867DF7E">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（2）投标人名称是否与营业执照、资质证书、安全生产许可证一致。</w:t>
      </w:r>
    </w:p>
    <w:p w14:paraId="65EC9BD1">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（3）投标人的资质是否符合招标文件规定；其营业执照、资质证书、安全生产许可证（含实时网页查询页，可参考网址https://zlaq.mohurd.gov.cn/fwmh/bjxcjgl/fwm</w:t>
      </w:r>
      <w:bookmarkStart w:id="66" w:name="bookmark126"/>
      <w:bookmarkEnd w:id="66"/>
      <w:r>
        <w:rPr>
          <w:rFonts w:hint="eastAsia" w:ascii="宋体" w:hAnsi="宋体" w:eastAsia="宋体" w:cs="宋体"/>
          <w:color w:val="auto"/>
          <w:sz w:val="24"/>
          <w:szCs w:val="24"/>
          <w:lang w:eastAsia="zh-CN"/>
        </w:rPr>
        <w:t>h/pages/construction_safety/qyaqscxkz/qyaqscxkz）是否合法、有效、准确。</w:t>
      </w:r>
    </w:p>
    <w:p w14:paraId="7347A36D">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（4）《项目经理简历表》中拟派项目经理是否与《开标一览表》一致。</w:t>
      </w:r>
    </w:p>
    <w:p w14:paraId="4231F98F">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拟派项目经理、项目技术负责人、专职安全员的条件是否符合招标文件规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36021FE5">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lang w:eastAsia="zh-CN"/>
        </w:rPr>
        <w:t>）投标人是否符合招标文件不接受联合体投标的规定。</w:t>
      </w:r>
    </w:p>
    <w:p w14:paraId="3604A67A">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lang w:eastAsia="zh-CN"/>
        </w:rPr>
        <w:t>）投标人为外省建筑企业的，是否按规定在“进粤企业和人员诚信信息登记平台”录入企业及其拟派人员有关信息并通过数据规范检查。</w:t>
      </w:r>
    </w:p>
    <w:p w14:paraId="53183B48">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15.4.2</w:t>
      </w:r>
      <w:r>
        <w:rPr>
          <w:rFonts w:hint="eastAsia" w:ascii="宋体" w:hAnsi="宋体" w:eastAsia="宋体" w:cs="宋体"/>
          <w:color w:val="auto"/>
          <w:sz w:val="24"/>
          <w:szCs w:val="24"/>
          <w:lang w:eastAsia="zh-CN"/>
        </w:rPr>
        <w:t>形式评审环节</w:t>
      </w:r>
    </w:p>
    <w:p w14:paraId="2521263D">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形式评审事项包括：</w:t>
      </w:r>
    </w:p>
    <w:p w14:paraId="7CDBAEBE">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（1）各分册是否按招标文件规定加盖电子印章。</w:t>
      </w:r>
    </w:p>
    <w:p w14:paraId="5BE400DF">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（2）本节第10.2.2目、第10.3.</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目中规定的“所有投标人均应提供”的组成内容（包括该组成内容的所附资料）是否完整齐全。</w:t>
      </w:r>
    </w:p>
    <w:p w14:paraId="6E1115FB">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15.4.3</w:t>
      </w:r>
      <w:r>
        <w:rPr>
          <w:rFonts w:hint="eastAsia" w:ascii="宋体" w:hAnsi="宋体" w:eastAsia="宋体" w:cs="宋体"/>
          <w:color w:val="auto"/>
          <w:sz w:val="24"/>
          <w:szCs w:val="24"/>
          <w:lang w:eastAsia="zh-CN"/>
        </w:rPr>
        <w:t>响应性评审环节</w:t>
      </w:r>
    </w:p>
    <w:p w14:paraId="7ACDAFCA">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响应性评审事项包括：</w:t>
      </w:r>
    </w:p>
    <w:p w14:paraId="26C6C31C">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（1）投标有效期、质量标准、工期等是否响应招标文件实质性要求；是否擅自修改、遗漏《投标函》《各项承诺一览表》的实质性内容。</w:t>
      </w:r>
    </w:p>
    <w:p w14:paraId="173C8575">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）投标总价是否唯一；投标总价是否超出招标控制价；投标人是否以低于成本的价格竞标。</w:t>
      </w:r>
    </w:p>
    <w:p w14:paraId="4F5EAE82">
      <w:pPr>
        <w:spacing w:line="360" w:lineRule="auto"/>
        <w:ind w:firstLine="482" w:firstLineChars="200"/>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注：如果某投标人的投标总价下浮率超过15%，又未提供相应书面说明和佐证</w:t>
      </w:r>
      <w:bookmarkStart w:id="67" w:name="bookmark127"/>
      <w:bookmarkEnd w:id="67"/>
      <w:r>
        <w:rPr>
          <w:rFonts w:hint="eastAsia" w:ascii="宋体" w:hAnsi="宋体" w:eastAsia="宋体" w:cs="宋体"/>
          <w:b/>
          <w:bCs/>
          <w:color w:val="auto"/>
          <w:sz w:val="24"/>
          <w:szCs w:val="24"/>
          <w:lang w:eastAsia="zh-CN"/>
        </w:rPr>
        <w:t>材料或提供的书面说明和佐证材料不能令人信服的，评标委员会应认定其以低于成本的价格竞标，并否决其投标。评标委员会接受该投标人的投标总价而未否决其投标的，应在评标报告中说明判断理由。投标总价下浮率＝（1－投标总价÷招标控制价）×100%。</w:t>
      </w:r>
    </w:p>
    <w:p w14:paraId="547A3C34">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）施工组织设计的质量、进度保障措施是否符合国家和省市现行有关规范、规定、标准，是否能实现工程质量、进度管理目标。</w:t>
      </w:r>
    </w:p>
    <w:p w14:paraId="107E744B">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15.4.4</w:t>
      </w:r>
      <w:r>
        <w:rPr>
          <w:rFonts w:hint="eastAsia" w:ascii="宋体" w:hAnsi="宋体" w:eastAsia="宋体" w:cs="宋体"/>
          <w:color w:val="auto"/>
          <w:sz w:val="24"/>
          <w:szCs w:val="24"/>
          <w:lang w:eastAsia="zh-CN"/>
        </w:rPr>
        <w:t>否决投标说明</w:t>
      </w:r>
    </w:p>
    <w:p w14:paraId="4E9F4D50">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初步评审阶段各个环节否决投标的全部条件，在本章第四节“否决投标条件”第1条至第4条中集中列示。投标人有其中所列任何一种情形的，由评标委员会否决其投标。在初步评审阶段任何环节被否决的投标人，不进入下一环节（或阶段）评审。在初步评审阶段任何环节。评标委员会经评审，认为所有投标都不符合招标文件要求的，可否决所有投标，项目的所有投标被否决的，招标人应依法重新组织招标。</w:t>
      </w:r>
    </w:p>
    <w:p w14:paraId="4F2E4140">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温馨提示：依据2017年12月27日修改的《中华人民共和国招标投标法》“第四十二条评标委员会经评审，认为所有投标都不符合招标文件要求的，可以否决所有投标。依法必须进行招标的项目的所有投标被否决的，招标人应当依照本法重新招标。”及2018年11月29日修订的《广东省实施〈中华人民共和国招标投标法〉办法》取消“经评议有效投标的投标人少于三人”必须重新招标的限制。</w:t>
      </w:r>
    </w:p>
    <w:p w14:paraId="0EDB6C2A">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15.5</w:t>
      </w:r>
      <w:r>
        <w:rPr>
          <w:rFonts w:hint="eastAsia" w:ascii="宋体" w:hAnsi="宋体" w:eastAsia="宋体" w:cs="宋体"/>
          <w:color w:val="auto"/>
          <w:sz w:val="24"/>
          <w:szCs w:val="24"/>
          <w:lang w:eastAsia="zh-CN"/>
        </w:rPr>
        <w:t>详细评审</w:t>
      </w:r>
      <w:bookmarkStart w:id="68" w:name="_Hlt121629839"/>
      <w:r>
        <w:rPr>
          <w:rFonts w:hint="eastAsia" w:ascii="宋体" w:hAnsi="宋体" w:eastAsia="宋体" w:cs="宋体"/>
          <w:color w:val="auto"/>
          <w:sz w:val="24"/>
          <w:szCs w:val="24"/>
          <w:lang w:eastAsia="zh-CN"/>
        </w:rPr>
        <w:t>阶段</w:t>
      </w:r>
    </w:p>
    <w:p w14:paraId="05BDF130">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15.5.1</w:t>
      </w:r>
      <w:r>
        <w:rPr>
          <w:rFonts w:hint="eastAsia" w:ascii="宋体" w:hAnsi="宋体" w:eastAsia="宋体" w:cs="宋体"/>
          <w:color w:val="auto"/>
          <w:sz w:val="24"/>
          <w:szCs w:val="24"/>
          <w:lang w:eastAsia="zh-CN"/>
        </w:rPr>
        <w:t>“综合评估法”评审程序</w:t>
      </w:r>
    </w:p>
    <w:p w14:paraId="18E4AC85">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评审内容分为商务技术和投标报价两大部分。其中，商务技术合计满分</w:t>
      </w:r>
      <w:r>
        <w:rPr>
          <w:rFonts w:hint="eastAsia" w:ascii="宋体" w:hAnsi="宋体" w:eastAsia="宋体" w:cs="宋体"/>
          <w:color w:val="auto"/>
          <w:sz w:val="24"/>
          <w:szCs w:val="24"/>
          <w:lang w:val="en-US" w:eastAsia="zh-CN"/>
        </w:rPr>
        <w:t>100</w:t>
      </w:r>
      <w:r>
        <w:rPr>
          <w:rFonts w:hint="eastAsia" w:ascii="宋体" w:hAnsi="宋体" w:eastAsia="宋体" w:cs="宋体"/>
          <w:color w:val="auto"/>
          <w:sz w:val="24"/>
          <w:szCs w:val="24"/>
          <w:lang w:eastAsia="zh-CN"/>
        </w:rPr>
        <w:t>分，权重为</w:t>
      </w:r>
      <w:r>
        <w:rPr>
          <w:rFonts w:hint="eastAsia" w:ascii="宋体" w:hAnsi="宋体" w:eastAsia="宋体" w:cs="宋体"/>
          <w:color w:val="auto"/>
          <w:sz w:val="24"/>
          <w:szCs w:val="24"/>
          <w:lang w:val="en-US" w:eastAsia="zh-CN"/>
        </w:rPr>
        <w:t>40</w:t>
      </w:r>
      <w:r>
        <w:rPr>
          <w:rFonts w:hint="eastAsia" w:ascii="宋体" w:hAnsi="宋体" w:eastAsia="宋体" w:cs="宋体"/>
          <w:color w:val="auto"/>
          <w:sz w:val="24"/>
          <w:szCs w:val="24"/>
          <w:lang w:eastAsia="zh-CN"/>
        </w:rPr>
        <w:t>%；投标报价满分100分，权重为</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lang w:eastAsia="zh-CN"/>
        </w:rPr>
        <w:t>%。两大部分权重之和应为100%。</w:t>
      </w:r>
    </w:p>
    <w:p w14:paraId="5AAA72DB">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除特别注明外，综合得分以及商务技术得分、投标报价得分的中间过程计算值和最终值，均按“四舍五入”原则精确到两位小数。</w:t>
      </w:r>
    </w:p>
    <w:p w14:paraId="7AB890E0">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（1）商务技术得分M</w:t>
      </w:r>
    </w:p>
    <w:p w14:paraId="18A5FF55">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a．</w:t>
      </w:r>
      <w:r>
        <w:rPr>
          <w:rFonts w:hint="eastAsia" w:ascii="宋体" w:hAnsi="宋体" w:eastAsia="宋体" w:cs="宋体"/>
          <w:color w:val="auto"/>
          <w:sz w:val="24"/>
          <w:szCs w:val="24"/>
          <w:lang w:eastAsia="zh-CN"/>
        </w:rPr>
        <w:t>评标委员会按照《综合评分表》商务部分指定的评分标准对各评分因素进行打分。各评分因素得分之和即为某投标人的商务得分M1。</w:t>
      </w:r>
    </w:p>
    <w:p w14:paraId="6B825095">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b．</w:t>
      </w:r>
      <w:r>
        <w:rPr>
          <w:rFonts w:hint="eastAsia" w:ascii="宋体" w:hAnsi="宋体" w:eastAsia="宋体" w:cs="宋体"/>
          <w:color w:val="auto"/>
          <w:sz w:val="24"/>
          <w:szCs w:val="24"/>
          <w:lang w:eastAsia="zh-CN"/>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M2。</w:t>
      </w:r>
    </w:p>
    <w:p w14:paraId="5B6B384F">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c．</w:t>
      </w:r>
      <w:r>
        <w:rPr>
          <w:rFonts w:hint="eastAsia" w:ascii="宋体" w:hAnsi="宋体" w:eastAsia="宋体" w:cs="宋体"/>
          <w:color w:val="auto"/>
          <w:sz w:val="24"/>
          <w:szCs w:val="24"/>
          <w:lang w:eastAsia="zh-CN"/>
        </w:rPr>
        <w:t>M＝M1＋M2</w:t>
      </w:r>
    </w:p>
    <w:p w14:paraId="2038BB34">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式中：M1为某投标人的商务得分，M2为某投标人的技术得分。</w:t>
      </w:r>
    </w:p>
    <w:p w14:paraId="40EAE3EA">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（2）投标报价得分N</w:t>
      </w:r>
    </w:p>
    <w:p w14:paraId="05716C4B">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a．</w:t>
      </w:r>
      <w:r>
        <w:rPr>
          <w:rFonts w:hint="eastAsia" w:ascii="宋体" w:hAnsi="宋体" w:eastAsia="宋体" w:cs="宋体"/>
          <w:color w:val="auto"/>
          <w:sz w:val="24"/>
          <w:szCs w:val="24"/>
          <w:lang w:eastAsia="zh-CN"/>
        </w:rPr>
        <w:t>评标委员会按照《综合评分表》投标报价部分指定的方法计算评标基准价D。</w:t>
      </w:r>
    </w:p>
    <w:p w14:paraId="395620EB">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b．</w:t>
      </w:r>
      <w:r>
        <w:rPr>
          <w:rFonts w:hint="eastAsia" w:ascii="宋体" w:hAnsi="宋体" w:eastAsia="宋体" w:cs="宋体"/>
          <w:color w:val="auto"/>
          <w:sz w:val="24"/>
          <w:szCs w:val="24"/>
          <w:lang w:eastAsia="zh-CN"/>
        </w:rPr>
        <w:t>采用内插法计算某投标人的投标报价得分N，即当投标人的投标总价等于评标基准价时得100分，每高于评标基准价一个百分点扣1分,每低于评标基准价一个百分点扣0.5分，扣完为止。公式如下：</w:t>
      </w:r>
    </w:p>
    <w:p w14:paraId="234A9727">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N＝100－（|Di－D|÷D）×100×E</w:t>
      </w:r>
    </w:p>
    <w:p w14:paraId="6A65F450">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式中：D为评标基准价；Di为某投标人的投标总价；E为扣分因子，当Di＞D时，E＝1；当Di＜D时，E＝0.5。</w:t>
      </w:r>
    </w:p>
    <w:p w14:paraId="5C5CF59B">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（3）综合得分</w:t>
      </w:r>
    </w:p>
    <w:p w14:paraId="098CA867">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综合得分换算为百分制，满分100分，公式如下：</w:t>
      </w:r>
    </w:p>
    <w:p w14:paraId="37916716">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综合得分＝M÷商务技术合计满分×100×商务技术权重＋N×投标报价权重式中：M为商务技术得分，N为投标报价得分。</w:t>
      </w:r>
    </w:p>
    <w:p w14:paraId="6532BD4F">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3A6F2026">
      <w:pPr>
        <w:rPr>
          <w:rFonts w:hint="eastAsia" w:ascii="宋体" w:hAnsi="宋体" w:eastAsia="宋体" w:cs="宋体"/>
          <w:color w:val="auto"/>
        </w:rPr>
      </w:pPr>
    </w:p>
    <w:p w14:paraId="31A8F681">
      <w:pPr>
        <w:rPr>
          <w:rFonts w:hint="eastAsia" w:ascii="宋体" w:hAnsi="宋体" w:eastAsia="宋体" w:cs="宋体"/>
          <w:color w:val="auto"/>
        </w:rPr>
      </w:pPr>
    </w:p>
    <w:p w14:paraId="224FA7D9">
      <w:pPr>
        <w:rPr>
          <w:rFonts w:hint="eastAsia" w:ascii="宋体" w:hAnsi="宋体" w:eastAsia="宋体" w:cs="宋体"/>
          <w:color w:val="auto"/>
        </w:rPr>
      </w:pPr>
    </w:p>
    <w:p w14:paraId="3E97E7B7">
      <w:pPr>
        <w:rPr>
          <w:rFonts w:hint="eastAsia" w:ascii="宋体" w:hAnsi="宋体" w:eastAsia="宋体" w:cs="宋体"/>
          <w:color w:val="auto"/>
        </w:rPr>
      </w:pPr>
    </w:p>
    <w:p w14:paraId="11D7F5F6">
      <w:pPr>
        <w:rPr>
          <w:rFonts w:hint="eastAsia" w:ascii="宋体" w:hAnsi="宋体" w:eastAsia="宋体" w:cs="宋体"/>
          <w:color w:val="auto"/>
        </w:rPr>
      </w:pPr>
    </w:p>
    <w:p w14:paraId="49DDE081">
      <w:pPr>
        <w:rPr>
          <w:rFonts w:hint="eastAsia" w:ascii="宋体" w:hAnsi="宋体" w:eastAsia="宋体" w:cs="宋体"/>
          <w:color w:val="auto"/>
        </w:rPr>
      </w:pPr>
    </w:p>
    <w:p w14:paraId="65D5B1FA">
      <w:pPr>
        <w:rPr>
          <w:rFonts w:hint="eastAsia" w:ascii="宋体" w:hAnsi="宋体" w:eastAsia="宋体" w:cs="宋体"/>
          <w:color w:val="auto"/>
        </w:rPr>
      </w:pPr>
    </w:p>
    <w:p w14:paraId="1DF21655">
      <w:pPr>
        <w:rPr>
          <w:rFonts w:hint="eastAsia" w:ascii="宋体" w:hAnsi="宋体" w:eastAsia="宋体" w:cs="宋体"/>
          <w:color w:val="auto"/>
        </w:rPr>
      </w:pPr>
    </w:p>
    <w:p w14:paraId="2FC49C73">
      <w:pPr>
        <w:rPr>
          <w:rFonts w:hint="eastAsia" w:ascii="宋体" w:hAnsi="宋体" w:eastAsia="宋体" w:cs="宋体"/>
          <w:color w:val="auto"/>
        </w:rPr>
      </w:pPr>
    </w:p>
    <w:p w14:paraId="5769485F">
      <w:pPr>
        <w:rPr>
          <w:rFonts w:hint="eastAsia" w:ascii="宋体" w:hAnsi="宋体" w:eastAsia="宋体" w:cs="宋体"/>
          <w:color w:val="auto"/>
        </w:rPr>
      </w:pPr>
    </w:p>
    <w:p w14:paraId="08E5C60D">
      <w:pPr>
        <w:rPr>
          <w:rFonts w:hint="eastAsia" w:ascii="宋体" w:hAnsi="宋体" w:eastAsia="宋体" w:cs="宋体"/>
          <w:color w:val="auto"/>
        </w:rPr>
      </w:pPr>
    </w:p>
    <w:p w14:paraId="2D4A635B">
      <w:pPr>
        <w:rPr>
          <w:rFonts w:hint="eastAsia" w:ascii="宋体" w:hAnsi="宋体" w:eastAsia="宋体" w:cs="宋体"/>
          <w:color w:val="auto"/>
        </w:rPr>
      </w:pPr>
    </w:p>
    <w:p w14:paraId="0BEB29FF">
      <w:pPr>
        <w:spacing w:line="360" w:lineRule="auto"/>
        <w:ind w:firstLine="482" w:firstLineChars="200"/>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综合评分表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3933"/>
        <w:gridCol w:w="4707"/>
      </w:tblGrid>
      <w:tr w14:paraId="3A4D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3"/>
          </w:tcPr>
          <w:p w14:paraId="2CC9ED44">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商务部分，满分：80分。</w:t>
            </w:r>
          </w:p>
        </w:tc>
      </w:tr>
      <w:tr w14:paraId="15AD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42303222">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评分因素</w:t>
            </w:r>
          </w:p>
        </w:tc>
        <w:tc>
          <w:tcPr>
            <w:tcW w:w="3933" w:type="dxa"/>
            <w:vAlign w:val="center"/>
          </w:tcPr>
          <w:p w14:paraId="2BE10D82">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评分标准</w:t>
            </w:r>
          </w:p>
        </w:tc>
        <w:tc>
          <w:tcPr>
            <w:tcW w:w="4707" w:type="dxa"/>
            <w:vAlign w:val="center"/>
          </w:tcPr>
          <w:p w14:paraId="6254A659">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备注</w:t>
            </w:r>
          </w:p>
        </w:tc>
      </w:tr>
      <w:tr w14:paraId="614C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4FDE43D0">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企业奖项</w:t>
            </w:r>
          </w:p>
          <w:p w14:paraId="0B704634">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（10分）</w:t>
            </w:r>
          </w:p>
        </w:tc>
        <w:tc>
          <w:tcPr>
            <w:tcW w:w="3933" w:type="dxa"/>
            <w:shd w:val="clear" w:color="auto" w:fill="auto"/>
            <w:vAlign w:val="center"/>
          </w:tcPr>
          <w:p w14:paraId="2E0773BC">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企业近</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年来（20</w:t>
            </w:r>
            <w:r>
              <w:rPr>
                <w:rFonts w:hint="eastAsia" w:ascii="宋体" w:hAnsi="宋体" w:eastAsia="宋体" w:cs="宋体"/>
                <w:color w:val="auto"/>
                <w:sz w:val="24"/>
                <w:szCs w:val="24"/>
                <w:lang w:val="en-US" w:eastAsia="zh-CN"/>
              </w:rPr>
              <w:t>19</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月1日至今）获市政工程奖项情况</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含参建项目</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p>
          <w:p w14:paraId="3BABEF8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获得国家级奖项的，每个得</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分。</w:t>
            </w:r>
          </w:p>
          <w:p w14:paraId="42EA90A5">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获得省级奖项的，每个得</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分。</w:t>
            </w:r>
          </w:p>
          <w:p w14:paraId="36E441F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获得地市级奖项的，每个得</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分。</w:t>
            </w:r>
          </w:p>
          <w:p w14:paraId="4E419344">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以上奖项均未获得的，不予计分。</w:t>
            </w:r>
          </w:p>
          <w:p w14:paraId="6EC61AD4">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本项最高得10分。</w:t>
            </w:r>
          </w:p>
        </w:tc>
        <w:tc>
          <w:tcPr>
            <w:tcW w:w="4707" w:type="dxa"/>
            <w:shd w:val="clear" w:color="auto" w:fill="auto"/>
            <w:vAlign w:val="center"/>
          </w:tcPr>
          <w:p w14:paraId="6C9A920E">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允许投标人提交多个业绩，但同一业绩只按最高级别奖项计分一次。</w:t>
            </w:r>
          </w:p>
          <w:p w14:paraId="4B474E06">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需附有关奖项证明</w:t>
            </w:r>
            <w:r>
              <w:rPr>
                <w:rFonts w:hint="eastAsia" w:ascii="宋体" w:hAnsi="宋体" w:eastAsia="宋体" w:cs="宋体"/>
                <w:color w:val="auto"/>
                <w:sz w:val="24"/>
                <w:szCs w:val="24"/>
                <w:lang w:eastAsia="zh-CN"/>
              </w:rPr>
              <w:t>彩色扫描件</w:t>
            </w:r>
            <w:r>
              <w:rPr>
                <w:rFonts w:hint="eastAsia" w:ascii="宋体" w:hAnsi="宋体" w:eastAsia="宋体" w:cs="宋体"/>
                <w:color w:val="auto"/>
                <w:sz w:val="24"/>
                <w:szCs w:val="24"/>
              </w:rPr>
              <w:t>，同时提供原件供核对（奖项</w:t>
            </w:r>
            <w:r>
              <w:rPr>
                <w:rFonts w:hint="eastAsia" w:ascii="宋体" w:hAnsi="宋体" w:eastAsia="宋体" w:cs="宋体"/>
                <w:color w:val="auto"/>
                <w:sz w:val="24"/>
                <w:szCs w:val="24"/>
                <w:lang w:eastAsia="zh-CN"/>
              </w:rPr>
              <w:t>为</w:t>
            </w:r>
            <w:r>
              <w:rPr>
                <w:rFonts w:hint="eastAsia" w:ascii="宋体" w:hAnsi="宋体" w:eastAsia="宋体" w:cs="宋体"/>
                <w:color w:val="auto"/>
                <w:sz w:val="24"/>
                <w:szCs w:val="24"/>
              </w:rPr>
              <w:t>电子证书的除外）。</w:t>
            </w:r>
          </w:p>
          <w:p w14:paraId="3D8AF04A">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.颁发机构限定以下范围：</w:t>
            </w:r>
          </w:p>
          <w:p w14:paraId="4F9BD6EE">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①国家级奖项：国务院、住建部、中国建筑业协会、中国市政行业协会；（相关协会需经民政部门备案）；</w:t>
            </w:r>
          </w:p>
          <w:p w14:paraId="6EEAEF31">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②省级奖项：省级建设行政主管部门、省级建筑行业协会、省级建筑安全协会、省市政行业协会；（相关协会需经民政部门备案）；</w:t>
            </w:r>
          </w:p>
          <w:p w14:paraId="6D88D04B">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③地市级奖项：市级建设行政主管部门、市级建筑行业协会、地市级市政行业协会。（相关协会需经民政部门备案）。</w:t>
            </w:r>
          </w:p>
          <w:p w14:paraId="30925FA6">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获奖时间以奖项证明的落款日期为准。</w:t>
            </w:r>
          </w:p>
          <w:p w14:paraId="61AA8945">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5.任一奖项有以下情形之一的，该奖项视为无效，不予计分：</w:t>
            </w:r>
          </w:p>
          <w:p w14:paraId="240BE16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①未提供</w:t>
            </w:r>
            <w:r>
              <w:rPr>
                <w:rFonts w:hint="eastAsia" w:ascii="宋体" w:hAnsi="宋体" w:eastAsia="宋体" w:cs="宋体"/>
                <w:color w:val="auto"/>
                <w:sz w:val="24"/>
                <w:szCs w:val="24"/>
                <w:lang w:val="en-US" w:eastAsia="zh-CN"/>
              </w:rPr>
              <w:t>彩色扫描件（或打印件）</w:t>
            </w:r>
            <w:r>
              <w:rPr>
                <w:rFonts w:hint="eastAsia" w:ascii="宋体" w:hAnsi="宋体" w:eastAsia="宋体" w:cs="宋体"/>
                <w:color w:val="auto"/>
                <w:sz w:val="24"/>
                <w:szCs w:val="24"/>
              </w:rPr>
              <w:t>；</w:t>
            </w:r>
          </w:p>
          <w:p w14:paraId="19F5FD98">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②奖项不属于指定类别的；</w:t>
            </w:r>
          </w:p>
          <w:p w14:paraId="1AE5F0F3">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③颁发机构不符合要求的；</w:t>
            </w:r>
          </w:p>
          <w:p w14:paraId="71A2ACF4">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④获奖时间不符合要求的。</w:t>
            </w:r>
          </w:p>
          <w:p w14:paraId="68965588">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说明：以上所称“要求”均指本表评分标准及备注的要求，下同。</w:t>
            </w:r>
          </w:p>
        </w:tc>
      </w:tr>
      <w:tr w14:paraId="29EF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4AB9A2AC">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项目经理</w:t>
            </w:r>
          </w:p>
          <w:p w14:paraId="27AB6002">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综合素质</w:t>
            </w:r>
          </w:p>
          <w:p w14:paraId="20966B37">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（10分）</w:t>
            </w:r>
          </w:p>
        </w:tc>
        <w:tc>
          <w:tcPr>
            <w:tcW w:w="3933" w:type="dxa"/>
            <w:shd w:val="clear" w:color="auto" w:fill="auto"/>
            <w:vAlign w:val="center"/>
          </w:tcPr>
          <w:p w14:paraId="2751E01C">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项目经理工程类技术职称情况：</w:t>
            </w:r>
          </w:p>
          <w:p w14:paraId="29233659">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1.具备工程师或以上职称的，得10分。</w:t>
            </w:r>
          </w:p>
          <w:p w14:paraId="387A496E">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2.具备助理工程师职称的，得</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分。</w:t>
            </w:r>
          </w:p>
          <w:p w14:paraId="4099C647">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3.不具备以上职称的，或未提供职称证原件的，不予计分。</w:t>
            </w:r>
          </w:p>
        </w:tc>
        <w:tc>
          <w:tcPr>
            <w:tcW w:w="4707" w:type="dxa"/>
            <w:shd w:val="clear" w:color="auto" w:fill="auto"/>
            <w:vAlign w:val="center"/>
          </w:tcPr>
          <w:p w14:paraId="294FCE17">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需附职称证</w:t>
            </w:r>
            <w:r>
              <w:rPr>
                <w:rFonts w:hint="eastAsia" w:ascii="宋体" w:hAnsi="宋体" w:eastAsia="宋体" w:cs="宋体"/>
                <w:color w:val="auto"/>
                <w:sz w:val="24"/>
                <w:szCs w:val="24"/>
                <w:lang w:val="en-US" w:eastAsia="zh-CN"/>
              </w:rPr>
              <w:t>彩色扫描件</w:t>
            </w:r>
            <w:r>
              <w:rPr>
                <w:rFonts w:hint="eastAsia" w:ascii="宋体" w:hAnsi="宋体" w:eastAsia="宋体" w:cs="宋体"/>
                <w:color w:val="auto"/>
                <w:sz w:val="24"/>
                <w:szCs w:val="24"/>
              </w:rPr>
              <w:t>（或打印件），同时提供原件供核对（职称证为电子证书打印件的除外）。</w:t>
            </w:r>
          </w:p>
        </w:tc>
      </w:tr>
      <w:tr w14:paraId="65203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4D1A87FC">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企业业绩</w:t>
            </w:r>
          </w:p>
          <w:p w14:paraId="5037E240">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（10分）</w:t>
            </w:r>
          </w:p>
        </w:tc>
        <w:tc>
          <w:tcPr>
            <w:tcW w:w="3933" w:type="dxa"/>
            <w:shd w:val="clear" w:color="auto" w:fill="auto"/>
            <w:vAlign w:val="center"/>
          </w:tcPr>
          <w:p w14:paraId="11A4F97C">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企业近</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年来（20</w:t>
            </w:r>
            <w:r>
              <w:rPr>
                <w:rFonts w:hint="eastAsia" w:ascii="宋体" w:hAnsi="宋体" w:eastAsia="宋体" w:cs="宋体"/>
                <w:color w:val="auto"/>
                <w:sz w:val="24"/>
                <w:szCs w:val="24"/>
                <w:lang w:val="en-US" w:eastAsia="zh-CN"/>
              </w:rPr>
              <w:t>19</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月1日至今）业绩情况：</w:t>
            </w:r>
          </w:p>
          <w:p w14:paraId="5E616ADE">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完成</w:t>
            </w:r>
            <w:r>
              <w:rPr>
                <w:rFonts w:hint="eastAsia" w:ascii="宋体" w:hAnsi="宋体" w:eastAsia="宋体" w:cs="宋体"/>
                <w:color w:val="auto"/>
                <w:sz w:val="24"/>
                <w:szCs w:val="24"/>
              </w:rPr>
              <w:t>过类似工程的，每个得</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分。</w:t>
            </w:r>
          </w:p>
          <w:p w14:paraId="7F1E9082">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未</w:t>
            </w:r>
            <w:r>
              <w:rPr>
                <w:rFonts w:hint="eastAsia" w:ascii="宋体" w:hAnsi="宋体" w:eastAsia="宋体" w:cs="宋体"/>
                <w:color w:val="auto"/>
                <w:sz w:val="24"/>
                <w:szCs w:val="24"/>
                <w:lang w:val="en-US" w:eastAsia="zh-CN"/>
              </w:rPr>
              <w:t>完成</w:t>
            </w:r>
            <w:r>
              <w:rPr>
                <w:rFonts w:hint="eastAsia" w:ascii="宋体" w:hAnsi="宋体" w:eastAsia="宋体" w:cs="宋体"/>
                <w:color w:val="auto"/>
                <w:sz w:val="24"/>
                <w:szCs w:val="24"/>
              </w:rPr>
              <w:t>过类似工程的，不予计分。</w:t>
            </w:r>
          </w:p>
          <w:p w14:paraId="79CDF3D0">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本项最高得10分。</w:t>
            </w:r>
          </w:p>
        </w:tc>
        <w:tc>
          <w:tcPr>
            <w:tcW w:w="4707" w:type="dxa"/>
            <w:shd w:val="clear" w:color="auto" w:fill="auto"/>
            <w:vAlign w:val="center"/>
          </w:tcPr>
          <w:p w14:paraId="0340C7BF">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类似工程指：</w:t>
            </w:r>
            <w:r>
              <w:rPr>
                <w:rFonts w:hint="eastAsia" w:ascii="宋体" w:hAnsi="宋体" w:eastAsia="宋体" w:cs="宋体"/>
                <w:color w:val="auto"/>
                <w:sz w:val="24"/>
                <w:szCs w:val="24"/>
                <w:lang w:val="en-US" w:eastAsia="zh-CN"/>
              </w:rPr>
              <w:t>市政工程</w:t>
            </w:r>
            <w:r>
              <w:rPr>
                <w:rFonts w:hint="eastAsia" w:ascii="宋体" w:hAnsi="宋体" w:eastAsia="宋体" w:cs="宋体"/>
                <w:color w:val="auto"/>
                <w:sz w:val="24"/>
                <w:szCs w:val="24"/>
                <w:lang w:eastAsia="zh-CN"/>
              </w:rPr>
              <w:t>。</w:t>
            </w:r>
          </w:p>
          <w:p w14:paraId="736B4727">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需附有关业绩合同协议书</w:t>
            </w:r>
            <w:r>
              <w:rPr>
                <w:rFonts w:hint="eastAsia" w:ascii="宋体" w:hAnsi="宋体" w:eastAsia="宋体" w:cs="宋体"/>
                <w:color w:val="auto"/>
                <w:sz w:val="24"/>
                <w:szCs w:val="24"/>
                <w:lang w:eastAsia="zh-CN"/>
              </w:rPr>
              <w:t>关键页</w:t>
            </w:r>
            <w:r>
              <w:rPr>
                <w:rFonts w:hint="eastAsia" w:ascii="宋体" w:hAnsi="宋体" w:eastAsia="宋体" w:cs="宋体"/>
                <w:color w:val="auto"/>
                <w:sz w:val="24"/>
                <w:szCs w:val="24"/>
                <w:lang w:val="en-US" w:eastAsia="zh-CN"/>
              </w:rPr>
              <w:t>彩色扫描件</w:t>
            </w:r>
            <w:r>
              <w:rPr>
                <w:rFonts w:hint="eastAsia" w:ascii="宋体" w:hAnsi="宋体" w:eastAsia="宋体" w:cs="宋体"/>
                <w:color w:val="auto"/>
                <w:sz w:val="24"/>
                <w:szCs w:val="24"/>
              </w:rPr>
              <w:t>（或打印件），同时提供原件供核对</w:t>
            </w:r>
            <w:r>
              <w:rPr>
                <w:rFonts w:hint="eastAsia" w:ascii="宋体" w:hAnsi="宋体" w:eastAsia="宋体" w:cs="宋体"/>
                <w:color w:val="auto"/>
                <w:sz w:val="24"/>
                <w:szCs w:val="24"/>
                <w:lang w:eastAsia="zh-CN"/>
              </w:rPr>
              <w:t>。</w:t>
            </w:r>
          </w:p>
          <w:p w14:paraId="0B7D4A7B">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业绩时间以合同协议书</w:t>
            </w:r>
            <w:r>
              <w:rPr>
                <w:rFonts w:hint="eastAsia" w:ascii="宋体" w:hAnsi="宋体" w:eastAsia="宋体" w:cs="宋体"/>
                <w:color w:val="auto"/>
                <w:sz w:val="24"/>
                <w:szCs w:val="24"/>
                <w:lang w:val="en-US" w:eastAsia="zh-CN"/>
              </w:rPr>
              <w:t>签订</w:t>
            </w:r>
            <w:r>
              <w:rPr>
                <w:rFonts w:hint="eastAsia" w:ascii="宋体" w:hAnsi="宋体" w:eastAsia="宋体" w:cs="宋体"/>
                <w:color w:val="auto"/>
                <w:sz w:val="24"/>
                <w:szCs w:val="24"/>
              </w:rPr>
              <w:t>日期为准。</w:t>
            </w:r>
          </w:p>
          <w:p w14:paraId="231DEDF8">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任一业绩有以下情形之一的，该业绩视为无效，不予计分：</w:t>
            </w:r>
          </w:p>
          <w:p w14:paraId="2F8085EE">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①未提供业绩证明材料原件的；</w:t>
            </w:r>
          </w:p>
          <w:p w14:paraId="2533AD3E">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②业绩不属于类似工程的；</w:t>
            </w:r>
          </w:p>
          <w:p w14:paraId="400CADB5">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③不是以指定身份参建的；</w:t>
            </w:r>
          </w:p>
          <w:p w14:paraId="7C827D2C">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④业绩时间不符合要求的</w:t>
            </w:r>
            <w:r>
              <w:rPr>
                <w:rFonts w:hint="eastAsia" w:ascii="宋体" w:hAnsi="宋体" w:eastAsia="宋体" w:cs="宋体"/>
                <w:color w:val="auto"/>
                <w:sz w:val="24"/>
                <w:szCs w:val="24"/>
                <w:lang w:eastAsia="zh-CN"/>
              </w:rPr>
              <w:t>。</w:t>
            </w:r>
          </w:p>
        </w:tc>
      </w:tr>
      <w:tr w14:paraId="6D73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34C64569">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企业银行</w:t>
            </w:r>
          </w:p>
          <w:p w14:paraId="28DAC505">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资信评级</w:t>
            </w:r>
          </w:p>
          <w:p w14:paraId="3F7C2184">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5分</w:t>
            </w:r>
            <w:r>
              <w:rPr>
                <w:rFonts w:hint="eastAsia" w:ascii="宋体" w:hAnsi="宋体" w:eastAsia="宋体" w:cs="宋体"/>
                <w:color w:val="auto"/>
                <w:sz w:val="24"/>
                <w:szCs w:val="24"/>
              </w:rPr>
              <w:t>）</w:t>
            </w:r>
          </w:p>
        </w:tc>
        <w:tc>
          <w:tcPr>
            <w:tcW w:w="3933" w:type="dxa"/>
            <w:shd w:val="clear" w:color="auto" w:fill="auto"/>
            <w:vAlign w:val="center"/>
          </w:tcPr>
          <w:p w14:paraId="2894A09E">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银行资信评级AAA的，得</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p>
          <w:p w14:paraId="62ABEB31">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银行资信评级AA（含AA＋、AA－）的，得</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w:t>
            </w:r>
          </w:p>
          <w:p w14:paraId="5AB4035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银行资信评级A（含A＋、A－）的，得</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分。</w:t>
            </w:r>
          </w:p>
          <w:p w14:paraId="0C05AE1A">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未获得过以上评级的，或评级证书无效的，不予计分。</w:t>
            </w:r>
          </w:p>
        </w:tc>
        <w:tc>
          <w:tcPr>
            <w:tcW w:w="4707" w:type="dxa"/>
            <w:shd w:val="clear" w:color="auto" w:fill="auto"/>
            <w:vAlign w:val="center"/>
          </w:tcPr>
          <w:p w14:paraId="464C934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需附在有效期内的资信评级证书</w:t>
            </w:r>
            <w:r>
              <w:rPr>
                <w:rFonts w:hint="eastAsia" w:ascii="宋体" w:hAnsi="宋体" w:eastAsia="宋体" w:cs="宋体"/>
                <w:color w:val="auto"/>
                <w:sz w:val="24"/>
                <w:szCs w:val="24"/>
                <w:lang w:val="en-US" w:eastAsia="zh-CN"/>
              </w:rPr>
              <w:t>彩色扫描件</w:t>
            </w:r>
            <w:r>
              <w:rPr>
                <w:rFonts w:hint="eastAsia" w:ascii="宋体" w:hAnsi="宋体" w:eastAsia="宋体" w:cs="宋体"/>
                <w:color w:val="auto"/>
                <w:sz w:val="24"/>
                <w:szCs w:val="24"/>
              </w:rPr>
              <w:t>（或打印件），同时提供原件供核对。</w:t>
            </w:r>
          </w:p>
          <w:p w14:paraId="4875E518">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评级证书须由企业基本账户开户银行出具。</w:t>
            </w:r>
          </w:p>
          <w:p w14:paraId="3FD87DC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评级证书有以下情形之一的，视为无效：</w:t>
            </w:r>
          </w:p>
          <w:p w14:paraId="6350F65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①未提供评级证书原件的；</w:t>
            </w:r>
          </w:p>
          <w:p w14:paraId="0893873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②评级证书不在有效期内的；</w:t>
            </w:r>
          </w:p>
          <w:p w14:paraId="54A38E1D">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③出具机构不符合要求的。</w:t>
            </w:r>
          </w:p>
        </w:tc>
      </w:tr>
      <w:tr w14:paraId="7922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3967894D">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企业履约</w:t>
            </w:r>
          </w:p>
          <w:p w14:paraId="751AEDC8">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信誉</w:t>
            </w:r>
          </w:p>
          <w:p w14:paraId="1402E33D">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分）</w:t>
            </w:r>
          </w:p>
        </w:tc>
        <w:tc>
          <w:tcPr>
            <w:tcW w:w="3933" w:type="dxa"/>
            <w:shd w:val="clear" w:color="auto" w:fill="auto"/>
            <w:vAlign w:val="center"/>
          </w:tcPr>
          <w:p w14:paraId="4A1DEBDB">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企业获得“守合同重信用企业”（以下简称“守重”）荣誉情况：</w:t>
            </w:r>
          </w:p>
          <w:p w14:paraId="02E209E5">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1.守合同重信用连续</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年或以上的</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得</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分。</w:t>
            </w:r>
          </w:p>
          <w:p w14:paraId="181E932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守合同重信用获得</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年的，得</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分。</w:t>
            </w:r>
          </w:p>
          <w:p w14:paraId="48F4508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3.其他情况的，不予计分。</w:t>
            </w:r>
          </w:p>
          <w:p w14:paraId="7D3B0523">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4.本项最高得</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分。</w:t>
            </w:r>
          </w:p>
        </w:tc>
        <w:tc>
          <w:tcPr>
            <w:tcW w:w="4707" w:type="dxa"/>
            <w:shd w:val="clear" w:color="auto" w:fill="auto"/>
            <w:vAlign w:val="center"/>
          </w:tcPr>
          <w:p w14:paraId="043AE48A">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需附“守重”证书</w:t>
            </w:r>
            <w:r>
              <w:rPr>
                <w:rFonts w:hint="eastAsia" w:ascii="宋体" w:hAnsi="宋体" w:eastAsia="宋体" w:cs="宋体"/>
                <w:color w:val="auto"/>
                <w:sz w:val="24"/>
                <w:szCs w:val="24"/>
                <w:lang w:val="en-US" w:eastAsia="zh-CN"/>
              </w:rPr>
              <w:t>彩色扫描件</w:t>
            </w:r>
            <w:r>
              <w:rPr>
                <w:rFonts w:hint="eastAsia" w:ascii="宋体" w:hAnsi="宋体" w:eastAsia="宋体" w:cs="宋体"/>
                <w:color w:val="auto"/>
                <w:sz w:val="24"/>
                <w:szCs w:val="24"/>
              </w:rPr>
              <w:t>（或打印件），同时提供原件供核对。</w:t>
            </w:r>
          </w:p>
          <w:p w14:paraId="79003EE2">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“守重”证书须由市场监督行政主管部门（原工商行政主管部门）</w:t>
            </w:r>
            <w:r>
              <w:rPr>
                <w:rFonts w:hint="eastAsia" w:ascii="宋体" w:hAnsi="宋体" w:eastAsia="宋体" w:cs="宋体"/>
                <w:color w:val="auto"/>
                <w:sz w:val="24"/>
                <w:szCs w:val="24"/>
                <w:lang w:val="en-US" w:eastAsia="zh-CN"/>
              </w:rPr>
              <w:t>或省级（含以上）市场协会信用等级评定委员会</w:t>
            </w:r>
            <w:r>
              <w:rPr>
                <w:rFonts w:hint="eastAsia" w:ascii="宋体" w:hAnsi="宋体" w:eastAsia="宋体" w:cs="宋体"/>
                <w:color w:val="auto"/>
                <w:sz w:val="24"/>
                <w:szCs w:val="24"/>
              </w:rPr>
              <w:t>颁发。</w:t>
            </w:r>
          </w:p>
          <w:p w14:paraId="25EEFAD5">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任一年度“守重”证书有以下情形之一的，该年度视为中断年度：</w:t>
            </w:r>
          </w:p>
          <w:p w14:paraId="12170AD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①未提供“守重”证书原件的；</w:t>
            </w:r>
          </w:p>
          <w:p w14:paraId="0F575689">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②未提供2020年度</w:t>
            </w:r>
            <w:r>
              <w:rPr>
                <w:rFonts w:hint="eastAsia" w:ascii="宋体" w:hAnsi="宋体" w:eastAsia="宋体" w:cs="宋体"/>
                <w:color w:val="auto"/>
                <w:sz w:val="24"/>
                <w:szCs w:val="24"/>
                <w:lang w:val="en-US" w:eastAsia="zh-CN"/>
              </w:rPr>
              <w:t>的</w:t>
            </w:r>
            <w:r>
              <w:rPr>
                <w:rFonts w:hint="eastAsia" w:ascii="宋体" w:hAnsi="宋体" w:eastAsia="宋体" w:cs="宋体"/>
                <w:color w:val="auto"/>
                <w:sz w:val="24"/>
                <w:szCs w:val="24"/>
              </w:rPr>
              <w:t>；</w:t>
            </w:r>
          </w:p>
          <w:p w14:paraId="1D712BD3">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③</w:t>
            </w:r>
            <w:r>
              <w:rPr>
                <w:rFonts w:hint="eastAsia" w:ascii="宋体" w:hAnsi="宋体" w:eastAsia="宋体" w:cs="宋体"/>
                <w:color w:val="auto"/>
                <w:sz w:val="24"/>
                <w:szCs w:val="24"/>
              </w:rPr>
              <w:t>颁发机构不符合要求的。</w:t>
            </w:r>
          </w:p>
        </w:tc>
      </w:tr>
      <w:tr w14:paraId="7EF50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39A26749">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企业管理</w:t>
            </w:r>
          </w:p>
          <w:p w14:paraId="05CBDAA8">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体系认证</w:t>
            </w:r>
          </w:p>
          <w:p w14:paraId="7193AE4C">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分）</w:t>
            </w:r>
          </w:p>
        </w:tc>
        <w:tc>
          <w:tcPr>
            <w:tcW w:w="3933" w:type="dxa"/>
            <w:shd w:val="clear" w:color="auto" w:fill="auto"/>
            <w:vAlign w:val="center"/>
          </w:tcPr>
          <w:p w14:paraId="1B6160E5">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质量管理体系认证证、职业健康安全管理体系认证证、环境管理体系</w:t>
            </w:r>
            <w:r>
              <w:rPr>
                <w:rFonts w:hint="eastAsia" w:ascii="宋体" w:hAnsi="宋体" w:eastAsia="宋体" w:cs="宋体"/>
                <w:color w:val="auto"/>
                <w:sz w:val="24"/>
                <w:szCs w:val="24"/>
                <w:lang w:val="en-US" w:eastAsia="zh-CN"/>
              </w:rPr>
              <w:t>认证</w:t>
            </w:r>
            <w:r>
              <w:rPr>
                <w:rFonts w:hint="eastAsia" w:ascii="宋体" w:hAnsi="宋体" w:eastAsia="宋体" w:cs="宋体"/>
                <w:color w:val="auto"/>
                <w:sz w:val="24"/>
                <w:szCs w:val="24"/>
              </w:rPr>
              <w:t>中，</w:t>
            </w:r>
            <w:r>
              <w:rPr>
                <w:rFonts w:hint="eastAsia" w:ascii="宋体" w:hAnsi="宋体" w:eastAsia="宋体" w:cs="宋体"/>
                <w:color w:val="auto"/>
                <w:sz w:val="24"/>
                <w:szCs w:val="24"/>
                <w:lang w:val="en-US" w:eastAsia="zh-CN"/>
              </w:rPr>
              <w:t>每获得1项认证得2分，最高得6分。</w:t>
            </w:r>
          </w:p>
          <w:p w14:paraId="1D984D2E">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2.未获得以上认证得，不予计分。</w:t>
            </w:r>
          </w:p>
        </w:tc>
        <w:tc>
          <w:tcPr>
            <w:tcW w:w="4707" w:type="dxa"/>
            <w:shd w:val="clear" w:color="auto" w:fill="auto"/>
            <w:vAlign w:val="center"/>
          </w:tcPr>
          <w:p w14:paraId="3D407303">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需附在有效期内的认证证书</w:t>
            </w:r>
            <w:r>
              <w:rPr>
                <w:rFonts w:hint="eastAsia" w:ascii="宋体" w:hAnsi="宋体" w:eastAsia="宋体" w:cs="宋体"/>
                <w:color w:val="auto"/>
                <w:sz w:val="24"/>
                <w:szCs w:val="24"/>
                <w:lang w:val="en-US" w:eastAsia="zh-CN"/>
              </w:rPr>
              <w:t>彩色扫描件</w:t>
            </w:r>
            <w:r>
              <w:rPr>
                <w:rFonts w:hint="eastAsia" w:ascii="宋体" w:hAnsi="宋体" w:eastAsia="宋体" w:cs="宋体"/>
                <w:color w:val="auto"/>
                <w:sz w:val="24"/>
                <w:szCs w:val="24"/>
              </w:rPr>
              <w:t>（或打印件），同时提供原件供核对。</w:t>
            </w:r>
          </w:p>
          <w:p w14:paraId="271028C6">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任一认证证书有以下情形之一的，该认证证书视为无效，不予计分：</w:t>
            </w:r>
          </w:p>
          <w:p w14:paraId="575ECFE8">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①未提供认证证书原件的；</w:t>
            </w:r>
          </w:p>
          <w:p w14:paraId="383D9F55">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②认证证书不在有效期内的。</w:t>
            </w:r>
          </w:p>
        </w:tc>
      </w:tr>
      <w:tr w14:paraId="0D654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08E6722D">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w:t>
            </w:r>
          </w:p>
          <w:p w14:paraId="4E962A76">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财务状况</w:t>
            </w:r>
          </w:p>
          <w:p w14:paraId="3AB9D4A4">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分）</w:t>
            </w:r>
          </w:p>
        </w:tc>
        <w:tc>
          <w:tcPr>
            <w:tcW w:w="3933" w:type="dxa"/>
            <w:shd w:val="clear" w:color="auto" w:fill="auto"/>
            <w:vAlign w:val="center"/>
          </w:tcPr>
          <w:p w14:paraId="4192E823">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提供不少于</w:t>
            </w:r>
            <w:r>
              <w:rPr>
                <w:rFonts w:hint="eastAsia" w:ascii="宋体" w:hAnsi="宋体" w:eastAsia="宋体" w:cs="宋体"/>
                <w:color w:val="auto"/>
                <w:sz w:val="24"/>
                <w:szCs w:val="24"/>
                <w:lang w:val="en-US" w:eastAsia="zh-CN"/>
              </w:rPr>
              <w:t>100</w:t>
            </w:r>
            <w:r>
              <w:rPr>
                <w:rFonts w:hint="eastAsia" w:ascii="宋体" w:hAnsi="宋体" w:eastAsia="宋体" w:cs="宋体"/>
                <w:color w:val="auto"/>
                <w:sz w:val="24"/>
                <w:szCs w:val="24"/>
              </w:rPr>
              <w:t>万元银行授信证明的，得</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分。</w:t>
            </w:r>
          </w:p>
          <w:p w14:paraId="580C385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提供投标人基本账户在本项目招标公告发布之日起至投标截止时间期间出现过至少连续3日不少于</w:t>
            </w:r>
            <w:r>
              <w:rPr>
                <w:rFonts w:hint="eastAsia" w:ascii="宋体" w:hAnsi="宋体" w:eastAsia="宋体" w:cs="宋体"/>
                <w:color w:val="auto"/>
                <w:sz w:val="24"/>
                <w:szCs w:val="24"/>
                <w:lang w:val="en-US" w:eastAsia="zh-CN"/>
              </w:rPr>
              <w:t>100</w:t>
            </w:r>
            <w:r>
              <w:rPr>
                <w:rFonts w:hint="eastAsia" w:ascii="宋体" w:hAnsi="宋体" w:eastAsia="宋体" w:cs="宋体"/>
                <w:color w:val="auto"/>
                <w:sz w:val="24"/>
                <w:szCs w:val="24"/>
              </w:rPr>
              <w:t>万元存款余额资金流水证明的，得</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分。</w:t>
            </w:r>
          </w:p>
          <w:p w14:paraId="22198D2D">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未提供以上证明的，不予计分。</w:t>
            </w:r>
          </w:p>
        </w:tc>
        <w:tc>
          <w:tcPr>
            <w:tcW w:w="4707" w:type="dxa"/>
            <w:shd w:val="clear" w:color="auto" w:fill="auto"/>
            <w:vAlign w:val="center"/>
          </w:tcPr>
          <w:p w14:paraId="3E89E709">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需附在有效期内的有关证明</w:t>
            </w:r>
            <w:r>
              <w:rPr>
                <w:rFonts w:hint="eastAsia" w:ascii="宋体" w:hAnsi="宋体" w:eastAsia="宋体" w:cs="宋体"/>
                <w:color w:val="auto"/>
                <w:sz w:val="24"/>
                <w:szCs w:val="24"/>
                <w:lang w:val="en-US" w:eastAsia="zh-CN"/>
              </w:rPr>
              <w:t>彩色扫描件</w:t>
            </w:r>
            <w:r>
              <w:rPr>
                <w:rFonts w:hint="eastAsia" w:ascii="宋体" w:hAnsi="宋体" w:eastAsia="宋体" w:cs="宋体"/>
                <w:color w:val="auto"/>
                <w:sz w:val="24"/>
                <w:szCs w:val="24"/>
              </w:rPr>
              <w:t>（或打印件），同时提供原件供核对。</w:t>
            </w:r>
          </w:p>
          <w:p w14:paraId="6DF4E51A">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银行授信证明有以下情形之一的，视为无效，不予计分：</w:t>
            </w:r>
          </w:p>
          <w:p w14:paraId="5460042A">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①未提供授信证明原件的；</w:t>
            </w:r>
          </w:p>
          <w:p w14:paraId="0DFCE6EC">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②授信证明不在有效期内的；</w:t>
            </w:r>
          </w:p>
          <w:p w14:paraId="70F34E91">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③授信额度不符合要求的；</w:t>
            </w:r>
          </w:p>
          <w:p w14:paraId="7CE5CD81">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存款余额资金流水证明有以下情形之一的，视为无效，不予计分：</w:t>
            </w:r>
          </w:p>
          <w:p w14:paraId="774BD442">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①未提供存款证明原件的；</w:t>
            </w:r>
          </w:p>
          <w:p w14:paraId="699CB3F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②存款账户不是基本账户的；</w:t>
            </w:r>
          </w:p>
          <w:p w14:paraId="35AB6BE8">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③存款时间不符合要求的；</w:t>
            </w:r>
          </w:p>
          <w:p w14:paraId="78194B77">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④存款额度不符合要求的。</w:t>
            </w:r>
          </w:p>
        </w:tc>
      </w:tr>
      <w:tr w14:paraId="1D2BF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vAlign w:val="center"/>
          </w:tcPr>
          <w:p w14:paraId="06FAFA7F">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招标人</w:t>
            </w:r>
          </w:p>
          <w:p w14:paraId="35E7C94C">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自选项</w:t>
            </w:r>
          </w:p>
          <w:p w14:paraId="3CD6A0A3">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分）</w:t>
            </w:r>
          </w:p>
        </w:tc>
        <w:tc>
          <w:tcPr>
            <w:tcW w:w="3933" w:type="dxa"/>
            <w:shd w:val="clear" w:color="auto" w:fill="auto"/>
            <w:vAlign w:val="center"/>
          </w:tcPr>
          <w:p w14:paraId="58591E10">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企业</w:t>
            </w:r>
            <w:r>
              <w:rPr>
                <w:rFonts w:hint="eastAsia" w:ascii="宋体" w:hAnsi="宋体" w:eastAsia="宋体" w:cs="宋体"/>
                <w:color w:val="auto"/>
                <w:sz w:val="24"/>
                <w:szCs w:val="24"/>
                <w:lang w:val="en-US" w:eastAsia="zh-CN"/>
              </w:rPr>
              <w:t>连续4年或4年以上（含2023年）获得纳税信用A级纳税人的，得5分。(其中必须有2023年度)</w:t>
            </w:r>
          </w:p>
        </w:tc>
        <w:tc>
          <w:tcPr>
            <w:tcW w:w="4707" w:type="dxa"/>
            <w:shd w:val="clear" w:color="auto" w:fill="auto"/>
            <w:vAlign w:val="center"/>
          </w:tcPr>
          <w:p w14:paraId="410D8586">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1.必须提供企业纳税信用A级纳税人证明材料（或证书）及国家税务总局网上查询截图，否则不得分。</w:t>
            </w:r>
          </w:p>
          <w:p w14:paraId="0C3A50C2">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2.只计算投标人自身（不计算投标人的分公司、子公司及分支机构）。</w:t>
            </w:r>
          </w:p>
        </w:tc>
      </w:tr>
      <w:tr w14:paraId="0CB6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382D3EC4">
            <w:pPr>
              <w:spacing w:line="360" w:lineRule="auto"/>
              <w:rPr>
                <w:rFonts w:hint="eastAsia" w:ascii="宋体" w:hAnsi="宋体" w:eastAsia="宋体" w:cs="宋体"/>
                <w:color w:val="auto"/>
                <w:sz w:val="24"/>
                <w:szCs w:val="24"/>
              </w:rPr>
            </w:pPr>
          </w:p>
        </w:tc>
        <w:tc>
          <w:tcPr>
            <w:tcW w:w="3933" w:type="dxa"/>
            <w:shd w:val="clear" w:color="auto" w:fill="auto"/>
            <w:vAlign w:val="center"/>
          </w:tcPr>
          <w:p w14:paraId="453D914B">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近</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年来（20</w:t>
            </w:r>
            <w:r>
              <w:rPr>
                <w:rFonts w:hint="eastAsia" w:ascii="宋体" w:hAnsi="宋体" w:eastAsia="宋体" w:cs="宋体"/>
                <w:color w:val="auto"/>
                <w:sz w:val="24"/>
                <w:szCs w:val="24"/>
                <w:lang w:val="en-US" w:eastAsia="zh-CN"/>
              </w:rPr>
              <w:t>21</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月1日至今）</w:t>
            </w:r>
            <w:r>
              <w:rPr>
                <w:rFonts w:hint="eastAsia" w:ascii="宋体" w:hAnsi="宋体" w:eastAsia="宋体" w:cs="宋体"/>
                <w:color w:val="auto"/>
                <w:sz w:val="24"/>
                <w:szCs w:val="24"/>
                <w:lang w:eastAsia="zh-CN"/>
              </w:rPr>
              <w:t>企业</w:t>
            </w:r>
            <w:r>
              <w:rPr>
                <w:rFonts w:hint="eastAsia" w:ascii="宋体" w:hAnsi="宋体" w:eastAsia="宋体" w:cs="宋体"/>
                <w:color w:val="auto"/>
                <w:sz w:val="24"/>
                <w:szCs w:val="24"/>
              </w:rPr>
              <w:t>获得过高新技术企业证书</w:t>
            </w:r>
            <w:r>
              <w:rPr>
                <w:rFonts w:hint="eastAsia" w:ascii="宋体" w:hAnsi="宋体" w:eastAsia="宋体" w:cs="宋体"/>
                <w:color w:val="auto"/>
                <w:sz w:val="24"/>
                <w:szCs w:val="24"/>
                <w:lang w:val="en-US" w:eastAsia="zh-CN"/>
              </w:rPr>
              <w:t>且在有效期内的得5分。</w:t>
            </w:r>
          </w:p>
        </w:tc>
        <w:tc>
          <w:tcPr>
            <w:tcW w:w="4707" w:type="dxa"/>
            <w:shd w:val="clear" w:color="auto" w:fill="auto"/>
            <w:vAlign w:val="center"/>
          </w:tcPr>
          <w:p w14:paraId="2889E767">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1</w:t>
            </w:r>
            <w:r>
              <w:rPr>
                <w:rFonts w:hint="eastAsia" w:ascii="宋体" w:hAnsi="宋体" w:eastAsia="宋体" w:cs="宋体"/>
                <w:color w:val="auto"/>
                <w:sz w:val="24"/>
                <w:szCs w:val="24"/>
                <w:lang w:val="en-US" w:eastAsia="zh-CN"/>
              </w:rPr>
              <w:t>.提供高新技术企业证书彩色扫描件，提供网上查询截图，同时提供原件供核对。</w:t>
            </w:r>
          </w:p>
          <w:p w14:paraId="578C1CEA">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2.有以下情形之一的，不予计分：</w:t>
            </w:r>
          </w:p>
          <w:p w14:paraId="7ACEE408">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①证书不属于指定类别的；</w:t>
            </w:r>
          </w:p>
          <w:p w14:paraId="5419A264">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②获得时间不符合要求的。</w:t>
            </w:r>
          </w:p>
        </w:tc>
      </w:tr>
      <w:tr w14:paraId="46B3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11D721C4">
            <w:pPr>
              <w:spacing w:line="360" w:lineRule="auto"/>
              <w:rPr>
                <w:rFonts w:hint="eastAsia" w:ascii="宋体" w:hAnsi="宋体" w:eastAsia="宋体" w:cs="宋体"/>
                <w:color w:val="auto"/>
                <w:sz w:val="24"/>
                <w:szCs w:val="24"/>
              </w:rPr>
            </w:pPr>
          </w:p>
        </w:tc>
        <w:tc>
          <w:tcPr>
            <w:tcW w:w="3933" w:type="dxa"/>
            <w:shd w:val="clear" w:color="auto" w:fill="auto"/>
            <w:vAlign w:val="center"/>
          </w:tcPr>
          <w:p w14:paraId="3B411272">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从</w:t>
            </w:r>
            <w:r>
              <w:rPr>
                <w:rFonts w:hint="eastAsia" w:ascii="宋体" w:hAnsi="宋体" w:eastAsia="宋体" w:cs="宋体"/>
                <w:color w:val="auto"/>
                <w:sz w:val="24"/>
                <w:szCs w:val="24"/>
                <w:lang w:val="en-US" w:eastAsia="zh-CN"/>
              </w:rPr>
              <w:t>2021</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日至今获得</w:t>
            </w:r>
            <w:r>
              <w:rPr>
                <w:rFonts w:hint="eastAsia" w:ascii="宋体" w:hAnsi="宋体" w:eastAsia="宋体" w:cs="宋体"/>
                <w:color w:val="auto"/>
                <w:sz w:val="24"/>
                <w:szCs w:val="24"/>
                <w:lang w:val="en-US" w:eastAsia="zh-CN"/>
              </w:rPr>
              <w:t>过</w:t>
            </w:r>
            <w:r>
              <w:rPr>
                <w:rFonts w:hint="eastAsia" w:ascii="宋体" w:hAnsi="宋体" w:eastAsia="宋体" w:cs="宋体"/>
                <w:color w:val="auto"/>
                <w:sz w:val="24"/>
                <w:szCs w:val="24"/>
              </w:rPr>
              <w:t>国级“AAA级信用企业”称号的得</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本项最高得5分</w:t>
            </w:r>
            <w:r>
              <w:rPr>
                <w:rFonts w:hint="eastAsia" w:ascii="宋体" w:hAnsi="宋体" w:eastAsia="宋体" w:cs="宋体"/>
                <w:color w:val="auto"/>
                <w:sz w:val="24"/>
                <w:szCs w:val="24"/>
              </w:rPr>
              <w:t>。</w:t>
            </w:r>
          </w:p>
        </w:tc>
        <w:tc>
          <w:tcPr>
            <w:tcW w:w="4707" w:type="dxa"/>
            <w:shd w:val="clear" w:color="auto" w:fill="auto"/>
            <w:vAlign w:val="center"/>
          </w:tcPr>
          <w:p w14:paraId="5D3E0F6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需附相关证书</w:t>
            </w:r>
            <w:r>
              <w:rPr>
                <w:rFonts w:hint="eastAsia" w:ascii="宋体" w:hAnsi="宋体" w:eastAsia="宋体" w:cs="宋体"/>
                <w:color w:val="auto"/>
                <w:sz w:val="24"/>
                <w:szCs w:val="24"/>
                <w:lang w:val="en-US" w:eastAsia="zh-CN"/>
              </w:rPr>
              <w:t>彩色扫描件</w:t>
            </w:r>
            <w:r>
              <w:rPr>
                <w:rFonts w:hint="eastAsia" w:ascii="宋体" w:hAnsi="宋体" w:eastAsia="宋体" w:cs="宋体"/>
                <w:color w:val="auto"/>
                <w:sz w:val="24"/>
                <w:szCs w:val="24"/>
              </w:rPr>
              <w:t>（或打印件），同时提供原件供核对。</w:t>
            </w:r>
          </w:p>
          <w:p w14:paraId="2799AD1B">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证书须由国级企业联合会和企业家协会（需经民政局备案）同时颁发。</w:t>
            </w:r>
          </w:p>
          <w:p w14:paraId="7BD177FA">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未提供原件的；颁发机构、获奖时间不符合评分标准和备注规定的，不予得分。</w:t>
            </w:r>
          </w:p>
        </w:tc>
      </w:tr>
      <w:tr w14:paraId="71F9B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43797ADB">
            <w:pPr>
              <w:spacing w:line="360" w:lineRule="auto"/>
              <w:rPr>
                <w:rFonts w:hint="eastAsia" w:ascii="宋体" w:hAnsi="宋体" w:eastAsia="宋体" w:cs="宋体"/>
                <w:color w:val="auto"/>
                <w:sz w:val="24"/>
                <w:szCs w:val="24"/>
              </w:rPr>
            </w:pPr>
          </w:p>
        </w:tc>
        <w:tc>
          <w:tcPr>
            <w:tcW w:w="3933" w:type="dxa"/>
            <w:shd w:val="clear" w:color="auto" w:fill="auto"/>
            <w:vAlign w:val="center"/>
          </w:tcPr>
          <w:p w14:paraId="1258DF78">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投标人从2021年1月1日至今获得过项目所在县级行政区域的人民政府或建设行政主管部门出具的“感谢信”的每个得2.5分，本项最高得5分。</w:t>
            </w:r>
          </w:p>
        </w:tc>
        <w:tc>
          <w:tcPr>
            <w:tcW w:w="4707" w:type="dxa"/>
            <w:shd w:val="clear" w:color="auto" w:fill="auto"/>
            <w:vAlign w:val="center"/>
          </w:tcPr>
          <w:p w14:paraId="33DA9581">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1.需附相关证书彩色扫描件（或打印件），同时提供原件供核对</w:t>
            </w:r>
            <w:r>
              <w:rPr>
                <w:rFonts w:hint="eastAsia" w:ascii="宋体" w:hAnsi="宋体" w:eastAsia="宋体" w:cs="宋体"/>
                <w:color w:val="auto"/>
                <w:sz w:val="24"/>
                <w:szCs w:val="24"/>
              </w:rPr>
              <w:t>(电子证书除外)</w:t>
            </w:r>
            <w:r>
              <w:rPr>
                <w:rFonts w:hint="eastAsia" w:ascii="宋体" w:hAnsi="宋体" w:eastAsia="宋体" w:cs="宋体"/>
                <w:color w:val="auto"/>
                <w:sz w:val="24"/>
                <w:szCs w:val="24"/>
                <w:lang w:val="en-US" w:eastAsia="zh-CN"/>
              </w:rPr>
              <w:t>。</w:t>
            </w:r>
          </w:p>
          <w:p w14:paraId="1779388F">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2.证书须由项目所在县级行政区域的人民政府</w:t>
            </w:r>
            <w:r>
              <w:rPr>
                <w:rFonts w:hint="eastAsia" w:ascii="宋体" w:hAnsi="宋体" w:eastAsia="宋体" w:cs="宋体"/>
                <w:color w:val="auto"/>
                <w:sz w:val="24"/>
                <w:szCs w:val="24"/>
              </w:rPr>
              <w:t>或建设行政主管部门</w:t>
            </w:r>
            <w:r>
              <w:rPr>
                <w:rFonts w:hint="eastAsia" w:ascii="宋体" w:hAnsi="宋体" w:eastAsia="宋体" w:cs="宋体"/>
                <w:color w:val="auto"/>
                <w:sz w:val="24"/>
                <w:szCs w:val="24"/>
                <w:lang w:val="en-US" w:eastAsia="zh-CN"/>
              </w:rPr>
              <w:t>颁发。</w:t>
            </w:r>
          </w:p>
          <w:p w14:paraId="7C671ED0">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3.未提供原件的；颁发机构、获奖时间不符合评分标准和备注规定的，不予得分。</w:t>
            </w:r>
          </w:p>
        </w:tc>
      </w:tr>
      <w:tr w14:paraId="153B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3"/>
          </w:tcPr>
          <w:p w14:paraId="26DD963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技术部分（施工组织设计），满分：20分。</w:t>
            </w:r>
          </w:p>
        </w:tc>
      </w:tr>
      <w:tr w14:paraId="5C0B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257F76D4">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评分因素</w:t>
            </w:r>
          </w:p>
        </w:tc>
        <w:tc>
          <w:tcPr>
            <w:tcW w:w="3933" w:type="dxa"/>
            <w:vAlign w:val="center"/>
          </w:tcPr>
          <w:p w14:paraId="58261FCB">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评分标准</w:t>
            </w:r>
          </w:p>
        </w:tc>
        <w:tc>
          <w:tcPr>
            <w:tcW w:w="4707" w:type="dxa"/>
            <w:vAlign w:val="center"/>
          </w:tcPr>
          <w:p w14:paraId="7C3C77E7">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备注</w:t>
            </w:r>
          </w:p>
        </w:tc>
      </w:tr>
      <w:tr w14:paraId="6623E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1775CD2B">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总体概述</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p>
        </w:tc>
        <w:tc>
          <w:tcPr>
            <w:tcW w:w="3933" w:type="dxa"/>
            <w:shd w:val="clear" w:color="auto" w:fill="auto"/>
            <w:vAlign w:val="center"/>
          </w:tcPr>
          <w:p w14:paraId="6D1DFFF2">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【优】得该项</w:t>
            </w:r>
            <w:r>
              <w:rPr>
                <w:rFonts w:hint="eastAsia" w:ascii="宋体" w:hAnsi="宋体" w:eastAsia="宋体" w:cs="宋体"/>
                <w:color w:val="auto"/>
                <w:sz w:val="24"/>
                <w:szCs w:val="24"/>
                <w:lang w:eastAsia="zh-CN"/>
              </w:rPr>
              <w:t>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100%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p>
          <w:p w14:paraId="4935C1CA">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【良】得</w:t>
            </w:r>
            <w:r>
              <w:rPr>
                <w:rFonts w:hint="eastAsia" w:ascii="宋体" w:hAnsi="宋体" w:eastAsia="宋体" w:cs="宋体"/>
                <w:color w:val="auto"/>
                <w:sz w:val="24"/>
                <w:szCs w:val="24"/>
                <w:lang w:eastAsia="zh-CN"/>
              </w:rPr>
              <w:t>该项评分因素分值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80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80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p>
          <w:p w14:paraId="2FF35379">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【中】得</w:t>
            </w:r>
            <w:r>
              <w:rPr>
                <w:rFonts w:hint="eastAsia" w:ascii="宋体" w:hAnsi="宋体" w:eastAsia="宋体" w:cs="宋体"/>
                <w:color w:val="auto"/>
                <w:sz w:val="24"/>
                <w:szCs w:val="24"/>
                <w:lang w:eastAsia="zh-CN"/>
              </w:rPr>
              <w:t>该项评分因素分值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70%</w:t>
            </w:r>
            <w:r>
              <w:rPr>
                <w:rFonts w:hint="eastAsia" w:ascii="宋体" w:hAnsi="宋体" w:eastAsia="宋体" w:cs="宋体"/>
                <w:color w:val="auto"/>
                <w:sz w:val="24"/>
                <w:szCs w:val="24"/>
                <w:lang w:eastAsia="zh-CN"/>
              </w:rPr>
              <w:t>）。</w:t>
            </w:r>
          </w:p>
          <w:p w14:paraId="022E4B20">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【差】得</w:t>
            </w:r>
            <w:r>
              <w:rPr>
                <w:rFonts w:hint="eastAsia" w:ascii="宋体" w:hAnsi="宋体" w:eastAsia="宋体" w:cs="宋体"/>
                <w:color w:val="auto"/>
                <w:sz w:val="24"/>
                <w:szCs w:val="24"/>
                <w:lang w:eastAsia="zh-CN"/>
              </w:rPr>
              <w:t>该项评分因素分值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p>
        </w:tc>
        <w:tc>
          <w:tcPr>
            <w:tcW w:w="4707" w:type="dxa"/>
            <w:shd w:val="clear" w:color="auto" w:fill="auto"/>
            <w:vAlign w:val="center"/>
          </w:tcPr>
          <w:p w14:paraId="6DFFD058">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【优】对项目总体有深刻认识，表述清晰、完整、严谨、合理，措施先进、具体、有效、成熟，采用了新技术、新工艺、新材料、新设备；施工段划分呼应总体表述，划分清晰、合理，符合规范要求。</w:t>
            </w:r>
          </w:p>
          <w:p w14:paraId="4728428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【良】对项目总体有一定认识，表述清晰、完整，措施具体有效；施工段划分呼应总体表述，划分清晰，符合规范要求。</w:t>
            </w:r>
          </w:p>
          <w:p w14:paraId="5FF450DB">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【中】对项目总体有认识，有一定的措施但部分不具体；施工段划分较合理，符合规范要求。</w:t>
            </w:r>
          </w:p>
          <w:p w14:paraId="6ADDAA50">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【差】对项目认识不足，表述不清晰，措施不具体；施工段划分不合理。</w:t>
            </w:r>
          </w:p>
        </w:tc>
      </w:tr>
      <w:tr w14:paraId="7077B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4A28E1D6">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施工总进</w:t>
            </w:r>
          </w:p>
          <w:p w14:paraId="73DC54EC">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度计划及</w:t>
            </w:r>
          </w:p>
          <w:p w14:paraId="5EA128CC">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保证措施</w:t>
            </w:r>
          </w:p>
          <w:p w14:paraId="56CE14F3">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p>
        </w:tc>
        <w:tc>
          <w:tcPr>
            <w:tcW w:w="3933" w:type="dxa"/>
            <w:shd w:val="clear" w:color="auto" w:fill="auto"/>
            <w:vAlign w:val="center"/>
          </w:tcPr>
          <w:p w14:paraId="488347CE">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【优】得该项</w:t>
            </w:r>
            <w:r>
              <w:rPr>
                <w:rFonts w:hint="eastAsia" w:ascii="宋体" w:hAnsi="宋体" w:eastAsia="宋体" w:cs="宋体"/>
                <w:color w:val="auto"/>
                <w:sz w:val="24"/>
                <w:szCs w:val="24"/>
                <w:lang w:eastAsia="zh-CN"/>
              </w:rPr>
              <w:t>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100%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p>
          <w:p w14:paraId="4863AB09">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【良】得</w:t>
            </w:r>
            <w:r>
              <w:rPr>
                <w:rFonts w:hint="eastAsia" w:ascii="宋体" w:hAnsi="宋体" w:eastAsia="宋体" w:cs="宋体"/>
                <w:color w:val="auto"/>
                <w:sz w:val="24"/>
                <w:szCs w:val="24"/>
                <w:lang w:eastAsia="zh-CN"/>
              </w:rPr>
              <w:t>该项评分因素分值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80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80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p>
          <w:p w14:paraId="284F29B3">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【中】得</w:t>
            </w:r>
            <w:r>
              <w:rPr>
                <w:rFonts w:hint="eastAsia" w:ascii="宋体" w:hAnsi="宋体" w:eastAsia="宋体" w:cs="宋体"/>
                <w:color w:val="auto"/>
                <w:sz w:val="24"/>
                <w:szCs w:val="24"/>
                <w:lang w:eastAsia="zh-CN"/>
              </w:rPr>
              <w:t>该项评分因素分值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70%</w:t>
            </w:r>
            <w:r>
              <w:rPr>
                <w:rFonts w:hint="eastAsia" w:ascii="宋体" w:hAnsi="宋体" w:eastAsia="宋体" w:cs="宋体"/>
                <w:color w:val="auto"/>
                <w:sz w:val="24"/>
                <w:szCs w:val="24"/>
                <w:lang w:eastAsia="zh-CN"/>
              </w:rPr>
              <w:t>）。</w:t>
            </w:r>
          </w:p>
          <w:p w14:paraId="1CCA3DAC">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【差】得</w:t>
            </w:r>
            <w:r>
              <w:rPr>
                <w:rFonts w:hint="eastAsia" w:ascii="宋体" w:hAnsi="宋体" w:eastAsia="宋体" w:cs="宋体"/>
                <w:color w:val="auto"/>
                <w:sz w:val="24"/>
                <w:szCs w:val="24"/>
                <w:lang w:eastAsia="zh-CN"/>
              </w:rPr>
              <w:t>该项评分因素分值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p>
        </w:tc>
        <w:tc>
          <w:tcPr>
            <w:tcW w:w="4707" w:type="dxa"/>
            <w:shd w:val="clear" w:color="auto" w:fill="auto"/>
            <w:vAlign w:val="center"/>
          </w:tcPr>
          <w:p w14:paraId="422B6C42">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【优】关键线路清晰、准确、完整，计划编制合理、可行。关键节点的控制措施有力、合理、可行。</w:t>
            </w:r>
            <w:r>
              <w:rPr>
                <w:rFonts w:hint="eastAsia" w:ascii="宋体" w:hAnsi="宋体" w:eastAsia="宋体" w:cs="宋体"/>
                <w:color w:val="auto"/>
                <w:sz w:val="24"/>
                <w:szCs w:val="24"/>
                <w:lang w:eastAsia="zh-CN"/>
              </w:rPr>
              <w:t>人、材、机需求和进场计划与进度计划相呼应，较好满足施工需要，调配投入计划合理、准确。</w:t>
            </w:r>
            <w:r>
              <w:rPr>
                <w:rFonts w:hint="eastAsia" w:ascii="宋体" w:hAnsi="宋体" w:eastAsia="宋体" w:cs="宋体"/>
                <w:color w:val="auto"/>
                <w:sz w:val="24"/>
                <w:szCs w:val="24"/>
              </w:rPr>
              <w:t>进度违约责任承诺具体，</w:t>
            </w:r>
            <w:r>
              <w:rPr>
                <w:rFonts w:hint="eastAsia" w:ascii="宋体" w:hAnsi="宋体" w:eastAsia="宋体" w:cs="宋体"/>
                <w:color w:val="auto"/>
                <w:sz w:val="24"/>
                <w:szCs w:val="24"/>
                <w:lang w:eastAsia="zh-CN"/>
              </w:rPr>
              <w:t>经济赔偿合理。</w:t>
            </w:r>
          </w:p>
          <w:p w14:paraId="2AE47A11">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【良】关键线路清晰、准确、完整，计划编制可行。关键节点的控制措施合理、可行。</w:t>
            </w:r>
            <w:r>
              <w:rPr>
                <w:rFonts w:hint="eastAsia" w:ascii="宋体" w:hAnsi="宋体" w:eastAsia="宋体" w:cs="宋体"/>
                <w:color w:val="auto"/>
                <w:sz w:val="24"/>
                <w:szCs w:val="24"/>
                <w:lang w:eastAsia="zh-CN"/>
              </w:rPr>
              <w:t>人、材、机需求和进场计划与进度计划相呼应，</w:t>
            </w:r>
            <w:r>
              <w:rPr>
                <w:rFonts w:hint="eastAsia" w:ascii="宋体" w:hAnsi="宋体" w:eastAsia="宋体" w:cs="宋体"/>
                <w:color w:val="auto"/>
                <w:sz w:val="24"/>
                <w:szCs w:val="24"/>
              </w:rPr>
              <w:t>基本满足施工需要，调配投入计划基本合理、准确</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进度违约责任承诺具体，</w:t>
            </w:r>
            <w:r>
              <w:rPr>
                <w:rFonts w:hint="eastAsia" w:ascii="宋体" w:hAnsi="宋体" w:eastAsia="宋体" w:cs="宋体"/>
                <w:color w:val="auto"/>
                <w:sz w:val="24"/>
                <w:szCs w:val="24"/>
                <w:lang w:eastAsia="zh-CN"/>
              </w:rPr>
              <w:t>经济赔偿较合理。</w:t>
            </w:r>
          </w:p>
          <w:p w14:paraId="181D63AB">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【中】关键线路基本准确，计划编制基本合理。关键节点的控制措施基本可行。</w:t>
            </w:r>
            <w:r>
              <w:rPr>
                <w:rFonts w:hint="eastAsia" w:ascii="宋体" w:hAnsi="宋体" w:eastAsia="宋体" w:cs="宋体"/>
                <w:color w:val="auto"/>
                <w:sz w:val="24"/>
                <w:szCs w:val="24"/>
                <w:lang w:eastAsia="zh-CN"/>
              </w:rPr>
              <w:t>人、材、机需求和进场计划与进度计划相呼应，</w:t>
            </w:r>
            <w:r>
              <w:rPr>
                <w:rFonts w:hint="eastAsia" w:ascii="宋体" w:hAnsi="宋体" w:eastAsia="宋体" w:cs="宋体"/>
                <w:color w:val="auto"/>
                <w:sz w:val="24"/>
                <w:szCs w:val="24"/>
              </w:rPr>
              <w:t>基本满足施工需要，调配投入计划基本合理。进度违约责任承诺具体。</w:t>
            </w:r>
          </w:p>
          <w:p w14:paraId="768D4C71">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【差】关键线路不准确，计划编制不合理。关键节点的控制不可行。</w:t>
            </w:r>
            <w:r>
              <w:rPr>
                <w:rFonts w:hint="eastAsia" w:ascii="宋体" w:hAnsi="宋体" w:eastAsia="宋体" w:cs="宋体"/>
                <w:color w:val="auto"/>
                <w:sz w:val="24"/>
                <w:szCs w:val="24"/>
                <w:lang w:eastAsia="zh-CN"/>
              </w:rPr>
              <w:t>人、材、机需求和进场计划与进度计划不相呼应，</w:t>
            </w:r>
            <w:r>
              <w:rPr>
                <w:rFonts w:hint="eastAsia" w:ascii="宋体" w:hAnsi="宋体" w:eastAsia="宋体" w:cs="宋体"/>
                <w:color w:val="auto"/>
                <w:sz w:val="24"/>
                <w:szCs w:val="24"/>
              </w:rPr>
              <w:t>不能满足施工需要。没有违约责任承诺。</w:t>
            </w:r>
          </w:p>
        </w:tc>
      </w:tr>
      <w:tr w14:paraId="0289B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4CE0D19E">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质量</w:t>
            </w:r>
          </w:p>
          <w:p w14:paraId="7608260A">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保证措施</w:t>
            </w:r>
          </w:p>
          <w:p w14:paraId="51480027">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p>
        </w:tc>
        <w:tc>
          <w:tcPr>
            <w:tcW w:w="3933" w:type="dxa"/>
            <w:shd w:val="clear" w:color="auto" w:fill="auto"/>
            <w:vAlign w:val="center"/>
          </w:tcPr>
          <w:p w14:paraId="1727E585">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【优】得该项</w:t>
            </w:r>
            <w:r>
              <w:rPr>
                <w:rFonts w:hint="eastAsia" w:ascii="宋体" w:hAnsi="宋体" w:eastAsia="宋体" w:cs="宋体"/>
                <w:color w:val="auto"/>
                <w:sz w:val="24"/>
                <w:szCs w:val="24"/>
                <w:lang w:eastAsia="zh-CN"/>
              </w:rPr>
              <w:t>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100%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p>
          <w:p w14:paraId="2911EE91">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【良】得</w:t>
            </w:r>
            <w:r>
              <w:rPr>
                <w:rFonts w:hint="eastAsia" w:ascii="宋体" w:hAnsi="宋体" w:eastAsia="宋体" w:cs="宋体"/>
                <w:color w:val="auto"/>
                <w:sz w:val="24"/>
                <w:szCs w:val="24"/>
                <w:lang w:eastAsia="zh-CN"/>
              </w:rPr>
              <w:t>该项评分因素分值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80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80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p>
          <w:p w14:paraId="0FBD827C">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【中】得</w:t>
            </w:r>
            <w:r>
              <w:rPr>
                <w:rFonts w:hint="eastAsia" w:ascii="宋体" w:hAnsi="宋体" w:eastAsia="宋体" w:cs="宋体"/>
                <w:color w:val="auto"/>
                <w:sz w:val="24"/>
                <w:szCs w:val="24"/>
                <w:lang w:eastAsia="zh-CN"/>
              </w:rPr>
              <w:t>该项评分因素分值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70%</w:t>
            </w:r>
            <w:r>
              <w:rPr>
                <w:rFonts w:hint="eastAsia" w:ascii="宋体" w:hAnsi="宋体" w:eastAsia="宋体" w:cs="宋体"/>
                <w:color w:val="auto"/>
                <w:sz w:val="24"/>
                <w:szCs w:val="24"/>
                <w:lang w:eastAsia="zh-CN"/>
              </w:rPr>
              <w:t>）。</w:t>
            </w:r>
          </w:p>
          <w:p w14:paraId="2367E982">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【差】得</w:t>
            </w:r>
            <w:r>
              <w:rPr>
                <w:rFonts w:hint="eastAsia" w:ascii="宋体" w:hAnsi="宋体" w:eastAsia="宋体" w:cs="宋体"/>
                <w:color w:val="auto"/>
                <w:sz w:val="24"/>
                <w:szCs w:val="24"/>
                <w:lang w:eastAsia="zh-CN"/>
              </w:rPr>
              <w:t>该项评分因素分值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p>
        </w:tc>
        <w:tc>
          <w:tcPr>
            <w:tcW w:w="4707" w:type="dxa"/>
            <w:shd w:val="clear" w:color="auto" w:fill="auto"/>
            <w:vAlign w:val="center"/>
          </w:tcPr>
          <w:p w14:paraId="367F3DB9">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【优】应用新技术、新工艺、新材料、新设备，针对项目实际提出先进、可行、具体的保证措施。超过招标文件的质量要求。</w:t>
            </w:r>
            <w:r>
              <w:rPr>
                <w:rFonts w:hint="eastAsia" w:ascii="宋体" w:hAnsi="宋体" w:eastAsia="宋体" w:cs="宋体"/>
                <w:color w:val="auto"/>
                <w:sz w:val="24"/>
                <w:szCs w:val="24"/>
                <w:lang w:val="en-US" w:eastAsia="zh-CN"/>
              </w:rPr>
              <w:t>投标人企业注册地或分支机构所在地与项目所在地的距离或全资子公司与项目所在地距离100公里内、投标人在相同地质条件业绩情况等相关证明资料。</w:t>
            </w:r>
          </w:p>
          <w:p w14:paraId="0EF39B54">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【良】针对项目实际提出先进、可行、具体的保证措施。满足招标文件的质量要求。</w:t>
            </w:r>
            <w:r>
              <w:rPr>
                <w:rFonts w:hint="eastAsia" w:ascii="宋体" w:hAnsi="宋体" w:eastAsia="宋体" w:cs="宋体"/>
                <w:color w:val="auto"/>
                <w:sz w:val="24"/>
                <w:szCs w:val="24"/>
                <w:lang w:val="en-US" w:eastAsia="zh-CN"/>
              </w:rPr>
              <w:t>投标人企业注册地或分支机构所在地与项目所在地的距离或全资子公司与项目所在地距离200公里内、投标人在相同地质条件业绩情况等相关证明资料。</w:t>
            </w:r>
          </w:p>
          <w:p w14:paraId="7C572B9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【中】具体措施可行。满足招标文件的质量要求。</w:t>
            </w:r>
            <w:r>
              <w:rPr>
                <w:rFonts w:hint="eastAsia" w:ascii="宋体" w:hAnsi="宋体" w:eastAsia="宋体" w:cs="宋体"/>
                <w:color w:val="auto"/>
                <w:sz w:val="24"/>
                <w:szCs w:val="24"/>
                <w:lang w:val="en-US" w:eastAsia="zh-CN"/>
              </w:rPr>
              <w:t>投标人企业注册地或分支机构所在地与项目所在地的距离或全资子公司与项目所在地距离300公里内、投标人在相同地质条件业绩情况等相关证明资料。</w:t>
            </w:r>
          </w:p>
          <w:p w14:paraId="2A8A9F4B">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【差】措施不可行，没有质量违约责任承诺。</w:t>
            </w:r>
          </w:p>
        </w:tc>
      </w:tr>
      <w:tr w14:paraId="653D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10EA2935">
            <w:pPr>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施工</w:t>
            </w:r>
          </w:p>
          <w:p w14:paraId="29B5393F">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技术措施</w:t>
            </w:r>
          </w:p>
          <w:p w14:paraId="36F46465">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p>
        </w:tc>
        <w:tc>
          <w:tcPr>
            <w:tcW w:w="3933" w:type="dxa"/>
            <w:shd w:val="clear" w:color="auto" w:fill="auto"/>
            <w:vAlign w:val="center"/>
          </w:tcPr>
          <w:p w14:paraId="4414ABB2">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【优】得该项</w:t>
            </w:r>
            <w:r>
              <w:rPr>
                <w:rFonts w:hint="eastAsia" w:ascii="宋体" w:hAnsi="宋体" w:eastAsia="宋体" w:cs="宋体"/>
                <w:color w:val="auto"/>
                <w:sz w:val="24"/>
                <w:szCs w:val="24"/>
                <w:lang w:eastAsia="zh-CN"/>
              </w:rPr>
              <w:t>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100%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p>
          <w:p w14:paraId="50E18F9C">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【良】得</w:t>
            </w:r>
            <w:r>
              <w:rPr>
                <w:rFonts w:hint="eastAsia" w:ascii="宋体" w:hAnsi="宋体" w:eastAsia="宋体" w:cs="宋体"/>
                <w:color w:val="auto"/>
                <w:sz w:val="24"/>
                <w:szCs w:val="24"/>
                <w:lang w:eastAsia="zh-CN"/>
              </w:rPr>
              <w:t>该项评分因素分值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80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80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p>
          <w:p w14:paraId="7B4B3EB5">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【中】得</w:t>
            </w:r>
            <w:r>
              <w:rPr>
                <w:rFonts w:hint="eastAsia" w:ascii="宋体" w:hAnsi="宋体" w:eastAsia="宋体" w:cs="宋体"/>
                <w:color w:val="auto"/>
                <w:sz w:val="24"/>
                <w:szCs w:val="24"/>
                <w:lang w:eastAsia="zh-CN"/>
              </w:rPr>
              <w:t>该项评分因素分值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70%</w:t>
            </w:r>
            <w:r>
              <w:rPr>
                <w:rFonts w:hint="eastAsia" w:ascii="宋体" w:hAnsi="宋体" w:eastAsia="宋体" w:cs="宋体"/>
                <w:color w:val="auto"/>
                <w:sz w:val="24"/>
                <w:szCs w:val="24"/>
                <w:lang w:eastAsia="zh-CN"/>
              </w:rPr>
              <w:t>）。</w:t>
            </w:r>
          </w:p>
          <w:p w14:paraId="29FAD190">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【差】得</w:t>
            </w:r>
            <w:r>
              <w:rPr>
                <w:rFonts w:hint="eastAsia" w:ascii="宋体" w:hAnsi="宋体" w:eastAsia="宋体" w:cs="宋体"/>
                <w:color w:val="auto"/>
                <w:sz w:val="24"/>
                <w:szCs w:val="24"/>
                <w:lang w:eastAsia="zh-CN"/>
              </w:rPr>
              <w:t>该项评分因素分值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p>
        </w:tc>
        <w:tc>
          <w:tcPr>
            <w:tcW w:w="4707" w:type="dxa"/>
            <w:shd w:val="clear" w:color="auto" w:fill="auto"/>
            <w:vAlign w:val="center"/>
          </w:tcPr>
          <w:p w14:paraId="129C9872">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w:t>
            </w:r>
            <w:r>
              <w:rPr>
                <w:rFonts w:hint="eastAsia" w:ascii="宋体" w:hAnsi="宋体" w:eastAsia="宋体" w:cs="宋体"/>
                <w:color w:val="auto"/>
                <w:sz w:val="24"/>
                <w:szCs w:val="24"/>
                <w:lang w:eastAsia="zh-CN"/>
              </w:rPr>
              <w:t>有充分的预见</w:t>
            </w:r>
            <w:r>
              <w:rPr>
                <w:rFonts w:hint="eastAsia" w:ascii="宋体" w:hAnsi="宋体" w:eastAsia="宋体" w:cs="宋体"/>
                <w:color w:val="auto"/>
                <w:sz w:val="24"/>
                <w:szCs w:val="24"/>
              </w:rPr>
              <w:t>，违约承诺具体，</w:t>
            </w:r>
            <w:r>
              <w:rPr>
                <w:rFonts w:hint="eastAsia" w:ascii="宋体" w:hAnsi="宋体" w:eastAsia="宋体" w:cs="宋体"/>
                <w:color w:val="auto"/>
                <w:sz w:val="24"/>
                <w:szCs w:val="24"/>
                <w:lang w:eastAsia="zh-CN"/>
              </w:rPr>
              <w:t>经济赔偿合理。</w:t>
            </w:r>
          </w:p>
          <w:p w14:paraId="157C951E">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w:t>
            </w:r>
            <w:r>
              <w:rPr>
                <w:rFonts w:hint="eastAsia" w:ascii="宋体" w:hAnsi="宋体" w:eastAsia="宋体" w:cs="宋体"/>
                <w:color w:val="auto"/>
                <w:sz w:val="24"/>
                <w:szCs w:val="24"/>
                <w:lang w:eastAsia="zh-CN"/>
              </w:rPr>
              <w:t>预见</w:t>
            </w:r>
            <w:r>
              <w:rPr>
                <w:rFonts w:hint="eastAsia" w:ascii="宋体" w:hAnsi="宋体" w:eastAsia="宋体" w:cs="宋体"/>
                <w:color w:val="auto"/>
                <w:sz w:val="24"/>
                <w:szCs w:val="24"/>
              </w:rPr>
              <w:t>，违约责任承诺具体，</w:t>
            </w:r>
            <w:r>
              <w:rPr>
                <w:rFonts w:hint="eastAsia" w:ascii="宋体" w:hAnsi="宋体" w:eastAsia="宋体" w:cs="宋体"/>
                <w:color w:val="auto"/>
                <w:sz w:val="24"/>
                <w:szCs w:val="24"/>
                <w:lang w:eastAsia="zh-CN"/>
              </w:rPr>
              <w:t>经济赔偿较合理。</w:t>
            </w:r>
          </w:p>
          <w:p w14:paraId="4554EAE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【中】对项目关键技术有一定了解，对重点、难点有建议，解决方案基本可行。有新技术措施，但验证材料不充分，对节约投资和工期可能有一定收益，</w:t>
            </w:r>
            <w:r>
              <w:rPr>
                <w:rFonts w:hint="eastAsia" w:ascii="宋体" w:hAnsi="宋体" w:eastAsia="宋体" w:cs="宋体"/>
                <w:color w:val="auto"/>
                <w:sz w:val="24"/>
                <w:szCs w:val="24"/>
                <w:lang w:eastAsia="zh-CN"/>
              </w:rPr>
              <w:t>但</w:t>
            </w:r>
            <w:r>
              <w:rPr>
                <w:rFonts w:hint="eastAsia" w:ascii="宋体" w:hAnsi="宋体" w:eastAsia="宋体" w:cs="宋体"/>
                <w:color w:val="auto"/>
                <w:sz w:val="24"/>
                <w:szCs w:val="24"/>
              </w:rPr>
              <w:t>对采用的新技术可能产生的风险</w:t>
            </w:r>
            <w:r>
              <w:rPr>
                <w:rFonts w:hint="eastAsia" w:ascii="宋体" w:hAnsi="宋体" w:eastAsia="宋体" w:cs="宋体"/>
                <w:color w:val="auto"/>
                <w:sz w:val="24"/>
                <w:szCs w:val="24"/>
                <w:lang w:eastAsia="zh-CN"/>
              </w:rPr>
              <w:t>预见</w:t>
            </w:r>
            <w:r>
              <w:rPr>
                <w:rFonts w:hint="eastAsia" w:ascii="宋体" w:hAnsi="宋体" w:eastAsia="宋体" w:cs="宋体"/>
                <w:color w:val="auto"/>
                <w:sz w:val="24"/>
                <w:szCs w:val="24"/>
              </w:rPr>
              <w:t>不足。有违约责任承诺。</w:t>
            </w:r>
          </w:p>
          <w:p w14:paraId="68401312">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【差】对项目关键技术有表述，对重点、难点有建议，解决方案不可行。采用的新技术针对性不强或验证材料不可靠，对节约投资、工期没有具体收益。无违约责任承诺</w:t>
            </w:r>
            <w:r>
              <w:rPr>
                <w:rFonts w:hint="eastAsia" w:ascii="宋体" w:hAnsi="宋体" w:eastAsia="宋体" w:cs="宋体"/>
                <w:color w:val="auto"/>
                <w:sz w:val="24"/>
                <w:szCs w:val="24"/>
                <w:lang w:eastAsia="zh-CN"/>
              </w:rPr>
              <w:t>。</w:t>
            </w:r>
          </w:p>
        </w:tc>
      </w:tr>
      <w:tr w14:paraId="53FB0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7562FF3A">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绿色施工、安全防护、文明施工措施计划</w:t>
            </w:r>
          </w:p>
          <w:p w14:paraId="4CD5C74C">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p>
        </w:tc>
        <w:tc>
          <w:tcPr>
            <w:tcW w:w="3933" w:type="dxa"/>
            <w:shd w:val="clear" w:color="auto" w:fill="auto"/>
            <w:vAlign w:val="center"/>
          </w:tcPr>
          <w:p w14:paraId="305A5754">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【优】得该项</w:t>
            </w:r>
            <w:r>
              <w:rPr>
                <w:rFonts w:hint="eastAsia" w:ascii="宋体" w:hAnsi="宋体" w:eastAsia="宋体" w:cs="宋体"/>
                <w:color w:val="auto"/>
                <w:sz w:val="24"/>
                <w:szCs w:val="24"/>
                <w:lang w:eastAsia="zh-CN"/>
              </w:rPr>
              <w:t>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100%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p>
          <w:p w14:paraId="2FB73576">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【良】得</w:t>
            </w:r>
            <w:r>
              <w:rPr>
                <w:rFonts w:hint="eastAsia" w:ascii="宋体" w:hAnsi="宋体" w:eastAsia="宋体" w:cs="宋体"/>
                <w:color w:val="auto"/>
                <w:sz w:val="24"/>
                <w:szCs w:val="24"/>
                <w:lang w:eastAsia="zh-CN"/>
              </w:rPr>
              <w:t>该项评分因素分值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80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80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p>
          <w:p w14:paraId="1A016C08">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【中】得</w:t>
            </w:r>
            <w:r>
              <w:rPr>
                <w:rFonts w:hint="eastAsia" w:ascii="宋体" w:hAnsi="宋体" w:eastAsia="宋体" w:cs="宋体"/>
                <w:color w:val="auto"/>
                <w:sz w:val="24"/>
                <w:szCs w:val="24"/>
                <w:lang w:eastAsia="zh-CN"/>
              </w:rPr>
              <w:t>该项评分因素分值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70%</w:t>
            </w:r>
            <w:r>
              <w:rPr>
                <w:rFonts w:hint="eastAsia" w:ascii="宋体" w:hAnsi="宋体" w:eastAsia="宋体" w:cs="宋体"/>
                <w:color w:val="auto"/>
                <w:sz w:val="24"/>
                <w:szCs w:val="24"/>
                <w:lang w:eastAsia="zh-CN"/>
              </w:rPr>
              <w:t>）。</w:t>
            </w:r>
          </w:p>
          <w:p w14:paraId="7522FC97">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【差】得</w:t>
            </w:r>
            <w:r>
              <w:rPr>
                <w:rFonts w:hint="eastAsia" w:ascii="宋体" w:hAnsi="宋体" w:eastAsia="宋体" w:cs="宋体"/>
                <w:color w:val="auto"/>
                <w:sz w:val="24"/>
                <w:szCs w:val="24"/>
                <w:lang w:eastAsia="zh-CN"/>
              </w:rPr>
              <w:t>该项评分因素分值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p>
        </w:tc>
        <w:tc>
          <w:tcPr>
            <w:tcW w:w="4707" w:type="dxa"/>
            <w:shd w:val="clear" w:color="auto" w:fill="auto"/>
            <w:vAlign w:val="center"/>
          </w:tcPr>
          <w:p w14:paraId="6DA7C47E">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【优】针对项目实际情况，有先进、具体、完整、可行的措施，采用规范准确、清晰。</w:t>
            </w:r>
          </w:p>
          <w:p w14:paraId="404B4F6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【良】针对项目实际情况，有合理的措施且具体、完整，采用规范准确。</w:t>
            </w:r>
          </w:p>
          <w:p w14:paraId="68C0FD78">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【中】有基本合理的措施，采用规范准确。</w:t>
            </w:r>
          </w:p>
          <w:p w14:paraId="63873C31">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【差】措施不力，采用规范不正确。</w:t>
            </w:r>
          </w:p>
        </w:tc>
      </w:tr>
      <w:tr w14:paraId="6CAB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36E9099E">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施工平面</w:t>
            </w:r>
          </w:p>
          <w:p w14:paraId="356BDFD3">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布置和临时设施布置</w:t>
            </w:r>
          </w:p>
          <w:p w14:paraId="2C2FB4B2">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p>
        </w:tc>
        <w:tc>
          <w:tcPr>
            <w:tcW w:w="3933" w:type="dxa"/>
            <w:shd w:val="clear" w:color="auto" w:fill="auto"/>
            <w:vAlign w:val="center"/>
          </w:tcPr>
          <w:p w14:paraId="57D6C19C">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【优】得该项</w:t>
            </w:r>
            <w:r>
              <w:rPr>
                <w:rFonts w:hint="eastAsia" w:ascii="宋体" w:hAnsi="宋体" w:eastAsia="宋体" w:cs="宋体"/>
                <w:color w:val="auto"/>
                <w:sz w:val="24"/>
                <w:szCs w:val="24"/>
                <w:lang w:eastAsia="zh-CN"/>
              </w:rPr>
              <w:t>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100%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p>
          <w:p w14:paraId="785A967C">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【良】得</w:t>
            </w:r>
            <w:r>
              <w:rPr>
                <w:rFonts w:hint="eastAsia" w:ascii="宋体" w:hAnsi="宋体" w:eastAsia="宋体" w:cs="宋体"/>
                <w:color w:val="auto"/>
                <w:sz w:val="24"/>
                <w:szCs w:val="24"/>
                <w:lang w:eastAsia="zh-CN"/>
              </w:rPr>
              <w:t>该项评分因素分值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80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80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p>
          <w:p w14:paraId="4A7252F9">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【中】得</w:t>
            </w:r>
            <w:r>
              <w:rPr>
                <w:rFonts w:hint="eastAsia" w:ascii="宋体" w:hAnsi="宋体" w:eastAsia="宋体" w:cs="宋体"/>
                <w:color w:val="auto"/>
                <w:sz w:val="24"/>
                <w:szCs w:val="24"/>
                <w:lang w:eastAsia="zh-CN"/>
              </w:rPr>
              <w:t>该项评分因素分值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70%</w:t>
            </w:r>
            <w:r>
              <w:rPr>
                <w:rFonts w:hint="eastAsia" w:ascii="宋体" w:hAnsi="宋体" w:eastAsia="宋体" w:cs="宋体"/>
                <w:color w:val="auto"/>
                <w:sz w:val="24"/>
                <w:szCs w:val="24"/>
                <w:lang w:eastAsia="zh-CN"/>
              </w:rPr>
              <w:t>）。</w:t>
            </w:r>
          </w:p>
          <w:p w14:paraId="347D5FFA">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【差】得</w:t>
            </w:r>
            <w:r>
              <w:rPr>
                <w:rFonts w:hint="eastAsia" w:ascii="宋体" w:hAnsi="宋体" w:eastAsia="宋体" w:cs="宋体"/>
                <w:color w:val="auto"/>
                <w:sz w:val="24"/>
                <w:szCs w:val="24"/>
                <w:lang w:eastAsia="zh-CN"/>
              </w:rPr>
              <w:t>该项评分因素分值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p>
        </w:tc>
        <w:tc>
          <w:tcPr>
            <w:tcW w:w="4707" w:type="dxa"/>
            <w:shd w:val="clear" w:color="auto" w:fill="auto"/>
            <w:vAlign w:val="center"/>
          </w:tcPr>
          <w:p w14:paraId="7285A6C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【优】总体布置有针对性、合理，较好满足施工需要，符合</w:t>
            </w:r>
            <w:r>
              <w:rPr>
                <w:rFonts w:hint="eastAsia" w:ascii="宋体" w:hAnsi="宋体" w:eastAsia="宋体" w:cs="宋体"/>
                <w:color w:val="auto"/>
                <w:sz w:val="24"/>
                <w:szCs w:val="24"/>
                <w:lang w:eastAsia="zh-CN"/>
              </w:rPr>
              <w:t>绿色施工、</w:t>
            </w:r>
            <w:r>
              <w:rPr>
                <w:rFonts w:hint="eastAsia" w:ascii="宋体" w:hAnsi="宋体" w:eastAsia="宋体" w:cs="宋体"/>
                <w:color w:val="auto"/>
                <w:sz w:val="24"/>
                <w:szCs w:val="24"/>
              </w:rPr>
              <w:t>安全</w:t>
            </w:r>
            <w:r>
              <w:rPr>
                <w:rFonts w:hint="eastAsia" w:ascii="宋体" w:hAnsi="宋体" w:eastAsia="宋体" w:cs="宋体"/>
                <w:color w:val="auto"/>
                <w:sz w:val="24"/>
                <w:szCs w:val="24"/>
                <w:lang w:eastAsia="zh-CN"/>
              </w:rPr>
              <w:t>防护</w:t>
            </w:r>
            <w:r>
              <w:rPr>
                <w:rFonts w:hint="eastAsia" w:ascii="宋体" w:hAnsi="宋体" w:eastAsia="宋体" w:cs="宋体"/>
                <w:color w:val="auto"/>
                <w:sz w:val="24"/>
                <w:szCs w:val="24"/>
              </w:rPr>
              <w:t>、文明</w:t>
            </w:r>
            <w:r>
              <w:rPr>
                <w:rFonts w:hint="eastAsia" w:ascii="宋体" w:hAnsi="宋体" w:eastAsia="宋体" w:cs="宋体"/>
                <w:color w:val="auto"/>
                <w:sz w:val="24"/>
                <w:szCs w:val="24"/>
                <w:lang w:eastAsia="zh-CN"/>
              </w:rPr>
              <w:t>施工</w:t>
            </w:r>
            <w:r>
              <w:rPr>
                <w:rFonts w:hint="eastAsia" w:ascii="宋体" w:hAnsi="宋体" w:eastAsia="宋体" w:cs="宋体"/>
                <w:color w:val="auto"/>
                <w:sz w:val="24"/>
                <w:szCs w:val="24"/>
              </w:rPr>
              <w:t>要求。</w:t>
            </w:r>
          </w:p>
          <w:p w14:paraId="438960E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【良】总体布置合理，能满足施工需要，基本符合</w:t>
            </w:r>
            <w:r>
              <w:rPr>
                <w:rFonts w:hint="eastAsia" w:ascii="宋体" w:hAnsi="宋体" w:eastAsia="宋体" w:cs="宋体"/>
                <w:color w:val="auto"/>
                <w:sz w:val="24"/>
                <w:szCs w:val="24"/>
                <w:lang w:eastAsia="zh-CN"/>
              </w:rPr>
              <w:t>绿色施工、</w:t>
            </w:r>
            <w:r>
              <w:rPr>
                <w:rFonts w:hint="eastAsia" w:ascii="宋体" w:hAnsi="宋体" w:eastAsia="宋体" w:cs="宋体"/>
                <w:color w:val="auto"/>
                <w:sz w:val="24"/>
                <w:szCs w:val="24"/>
              </w:rPr>
              <w:t>安全</w:t>
            </w:r>
            <w:r>
              <w:rPr>
                <w:rFonts w:hint="eastAsia" w:ascii="宋体" w:hAnsi="宋体" w:eastAsia="宋体" w:cs="宋体"/>
                <w:color w:val="auto"/>
                <w:sz w:val="24"/>
                <w:szCs w:val="24"/>
                <w:lang w:eastAsia="zh-CN"/>
              </w:rPr>
              <w:t>防护</w:t>
            </w:r>
            <w:r>
              <w:rPr>
                <w:rFonts w:hint="eastAsia" w:ascii="宋体" w:hAnsi="宋体" w:eastAsia="宋体" w:cs="宋体"/>
                <w:color w:val="auto"/>
                <w:sz w:val="24"/>
                <w:szCs w:val="24"/>
              </w:rPr>
              <w:t>、文明</w:t>
            </w:r>
            <w:r>
              <w:rPr>
                <w:rFonts w:hint="eastAsia" w:ascii="宋体" w:hAnsi="宋体" w:eastAsia="宋体" w:cs="宋体"/>
                <w:color w:val="auto"/>
                <w:sz w:val="24"/>
                <w:szCs w:val="24"/>
                <w:lang w:eastAsia="zh-CN"/>
              </w:rPr>
              <w:t>施工</w:t>
            </w:r>
            <w:r>
              <w:rPr>
                <w:rFonts w:hint="eastAsia" w:ascii="宋体" w:hAnsi="宋体" w:eastAsia="宋体" w:cs="宋体"/>
                <w:color w:val="auto"/>
                <w:sz w:val="24"/>
                <w:szCs w:val="24"/>
              </w:rPr>
              <w:t>要求。</w:t>
            </w:r>
          </w:p>
          <w:p w14:paraId="3FE4CB1B">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【中】总体布置基本合理，基本满足施工需要。</w:t>
            </w:r>
          </w:p>
          <w:p w14:paraId="0BEBC6BE">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【差】总体布置不合理，不符合</w:t>
            </w:r>
            <w:r>
              <w:rPr>
                <w:rFonts w:hint="eastAsia" w:ascii="宋体" w:hAnsi="宋体" w:eastAsia="宋体" w:cs="宋体"/>
                <w:color w:val="auto"/>
                <w:sz w:val="24"/>
                <w:szCs w:val="24"/>
                <w:lang w:eastAsia="zh-CN"/>
              </w:rPr>
              <w:t>绿色施工、</w:t>
            </w:r>
            <w:r>
              <w:rPr>
                <w:rFonts w:hint="eastAsia" w:ascii="宋体" w:hAnsi="宋体" w:eastAsia="宋体" w:cs="宋体"/>
                <w:color w:val="auto"/>
                <w:sz w:val="24"/>
                <w:szCs w:val="24"/>
              </w:rPr>
              <w:t>安全</w:t>
            </w:r>
            <w:r>
              <w:rPr>
                <w:rFonts w:hint="eastAsia" w:ascii="宋体" w:hAnsi="宋体" w:eastAsia="宋体" w:cs="宋体"/>
                <w:color w:val="auto"/>
                <w:sz w:val="24"/>
                <w:szCs w:val="24"/>
                <w:lang w:eastAsia="zh-CN"/>
              </w:rPr>
              <w:t>防护</w:t>
            </w:r>
            <w:r>
              <w:rPr>
                <w:rFonts w:hint="eastAsia" w:ascii="宋体" w:hAnsi="宋体" w:eastAsia="宋体" w:cs="宋体"/>
                <w:color w:val="auto"/>
                <w:sz w:val="24"/>
                <w:szCs w:val="24"/>
              </w:rPr>
              <w:t>、文明</w:t>
            </w:r>
            <w:r>
              <w:rPr>
                <w:rFonts w:hint="eastAsia" w:ascii="宋体" w:hAnsi="宋体" w:eastAsia="宋体" w:cs="宋体"/>
                <w:color w:val="auto"/>
                <w:sz w:val="24"/>
                <w:szCs w:val="24"/>
                <w:lang w:eastAsia="zh-CN"/>
              </w:rPr>
              <w:t>施工</w:t>
            </w:r>
            <w:r>
              <w:rPr>
                <w:rFonts w:hint="eastAsia" w:ascii="宋体" w:hAnsi="宋体" w:eastAsia="宋体" w:cs="宋体"/>
                <w:color w:val="auto"/>
                <w:sz w:val="24"/>
                <w:szCs w:val="24"/>
              </w:rPr>
              <w:t>要求。</w:t>
            </w:r>
          </w:p>
        </w:tc>
      </w:tr>
      <w:tr w14:paraId="1F22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49BB15F5">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w:t>
            </w:r>
          </w:p>
          <w:p w14:paraId="5D32DAED">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管理机构</w:t>
            </w:r>
          </w:p>
          <w:p w14:paraId="60FE9213">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p>
        </w:tc>
        <w:tc>
          <w:tcPr>
            <w:tcW w:w="3933" w:type="dxa"/>
            <w:shd w:val="clear" w:color="auto" w:fill="auto"/>
            <w:vAlign w:val="center"/>
          </w:tcPr>
          <w:p w14:paraId="56540C51">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【优】得该项</w:t>
            </w:r>
            <w:r>
              <w:rPr>
                <w:rFonts w:hint="eastAsia" w:ascii="宋体" w:hAnsi="宋体" w:eastAsia="宋体" w:cs="宋体"/>
                <w:color w:val="auto"/>
                <w:sz w:val="24"/>
                <w:szCs w:val="24"/>
                <w:lang w:eastAsia="zh-CN"/>
              </w:rPr>
              <w:t>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100%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p>
          <w:p w14:paraId="3E29A5B7">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【良】得</w:t>
            </w:r>
            <w:r>
              <w:rPr>
                <w:rFonts w:hint="eastAsia" w:ascii="宋体" w:hAnsi="宋体" w:eastAsia="宋体" w:cs="宋体"/>
                <w:color w:val="auto"/>
                <w:sz w:val="24"/>
                <w:szCs w:val="24"/>
                <w:lang w:eastAsia="zh-CN"/>
              </w:rPr>
              <w:t>该项评分因素分值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80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90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80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p>
          <w:p w14:paraId="023BFA7E">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【中】得</w:t>
            </w:r>
            <w:r>
              <w:rPr>
                <w:rFonts w:hint="eastAsia" w:ascii="宋体" w:hAnsi="宋体" w:eastAsia="宋体" w:cs="宋体"/>
                <w:color w:val="auto"/>
                <w:sz w:val="24"/>
                <w:szCs w:val="24"/>
                <w:lang w:eastAsia="zh-CN"/>
              </w:rPr>
              <w:t>该项评分因素分值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70%</w:t>
            </w:r>
            <w:r>
              <w:rPr>
                <w:rFonts w:hint="eastAsia" w:ascii="宋体" w:hAnsi="宋体" w:eastAsia="宋体" w:cs="宋体"/>
                <w:color w:val="auto"/>
                <w:sz w:val="24"/>
                <w:szCs w:val="24"/>
                <w:lang w:eastAsia="zh-CN"/>
              </w:rPr>
              <w:t>）。</w:t>
            </w:r>
          </w:p>
          <w:p w14:paraId="0F2C46FE">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【差】得</w:t>
            </w:r>
            <w:r>
              <w:rPr>
                <w:rFonts w:hint="eastAsia" w:ascii="宋体" w:hAnsi="宋体" w:eastAsia="宋体" w:cs="宋体"/>
                <w:color w:val="auto"/>
                <w:sz w:val="24"/>
                <w:szCs w:val="24"/>
                <w:lang w:eastAsia="zh-CN"/>
              </w:rPr>
              <w:t>该项评分因素分值</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p>
        </w:tc>
        <w:tc>
          <w:tcPr>
            <w:tcW w:w="4707" w:type="dxa"/>
            <w:shd w:val="clear" w:color="auto" w:fill="auto"/>
            <w:vAlign w:val="center"/>
          </w:tcPr>
          <w:p w14:paraId="7C3FEC6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【优】组织机构形式合理，有完善的指挥系统，生产及质量、</w:t>
            </w:r>
            <w:r>
              <w:rPr>
                <w:rFonts w:hint="eastAsia" w:ascii="宋体" w:hAnsi="宋体" w:eastAsia="宋体" w:cs="宋体"/>
                <w:color w:val="auto"/>
                <w:sz w:val="24"/>
                <w:szCs w:val="24"/>
                <w:lang w:eastAsia="zh-CN"/>
              </w:rPr>
              <w:t>绿色施工、</w:t>
            </w:r>
            <w:r>
              <w:rPr>
                <w:rFonts w:hint="eastAsia" w:ascii="宋体" w:hAnsi="宋体" w:eastAsia="宋体" w:cs="宋体"/>
                <w:color w:val="auto"/>
                <w:sz w:val="24"/>
                <w:szCs w:val="24"/>
              </w:rPr>
              <w:t>安全、文明施工、创优达标监控系统、联络协调系统，项目管理人员内高级职称人员20%（含20%）以上、中级职称人员</w:t>
            </w:r>
            <w:r>
              <w:rPr>
                <w:rFonts w:hint="eastAsia" w:ascii="宋体" w:hAnsi="宋体" w:eastAsia="宋体" w:cs="宋体"/>
                <w:color w:val="auto"/>
                <w:sz w:val="24"/>
                <w:szCs w:val="24"/>
                <w:lang w:eastAsia="zh-CN"/>
              </w:rPr>
              <w:t>及以上职称</w:t>
            </w:r>
            <w:r>
              <w:rPr>
                <w:rFonts w:hint="eastAsia" w:ascii="宋体" w:hAnsi="宋体" w:eastAsia="宋体" w:cs="宋体"/>
                <w:color w:val="auto"/>
                <w:sz w:val="24"/>
                <w:szCs w:val="24"/>
              </w:rPr>
              <w:t>60%（含60%）以上。</w:t>
            </w:r>
          </w:p>
          <w:p w14:paraId="7E78EA72">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【良】组织机构形式合理，指挥系统，生产及质量、</w:t>
            </w:r>
            <w:r>
              <w:rPr>
                <w:rFonts w:hint="eastAsia" w:ascii="宋体" w:hAnsi="宋体" w:eastAsia="宋体" w:cs="宋体"/>
                <w:color w:val="auto"/>
                <w:sz w:val="24"/>
                <w:szCs w:val="24"/>
                <w:lang w:eastAsia="zh-CN"/>
              </w:rPr>
              <w:t>绿色施工、</w:t>
            </w:r>
            <w:r>
              <w:rPr>
                <w:rFonts w:hint="eastAsia" w:ascii="宋体" w:hAnsi="宋体" w:eastAsia="宋体" w:cs="宋体"/>
                <w:color w:val="auto"/>
                <w:sz w:val="24"/>
                <w:szCs w:val="24"/>
              </w:rPr>
              <w:t>安全、文明施工、创优达标监控系统、联络协调系统齐全，项目管理人员内高级职称人员15%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20%（含15%）、中级职称</w:t>
            </w:r>
            <w:r>
              <w:rPr>
                <w:rFonts w:hint="eastAsia" w:ascii="宋体" w:hAnsi="宋体" w:eastAsia="宋体" w:cs="宋体"/>
                <w:color w:val="auto"/>
                <w:sz w:val="24"/>
                <w:szCs w:val="24"/>
                <w:lang w:eastAsia="zh-CN"/>
              </w:rPr>
              <w:t>及以上职称</w:t>
            </w:r>
            <w:r>
              <w:rPr>
                <w:rFonts w:hint="eastAsia" w:ascii="宋体" w:hAnsi="宋体" w:eastAsia="宋体" w:cs="宋体"/>
                <w:color w:val="auto"/>
                <w:sz w:val="24"/>
                <w:szCs w:val="24"/>
              </w:rPr>
              <w:t>人员50%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60%（含50%）。</w:t>
            </w:r>
          </w:p>
          <w:p w14:paraId="717F9B7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【中】组织机构形式基本合理，有指挥系统，生产及质量、</w:t>
            </w:r>
            <w:r>
              <w:rPr>
                <w:rFonts w:hint="eastAsia" w:ascii="宋体" w:hAnsi="宋体" w:eastAsia="宋体" w:cs="宋体"/>
                <w:color w:val="auto"/>
                <w:sz w:val="24"/>
                <w:szCs w:val="24"/>
                <w:lang w:eastAsia="zh-CN"/>
              </w:rPr>
              <w:t>绿色施工、</w:t>
            </w:r>
            <w:r>
              <w:rPr>
                <w:rFonts w:hint="eastAsia" w:ascii="宋体" w:hAnsi="宋体" w:eastAsia="宋体" w:cs="宋体"/>
                <w:color w:val="auto"/>
                <w:sz w:val="24"/>
                <w:szCs w:val="24"/>
              </w:rPr>
              <w:t>安全、文明施工、创优达标监控系统、联络协调系统，项目管理人员内高级职称人员10%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15%（含10%）、中级职称人员</w:t>
            </w:r>
            <w:r>
              <w:rPr>
                <w:rFonts w:hint="eastAsia" w:ascii="宋体" w:hAnsi="宋体" w:eastAsia="宋体" w:cs="宋体"/>
                <w:color w:val="auto"/>
                <w:sz w:val="24"/>
                <w:szCs w:val="24"/>
                <w:lang w:eastAsia="zh-CN"/>
              </w:rPr>
              <w:t>及以上职称</w:t>
            </w:r>
            <w:r>
              <w:rPr>
                <w:rFonts w:hint="eastAsia" w:ascii="宋体" w:hAnsi="宋体" w:eastAsia="宋体" w:cs="宋体"/>
                <w:color w:val="auto"/>
                <w:sz w:val="24"/>
                <w:szCs w:val="24"/>
              </w:rPr>
              <w:t>40%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50%（含40%）。</w:t>
            </w:r>
          </w:p>
          <w:p w14:paraId="657D4975">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【差】组织机构形式合理，指挥系统，生产及质量、</w:t>
            </w:r>
            <w:r>
              <w:rPr>
                <w:rFonts w:hint="eastAsia" w:ascii="宋体" w:hAnsi="宋体" w:eastAsia="宋体" w:cs="宋体"/>
                <w:color w:val="auto"/>
                <w:sz w:val="24"/>
                <w:szCs w:val="24"/>
                <w:lang w:eastAsia="zh-CN"/>
              </w:rPr>
              <w:t>绿色施工、</w:t>
            </w:r>
            <w:r>
              <w:rPr>
                <w:rFonts w:hint="eastAsia" w:ascii="宋体" w:hAnsi="宋体" w:eastAsia="宋体" w:cs="宋体"/>
                <w:color w:val="auto"/>
                <w:sz w:val="24"/>
                <w:szCs w:val="24"/>
              </w:rPr>
              <w:t>安全、文明施工、创优达标监控系统、联络协调系统不齐全，项目管理人员内高级职称人员10%以下、中级职称人员</w:t>
            </w:r>
            <w:r>
              <w:rPr>
                <w:rFonts w:hint="eastAsia" w:ascii="宋体" w:hAnsi="宋体" w:eastAsia="宋体" w:cs="宋体"/>
                <w:color w:val="auto"/>
                <w:sz w:val="24"/>
                <w:szCs w:val="24"/>
                <w:lang w:eastAsia="zh-CN"/>
              </w:rPr>
              <w:t>及以上职称</w:t>
            </w:r>
            <w:r>
              <w:rPr>
                <w:rFonts w:hint="eastAsia" w:ascii="宋体" w:hAnsi="宋体" w:eastAsia="宋体" w:cs="宋体"/>
                <w:color w:val="auto"/>
                <w:sz w:val="24"/>
                <w:szCs w:val="24"/>
              </w:rPr>
              <w:t>40%以下。</w:t>
            </w:r>
          </w:p>
        </w:tc>
      </w:tr>
      <w:tr w14:paraId="75A3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3"/>
          </w:tcPr>
          <w:p w14:paraId="3AD99DE6">
            <w:pPr>
              <w:spacing w:line="360" w:lineRule="auto"/>
              <w:rPr>
                <w:rFonts w:hint="eastAsia" w:ascii="宋体" w:hAnsi="宋体" w:eastAsia="宋体" w:cs="宋体"/>
                <w:color w:val="auto"/>
                <w:sz w:val="24"/>
                <w:szCs w:val="24"/>
                <w:vertAlign w:val="baseline"/>
              </w:rPr>
            </w:pPr>
            <w:r>
              <w:rPr>
                <w:rFonts w:hint="eastAsia" w:ascii="宋体" w:hAnsi="宋体" w:eastAsia="宋体" w:cs="宋体"/>
                <w:snapToGrid w:val="0"/>
                <w:color w:val="auto"/>
                <w:kern w:val="0"/>
                <w:sz w:val="24"/>
                <w:szCs w:val="24"/>
              </w:rPr>
              <w:t>投标报价部分，满分：100分。</w:t>
            </w:r>
          </w:p>
        </w:tc>
      </w:tr>
      <w:tr w14:paraId="5D1FD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18709E39">
            <w:pPr>
              <w:wordWrap w:val="0"/>
              <w:adjustRightInd w:val="0"/>
              <w:snapToGrid w:val="0"/>
              <w:spacing w:line="44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评分事项</w:t>
            </w:r>
          </w:p>
        </w:tc>
        <w:tc>
          <w:tcPr>
            <w:tcW w:w="8640" w:type="dxa"/>
            <w:gridSpan w:val="2"/>
            <w:shd w:val="clear" w:color="auto" w:fill="auto"/>
            <w:vAlign w:val="center"/>
          </w:tcPr>
          <w:p w14:paraId="72DFA18D">
            <w:pPr>
              <w:wordWrap w:val="0"/>
              <w:adjustRightInd w:val="0"/>
              <w:snapToGrid w:val="0"/>
              <w:spacing w:line="44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评分方法</w:t>
            </w:r>
          </w:p>
        </w:tc>
      </w:tr>
      <w:tr w14:paraId="3C23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150303BF">
            <w:pPr>
              <w:pStyle w:val="35"/>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outlineLvl w:val="9"/>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lang w:eastAsia="zh-CN"/>
              </w:rPr>
              <w:t>评标基准价</w:t>
            </w:r>
            <w:r>
              <w:rPr>
                <w:rFonts w:hint="eastAsia" w:ascii="宋体" w:hAnsi="宋体" w:eastAsia="宋体" w:cs="宋体"/>
                <w:caps w:val="0"/>
                <w:smallCaps w:val="0"/>
                <w:snapToGrid w:val="0"/>
                <w:color w:val="auto"/>
                <w:spacing w:val="0"/>
                <w:kern w:val="0"/>
                <w:sz w:val="24"/>
                <w:szCs w:val="24"/>
                <w:highlight w:val="none"/>
                <w:lang w:val="en-US" w:eastAsia="zh-CN"/>
              </w:rPr>
              <w:t>D</w:t>
            </w:r>
          </w:p>
        </w:tc>
        <w:tc>
          <w:tcPr>
            <w:tcW w:w="8640" w:type="dxa"/>
            <w:gridSpan w:val="2"/>
            <w:shd w:val="clear" w:color="auto" w:fill="auto"/>
            <w:vAlign w:val="center"/>
          </w:tcPr>
          <w:p w14:paraId="4EB063A8">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）确定招标控制价</w:t>
            </w:r>
            <w:r>
              <w:rPr>
                <w:rFonts w:hint="eastAsia" w:ascii="宋体" w:hAnsi="宋体" w:eastAsia="宋体" w:cs="宋体"/>
                <w:color w:val="auto"/>
                <w:sz w:val="24"/>
                <w:szCs w:val="24"/>
                <w:lang w:val="en-US" w:eastAsia="zh-CN"/>
              </w:rPr>
              <w:t>下浮系数n：用1～21号球分别代表一个下浮系数，由评委代表从这21个号码中随机抽取3次，每次抽取1个号码，抽出的号球不参与下次抽取。所抽取的3个号码对应下浮系数的算术平均值作为招标控制价下浮系数n。具体号码对应的下浮系数可参考下表。</w:t>
            </w:r>
          </w:p>
          <w:tbl>
            <w:tblPr>
              <w:tblStyle w:val="19"/>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30"/>
              <w:gridCol w:w="883"/>
              <w:gridCol w:w="923"/>
              <w:gridCol w:w="961"/>
              <w:gridCol w:w="943"/>
              <w:gridCol w:w="981"/>
              <w:gridCol w:w="922"/>
              <w:gridCol w:w="911"/>
            </w:tblGrid>
            <w:tr w14:paraId="6F3C8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630" w:type="dxa"/>
                  <w:tcBorders>
                    <w:top w:val="single" w:color="000000" w:sz="4" w:space="0"/>
                    <w:left w:val="single" w:color="000000" w:sz="4" w:space="0"/>
                    <w:bottom w:val="single" w:color="000000" w:sz="4" w:space="0"/>
                    <w:right w:val="single" w:color="000000" w:sz="4" w:space="0"/>
                  </w:tcBorders>
                  <w:noWrap w:val="0"/>
                  <w:vAlign w:val="center"/>
                </w:tcPr>
                <w:p w14:paraId="13BD7B49">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i w:val="0"/>
                      <w:caps w:val="0"/>
                      <w:smallCaps w:val="0"/>
                      <w:snapToGrid w:val="0"/>
                      <w:color w:val="auto"/>
                      <w:spacing w:val="0"/>
                      <w:kern w:val="0"/>
                      <w:sz w:val="24"/>
                      <w:szCs w:val="24"/>
                      <w:highlight w:val="none"/>
                      <w:u w:val="none"/>
                      <w:lang w:eastAsia="zh-CN"/>
                    </w:rPr>
                  </w:pPr>
                  <w:r>
                    <w:rPr>
                      <w:rFonts w:hint="eastAsia" w:ascii="宋体" w:hAnsi="宋体" w:eastAsia="宋体" w:cs="宋体"/>
                      <w:b w:val="0"/>
                      <w:bCs/>
                      <w:i w:val="0"/>
                      <w:caps w:val="0"/>
                      <w:smallCaps w:val="0"/>
                      <w:snapToGrid w:val="0"/>
                      <w:color w:val="auto"/>
                      <w:spacing w:val="0"/>
                      <w:kern w:val="0"/>
                      <w:sz w:val="24"/>
                      <w:szCs w:val="24"/>
                      <w:highlight w:val="none"/>
                      <w:u w:val="none"/>
                      <w:lang w:eastAsia="zh-CN"/>
                    </w:rPr>
                    <w:t>号球</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53385394">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1</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1AFCB6CB">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2</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53129677">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3</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14:paraId="05997693">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4</w:t>
                  </w:r>
                </w:p>
              </w:tc>
              <w:tc>
                <w:tcPr>
                  <w:tcW w:w="981" w:type="dxa"/>
                  <w:tcBorders>
                    <w:top w:val="single" w:color="000000" w:sz="4" w:space="0"/>
                    <w:left w:val="single" w:color="000000" w:sz="4" w:space="0"/>
                    <w:bottom w:val="single" w:color="000000" w:sz="4" w:space="0"/>
                    <w:right w:val="single" w:color="000000" w:sz="4" w:space="0"/>
                  </w:tcBorders>
                  <w:noWrap w:val="0"/>
                  <w:vAlign w:val="center"/>
                </w:tcPr>
                <w:p w14:paraId="7C0ACB1C">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5</w:t>
                  </w:r>
                </w:p>
              </w:tc>
              <w:tc>
                <w:tcPr>
                  <w:tcW w:w="922" w:type="dxa"/>
                  <w:tcBorders>
                    <w:top w:val="single" w:color="000000" w:sz="4" w:space="0"/>
                    <w:left w:val="single" w:color="000000" w:sz="4" w:space="0"/>
                    <w:bottom w:val="single" w:color="000000" w:sz="4" w:space="0"/>
                    <w:right w:val="single" w:color="000000" w:sz="4" w:space="0"/>
                  </w:tcBorders>
                  <w:noWrap w:val="0"/>
                  <w:vAlign w:val="center"/>
                </w:tcPr>
                <w:p w14:paraId="7F2280A7">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6</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7E1BA72A">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7</w:t>
                  </w:r>
                </w:p>
              </w:tc>
            </w:tr>
            <w:tr w14:paraId="40A0B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1630" w:type="dxa"/>
                  <w:tcBorders>
                    <w:top w:val="single" w:color="000000" w:sz="4" w:space="0"/>
                    <w:left w:val="single" w:color="000000" w:sz="4" w:space="0"/>
                    <w:bottom w:val="single" w:color="000000" w:sz="4" w:space="0"/>
                    <w:right w:val="single" w:color="000000" w:sz="4" w:space="0"/>
                  </w:tcBorders>
                  <w:noWrap w:val="0"/>
                  <w:vAlign w:val="center"/>
                </w:tcPr>
                <w:p w14:paraId="6FFB4407">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下浮系数（</w:t>
                  </w: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w:t>
                  </w:r>
                  <w:r>
                    <w:rPr>
                      <w:rFonts w:hint="eastAsia" w:ascii="宋体" w:hAnsi="宋体" w:eastAsia="宋体" w:cs="宋体"/>
                      <w:b w:val="0"/>
                      <w:i w:val="0"/>
                      <w:caps w:val="0"/>
                      <w:smallCaps w:val="0"/>
                      <w:snapToGrid w:val="0"/>
                      <w:color w:val="auto"/>
                      <w:spacing w:val="0"/>
                      <w:kern w:val="0"/>
                      <w:sz w:val="24"/>
                      <w:szCs w:val="24"/>
                      <w:highlight w:val="none"/>
                      <w:u w:val="none"/>
                      <w:lang w:eastAsia="zh-CN"/>
                    </w:rPr>
                    <w:t>）</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79D10E31">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1.0</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280E9395">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1.1</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16C04113">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1.2</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14:paraId="5B2650AD">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1.3</w:t>
                  </w:r>
                </w:p>
              </w:tc>
              <w:tc>
                <w:tcPr>
                  <w:tcW w:w="981" w:type="dxa"/>
                  <w:tcBorders>
                    <w:top w:val="single" w:color="000000" w:sz="4" w:space="0"/>
                    <w:left w:val="single" w:color="000000" w:sz="4" w:space="0"/>
                    <w:bottom w:val="single" w:color="000000" w:sz="4" w:space="0"/>
                    <w:right w:val="single" w:color="000000" w:sz="4" w:space="0"/>
                  </w:tcBorders>
                  <w:noWrap w:val="0"/>
                  <w:vAlign w:val="center"/>
                </w:tcPr>
                <w:p w14:paraId="26DA7746">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1.4</w:t>
                  </w:r>
                </w:p>
              </w:tc>
              <w:tc>
                <w:tcPr>
                  <w:tcW w:w="922" w:type="dxa"/>
                  <w:tcBorders>
                    <w:top w:val="single" w:color="000000" w:sz="4" w:space="0"/>
                    <w:left w:val="single" w:color="000000" w:sz="4" w:space="0"/>
                    <w:bottom w:val="single" w:color="000000" w:sz="4" w:space="0"/>
                    <w:right w:val="single" w:color="000000" w:sz="4" w:space="0"/>
                  </w:tcBorders>
                  <w:noWrap w:val="0"/>
                  <w:vAlign w:val="center"/>
                </w:tcPr>
                <w:p w14:paraId="3489DCFB">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1.5</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1DA9A424">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1.6</w:t>
                  </w:r>
                </w:p>
              </w:tc>
            </w:tr>
            <w:tr w14:paraId="7D7D0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630" w:type="dxa"/>
                  <w:tcBorders>
                    <w:top w:val="single" w:color="000000" w:sz="4" w:space="0"/>
                    <w:left w:val="single" w:color="000000" w:sz="4" w:space="0"/>
                    <w:bottom w:val="single" w:color="000000" w:sz="4" w:space="0"/>
                    <w:right w:val="single" w:color="000000" w:sz="4" w:space="0"/>
                  </w:tcBorders>
                  <w:noWrap w:val="0"/>
                  <w:vAlign w:val="center"/>
                </w:tcPr>
                <w:p w14:paraId="28D35F5E">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i w:val="0"/>
                      <w:caps w:val="0"/>
                      <w:smallCaps w:val="0"/>
                      <w:snapToGrid w:val="0"/>
                      <w:color w:val="auto"/>
                      <w:spacing w:val="0"/>
                      <w:kern w:val="0"/>
                      <w:sz w:val="24"/>
                      <w:szCs w:val="24"/>
                      <w:highlight w:val="none"/>
                      <w:u w:val="none"/>
                      <w:lang w:eastAsia="zh-CN"/>
                    </w:rPr>
                  </w:pPr>
                  <w:r>
                    <w:rPr>
                      <w:rFonts w:hint="eastAsia" w:ascii="宋体" w:hAnsi="宋体" w:eastAsia="宋体" w:cs="宋体"/>
                      <w:b w:val="0"/>
                      <w:bCs/>
                      <w:i w:val="0"/>
                      <w:caps w:val="0"/>
                      <w:smallCaps w:val="0"/>
                      <w:snapToGrid w:val="0"/>
                      <w:color w:val="auto"/>
                      <w:spacing w:val="0"/>
                      <w:kern w:val="0"/>
                      <w:sz w:val="24"/>
                      <w:szCs w:val="24"/>
                      <w:highlight w:val="none"/>
                      <w:u w:val="none"/>
                      <w:lang w:eastAsia="zh-CN"/>
                    </w:rPr>
                    <w:t>号球</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3A9C6C95">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8</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2B913582">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9</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5C5E8C4E">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10</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14:paraId="64202330">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11</w:t>
                  </w:r>
                </w:p>
              </w:tc>
              <w:tc>
                <w:tcPr>
                  <w:tcW w:w="981" w:type="dxa"/>
                  <w:tcBorders>
                    <w:top w:val="single" w:color="000000" w:sz="4" w:space="0"/>
                    <w:left w:val="single" w:color="000000" w:sz="4" w:space="0"/>
                    <w:bottom w:val="single" w:color="000000" w:sz="4" w:space="0"/>
                    <w:right w:val="single" w:color="000000" w:sz="4" w:space="0"/>
                  </w:tcBorders>
                  <w:noWrap w:val="0"/>
                  <w:vAlign w:val="center"/>
                </w:tcPr>
                <w:p w14:paraId="6EFDB201">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12</w:t>
                  </w:r>
                </w:p>
              </w:tc>
              <w:tc>
                <w:tcPr>
                  <w:tcW w:w="922" w:type="dxa"/>
                  <w:tcBorders>
                    <w:top w:val="single" w:color="000000" w:sz="4" w:space="0"/>
                    <w:left w:val="single" w:color="000000" w:sz="4" w:space="0"/>
                    <w:bottom w:val="single" w:color="000000" w:sz="4" w:space="0"/>
                    <w:right w:val="single" w:color="000000" w:sz="4" w:space="0"/>
                  </w:tcBorders>
                  <w:noWrap w:val="0"/>
                  <w:vAlign w:val="center"/>
                </w:tcPr>
                <w:p w14:paraId="2F130023">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13</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376B4263">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14</w:t>
                  </w:r>
                </w:p>
              </w:tc>
            </w:tr>
            <w:tr w14:paraId="65D1D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630" w:type="dxa"/>
                  <w:tcBorders>
                    <w:top w:val="single" w:color="000000" w:sz="4" w:space="0"/>
                    <w:left w:val="single" w:color="000000" w:sz="4" w:space="0"/>
                    <w:bottom w:val="single" w:color="000000" w:sz="4" w:space="0"/>
                    <w:right w:val="single" w:color="000000" w:sz="4" w:space="0"/>
                  </w:tcBorders>
                  <w:noWrap w:val="0"/>
                  <w:vAlign w:val="center"/>
                </w:tcPr>
                <w:p w14:paraId="5948DF9F">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下浮系数（</w:t>
                  </w: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w:t>
                  </w:r>
                  <w:r>
                    <w:rPr>
                      <w:rFonts w:hint="eastAsia" w:ascii="宋体" w:hAnsi="宋体" w:eastAsia="宋体" w:cs="宋体"/>
                      <w:b w:val="0"/>
                      <w:i w:val="0"/>
                      <w:caps w:val="0"/>
                      <w:smallCaps w:val="0"/>
                      <w:snapToGrid w:val="0"/>
                      <w:color w:val="auto"/>
                      <w:spacing w:val="0"/>
                      <w:kern w:val="0"/>
                      <w:sz w:val="24"/>
                      <w:szCs w:val="24"/>
                      <w:highlight w:val="none"/>
                      <w:u w:val="none"/>
                      <w:lang w:eastAsia="zh-CN"/>
                    </w:rPr>
                    <w:t>）</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7F2A871A">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1.7</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3F50BA3C">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1.8</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6D4BCDA7">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1.9</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14:paraId="017CCBA3">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2.0</w:t>
                  </w:r>
                </w:p>
              </w:tc>
              <w:tc>
                <w:tcPr>
                  <w:tcW w:w="981" w:type="dxa"/>
                  <w:tcBorders>
                    <w:top w:val="single" w:color="000000" w:sz="4" w:space="0"/>
                    <w:left w:val="single" w:color="000000" w:sz="4" w:space="0"/>
                    <w:bottom w:val="single" w:color="000000" w:sz="4" w:space="0"/>
                    <w:right w:val="single" w:color="000000" w:sz="4" w:space="0"/>
                  </w:tcBorders>
                  <w:noWrap w:val="0"/>
                  <w:vAlign w:val="center"/>
                </w:tcPr>
                <w:p w14:paraId="101DAA97">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2.1</w:t>
                  </w:r>
                </w:p>
              </w:tc>
              <w:tc>
                <w:tcPr>
                  <w:tcW w:w="922" w:type="dxa"/>
                  <w:tcBorders>
                    <w:top w:val="single" w:color="000000" w:sz="4" w:space="0"/>
                    <w:left w:val="single" w:color="000000" w:sz="4" w:space="0"/>
                    <w:bottom w:val="single" w:color="000000" w:sz="4" w:space="0"/>
                    <w:right w:val="single" w:color="000000" w:sz="4" w:space="0"/>
                  </w:tcBorders>
                  <w:noWrap w:val="0"/>
                  <w:vAlign w:val="center"/>
                </w:tcPr>
                <w:p w14:paraId="43B2A2E6">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2.2</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42196B22">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2.3</w:t>
                  </w:r>
                </w:p>
              </w:tc>
            </w:tr>
            <w:tr w14:paraId="551EE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1630" w:type="dxa"/>
                  <w:tcBorders>
                    <w:top w:val="single" w:color="000000" w:sz="4" w:space="0"/>
                    <w:left w:val="single" w:color="000000" w:sz="4" w:space="0"/>
                    <w:bottom w:val="single" w:color="000000" w:sz="4" w:space="0"/>
                    <w:right w:val="single" w:color="000000" w:sz="4" w:space="0"/>
                  </w:tcBorders>
                  <w:noWrap w:val="0"/>
                  <w:vAlign w:val="center"/>
                </w:tcPr>
                <w:p w14:paraId="60EA8427">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i w:val="0"/>
                      <w:caps w:val="0"/>
                      <w:smallCaps w:val="0"/>
                      <w:snapToGrid w:val="0"/>
                      <w:color w:val="auto"/>
                      <w:spacing w:val="0"/>
                      <w:kern w:val="0"/>
                      <w:sz w:val="24"/>
                      <w:szCs w:val="24"/>
                      <w:highlight w:val="none"/>
                      <w:u w:val="none"/>
                      <w:lang w:eastAsia="zh-CN"/>
                    </w:rPr>
                  </w:pPr>
                  <w:r>
                    <w:rPr>
                      <w:rFonts w:hint="eastAsia" w:ascii="宋体" w:hAnsi="宋体" w:eastAsia="宋体" w:cs="宋体"/>
                      <w:b w:val="0"/>
                      <w:bCs/>
                      <w:i w:val="0"/>
                      <w:caps w:val="0"/>
                      <w:smallCaps w:val="0"/>
                      <w:snapToGrid w:val="0"/>
                      <w:color w:val="auto"/>
                      <w:spacing w:val="0"/>
                      <w:kern w:val="0"/>
                      <w:sz w:val="24"/>
                      <w:szCs w:val="24"/>
                      <w:highlight w:val="none"/>
                      <w:u w:val="none"/>
                      <w:lang w:eastAsia="zh-CN"/>
                    </w:rPr>
                    <w:t>号球</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79B07B03">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15</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0A882773">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16</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322631BC">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17</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14:paraId="43170DBF">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18</w:t>
                  </w:r>
                </w:p>
              </w:tc>
              <w:tc>
                <w:tcPr>
                  <w:tcW w:w="981" w:type="dxa"/>
                  <w:tcBorders>
                    <w:top w:val="single" w:color="000000" w:sz="4" w:space="0"/>
                    <w:left w:val="single" w:color="000000" w:sz="4" w:space="0"/>
                    <w:bottom w:val="single" w:color="000000" w:sz="4" w:space="0"/>
                    <w:right w:val="single" w:color="000000" w:sz="4" w:space="0"/>
                  </w:tcBorders>
                  <w:noWrap w:val="0"/>
                  <w:vAlign w:val="center"/>
                </w:tcPr>
                <w:p w14:paraId="163C753C">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19</w:t>
                  </w:r>
                </w:p>
              </w:tc>
              <w:tc>
                <w:tcPr>
                  <w:tcW w:w="922" w:type="dxa"/>
                  <w:tcBorders>
                    <w:top w:val="single" w:color="000000" w:sz="4" w:space="0"/>
                    <w:left w:val="single" w:color="000000" w:sz="4" w:space="0"/>
                    <w:bottom w:val="single" w:color="000000" w:sz="4" w:space="0"/>
                    <w:right w:val="single" w:color="000000" w:sz="4" w:space="0"/>
                  </w:tcBorders>
                  <w:noWrap w:val="0"/>
                  <w:vAlign w:val="center"/>
                </w:tcPr>
                <w:p w14:paraId="16256A96">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20</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1C5B4484">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21</w:t>
                  </w:r>
                </w:p>
              </w:tc>
            </w:tr>
            <w:tr w14:paraId="3485D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1630" w:type="dxa"/>
                  <w:tcBorders>
                    <w:top w:val="single" w:color="000000" w:sz="4" w:space="0"/>
                    <w:left w:val="single" w:color="000000" w:sz="4" w:space="0"/>
                    <w:bottom w:val="single" w:color="000000" w:sz="4" w:space="0"/>
                    <w:right w:val="single" w:color="000000" w:sz="4" w:space="0"/>
                  </w:tcBorders>
                  <w:noWrap w:val="0"/>
                  <w:vAlign w:val="center"/>
                </w:tcPr>
                <w:p w14:paraId="339018BE">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下浮系数（</w:t>
                  </w: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w:t>
                  </w:r>
                  <w:r>
                    <w:rPr>
                      <w:rFonts w:hint="eastAsia" w:ascii="宋体" w:hAnsi="宋体" w:eastAsia="宋体" w:cs="宋体"/>
                      <w:b w:val="0"/>
                      <w:i w:val="0"/>
                      <w:caps w:val="0"/>
                      <w:smallCaps w:val="0"/>
                      <w:snapToGrid w:val="0"/>
                      <w:color w:val="auto"/>
                      <w:spacing w:val="0"/>
                      <w:kern w:val="0"/>
                      <w:sz w:val="24"/>
                      <w:szCs w:val="24"/>
                      <w:highlight w:val="none"/>
                      <w:u w:val="none"/>
                      <w:lang w:eastAsia="zh-CN"/>
                    </w:rPr>
                    <w:t>）</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0EFB61EE">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2.4</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5438AF6F">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2.5</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14:paraId="6A460645">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2.6</w:t>
                  </w:r>
                </w:p>
              </w:tc>
              <w:tc>
                <w:tcPr>
                  <w:tcW w:w="943" w:type="dxa"/>
                  <w:tcBorders>
                    <w:top w:val="single" w:color="000000" w:sz="4" w:space="0"/>
                    <w:left w:val="single" w:color="000000" w:sz="4" w:space="0"/>
                    <w:bottom w:val="single" w:color="000000" w:sz="4" w:space="0"/>
                    <w:right w:val="single" w:color="000000" w:sz="4" w:space="0"/>
                  </w:tcBorders>
                  <w:noWrap w:val="0"/>
                  <w:vAlign w:val="center"/>
                </w:tcPr>
                <w:p w14:paraId="568D3290">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2.7</w:t>
                  </w:r>
                </w:p>
              </w:tc>
              <w:tc>
                <w:tcPr>
                  <w:tcW w:w="981" w:type="dxa"/>
                  <w:tcBorders>
                    <w:top w:val="single" w:color="000000" w:sz="4" w:space="0"/>
                    <w:left w:val="single" w:color="000000" w:sz="4" w:space="0"/>
                    <w:bottom w:val="single" w:color="000000" w:sz="4" w:space="0"/>
                    <w:right w:val="single" w:color="000000" w:sz="4" w:space="0"/>
                  </w:tcBorders>
                  <w:noWrap w:val="0"/>
                  <w:vAlign w:val="center"/>
                </w:tcPr>
                <w:p w14:paraId="448C4CA0">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2.8</w:t>
                  </w:r>
                </w:p>
              </w:tc>
              <w:tc>
                <w:tcPr>
                  <w:tcW w:w="922" w:type="dxa"/>
                  <w:tcBorders>
                    <w:top w:val="single" w:color="000000" w:sz="4" w:space="0"/>
                    <w:left w:val="single" w:color="000000" w:sz="4" w:space="0"/>
                    <w:bottom w:val="single" w:color="000000" w:sz="4" w:space="0"/>
                    <w:right w:val="single" w:color="000000" w:sz="4" w:space="0"/>
                  </w:tcBorders>
                  <w:noWrap w:val="0"/>
                  <w:vAlign w:val="center"/>
                </w:tcPr>
                <w:p w14:paraId="25F02729">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2.9</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3EE86339">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3.0</w:t>
                  </w:r>
                </w:p>
              </w:tc>
            </w:tr>
          </w:tbl>
          <w:p w14:paraId="75516039">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right="0" w:rightChars="0" w:firstLine="480" w:firstLineChars="200"/>
              <w:jc w:val="left"/>
              <w:textAlignment w:val="auto"/>
              <w:outlineLvl w:val="9"/>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）评标基准价D＝招标控制价×（1－</w:t>
            </w:r>
            <w:r>
              <w:rPr>
                <w:rFonts w:hint="eastAsia" w:ascii="宋体" w:hAnsi="宋体" w:eastAsia="宋体" w:cs="宋体"/>
                <w:color w:val="auto"/>
                <w:sz w:val="24"/>
                <w:szCs w:val="24"/>
                <w:lang w:val="en-US" w:eastAsia="zh-CN"/>
              </w:rPr>
              <w:t>n</w:t>
            </w:r>
            <w:r>
              <w:rPr>
                <w:rFonts w:hint="eastAsia" w:ascii="宋体" w:hAnsi="宋体" w:eastAsia="宋体" w:cs="宋体"/>
                <w:color w:val="auto"/>
                <w:sz w:val="24"/>
                <w:szCs w:val="24"/>
                <w:lang w:eastAsia="zh-CN"/>
              </w:rPr>
              <w:t>）</w:t>
            </w:r>
          </w:p>
        </w:tc>
      </w:tr>
      <w:tr w14:paraId="0A5E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4AA74514">
            <w:pPr>
              <w:pStyle w:val="35"/>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4"/>
                <w:szCs w:val="24"/>
                <w:highlight w:val="none"/>
                <w:lang w:eastAsia="zh-CN"/>
              </w:rPr>
            </w:pPr>
            <w:r>
              <w:rPr>
                <w:rFonts w:hint="eastAsia" w:ascii="宋体" w:hAnsi="宋体" w:eastAsia="宋体" w:cs="宋体"/>
                <w:caps w:val="0"/>
                <w:smallCaps w:val="0"/>
                <w:snapToGrid w:val="0"/>
                <w:color w:val="auto"/>
                <w:spacing w:val="0"/>
                <w:kern w:val="0"/>
                <w:sz w:val="24"/>
                <w:szCs w:val="24"/>
                <w:highlight w:val="none"/>
                <w:lang w:eastAsia="zh-CN"/>
              </w:rPr>
              <w:t>投标报价</w:t>
            </w:r>
          </w:p>
          <w:p w14:paraId="06838BF4">
            <w:pPr>
              <w:pStyle w:val="35"/>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outlineLvl w:val="9"/>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lang w:eastAsia="zh-CN"/>
              </w:rPr>
              <w:t>得分</w:t>
            </w:r>
            <w:r>
              <w:rPr>
                <w:rFonts w:hint="eastAsia" w:ascii="宋体" w:hAnsi="宋体" w:eastAsia="宋体" w:cs="宋体"/>
                <w:caps w:val="0"/>
                <w:smallCaps w:val="0"/>
                <w:snapToGrid w:val="0"/>
                <w:color w:val="auto"/>
                <w:spacing w:val="0"/>
                <w:kern w:val="0"/>
                <w:sz w:val="24"/>
                <w:szCs w:val="24"/>
                <w:highlight w:val="none"/>
                <w:lang w:val="en-US" w:eastAsia="zh-CN"/>
              </w:rPr>
              <w:t>N</w:t>
            </w:r>
          </w:p>
        </w:tc>
        <w:tc>
          <w:tcPr>
            <w:tcW w:w="8640" w:type="dxa"/>
            <w:gridSpan w:val="2"/>
            <w:shd w:val="clear" w:color="auto" w:fill="auto"/>
            <w:vAlign w:val="center"/>
          </w:tcPr>
          <w:p w14:paraId="7AB1E4C0">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采用内插法计算某投标人的投标报价得分N，即当投标人的投标总价等于评标基准价时得100分，每高于评标基准价一个百分点扣</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分,每低于评标基准价一个百分点扣</w:t>
            </w:r>
            <w:r>
              <w:rPr>
                <w:rFonts w:hint="eastAsia" w:ascii="宋体" w:hAnsi="宋体" w:eastAsia="宋体" w:cs="宋体"/>
                <w:color w:val="auto"/>
                <w:sz w:val="24"/>
                <w:szCs w:val="24"/>
                <w:lang w:val="en-US" w:eastAsia="zh-CN"/>
              </w:rPr>
              <w:t>0.5</w:t>
            </w:r>
            <w:r>
              <w:rPr>
                <w:rFonts w:hint="eastAsia" w:ascii="宋体" w:hAnsi="宋体" w:eastAsia="宋体" w:cs="宋体"/>
                <w:color w:val="auto"/>
                <w:sz w:val="24"/>
                <w:szCs w:val="24"/>
                <w:lang w:eastAsia="zh-CN"/>
              </w:rPr>
              <w:t>分，扣完为止。公式如下：</w:t>
            </w:r>
          </w:p>
          <w:p w14:paraId="464C1F3E">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N＝100－（|Di－D|÷D）×100×E</w:t>
            </w:r>
          </w:p>
          <w:p w14:paraId="33BCC609">
            <w:pPr>
              <w:spacing w:line="360" w:lineRule="auto"/>
              <w:ind w:firstLine="480" w:firstLineChars="20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lang w:eastAsia="zh-CN"/>
              </w:rPr>
              <w:t>式中：D为评标基准价；Di为某投标人的投标总价；E为扣分因子，当Di＞D时，E＝</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；当Di＜D时，E＝</w:t>
            </w:r>
            <w:r>
              <w:rPr>
                <w:rFonts w:hint="eastAsia" w:ascii="宋体" w:hAnsi="宋体" w:eastAsia="宋体" w:cs="宋体"/>
                <w:color w:val="auto"/>
                <w:sz w:val="24"/>
                <w:szCs w:val="24"/>
                <w:lang w:val="en-US" w:eastAsia="zh-CN"/>
              </w:rPr>
              <w:t>0.5</w:t>
            </w:r>
            <w:r>
              <w:rPr>
                <w:rFonts w:hint="eastAsia" w:ascii="宋体" w:hAnsi="宋体" w:eastAsia="宋体" w:cs="宋体"/>
                <w:color w:val="auto"/>
                <w:sz w:val="24"/>
                <w:szCs w:val="24"/>
                <w:lang w:eastAsia="zh-CN"/>
              </w:rPr>
              <w:t>。</w:t>
            </w:r>
          </w:p>
        </w:tc>
      </w:tr>
    </w:tbl>
    <w:p w14:paraId="2C071EAE">
      <w:pPr>
        <w:rPr>
          <w:rFonts w:hint="eastAsia" w:ascii="宋体" w:hAnsi="宋体" w:eastAsia="宋体" w:cs="宋体"/>
          <w:color w:val="auto"/>
        </w:rPr>
      </w:pPr>
    </w:p>
    <w:p w14:paraId="028738D0">
      <w:pPr>
        <w:rPr>
          <w:rFonts w:hint="eastAsia" w:ascii="宋体" w:hAnsi="宋体" w:eastAsia="宋体" w:cs="宋体"/>
          <w:color w:val="auto"/>
          <w:lang w:eastAsia="zh-CN"/>
        </w:rPr>
      </w:pPr>
    </w:p>
    <w:p w14:paraId="067541D6">
      <w:pPr>
        <w:rPr>
          <w:rFonts w:hint="eastAsia" w:ascii="宋体" w:hAnsi="宋体" w:eastAsia="宋体" w:cs="宋体"/>
          <w:color w:val="auto"/>
          <w:lang w:eastAsia="zh-CN"/>
        </w:rPr>
      </w:pPr>
    </w:p>
    <w:p w14:paraId="50E3108F">
      <w:pPr>
        <w:rPr>
          <w:rFonts w:hint="eastAsia" w:ascii="宋体" w:hAnsi="宋体" w:eastAsia="宋体" w:cs="宋体"/>
          <w:color w:val="auto"/>
          <w:lang w:eastAsia="zh-CN"/>
        </w:rPr>
      </w:pPr>
    </w:p>
    <w:p w14:paraId="7DE07928">
      <w:pPr>
        <w:rPr>
          <w:rFonts w:hint="eastAsia" w:ascii="宋体" w:hAnsi="宋体" w:eastAsia="宋体" w:cs="宋体"/>
          <w:color w:val="auto"/>
          <w:lang w:eastAsia="zh-CN"/>
        </w:rPr>
      </w:pPr>
    </w:p>
    <w:p w14:paraId="16DC7F10">
      <w:pPr>
        <w:rPr>
          <w:rFonts w:hint="eastAsia" w:ascii="宋体" w:hAnsi="宋体" w:eastAsia="宋体" w:cs="宋体"/>
          <w:color w:val="auto"/>
          <w:lang w:eastAsia="zh-CN"/>
        </w:rPr>
      </w:pPr>
    </w:p>
    <w:p w14:paraId="11DA0CD9">
      <w:pPr>
        <w:rPr>
          <w:rFonts w:hint="eastAsia" w:ascii="宋体" w:hAnsi="宋体" w:eastAsia="宋体" w:cs="宋体"/>
          <w:color w:val="auto"/>
          <w:lang w:eastAsia="zh-CN"/>
        </w:rPr>
      </w:pPr>
    </w:p>
    <w:p w14:paraId="2FF3B0D4">
      <w:pPr>
        <w:rPr>
          <w:rFonts w:hint="eastAsia" w:ascii="宋体" w:hAnsi="宋体" w:eastAsia="宋体" w:cs="宋体"/>
          <w:color w:val="auto"/>
          <w:lang w:eastAsia="zh-CN"/>
        </w:rPr>
      </w:pPr>
    </w:p>
    <w:p w14:paraId="4293A448">
      <w:pPr>
        <w:rPr>
          <w:rFonts w:hint="eastAsia" w:ascii="宋体" w:hAnsi="宋体" w:eastAsia="宋体" w:cs="宋体"/>
          <w:color w:val="auto"/>
          <w:lang w:eastAsia="zh-CN"/>
        </w:rPr>
      </w:pPr>
    </w:p>
    <w:p w14:paraId="204F3414">
      <w:pPr>
        <w:rPr>
          <w:rFonts w:hint="eastAsia" w:ascii="宋体" w:hAnsi="宋体" w:eastAsia="宋体" w:cs="宋体"/>
          <w:color w:val="auto"/>
          <w:lang w:eastAsia="zh-CN"/>
        </w:rPr>
      </w:pPr>
    </w:p>
    <w:p w14:paraId="750617C1">
      <w:pPr>
        <w:rPr>
          <w:rFonts w:hint="eastAsia" w:ascii="宋体" w:hAnsi="宋体" w:eastAsia="宋体" w:cs="宋体"/>
          <w:color w:val="auto"/>
          <w:lang w:eastAsia="zh-CN"/>
        </w:rPr>
      </w:pPr>
    </w:p>
    <w:p w14:paraId="0723EFDB">
      <w:pPr>
        <w:rPr>
          <w:rFonts w:hint="eastAsia" w:ascii="宋体" w:hAnsi="宋体" w:eastAsia="宋体" w:cs="宋体"/>
          <w:color w:val="auto"/>
          <w:lang w:eastAsia="zh-CN"/>
        </w:rPr>
      </w:pPr>
    </w:p>
    <w:p w14:paraId="4F6C4B8E">
      <w:pPr>
        <w:rPr>
          <w:rFonts w:hint="eastAsia" w:ascii="宋体" w:hAnsi="宋体" w:eastAsia="宋体" w:cs="宋体"/>
          <w:color w:val="auto"/>
          <w:lang w:eastAsia="zh-CN"/>
        </w:rPr>
      </w:pPr>
    </w:p>
    <w:p w14:paraId="646810EC">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15.5.2</w:t>
      </w:r>
      <w:r>
        <w:rPr>
          <w:rFonts w:hint="eastAsia" w:ascii="宋体" w:hAnsi="宋体" w:eastAsia="宋体" w:cs="宋体"/>
          <w:color w:val="auto"/>
          <w:sz w:val="24"/>
          <w:szCs w:val="24"/>
          <w:lang w:eastAsia="zh-CN"/>
        </w:rPr>
        <w:t>否决投标说明</w:t>
      </w:r>
    </w:p>
    <w:p w14:paraId="19C2A89B">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详细评审阶段否决投标的全部条件，在本章第四节“否决投标条件”第4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5B0A0E05">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温馨提示：依据2017年12月27日修改的《中华人民共和国招标投标法》“第四十二条评标委员会经评审，认为所有投标都不符合招标文件要求的，可以否决所有投标。依法必须进行招标的项目的所有投标被否决的，招标人应当依照本法重新招标。”及2018年11月29日修订的《广东省实施〈中华人民共和国招标投标法〉办法》取消“经评议有效投标的投标人少于三人”必须重新招标的限制。</w:t>
      </w:r>
    </w:p>
    <w:p w14:paraId="085C82A2">
      <w:pPr>
        <w:pStyle w:val="3"/>
        <w:bidi w:val="0"/>
        <w:spacing w:line="360" w:lineRule="auto"/>
        <w:ind w:firstLine="482" w:firstLineChars="200"/>
        <w:rPr>
          <w:rFonts w:hint="eastAsia" w:ascii="宋体" w:hAnsi="宋体" w:eastAsia="宋体" w:cs="宋体"/>
          <w:color w:val="auto"/>
          <w:sz w:val="24"/>
          <w:szCs w:val="24"/>
          <w:lang w:eastAsia="zh-CN"/>
        </w:rPr>
      </w:pPr>
      <w:bookmarkStart w:id="69" w:name="_Toc27880"/>
      <w:r>
        <w:rPr>
          <w:rFonts w:hint="eastAsia" w:ascii="宋体" w:hAnsi="宋体" w:eastAsia="宋体" w:cs="宋体"/>
          <w:color w:val="auto"/>
          <w:sz w:val="24"/>
          <w:szCs w:val="24"/>
          <w:lang w:eastAsia="zh-CN"/>
        </w:rPr>
        <w:t>16．中标候选人公示</w:t>
      </w:r>
      <w:bookmarkEnd w:id="69"/>
    </w:p>
    <w:p w14:paraId="28A69E92">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16.1</w:t>
      </w:r>
      <w:r>
        <w:rPr>
          <w:rFonts w:hint="eastAsia" w:ascii="宋体" w:hAnsi="宋体" w:eastAsia="宋体" w:cs="宋体"/>
          <w:color w:val="auto"/>
          <w:sz w:val="24"/>
          <w:szCs w:val="24"/>
          <w:lang w:eastAsia="zh-CN"/>
        </w:rPr>
        <w:t>招标人自收到评标委员会提交的书面评标报告和中标候选人名单之日起3日内，将评标结果（即中标候选人名单）、中标候选人投标文件（指商务标书分册）、评标过程（评标专家姓名用代码标记）一并在广东省招标投标监管网（http://zbtb.gd.gov.cn）、全国公共资源交易平台（广东省·韶关市）（https://ygp.gdzwfw.gov.cn/ggzy-portal/#/440200/index）进行公示，公示期不得少于3天。</w:t>
      </w:r>
    </w:p>
    <w:p w14:paraId="19E5F690">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16.2</w:t>
      </w:r>
      <w:r>
        <w:rPr>
          <w:rFonts w:hint="eastAsia" w:ascii="宋体" w:hAnsi="宋体" w:eastAsia="宋体" w:cs="宋体"/>
          <w:color w:val="auto"/>
          <w:sz w:val="24"/>
          <w:szCs w:val="24"/>
          <w:lang w:eastAsia="zh-CN"/>
        </w:rPr>
        <w:t>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法审〔2020〕19号）执行。如通过交易服务平台提出异议，投标人必须上传提交异议书扫描件（作为附件），异议书格式内容按照《韶关市工程建设项目招标投标活动异议和投诉处理办法》（韶法审〔2020〕19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2D068FA2">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16.3</w:t>
      </w:r>
      <w:r>
        <w:rPr>
          <w:rFonts w:hint="eastAsia" w:ascii="宋体" w:hAnsi="宋体" w:eastAsia="宋体" w:cs="宋体"/>
          <w:color w:val="auto"/>
          <w:sz w:val="24"/>
          <w:szCs w:val="24"/>
          <w:lang w:eastAsia="zh-CN"/>
        </w:rPr>
        <w:t>中标候选人公示期满无异议（投诉）后，招标人确定第一中标候选人为中标人，并在中标人确定之日起7日内向中标人发出中标通知书。在中标通知书发出后5个工作日内，韶关市公共资源交易中心将投标保证金退还给中标候选人以外的投标人。</w:t>
      </w:r>
    </w:p>
    <w:p w14:paraId="2120F712">
      <w:pPr>
        <w:rPr>
          <w:rFonts w:hint="eastAsia" w:ascii="宋体" w:hAnsi="宋体" w:eastAsia="宋体" w:cs="宋体"/>
          <w:color w:val="auto"/>
        </w:rPr>
      </w:pPr>
    </w:p>
    <w:p w14:paraId="0C502906">
      <w:pPr>
        <w:rPr>
          <w:rFonts w:hint="eastAsia" w:ascii="宋体" w:hAnsi="宋体" w:eastAsia="宋体" w:cs="宋体"/>
          <w:color w:val="auto"/>
        </w:rPr>
      </w:pPr>
    </w:p>
    <w:p w14:paraId="110D4A7D">
      <w:pPr>
        <w:rPr>
          <w:rFonts w:hint="eastAsia" w:ascii="宋体" w:hAnsi="宋体" w:eastAsia="宋体" w:cs="宋体"/>
          <w:color w:val="auto"/>
        </w:rPr>
      </w:pPr>
    </w:p>
    <w:p w14:paraId="5170C6FC">
      <w:pPr>
        <w:pStyle w:val="3"/>
        <w:wordWrap w:val="0"/>
        <w:autoSpaceDE/>
        <w:autoSpaceDN/>
        <w:snapToGrid w:val="0"/>
        <w:spacing w:before="260" w:after="260" w:line="240" w:lineRule="auto"/>
        <w:jc w:val="both"/>
        <w:rPr>
          <w:rFonts w:hint="eastAsia" w:ascii="宋体" w:hAnsi="宋体" w:eastAsia="宋体" w:cs="宋体"/>
          <w:b/>
          <w:snapToGrid w:val="0"/>
          <w:color w:val="auto"/>
          <w:sz w:val="24"/>
          <w:szCs w:val="24"/>
          <w:highlight w:val="none"/>
          <w:lang w:eastAsia="zh-CN"/>
        </w:rPr>
      </w:pPr>
      <w:bookmarkStart w:id="70" w:name="_Toc28682"/>
      <w:r>
        <w:rPr>
          <w:rFonts w:hint="eastAsia" w:ascii="宋体" w:hAnsi="宋体" w:eastAsia="宋体" w:cs="宋体"/>
          <w:b/>
          <w:snapToGrid w:val="0"/>
          <w:color w:val="auto"/>
          <w:sz w:val="24"/>
          <w:szCs w:val="24"/>
          <w:highlight w:val="none"/>
          <w:lang w:eastAsia="zh-CN"/>
        </w:rPr>
        <w:t>第四节</w:t>
      </w:r>
      <w:r>
        <w:rPr>
          <w:rFonts w:hint="eastAsia" w:ascii="宋体" w:hAnsi="宋体" w:eastAsia="宋体" w:cs="宋体"/>
          <w:b/>
          <w:snapToGrid w:val="0"/>
          <w:color w:val="auto"/>
          <w:sz w:val="24"/>
          <w:szCs w:val="24"/>
          <w:highlight w:val="none"/>
          <w:lang w:val="en-US" w:eastAsia="zh-CN"/>
        </w:rPr>
        <w:t xml:space="preserve">   </w:t>
      </w:r>
      <w:r>
        <w:rPr>
          <w:rFonts w:hint="eastAsia" w:ascii="宋体" w:hAnsi="宋体" w:eastAsia="宋体" w:cs="宋体"/>
          <w:b/>
          <w:snapToGrid w:val="0"/>
          <w:color w:val="auto"/>
          <w:sz w:val="24"/>
          <w:szCs w:val="24"/>
          <w:highlight w:val="none"/>
          <w:lang w:eastAsia="zh-CN"/>
        </w:rPr>
        <w:t>否决投标条件</w:t>
      </w:r>
      <w:bookmarkEnd w:id="70"/>
    </w:p>
    <w:p w14:paraId="4539C33A">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节所集中列示的否决投标条件，是本章第三节“投标人须知正文”的组成部分，是对本章第三节所规定的否决投标条件的总结和补充。投标人未有列入本节情形的，评标时一律不得否决其投标。本节所称“规定”均指招标文件的规定。</w:t>
      </w:r>
    </w:p>
    <w:p w14:paraId="51D1EE1B">
      <w:pPr>
        <w:pStyle w:val="3"/>
        <w:bidi w:val="0"/>
        <w:spacing w:line="360" w:lineRule="auto"/>
        <w:ind w:firstLine="482" w:firstLineChars="200"/>
        <w:rPr>
          <w:rFonts w:hint="eastAsia" w:ascii="宋体" w:hAnsi="宋体" w:eastAsia="宋体" w:cs="宋体"/>
          <w:color w:val="auto"/>
          <w:sz w:val="24"/>
          <w:szCs w:val="24"/>
          <w:lang w:eastAsia="zh-CN"/>
        </w:rPr>
      </w:pPr>
      <w:bookmarkStart w:id="71" w:name="_Toc18871"/>
      <w:r>
        <w:rPr>
          <w:rFonts w:hint="eastAsia" w:ascii="宋体" w:hAnsi="宋体" w:eastAsia="宋体" w:cs="宋体"/>
          <w:color w:val="auto"/>
          <w:sz w:val="24"/>
          <w:szCs w:val="24"/>
          <w:lang w:eastAsia="zh-CN"/>
        </w:rPr>
        <w:t>1．资格评审环节</w:t>
      </w:r>
      <w:bookmarkEnd w:id="71"/>
    </w:p>
    <w:p w14:paraId="77E2329D">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投标人有下列情形之一的，评标委员会应否决其投标。被否决的投标人，不进入形式评审环节。</w:t>
      </w:r>
    </w:p>
    <w:p w14:paraId="0B031CDA">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（1）有本章第三节第2.4条“禁止投标条款”规定的任何一种情形；</w:t>
      </w:r>
    </w:p>
    <w:p w14:paraId="3BF79108">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（2）投标人资质不符合规定的；</w:t>
      </w:r>
    </w:p>
    <w:p w14:paraId="4A4FD5D5">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投标人名称与营业执照、资质证书、安全生产许可证上的企业名称相互不一致的；其资质证书、安全生产许可证不是由住房城乡建设主管部门颁发的；营业执照、资质证书、安全生产许可证（含实时网页查询页，可参考网址https://zlaq.mohurd.gov.cn/fwmh/bjxcjgl/fwmh/pages/construction_safety/qyaqscxkz/qyaqscxk）被吊销、暂扣或不在有效期内的；</w:t>
      </w:r>
    </w:p>
    <w:p w14:paraId="2455B14F">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763698CF">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（4）拟派项目经理、项目技术负责人、专职安全员的条件不符合规定的；拟派专职安全员数量不符合规定的；技术负责人未在投标文件《项目技术负责人简历表》中签字确认；</w:t>
      </w:r>
    </w:p>
    <w:p w14:paraId="4F49F7D3">
      <w:pPr>
        <w:spacing w:line="360" w:lineRule="auto"/>
        <w:ind w:firstLine="482" w:firstLineChars="200"/>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温馨提示：建造师打印电子证书后，应在个人签名处手写本人签名，未手写签名或与签名图像笔迹不一致的，该电子证书无效。</w:t>
      </w:r>
    </w:p>
    <w:p w14:paraId="18D1886A">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项目经理简历表》中拟派项目经理与《开标一览表》不一致的；拟派的项目经理未在投标文件《项目经理简历表》中签字确认；一级建造师的注册证书不是国家住建部颁发的；二级建造师的电子注册证书不是省级住建厅颁发的；建造师的注册单位与投标人不一致的；项目管理班子组成人员的各类证书、证件、证明不在有效期内的（建造师注册证书不在使用有效期内的）；擅自修改、遗漏《项目经理任职声明》实质性内容的；</w:t>
      </w:r>
    </w:p>
    <w:p w14:paraId="4E51029C">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注：投标人已经工商变更，但其员工执业资格注册证书的注册单位名称未完成变更的，不得否决其投标。</w:t>
      </w:r>
    </w:p>
    <w:p w14:paraId="2C38EC50">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鉴于目前继续教育开展的实际情况，建筑和市政工程施工现场专业人员（例如：施工员、质量员、材料员、资料员）的岗位证书或培训证书不审查其证书的有效期。</w:t>
      </w:r>
    </w:p>
    <w:p w14:paraId="0884158C">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（6）招标文件规定不接受联合体投标的；</w:t>
      </w:r>
    </w:p>
    <w:p w14:paraId="3042C918">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lang w:eastAsia="zh-CN"/>
        </w:rPr>
        <w:t>）投标人为外省建筑企业，但未提供“进粤企业和人员诚信信息登记平台”企业和拟派人员信息情况打印页或网页截图的。</w:t>
      </w:r>
    </w:p>
    <w:p w14:paraId="3ADD722D">
      <w:pPr>
        <w:pStyle w:val="3"/>
        <w:bidi w:val="0"/>
        <w:spacing w:line="360" w:lineRule="auto"/>
        <w:ind w:firstLine="482" w:firstLineChars="200"/>
        <w:rPr>
          <w:rFonts w:hint="eastAsia" w:ascii="宋体" w:hAnsi="宋体" w:eastAsia="宋体" w:cs="宋体"/>
          <w:color w:val="auto"/>
          <w:sz w:val="24"/>
          <w:szCs w:val="24"/>
          <w:lang w:eastAsia="zh-CN"/>
        </w:rPr>
      </w:pPr>
      <w:bookmarkStart w:id="72" w:name="_Toc16743"/>
      <w:r>
        <w:rPr>
          <w:rFonts w:hint="eastAsia" w:ascii="宋体" w:hAnsi="宋体" w:eastAsia="宋体" w:cs="宋体"/>
          <w:color w:val="auto"/>
          <w:sz w:val="24"/>
          <w:szCs w:val="24"/>
          <w:lang w:eastAsia="zh-CN"/>
        </w:rPr>
        <w:t>2．形式评审环节</w:t>
      </w:r>
      <w:bookmarkEnd w:id="72"/>
    </w:p>
    <w:p w14:paraId="4A8F9D1B">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投标人有下列情形之一的，评标委员会应否决其投标。被否决的投标人，不进入响应性评审环节。</w:t>
      </w:r>
    </w:p>
    <w:p w14:paraId="623D1028">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（1）各分册没按招标文件规定加盖电子印章；</w:t>
      </w:r>
    </w:p>
    <w:p w14:paraId="46B6BF21">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（2）本章第三节第10.2.2目、第10.3.</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目中规定的“所有投标人均应提供”的组成内容（包括该组成内容的所附资料）中，任何一项有缺漏的；</w:t>
      </w:r>
    </w:p>
    <w:p w14:paraId="753691BC">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关键字迹模糊、无法辨认，且该种过错将导致评标委员会无法判断投标文件是否响应招标文件实质性要求的；有涂改、行间插字或删除，但未加盖单位章或由投标人的法定代表人或其委托代理人签字确认的；</w:t>
      </w:r>
    </w:p>
    <w:p w14:paraId="1E041C70">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（4）投标文件未按规定签字、盖章的。</w:t>
      </w:r>
    </w:p>
    <w:p w14:paraId="04F1B707">
      <w:pPr>
        <w:pStyle w:val="3"/>
        <w:bidi w:val="0"/>
        <w:spacing w:line="360" w:lineRule="auto"/>
        <w:ind w:firstLine="482" w:firstLineChars="200"/>
        <w:rPr>
          <w:rFonts w:hint="eastAsia" w:ascii="宋体" w:hAnsi="宋体" w:eastAsia="宋体" w:cs="宋体"/>
          <w:color w:val="auto"/>
          <w:sz w:val="24"/>
          <w:szCs w:val="24"/>
          <w:lang w:eastAsia="zh-CN"/>
        </w:rPr>
      </w:pPr>
      <w:bookmarkStart w:id="73" w:name="_Toc608"/>
      <w:r>
        <w:rPr>
          <w:rFonts w:hint="eastAsia" w:ascii="宋体" w:hAnsi="宋体" w:eastAsia="宋体" w:cs="宋体"/>
          <w:color w:val="auto"/>
          <w:sz w:val="24"/>
          <w:szCs w:val="24"/>
          <w:lang w:eastAsia="zh-CN"/>
        </w:rPr>
        <w:t>3．响应性评审环节</w:t>
      </w:r>
      <w:bookmarkEnd w:id="73"/>
    </w:p>
    <w:p w14:paraId="004E2B5C">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投标人有下列情形之一的，评标委员会应否决其投标。被否决的投标人，不进入详细评审阶段。</w:t>
      </w:r>
    </w:p>
    <w:p w14:paraId="412F9BB8">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（1）承诺的投标有效期短于规定的；质量标准低于规定的；工期超出规定的；擅自修改、遗漏《投标函》《各项承诺一览表》实质性内容的；</w:t>
      </w:r>
    </w:p>
    <w:p w14:paraId="03BCC9CA">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出现两个或两个以上投标总价的（同一个投标总价大、小写不一致的除外）；投标总价超出最高投标限价的；投标总价下浮率超过15%，又未提供相应书面说明和佐证材料或提供的书面说明和佐证材料不能令人信服，被评标委员会认定以低于成本报价竞标的；</w:t>
      </w:r>
    </w:p>
    <w:p w14:paraId="3EAC5ECF">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）在施工组织设计评审中，评标委员会认定质量、进度保障措施与国家和省市现行有关规范、规定、标准有重大偏差，且该种过错将导致工程质量、进度管理目标无法实现的。</w:t>
      </w:r>
    </w:p>
    <w:p w14:paraId="2CEBF9A1">
      <w:pPr>
        <w:pStyle w:val="3"/>
        <w:bidi w:val="0"/>
        <w:spacing w:line="360" w:lineRule="auto"/>
        <w:ind w:firstLine="482" w:firstLineChars="200"/>
        <w:rPr>
          <w:rFonts w:hint="eastAsia" w:ascii="宋体" w:hAnsi="宋体" w:eastAsia="宋体" w:cs="宋体"/>
          <w:color w:val="auto"/>
          <w:sz w:val="24"/>
          <w:szCs w:val="24"/>
          <w:lang w:eastAsia="zh-CN"/>
        </w:rPr>
      </w:pPr>
      <w:bookmarkStart w:id="74" w:name="_Toc25803"/>
      <w:r>
        <w:rPr>
          <w:rFonts w:hint="eastAsia" w:ascii="宋体" w:hAnsi="宋体" w:eastAsia="宋体" w:cs="宋体"/>
          <w:color w:val="auto"/>
          <w:sz w:val="24"/>
          <w:szCs w:val="24"/>
          <w:lang w:eastAsia="zh-CN"/>
        </w:rPr>
        <w:t>4．其他</w:t>
      </w:r>
      <w:bookmarkEnd w:id="74"/>
    </w:p>
    <w:p w14:paraId="777A6FFD">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在任何评标环节（或阶段），投标人有下列情形之一的，评标委员会应否决其投标。被否决的投标人，不进入下一环节（或阶段）。</w:t>
      </w:r>
    </w:p>
    <w:p w14:paraId="2C120969">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（1）不按评标委员会要求澄清、说明或补正的；</w:t>
      </w:r>
    </w:p>
    <w:p w14:paraId="6214104D">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（2）有下列情形之一，被评标委员会认定属于串通投标的：</w:t>
      </w:r>
    </w:p>
    <w:p w14:paraId="584F1AE7">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①不同投标人的投标文件两处以上（含两处）错、漏一致；</w:t>
      </w:r>
    </w:p>
    <w:p w14:paraId="76AFD101">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②不同投标人的投标总价相近且各分项报价、综合单价分析表内容混乱不能相互对应、乱调乱压或乱抬的，而在询标时没有合理的解释或者不能提供计算依据和报价依据；</w:t>
      </w:r>
    </w:p>
    <w:p w14:paraId="2041F35E">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③不同投标人的投标各项报价存在异常一致或者呈规律性变化；</w:t>
      </w:r>
    </w:p>
    <w:p w14:paraId="166EC073">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④不同投标人的投标文件由同一单位或者同一个人编制；</w:t>
      </w:r>
    </w:p>
    <w:p w14:paraId="0D9FE5C2">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⑤不同投标人的投标文件中投标资料（包括电子资料）相互混装或项目班子成员出现同一人；</w:t>
      </w:r>
    </w:p>
    <w:p w14:paraId="3C2F88B7">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⑥不同投标人的投标文件由同一电脑编制或同一台附属设备打印，或投标报价用同一个预算编制软件密码锁制作或出自同一电子文档；</w:t>
      </w:r>
    </w:p>
    <w:p w14:paraId="38013052">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⑦不同投标人的投标保证由同一企业或同一账户资金缴纳；</w:t>
      </w:r>
    </w:p>
    <w:p w14:paraId="3E0B9D0D">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⑧不同投标人委托同一个人或注册在同一家企业的注册人员或同一家企业为其投标提供投标咨询、商务报价、技术咨询（招标项目本身要求采用专有技术的除外）等服务。</w:t>
      </w:r>
      <w:bookmarkEnd w:id="68"/>
    </w:p>
    <w:p w14:paraId="22A55F36">
      <w:pPr>
        <w:rPr>
          <w:rFonts w:hint="eastAsia" w:ascii="宋体" w:hAnsi="宋体" w:eastAsia="宋体" w:cs="宋体"/>
          <w:color w:val="auto"/>
        </w:rPr>
      </w:pPr>
    </w:p>
    <w:p w14:paraId="50C21A92">
      <w:pPr>
        <w:rPr>
          <w:rFonts w:hint="eastAsia" w:ascii="宋体" w:hAnsi="宋体" w:eastAsia="宋体" w:cs="宋体"/>
          <w:color w:val="auto"/>
        </w:rPr>
      </w:pPr>
    </w:p>
    <w:p w14:paraId="38CDC8ED">
      <w:pPr>
        <w:rPr>
          <w:rFonts w:hint="eastAsia" w:ascii="宋体" w:hAnsi="宋体" w:eastAsia="宋体" w:cs="宋体"/>
          <w:color w:val="auto"/>
        </w:rPr>
      </w:pPr>
    </w:p>
    <w:p w14:paraId="1A4739A8">
      <w:pPr>
        <w:rPr>
          <w:rFonts w:hint="eastAsia" w:ascii="宋体" w:hAnsi="宋体" w:eastAsia="宋体" w:cs="宋体"/>
          <w:color w:val="auto"/>
        </w:rPr>
      </w:pPr>
    </w:p>
    <w:p w14:paraId="5643BAF0">
      <w:pPr>
        <w:rPr>
          <w:rFonts w:hint="eastAsia" w:ascii="宋体" w:hAnsi="宋体" w:eastAsia="宋体" w:cs="宋体"/>
          <w:color w:val="auto"/>
        </w:rPr>
      </w:pPr>
    </w:p>
    <w:p w14:paraId="6D0E1312">
      <w:pPr>
        <w:rPr>
          <w:rFonts w:hint="eastAsia" w:ascii="宋体" w:hAnsi="宋体" w:eastAsia="宋体" w:cs="宋体"/>
          <w:color w:val="auto"/>
        </w:rPr>
      </w:pPr>
    </w:p>
    <w:p w14:paraId="51BE6148">
      <w:pPr>
        <w:rPr>
          <w:rFonts w:hint="eastAsia" w:ascii="宋体" w:hAnsi="宋体" w:eastAsia="宋体" w:cs="宋体"/>
          <w:color w:val="auto"/>
        </w:rPr>
      </w:pPr>
    </w:p>
    <w:p w14:paraId="1033997D">
      <w:pPr>
        <w:rPr>
          <w:rFonts w:hint="eastAsia" w:ascii="宋体" w:hAnsi="宋体" w:eastAsia="宋体" w:cs="宋体"/>
          <w:color w:val="auto"/>
        </w:rPr>
      </w:pPr>
    </w:p>
    <w:p w14:paraId="72B43976">
      <w:pPr>
        <w:rPr>
          <w:rFonts w:hint="eastAsia" w:ascii="宋体" w:hAnsi="宋体" w:eastAsia="宋体" w:cs="宋体"/>
          <w:color w:val="auto"/>
        </w:rPr>
      </w:pPr>
    </w:p>
    <w:p w14:paraId="7E0363A4">
      <w:pPr>
        <w:rPr>
          <w:rFonts w:hint="eastAsia" w:ascii="宋体" w:hAnsi="宋体" w:eastAsia="宋体" w:cs="宋体"/>
          <w:color w:val="auto"/>
        </w:rPr>
      </w:pPr>
    </w:p>
    <w:p w14:paraId="3F06473F">
      <w:pPr>
        <w:rPr>
          <w:rFonts w:hint="eastAsia" w:ascii="宋体" w:hAnsi="宋体" w:eastAsia="宋体" w:cs="宋体"/>
          <w:color w:val="auto"/>
        </w:rPr>
      </w:pPr>
    </w:p>
    <w:p w14:paraId="6B6465A3">
      <w:pPr>
        <w:rPr>
          <w:rFonts w:hint="eastAsia" w:ascii="宋体" w:hAnsi="宋体" w:eastAsia="宋体" w:cs="宋体"/>
          <w:color w:val="auto"/>
        </w:rPr>
      </w:pPr>
    </w:p>
    <w:p w14:paraId="45E30D2F">
      <w:pPr>
        <w:rPr>
          <w:rFonts w:hint="eastAsia" w:ascii="宋体" w:hAnsi="宋体" w:eastAsia="宋体" w:cs="宋体"/>
          <w:color w:val="auto"/>
        </w:rPr>
      </w:pPr>
    </w:p>
    <w:p w14:paraId="57F67187">
      <w:pPr>
        <w:rPr>
          <w:rFonts w:hint="eastAsia" w:ascii="宋体" w:hAnsi="宋体" w:eastAsia="宋体" w:cs="宋体"/>
          <w:color w:val="auto"/>
        </w:rPr>
      </w:pPr>
    </w:p>
    <w:p w14:paraId="3B44F099">
      <w:pPr>
        <w:rPr>
          <w:rFonts w:hint="eastAsia" w:ascii="宋体" w:hAnsi="宋体" w:eastAsia="宋体" w:cs="宋体"/>
          <w:color w:val="auto"/>
        </w:rPr>
      </w:pPr>
    </w:p>
    <w:p w14:paraId="66BC9748">
      <w:pPr>
        <w:rPr>
          <w:rFonts w:hint="eastAsia" w:ascii="宋体" w:hAnsi="宋体" w:eastAsia="宋体" w:cs="宋体"/>
          <w:color w:val="auto"/>
        </w:rPr>
      </w:pPr>
    </w:p>
    <w:p w14:paraId="6AC240F6">
      <w:pPr>
        <w:rPr>
          <w:rFonts w:hint="eastAsia" w:ascii="宋体" w:hAnsi="宋体" w:eastAsia="宋体" w:cs="宋体"/>
          <w:color w:val="auto"/>
        </w:rPr>
      </w:pPr>
    </w:p>
    <w:p w14:paraId="717D64B4">
      <w:pPr>
        <w:rPr>
          <w:rFonts w:hint="eastAsia" w:ascii="宋体" w:hAnsi="宋体" w:eastAsia="宋体" w:cs="宋体"/>
          <w:color w:val="auto"/>
        </w:rPr>
      </w:pPr>
    </w:p>
    <w:p w14:paraId="76270A45">
      <w:pPr>
        <w:rPr>
          <w:rFonts w:hint="eastAsia" w:ascii="宋体" w:hAnsi="宋体" w:eastAsia="宋体" w:cs="宋体"/>
          <w:color w:val="auto"/>
        </w:rPr>
      </w:pPr>
    </w:p>
    <w:p w14:paraId="19355896">
      <w:pPr>
        <w:rPr>
          <w:rFonts w:hint="eastAsia" w:ascii="宋体" w:hAnsi="宋体" w:eastAsia="宋体" w:cs="宋体"/>
          <w:color w:val="auto"/>
        </w:rPr>
      </w:pPr>
    </w:p>
    <w:p w14:paraId="654D9787">
      <w:pPr>
        <w:rPr>
          <w:rFonts w:hint="eastAsia" w:ascii="宋体" w:hAnsi="宋体" w:eastAsia="宋体" w:cs="宋体"/>
          <w:color w:val="auto"/>
        </w:rPr>
      </w:pPr>
    </w:p>
    <w:p w14:paraId="3615330F">
      <w:pPr>
        <w:rPr>
          <w:rFonts w:hint="eastAsia" w:ascii="宋体" w:hAnsi="宋体" w:eastAsia="宋体" w:cs="宋体"/>
          <w:color w:val="auto"/>
        </w:rPr>
      </w:pPr>
    </w:p>
    <w:p w14:paraId="0D4A2A5A">
      <w:pPr>
        <w:rPr>
          <w:rFonts w:hint="eastAsia" w:ascii="宋体" w:hAnsi="宋体" w:eastAsia="宋体" w:cs="宋体"/>
          <w:color w:val="auto"/>
        </w:rPr>
      </w:pPr>
    </w:p>
    <w:p w14:paraId="093833F6">
      <w:pPr>
        <w:rPr>
          <w:rFonts w:hint="eastAsia" w:ascii="宋体" w:hAnsi="宋体" w:eastAsia="宋体" w:cs="宋体"/>
          <w:color w:val="auto"/>
        </w:rPr>
      </w:pPr>
    </w:p>
    <w:p w14:paraId="1E81306D">
      <w:pPr>
        <w:rPr>
          <w:rFonts w:hint="eastAsia" w:ascii="宋体" w:hAnsi="宋体" w:eastAsia="宋体" w:cs="宋体"/>
          <w:color w:val="auto"/>
        </w:rPr>
      </w:pPr>
    </w:p>
    <w:p w14:paraId="2C90219B">
      <w:pPr>
        <w:rPr>
          <w:rFonts w:hint="eastAsia" w:ascii="宋体" w:hAnsi="宋体" w:eastAsia="宋体" w:cs="宋体"/>
          <w:color w:val="auto"/>
        </w:rPr>
      </w:pPr>
    </w:p>
    <w:p w14:paraId="5617415B">
      <w:pPr>
        <w:rPr>
          <w:rFonts w:hint="eastAsia" w:ascii="宋体" w:hAnsi="宋体" w:eastAsia="宋体" w:cs="宋体"/>
          <w:color w:val="auto"/>
        </w:rPr>
      </w:pPr>
    </w:p>
    <w:p w14:paraId="3118920C">
      <w:pPr>
        <w:rPr>
          <w:rFonts w:hint="eastAsia" w:ascii="宋体" w:hAnsi="宋体" w:eastAsia="宋体" w:cs="宋体"/>
          <w:color w:val="auto"/>
        </w:rPr>
      </w:pPr>
    </w:p>
    <w:p w14:paraId="619987CB">
      <w:pPr>
        <w:rPr>
          <w:rFonts w:hint="eastAsia" w:ascii="宋体" w:hAnsi="宋体" w:eastAsia="宋体" w:cs="宋体"/>
          <w:color w:val="auto"/>
        </w:rPr>
      </w:pPr>
    </w:p>
    <w:p w14:paraId="28148982">
      <w:pPr>
        <w:rPr>
          <w:rFonts w:hint="eastAsia" w:ascii="宋体" w:hAnsi="宋体" w:eastAsia="宋体" w:cs="宋体"/>
          <w:color w:val="auto"/>
        </w:rPr>
      </w:pPr>
    </w:p>
    <w:p w14:paraId="576375D6">
      <w:pPr>
        <w:rPr>
          <w:rFonts w:hint="eastAsia" w:ascii="宋体" w:hAnsi="宋体" w:eastAsia="宋体" w:cs="宋体"/>
          <w:color w:val="auto"/>
        </w:rPr>
      </w:pPr>
    </w:p>
    <w:p w14:paraId="1DDEEF15">
      <w:pPr>
        <w:rPr>
          <w:rFonts w:hint="eastAsia" w:ascii="宋体" w:hAnsi="宋体" w:eastAsia="宋体" w:cs="宋体"/>
          <w:color w:val="auto"/>
        </w:rPr>
      </w:pPr>
    </w:p>
    <w:p w14:paraId="434C6BAD">
      <w:pPr>
        <w:rPr>
          <w:rFonts w:hint="eastAsia" w:ascii="宋体" w:hAnsi="宋体" w:eastAsia="宋体" w:cs="宋体"/>
          <w:color w:val="auto"/>
        </w:rPr>
      </w:pPr>
    </w:p>
    <w:p w14:paraId="1B4D5987">
      <w:pPr>
        <w:rPr>
          <w:rFonts w:hint="eastAsia" w:ascii="宋体" w:hAnsi="宋体" w:eastAsia="宋体" w:cs="宋体"/>
          <w:color w:val="auto"/>
        </w:rPr>
      </w:pPr>
    </w:p>
    <w:p w14:paraId="6A53E49B">
      <w:pPr>
        <w:rPr>
          <w:rFonts w:hint="eastAsia" w:ascii="宋体" w:hAnsi="宋体" w:eastAsia="宋体" w:cs="宋体"/>
          <w:color w:val="auto"/>
        </w:rPr>
      </w:pPr>
    </w:p>
    <w:p w14:paraId="7F100802">
      <w:pPr>
        <w:rPr>
          <w:rFonts w:hint="eastAsia" w:ascii="宋体" w:hAnsi="宋体" w:eastAsia="宋体" w:cs="宋体"/>
          <w:color w:val="auto"/>
        </w:rPr>
      </w:pPr>
    </w:p>
    <w:p w14:paraId="47B66CC7">
      <w:pPr>
        <w:rPr>
          <w:rFonts w:hint="eastAsia" w:ascii="宋体" w:hAnsi="宋体" w:eastAsia="宋体" w:cs="宋体"/>
          <w:color w:val="auto"/>
        </w:rPr>
      </w:pPr>
    </w:p>
    <w:p w14:paraId="3353B749">
      <w:pPr>
        <w:rPr>
          <w:rFonts w:hint="eastAsia" w:ascii="宋体" w:hAnsi="宋体" w:eastAsia="宋体" w:cs="宋体"/>
          <w:color w:val="auto"/>
        </w:rPr>
      </w:pPr>
    </w:p>
    <w:p w14:paraId="73A1CB00">
      <w:pPr>
        <w:rPr>
          <w:rFonts w:hint="eastAsia" w:ascii="宋体" w:hAnsi="宋体" w:eastAsia="宋体" w:cs="宋体"/>
          <w:color w:val="auto"/>
        </w:rPr>
      </w:pPr>
    </w:p>
    <w:p w14:paraId="2272CA0D">
      <w:pPr>
        <w:pStyle w:val="2"/>
        <w:wordWrap w:val="0"/>
        <w:autoSpaceDE/>
        <w:autoSpaceDN/>
        <w:snapToGrid w:val="0"/>
        <w:spacing w:line="240" w:lineRule="auto"/>
        <w:jc w:val="center"/>
        <w:rPr>
          <w:rFonts w:hint="eastAsia" w:ascii="宋体" w:hAnsi="宋体" w:eastAsia="宋体" w:cs="宋体"/>
          <w:b/>
          <w:snapToGrid w:val="0"/>
          <w:color w:val="auto"/>
          <w:sz w:val="28"/>
          <w:szCs w:val="28"/>
          <w:highlight w:val="none"/>
        </w:rPr>
      </w:pPr>
      <w:bookmarkStart w:id="75" w:name="_Hlt112206772"/>
      <w:bookmarkEnd w:id="75"/>
      <w:bookmarkStart w:id="76" w:name="_Hlt87952408"/>
      <w:bookmarkEnd w:id="76"/>
      <w:bookmarkStart w:id="77" w:name="_Hlt70150994"/>
      <w:bookmarkEnd w:id="77"/>
      <w:bookmarkStart w:id="78" w:name="_Hlt69669771"/>
      <w:bookmarkEnd w:id="78"/>
      <w:bookmarkStart w:id="79" w:name="_Hlt69698722"/>
      <w:bookmarkStart w:id="80" w:name="_Hlt69698769"/>
      <w:bookmarkStart w:id="81" w:name="_Toc13624"/>
      <w:bookmarkStart w:id="82" w:name="_Hlt69698741"/>
      <w:r>
        <w:rPr>
          <w:rFonts w:hint="eastAsia" w:ascii="宋体" w:hAnsi="宋体" w:eastAsia="宋体" w:cs="宋体"/>
          <w:b/>
          <w:snapToGrid w:val="0"/>
          <w:color w:val="auto"/>
          <w:sz w:val="28"/>
          <w:szCs w:val="28"/>
          <w:highlight w:val="none"/>
        </w:rPr>
        <w:t>第</w:t>
      </w:r>
      <w:bookmarkStart w:id="83" w:name="_Hlt69669171"/>
      <w:bookmarkEnd w:id="83"/>
      <w:r>
        <w:rPr>
          <w:rFonts w:hint="eastAsia" w:ascii="宋体" w:hAnsi="宋体" w:eastAsia="宋体" w:cs="宋体"/>
          <w:b/>
          <w:snapToGrid w:val="0"/>
          <w:color w:val="auto"/>
          <w:sz w:val="28"/>
          <w:szCs w:val="28"/>
          <w:highlight w:val="none"/>
        </w:rPr>
        <w:t>二章</w:t>
      </w:r>
      <w:bookmarkStart w:id="84" w:name="_Hlt87793839"/>
      <w:bookmarkEnd w:id="84"/>
      <w:r>
        <w:rPr>
          <w:rFonts w:hint="eastAsia" w:ascii="宋体" w:hAnsi="宋体" w:eastAsia="宋体" w:cs="宋体"/>
          <w:b/>
          <w:snapToGrid w:val="0"/>
          <w:color w:val="auto"/>
          <w:sz w:val="28"/>
          <w:szCs w:val="28"/>
          <w:highlight w:val="none"/>
          <w:lang w:val="en-US" w:eastAsia="zh-CN"/>
        </w:rPr>
        <w:t xml:space="preserve">   </w:t>
      </w:r>
      <w:r>
        <w:rPr>
          <w:rFonts w:hint="eastAsia" w:ascii="宋体" w:hAnsi="宋体" w:eastAsia="宋体" w:cs="宋体"/>
          <w:b/>
          <w:snapToGrid w:val="0"/>
          <w:color w:val="auto"/>
          <w:sz w:val="28"/>
          <w:szCs w:val="28"/>
          <w:highlight w:val="none"/>
        </w:rPr>
        <w:t>中标人须知</w:t>
      </w:r>
      <w:bookmarkEnd w:id="79"/>
      <w:bookmarkEnd w:id="80"/>
      <w:bookmarkEnd w:id="81"/>
      <w:bookmarkEnd w:id="82"/>
    </w:p>
    <w:p w14:paraId="5E5EB093">
      <w:pPr>
        <w:pStyle w:val="3"/>
        <w:bidi w:val="0"/>
        <w:spacing w:line="360" w:lineRule="auto"/>
        <w:ind w:firstLine="482" w:firstLineChars="200"/>
        <w:rPr>
          <w:rFonts w:hint="eastAsia" w:ascii="宋体" w:hAnsi="宋体" w:eastAsia="宋体" w:cs="宋体"/>
          <w:color w:val="auto"/>
          <w:sz w:val="24"/>
          <w:szCs w:val="24"/>
          <w:lang w:eastAsia="zh-CN"/>
        </w:rPr>
      </w:pPr>
      <w:bookmarkStart w:id="85" w:name="_Toc26071"/>
      <w:r>
        <w:rPr>
          <w:rFonts w:hint="eastAsia" w:ascii="宋体" w:hAnsi="宋体" w:eastAsia="宋体" w:cs="宋体"/>
          <w:color w:val="auto"/>
          <w:sz w:val="24"/>
          <w:szCs w:val="24"/>
          <w:lang w:eastAsia="zh-CN"/>
        </w:rPr>
        <w:t>1．中标通知书</w:t>
      </w:r>
      <w:bookmarkEnd w:id="85"/>
    </w:p>
    <w:p w14:paraId="49C8D1BC">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26602A6A">
      <w:pPr>
        <w:pStyle w:val="3"/>
        <w:bidi w:val="0"/>
        <w:spacing w:line="360" w:lineRule="auto"/>
        <w:ind w:firstLine="482" w:firstLineChars="200"/>
        <w:rPr>
          <w:rFonts w:hint="eastAsia" w:ascii="宋体" w:hAnsi="宋体" w:eastAsia="宋体" w:cs="宋体"/>
          <w:color w:val="auto"/>
          <w:sz w:val="24"/>
          <w:szCs w:val="24"/>
          <w:lang w:eastAsia="zh-CN"/>
        </w:rPr>
      </w:pPr>
      <w:bookmarkStart w:id="86" w:name="_Toc4978"/>
      <w:r>
        <w:rPr>
          <w:rFonts w:hint="eastAsia" w:ascii="宋体" w:hAnsi="宋体" w:eastAsia="宋体" w:cs="宋体"/>
          <w:color w:val="auto"/>
          <w:sz w:val="24"/>
          <w:szCs w:val="24"/>
          <w:lang w:eastAsia="zh-CN"/>
        </w:rPr>
        <w:t>2．中标结果公示</w:t>
      </w:r>
      <w:bookmarkEnd w:id="86"/>
    </w:p>
    <w:p w14:paraId="730647AF">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中标通知书发出后15日内，招标人应将中标结果在广东省招标投标监管网（http://zbtb.gd.gov.cn）、全国公共资源交易平台（广东省·韶关市）（https://ygp.gdzwfw.gov.cn/ggzy-portal/#/440200/index）进行公示。</w:t>
      </w:r>
    </w:p>
    <w:p w14:paraId="0863C029">
      <w:pPr>
        <w:pStyle w:val="3"/>
        <w:bidi w:val="0"/>
        <w:spacing w:line="360" w:lineRule="auto"/>
        <w:ind w:firstLine="482" w:firstLineChars="200"/>
        <w:rPr>
          <w:rFonts w:hint="eastAsia" w:ascii="宋体" w:hAnsi="宋体" w:eastAsia="宋体" w:cs="宋体"/>
          <w:color w:val="auto"/>
          <w:sz w:val="24"/>
          <w:szCs w:val="24"/>
          <w:lang w:eastAsia="zh-CN"/>
        </w:rPr>
      </w:pPr>
      <w:bookmarkStart w:id="87" w:name="_Toc7333"/>
      <w:r>
        <w:rPr>
          <w:rFonts w:hint="eastAsia" w:ascii="宋体" w:hAnsi="宋体" w:eastAsia="宋体" w:cs="宋体"/>
          <w:color w:val="auto"/>
          <w:sz w:val="24"/>
          <w:szCs w:val="24"/>
          <w:lang w:eastAsia="zh-CN"/>
        </w:rPr>
        <w:t>3．履约保证</w:t>
      </w:r>
      <w:bookmarkEnd w:id="87"/>
    </w:p>
    <w:p w14:paraId="2BF59316">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3.1</w:t>
      </w:r>
      <w:r>
        <w:rPr>
          <w:rFonts w:hint="eastAsia" w:ascii="宋体" w:hAnsi="宋体" w:eastAsia="宋体" w:cs="宋体"/>
          <w:color w:val="auto"/>
          <w:sz w:val="24"/>
          <w:szCs w:val="24"/>
          <w:lang w:eastAsia="zh-CN"/>
        </w:rPr>
        <w:t>中标人须在领取中标通知书之日起7个工作日内、签订合同前向招标人提交金额为中标价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eastAsia="zh-CN"/>
        </w:rPr>
        <w:t>%的履约保证。联合体中标的，由联合体牵头人提交。</w:t>
      </w:r>
    </w:p>
    <w:p w14:paraId="32661D44">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3.2</w:t>
      </w:r>
      <w:r>
        <w:rPr>
          <w:rFonts w:hint="eastAsia" w:ascii="宋体" w:hAnsi="宋体" w:eastAsia="宋体" w:cs="宋体"/>
          <w:color w:val="auto"/>
          <w:sz w:val="24"/>
          <w:szCs w:val="24"/>
          <w:lang w:eastAsia="zh-CN"/>
        </w:rPr>
        <w:t>中标人根据《关于统一在市公共资源交易一体化服务平台缴退工程建设项目履约保证金的通知》办理相关手续，履约保证的形式包括履约保证金、履约保证担保、履约保证保险三种，由中标人自主选择。商业保函、银行保函或保险合同（或保险单）的有效期应当自合同生效之日起至项目通过竣工验收之日后28天止。</w:t>
      </w:r>
    </w:p>
    <w:p w14:paraId="166E2865">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3.3</w:t>
      </w:r>
      <w:r>
        <w:rPr>
          <w:rFonts w:hint="eastAsia" w:ascii="宋体" w:hAnsi="宋体" w:eastAsia="宋体" w:cs="宋体"/>
          <w:color w:val="auto"/>
          <w:sz w:val="24"/>
          <w:szCs w:val="24"/>
          <w:lang w:eastAsia="zh-CN"/>
        </w:rPr>
        <w:t>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并由招标人通报建设行政管理部门。如采用商业保函、银行保函或保险合同方式缴纳履约保证金，在保函或保险合同到期前一个月，中标人须主动办理续期手续或提交新的商业保函、银行保函或保险合同。</w:t>
      </w:r>
    </w:p>
    <w:p w14:paraId="05410A3C">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3.4</w:t>
      </w:r>
      <w:r>
        <w:rPr>
          <w:rFonts w:hint="eastAsia" w:ascii="宋体" w:hAnsi="宋体" w:eastAsia="宋体" w:cs="宋体"/>
          <w:color w:val="auto"/>
          <w:sz w:val="24"/>
          <w:szCs w:val="24"/>
          <w:lang w:eastAsia="zh-CN"/>
        </w:rPr>
        <w:t>在工程实施过程中，如果承包人（即招标阶段的中标人，下同）由于自身的资金、技术、质量、非不可抗力等原因给发包人（即招标阶段的招标人，下同）造成经济损失，发包人有权扣划相应金额的履约保证。</w:t>
      </w:r>
    </w:p>
    <w:p w14:paraId="692E3C04">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3.5</w:t>
      </w:r>
      <w:r>
        <w:rPr>
          <w:rFonts w:hint="eastAsia" w:ascii="宋体" w:hAnsi="宋体" w:eastAsia="宋体" w:cs="宋体"/>
          <w:color w:val="auto"/>
          <w:sz w:val="24"/>
          <w:szCs w:val="24"/>
          <w:lang w:eastAsia="zh-CN"/>
        </w:rPr>
        <w:t>项目通过竣工验收之日后28天内，发包人将履约保证退还给承包人。</w:t>
      </w:r>
    </w:p>
    <w:p w14:paraId="497CF995">
      <w:pPr>
        <w:pStyle w:val="3"/>
        <w:bidi w:val="0"/>
        <w:spacing w:line="360" w:lineRule="auto"/>
        <w:ind w:firstLine="482" w:firstLineChars="200"/>
        <w:rPr>
          <w:rFonts w:hint="eastAsia" w:ascii="宋体" w:hAnsi="宋体" w:eastAsia="宋体" w:cs="宋体"/>
          <w:color w:val="auto"/>
          <w:sz w:val="24"/>
          <w:szCs w:val="24"/>
          <w:lang w:eastAsia="zh-CN"/>
        </w:rPr>
      </w:pPr>
      <w:bookmarkStart w:id="88" w:name="_Toc6577"/>
      <w:r>
        <w:rPr>
          <w:rFonts w:hint="eastAsia" w:ascii="宋体" w:hAnsi="宋体" w:eastAsia="宋体" w:cs="宋体"/>
          <w:color w:val="auto"/>
          <w:sz w:val="24"/>
          <w:szCs w:val="24"/>
          <w:lang w:eastAsia="zh-CN"/>
        </w:rPr>
        <w:t>4．合同订立</w:t>
      </w:r>
      <w:bookmarkEnd w:id="88"/>
    </w:p>
    <w:p w14:paraId="365F34CE">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4.1</w:t>
      </w:r>
      <w:r>
        <w:rPr>
          <w:rFonts w:hint="eastAsia" w:ascii="宋体" w:hAnsi="宋体" w:eastAsia="宋体" w:cs="宋体"/>
          <w:color w:val="auto"/>
          <w:sz w:val="24"/>
          <w:szCs w:val="24"/>
          <w:lang w:eastAsia="zh-CN"/>
        </w:rPr>
        <w:t>招标人应当自中标通知书发出之日起三十日内，按照招标文件、中标人的投标文件与中标人订立书面合同。</w:t>
      </w:r>
    </w:p>
    <w:p w14:paraId="7545DAEB">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4.2</w:t>
      </w:r>
      <w:r>
        <w:rPr>
          <w:rFonts w:hint="eastAsia" w:ascii="宋体" w:hAnsi="宋体" w:eastAsia="宋体" w:cs="宋体"/>
          <w:color w:val="auto"/>
          <w:sz w:val="24"/>
          <w:szCs w:val="24"/>
          <w:lang w:eastAsia="zh-CN"/>
        </w:rPr>
        <w:t>不正常报价的梳理和确认</w:t>
      </w:r>
    </w:p>
    <w:p w14:paraId="23984E2C">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4.2.1</w:t>
      </w:r>
      <w:r>
        <w:rPr>
          <w:rFonts w:hint="eastAsia" w:ascii="宋体" w:hAnsi="宋体" w:eastAsia="宋体" w:cs="宋体"/>
          <w:color w:val="auto"/>
          <w:sz w:val="24"/>
          <w:szCs w:val="24"/>
          <w:lang w:eastAsia="zh-CN"/>
        </w:rPr>
        <w:t>合同订立期间，在不改变中标人的投标总价的前提下，招标人应对中标人的投标报价进行全面分析和整理，从而发现并提取其中可能存在的算术性错误、错漏项、不平衡报价等不正常报价，并修正其中的算术性错误。招标人不具备以上能力的，可授权编制本项目招标控制价的造价咨询单位实施。</w:t>
      </w:r>
    </w:p>
    <w:p w14:paraId="73E14315">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4.2.2</w:t>
      </w:r>
      <w:r>
        <w:rPr>
          <w:rFonts w:hint="eastAsia" w:ascii="宋体" w:hAnsi="宋体" w:eastAsia="宋体" w:cs="宋体"/>
          <w:color w:val="auto"/>
          <w:sz w:val="24"/>
          <w:szCs w:val="24"/>
          <w:lang w:eastAsia="zh-CN"/>
        </w:rPr>
        <w:t>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4D9F100C">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4.2.3</w:t>
      </w:r>
      <w:r>
        <w:rPr>
          <w:rFonts w:hint="eastAsia" w:ascii="宋体" w:hAnsi="宋体" w:eastAsia="宋体" w:cs="宋体"/>
          <w:color w:val="auto"/>
          <w:sz w:val="24"/>
          <w:szCs w:val="24"/>
          <w:lang w:eastAsia="zh-CN"/>
        </w:rPr>
        <w:t>错漏项的认定。中标人已标价工程量清单中，任一清单项目未填报价格或价格为零的，视为错漏项。</w:t>
      </w:r>
    </w:p>
    <w:p w14:paraId="5EF88C90">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4.2.4</w:t>
      </w:r>
      <w:r>
        <w:rPr>
          <w:rFonts w:hint="eastAsia" w:ascii="宋体" w:hAnsi="宋体" w:eastAsia="宋体" w:cs="宋体"/>
          <w:color w:val="auto"/>
          <w:sz w:val="24"/>
          <w:szCs w:val="24"/>
          <w:lang w:eastAsia="zh-CN"/>
        </w:rPr>
        <w:t>不平衡报价的认定。经修正算术性错误后的中标人已标价工程量清单中，对于投标报价中综合单价相对招标控制价《分部分项工程和单价措施项目清单与计价表》中对应综合单价的偏差大于±15%的清单项目，视为不平衡报价项目。</w:t>
      </w:r>
    </w:p>
    <w:p w14:paraId="15218EBF">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4.2.5</w:t>
      </w:r>
      <w:r>
        <w:rPr>
          <w:rFonts w:hint="eastAsia" w:ascii="宋体" w:hAnsi="宋体" w:eastAsia="宋体" w:cs="宋体"/>
          <w:color w:val="auto"/>
          <w:sz w:val="24"/>
          <w:szCs w:val="24"/>
          <w:lang w:eastAsia="zh-CN"/>
        </w:rPr>
        <w:t>施工合同签订前，招标人或其授权的造价咨询单位应就发现的以上所有不平衡报价进行修正，形成《不平衡报价修正报告》，并由招标人和中标人共同签章确认，构成施工合同的组成部分。</w:t>
      </w:r>
    </w:p>
    <w:p w14:paraId="06B5BD07">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4.2.6</w:t>
      </w:r>
      <w:r>
        <w:rPr>
          <w:rFonts w:hint="eastAsia" w:ascii="宋体" w:hAnsi="宋体" w:eastAsia="宋体" w:cs="宋体"/>
          <w:color w:val="auto"/>
          <w:sz w:val="24"/>
          <w:szCs w:val="24"/>
          <w:lang w:eastAsia="zh-CN"/>
        </w:rPr>
        <w:t>合同履行过程中，被认定为错漏项的清单项目，结算时按照第三章“拟签订合同的主要条款”规定处理。</w:t>
      </w:r>
    </w:p>
    <w:p w14:paraId="536C6AE7">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4.2.7</w:t>
      </w:r>
      <w:r>
        <w:rPr>
          <w:rFonts w:hint="eastAsia" w:ascii="宋体" w:hAnsi="宋体" w:eastAsia="宋体" w:cs="宋体"/>
          <w:color w:val="auto"/>
          <w:sz w:val="24"/>
          <w:szCs w:val="24"/>
          <w:lang w:eastAsia="zh-CN"/>
        </w:rPr>
        <w:t>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有关规定调整合同价款。</w:t>
      </w:r>
    </w:p>
    <w:p w14:paraId="362AFC13">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4.3</w:t>
      </w:r>
      <w:r>
        <w:rPr>
          <w:rFonts w:hint="eastAsia" w:ascii="宋体" w:hAnsi="宋体" w:eastAsia="宋体" w:cs="宋体"/>
          <w:color w:val="auto"/>
          <w:sz w:val="24"/>
          <w:szCs w:val="24"/>
          <w:lang w:eastAsia="zh-CN"/>
        </w:rPr>
        <w:t>本招标项目合同计价方式为：</w:t>
      </w:r>
      <w:r>
        <w:rPr>
          <w:rFonts w:hint="eastAsia" w:ascii="宋体" w:hAnsi="宋体" w:eastAsia="宋体" w:cs="宋体"/>
          <w:color w:val="auto"/>
          <w:sz w:val="24"/>
          <w:szCs w:val="24"/>
          <w:u w:val="single"/>
          <w:lang w:eastAsia="zh-CN"/>
        </w:rPr>
        <w:t>单价</w:t>
      </w:r>
      <w:r>
        <w:rPr>
          <w:rFonts w:hint="eastAsia" w:ascii="宋体" w:hAnsi="宋体" w:eastAsia="宋体" w:cs="宋体"/>
          <w:color w:val="auto"/>
          <w:sz w:val="24"/>
          <w:szCs w:val="24"/>
          <w:lang w:eastAsia="zh-CN"/>
        </w:rPr>
        <w:t>合同。</w:t>
      </w:r>
    </w:p>
    <w:p w14:paraId="4B1808F2">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4.4</w:t>
      </w:r>
      <w:r>
        <w:rPr>
          <w:rFonts w:hint="eastAsia" w:ascii="宋体" w:hAnsi="宋体" w:eastAsia="宋体" w:cs="宋体"/>
          <w:color w:val="auto"/>
          <w:sz w:val="24"/>
          <w:szCs w:val="24"/>
          <w:lang w:eastAsia="zh-CN"/>
        </w:rPr>
        <w:t>合同的标的、质量、履行期限条款和合同的价款、单价、比例条款等主要条款，应当与招标文件、中标人的投标文件的内容一致。中标人在签订合同时不得向招标人提出附加条件。</w:t>
      </w:r>
    </w:p>
    <w:p w14:paraId="17FA57B7">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4.5</w:t>
      </w:r>
      <w:r>
        <w:rPr>
          <w:rFonts w:hint="eastAsia" w:ascii="宋体" w:hAnsi="宋体" w:eastAsia="宋体" w:cs="宋体"/>
          <w:color w:val="auto"/>
          <w:sz w:val="24"/>
          <w:szCs w:val="24"/>
          <w:lang w:eastAsia="zh-CN"/>
        </w:rPr>
        <w:t>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70243AE8">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4.6</w:t>
      </w:r>
      <w:r>
        <w:rPr>
          <w:rFonts w:hint="eastAsia" w:ascii="宋体" w:hAnsi="宋体" w:eastAsia="宋体" w:cs="宋体"/>
          <w:color w:val="auto"/>
          <w:sz w:val="24"/>
          <w:szCs w:val="24"/>
          <w:lang w:eastAsia="zh-CN"/>
        </w:rPr>
        <w:t>在书面合同订立之日起2个工作日内，由中标人或招标代理机构将合同上传至建设工程交易系统，并发起退还投标保证的申请。韶关市公共资源交易中心在收到申请之日起3个工作日内，将投标保证金（或银行保函）退还给中标人和其他中标候选人。</w:t>
      </w:r>
    </w:p>
    <w:p w14:paraId="0320810B">
      <w:pPr>
        <w:pStyle w:val="3"/>
        <w:bidi w:val="0"/>
        <w:spacing w:line="360" w:lineRule="auto"/>
        <w:ind w:firstLine="482" w:firstLineChars="200"/>
        <w:rPr>
          <w:rFonts w:hint="eastAsia" w:ascii="宋体" w:hAnsi="宋体" w:eastAsia="宋体" w:cs="宋体"/>
          <w:color w:val="auto"/>
          <w:sz w:val="24"/>
          <w:szCs w:val="24"/>
          <w:lang w:eastAsia="zh-CN"/>
        </w:rPr>
      </w:pPr>
      <w:bookmarkStart w:id="89" w:name="_Toc11410"/>
      <w:r>
        <w:rPr>
          <w:rFonts w:hint="eastAsia" w:ascii="宋体" w:hAnsi="宋体" w:eastAsia="宋体" w:cs="宋体"/>
          <w:color w:val="auto"/>
          <w:sz w:val="24"/>
          <w:szCs w:val="24"/>
          <w:lang w:eastAsia="zh-CN"/>
        </w:rPr>
        <w:t>5．放弃中标的处理</w:t>
      </w:r>
      <w:bookmarkEnd w:id="89"/>
    </w:p>
    <w:p w14:paraId="2918074F">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5.1</w:t>
      </w:r>
      <w:r>
        <w:rPr>
          <w:rFonts w:hint="eastAsia" w:ascii="宋体" w:hAnsi="宋体" w:eastAsia="宋体" w:cs="宋体"/>
          <w:color w:val="auto"/>
          <w:sz w:val="24"/>
          <w:szCs w:val="24"/>
          <w:lang w:eastAsia="zh-CN"/>
        </w:rPr>
        <w:t>中标人无正当理由放弃中标的，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招标人重新招标的，招标人可不接受该弃标人再次投标。同时，招标人应将该弃标人的失信行为向行政监督部门报告。</w:t>
      </w:r>
    </w:p>
    <w:p w14:paraId="2FEEA9B9">
      <w:pPr>
        <w:spacing w:line="360" w:lineRule="auto"/>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5.2</w:t>
      </w:r>
      <w:r>
        <w:rPr>
          <w:rFonts w:hint="eastAsia" w:ascii="宋体" w:hAnsi="宋体" w:eastAsia="宋体" w:cs="宋体"/>
          <w:color w:val="auto"/>
          <w:sz w:val="24"/>
          <w:szCs w:val="24"/>
          <w:lang w:eastAsia="zh-CN"/>
        </w:rPr>
        <w:t>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77FB7476">
      <w:pPr>
        <w:rPr>
          <w:rFonts w:hint="eastAsia" w:ascii="宋体" w:hAnsi="宋体" w:eastAsia="宋体" w:cs="宋体"/>
          <w:color w:val="auto"/>
        </w:rPr>
      </w:pPr>
    </w:p>
    <w:p w14:paraId="083DD587">
      <w:pPr>
        <w:rPr>
          <w:rFonts w:hint="eastAsia" w:ascii="宋体" w:hAnsi="宋体" w:eastAsia="宋体" w:cs="宋体"/>
          <w:color w:val="auto"/>
        </w:rPr>
      </w:pPr>
      <w:bookmarkStart w:id="90" w:name="_Hlt69698765"/>
      <w:bookmarkStart w:id="91" w:name="_Hlt69698713"/>
      <w:bookmarkStart w:id="92" w:name="_Hlt69698776"/>
    </w:p>
    <w:p w14:paraId="0FCE05EF">
      <w:pPr>
        <w:rPr>
          <w:rFonts w:hint="eastAsia" w:ascii="宋体" w:hAnsi="宋体" w:eastAsia="宋体" w:cs="宋体"/>
          <w:color w:val="auto"/>
        </w:rPr>
      </w:pPr>
    </w:p>
    <w:p w14:paraId="2F50AE0F">
      <w:pPr>
        <w:rPr>
          <w:rFonts w:hint="eastAsia" w:ascii="宋体" w:hAnsi="宋体" w:eastAsia="宋体" w:cs="宋体"/>
          <w:color w:val="auto"/>
        </w:rPr>
      </w:pPr>
    </w:p>
    <w:p w14:paraId="0263C1D6">
      <w:pPr>
        <w:rPr>
          <w:rFonts w:hint="eastAsia" w:ascii="宋体" w:hAnsi="宋体" w:eastAsia="宋体" w:cs="宋体"/>
          <w:color w:val="auto"/>
        </w:rPr>
      </w:pPr>
    </w:p>
    <w:p w14:paraId="594D3407">
      <w:pPr>
        <w:rPr>
          <w:rFonts w:hint="eastAsia" w:ascii="宋体" w:hAnsi="宋体" w:eastAsia="宋体" w:cs="宋体"/>
          <w:color w:val="auto"/>
        </w:rPr>
      </w:pPr>
    </w:p>
    <w:p w14:paraId="6CC78769">
      <w:pPr>
        <w:rPr>
          <w:rFonts w:hint="eastAsia" w:ascii="宋体" w:hAnsi="宋体" w:eastAsia="宋体" w:cs="宋体"/>
          <w:color w:val="auto"/>
        </w:rPr>
      </w:pPr>
    </w:p>
    <w:p w14:paraId="2FE83952">
      <w:pPr>
        <w:rPr>
          <w:rFonts w:hint="eastAsia" w:ascii="宋体" w:hAnsi="宋体" w:eastAsia="宋体" w:cs="宋体"/>
          <w:color w:val="auto"/>
        </w:rPr>
      </w:pPr>
    </w:p>
    <w:p w14:paraId="71BF7E52">
      <w:pPr>
        <w:rPr>
          <w:rFonts w:hint="eastAsia" w:ascii="宋体" w:hAnsi="宋体" w:eastAsia="宋体" w:cs="宋体"/>
          <w:color w:val="auto"/>
        </w:rPr>
      </w:pPr>
    </w:p>
    <w:p w14:paraId="448CC32D">
      <w:pPr>
        <w:rPr>
          <w:rFonts w:hint="eastAsia" w:ascii="宋体" w:hAnsi="宋体" w:eastAsia="宋体" w:cs="宋体"/>
          <w:color w:val="auto"/>
        </w:rPr>
      </w:pPr>
    </w:p>
    <w:p w14:paraId="05E35426">
      <w:pPr>
        <w:rPr>
          <w:rFonts w:hint="eastAsia" w:ascii="宋体" w:hAnsi="宋体" w:eastAsia="宋体" w:cs="宋体"/>
          <w:color w:val="auto"/>
        </w:rPr>
      </w:pPr>
    </w:p>
    <w:p w14:paraId="5BD578EA">
      <w:pPr>
        <w:rPr>
          <w:rFonts w:hint="eastAsia" w:ascii="宋体" w:hAnsi="宋体" w:eastAsia="宋体" w:cs="宋体"/>
          <w:color w:val="auto"/>
        </w:rPr>
      </w:pPr>
    </w:p>
    <w:p w14:paraId="24B3FDE5">
      <w:pPr>
        <w:rPr>
          <w:rFonts w:hint="eastAsia" w:ascii="宋体" w:hAnsi="宋体" w:eastAsia="宋体" w:cs="宋体"/>
          <w:color w:val="auto"/>
        </w:rPr>
      </w:pPr>
    </w:p>
    <w:p w14:paraId="37E1CB04">
      <w:pPr>
        <w:rPr>
          <w:rFonts w:hint="eastAsia" w:ascii="宋体" w:hAnsi="宋体" w:eastAsia="宋体" w:cs="宋体"/>
          <w:color w:val="auto"/>
        </w:rPr>
      </w:pPr>
    </w:p>
    <w:p w14:paraId="5901658D">
      <w:pPr>
        <w:rPr>
          <w:rFonts w:hint="eastAsia" w:ascii="宋体" w:hAnsi="宋体" w:eastAsia="宋体" w:cs="宋体"/>
          <w:color w:val="auto"/>
        </w:rPr>
      </w:pPr>
    </w:p>
    <w:p w14:paraId="50D8DD18">
      <w:pPr>
        <w:rPr>
          <w:rFonts w:hint="eastAsia" w:ascii="宋体" w:hAnsi="宋体" w:eastAsia="宋体" w:cs="宋体"/>
          <w:color w:val="auto"/>
        </w:rPr>
      </w:pPr>
    </w:p>
    <w:p w14:paraId="79DDF292">
      <w:pPr>
        <w:rPr>
          <w:rFonts w:hint="eastAsia" w:ascii="宋体" w:hAnsi="宋体" w:eastAsia="宋体" w:cs="宋体"/>
          <w:color w:val="auto"/>
        </w:rPr>
      </w:pPr>
    </w:p>
    <w:p w14:paraId="26A09E07">
      <w:pPr>
        <w:rPr>
          <w:rFonts w:hint="eastAsia" w:ascii="宋体" w:hAnsi="宋体" w:eastAsia="宋体" w:cs="宋体"/>
          <w:color w:val="auto"/>
        </w:rPr>
      </w:pPr>
    </w:p>
    <w:p w14:paraId="410250C2">
      <w:pPr>
        <w:rPr>
          <w:rFonts w:hint="eastAsia" w:ascii="宋体" w:hAnsi="宋体" w:eastAsia="宋体" w:cs="宋体"/>
          <w:color w:val="auto"/>
        </w:rPr>
      </w:pPr>
    </w:p>
    <w:p w14:paraId="680C480E">
      <w:pPr>
        <w:rPr>
          <w:rFonts w:hint="eastAsia" w:ascii="宋体" w:hAnsi="宋体" w:eastAsia="宋体" w:cs="宋体"/>
          <w:color w:val="auto"/>
        </w:rPr>
      </w:pPr>
    </w:p>
    <w:p w14:paraId="50F0AB57">
      <w:pPr>
        <w:rPr>
          <w:rFonts w:hint="eastAsia" w:ascii="宋体" w:hAnsi="宋体" w:eastAsia="宋体" w:cs="宋体"/>
          <w:color w:val="auto"/>
        </w:rPr>
      </w:pPr>
    </w:p>
    <w:p w14:paraId="7A346100">
      <w:pPr>
        <w:rPr>
          <w:rFonts w:hint="eastAsia" w:ascii="宋体" w:hAnsi="宋体" w:eastAsia="宋体" w:cs="宋体"/>
          <w:color w:val="auto"/>
        </w:rPr>
      </w:pPr>
    </w:p>
    <w:p w14:paraId="069E391F">
      <w:pPr>
        <w:rPr>
          <w:rFonts w:hint="eastAsia" w:ascii="宋体" w:hAnsi="宋体" w:eastAsia="宋体" w:cs="宋体"/>
          <w:color w:val="auto"/>
        </w:rPr>
      </w:pPr>
    </w:p>
    <w:p w14:paraId="066CBD04">
      <w:pPr>
        <w:rPr>
          <w:rFonts w:hint="eastAsia" w:ascii="宋体" w:hAnsi="宋体" w:eastAsia="宋体" w:cs="宋体"/>
          <w:color w:val="auto"/>
        </w:rPr>
      </w:pPr>
    </w:p>
    <w:p w14:paraId="28B1D900">
      <w:pPr>
        <w:rPr>
          <w:rFonts w:hint="eastAsia" w:ascii="宋体" w:hAnsi="宋体" w:eastAsia="宋体" w:cs="宋体"/>
          <w:color w:val="auto"/>
        </w:rPr>
      </w:pPr>
    </w:p>
    <w:p w14:paraId="0784E4B0">
      <w:pPr>
        <w:rPr>
          <w:rFonts w:hint="eastAsia" w:ascii="宋体" w:hAnsi="宋体" w:eastAsia="宋体" w:cs="宋体"/>
          <w:color w:val="auto"/>
        </w:rPr>
      </w:pPr>
    </w:p>
    <w:p w14:paraId="0CC442FD">
      <w:pPr>
        <w:rPr>
          <w:rFonts w:hint="eastAsia" w:ascii="宋体" w:hAnsi="宋体" w:eastAsia="宋体" w:cs="宋体"/>
          <w:color w:val="auto"/>
        </w:rPr>
      </w:pPr>
    </w:p>
    <w:p w14:paraId="2D54B080">
      <w:pPr>
        <w:rPr>
          <w:rFonts w:hint="eastAsia" w:ascii="宋体" w:hAnsi="宋体" w:eastAsia="宋体" w:cs="宋体"/>
          <w:color w:val="auto"/>
        </w:rPr>
      </w:pPr>
    </w:p>
    <w:p w14:paraId="47BDEBF8">
      <w:pPr>
        <w:rPr>
          <w:rFonts w:hint="eastAsia" w:ascii="宋体" w:hAnsi="宋体" w:eastAsia="宋体" w:cs="宋体"/>
          <w:color w:val="auto"/>
        </w:rPr>
      </w:pPr>
    </w:p>
    <w:p w14:paraId="33F7F9DA">
      <w:pPr>
        <w:rPr>
          <w:rFonts w:hint="eastAsia" w:ascii="宋体" w:hAnsi="宋体" w:eastAsia="宋体" w:cs="宋体"/>
          <w:color w:val="auto"/>
        </w:rPr>
      </w:pPr>
    </w:p>
    <w:p w14:paraId="3B4E627B">
      <w:pPr>
        <w:rPr>
          <w:rFonts w:hint="eastAsia" w:ascii="宋体" w:hAnsi="宋体" w:eastAsia="宋体" w:cs="宋体"/>
          <w:color w:val="auto"/>
        </w:rPr>
      </w:pPr>
    </w:p>
    <w:p w14:paraId="32BAC50F">
      <w:pPr>
        <w:rPr>
          <w:rFonts w:hint="eastAsia" w:ascii="宋体" w:hAnsi="宋体" w:eastAsia="宋体" w:cs="宋体"/>
          <w:color w:val="auto"/>
        </w:rPr>
      </w:pPr>
    </w:p>
    <w:p w14:paraId="77E2EE2E">
      <w:pPr>
        <w:rPr>
          <w:rFonts w:hint="eastAsia" w:ascii="宋体" w:hAnsi="宋体" w:eastAsia="宋体" w:cs="宋体"/>
          <w:color w:val="auto"/>
        </w:rPr>
      </w:pPr>
    </w:p>
    <w:p w14:paraId="4E4F2BD5">
      <w:pPr>
        <w:rPr>
          <w:rFonts w:hint="eastAsia" w:ascii="宋体" w:hAnsi="宋体" w:eastAsia="宋体" w:cs="宋体"/>
          <w:color w:val="auto"/>
        </w:rPr>
      </w:pPr>
    </w:p>
    <w:p w14:paraId="384AD1AA">
      <w:pPr>
        <w:pStyle w:val="2"/>
        <w:wordWrap w:val="0"/>
        <w:autoSpaceDE/>
        <w:autoSpaceDN/>
        <w:snapToGrid w:val="0"/>
        <w:spacing w:line="240" w:lineRule="auto"/>
        <w:jc w:val="center"/>
        <w:rPr>
          <w:rFonts w:hint="eastAsia" w:ascii="宋体" w:hAnsi="宋体" w:eastAsia="宋体" w:cs="宋体"/>
          <w:b/>
          <w:snapToGrid w:val="0"/>
          <w:color w:val="auto"/>
          <w:highlight w:val="none"/>
        </w:rPr>
      </w:pPr>
      <w:bookmarkStart w:id="93" w:name="_Toc6675"/>
      <w:r>
        <w:rPr>
          <w:rFonts w:hint="eastAsia" w:ascii="宋体" w:hAnsi="宋体" w:eastAsia="宋体" w:cs="宋体"/>
          <w:b/>
          <w:snapToGrid w:val="0"/>
          <w:color w:val="auto"/>
          <w:sz w:val="28"/>
          <w:szCs w:val="28"/>
          <w:highlight w:val="none"/>
        </w:rPr>
        <w:t>第三章</w:t>
      </w:r>
      <w:bookmarkStart w:id="94" w:name="_Hlt87793831"/>
      <w:bookmarkEnd w:id="94"/>
      <w:r>
        <w:rPr>
          <w:rFonts w:hint="eastAsia" w:ascii="宋体" w:hAnsi="宋体" w:eastAsia="宋体" w:cs="宋体"/>
          <w:b/>
          <w:snapToGrid w:val="0"/>
          <w:color w:val="auto"/>
          <w:sz w:val="28"/>
          <w:szCs w:val="28"/>
          <w:highlight w:val="none"/>
          <w:lang w:val="en-US" w:eastAsia="zh-CN"/>
        </w:rPr>
        <w:t xml:space="preserve">   </w:t>
      </w:r>
      <w:r>
        <w:rPr>
          <w:rFonts w:hint="eastAsia" w:ascii="宋体" w:hAnsi="宋体" w:eastAsia="宋体" w:cs="宋体"/>
          <w:b/>
          <w:snapToGrid w:val="0"/>
          <w:color w:val="auto"/>
          <w:sz w:val="28"/>
          <w:szCs w:val="28"/>
          <w:highlight w:val="none"/>
        </w:rPr>
        <w:t>拟签订合同的主要条款</w:t>
      </w:r>
      <w:bookmarkEnd w:id="90"/>
      <w:bookmarkEnd w:id="91"/>
      <w:bookmarkEnd w:id="93"/>
      <w:bookmarkStart w:id="95" w:name="_Toc322793288"/>
      <w:bookmarkStart w:id="96" w:name="_Toc326916629"/>
    </w:p>
    <w:bookmarkEnd w:id="95"/>
    <w:bookmarkEnd w:id="96"/>
    <w:p w14:paraId="002B9C6B">
      <w:pPr>
        <w:pStyle w:val="3"/>
        <w:bidi w:val="0"/>
        <w:spacing w:line="360" w:lineRule="auto"/>
        <w:ind w:firstLine="482" w:firstLineChars="200"/>
        <w:rPr>
          <w:rFonts w:hint="eastAsia" w:ascii="宋体" w:hAnsi="宋体" w:eastAsia="宋体" w:cs="宋体"/>
          <w:color w:val="auto"/>
          <w:sz w:val="24"/>
          <w:szCs w:val="24"/>
          <w:lang w:eastAsia="zh-CN"/>
        </w:rPr>
      </w:pPr>
      <w:bookmarkStart w:id="97" w:name="_Toc21134"/>
      <w:r>
        <w:rPr>
          <w:rFonts w:hint="eastAsia" w:ascii="宋体" w:hAnsi="宋体" w:eastAsia="宋体" w:cs="宋体"/>
          <w:color w:val="auto"/>
          <w:sz w:val="24"/>
          <w:szCs w:val="24"/>
          <w:lang w:eastAsia="zh-CN"/>
        </w:rPr>
        <w:t>1．工程承包方式</w:t>
      </w:r>
      <w:bookmarkEnd w:id="97"/>
    </w:p>
    <w:p w14:paraId="55501D91">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1.1</w:t>
      </w:r>
      <w:r>
        <w:rPr>
          <w:rFonts w:hint="eastAsia" w:ascii="宋体" w:hAnsi="宋体" w:eastAsia="宋体" w:cs="宋体"/>
          <w:b w:val="0"/>
          <w:bCs w:val="0"/>
          <w:color w:val="auto"/>
          <w:sz w:val="24"/>
          <w:szCs w:val="24"/>
          <w:lang w:eastAsia="zh-CN"/>
        </w:rPr>
        <w:t>承包人以中标价按包工包料、包质量、包安全包文明施工、包工期方式总承包施工，不允许转包和违法分包，如果确需分包须与发包人协商，在得到发包人和监理单位同意后报建设行政主管部门备案。</w:t>
      </w:r>
    </w:p>
    <w:p w14:paraId="348ECBD3">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1.1.1</w:t>
      </w:r>
      <w:r>
        <w:rPr>
          <w:rFonts w:hint="eastAsia" w:ascii="宋体" w:hAnsi="宋体" w:eastAsia="宋体" w:cs="宋体"/>
          <w:b w:val="0"/>
          <w:bCs w:val="0"/>
          <w:color w:val="auto"/>
          <w:sz w:val="24"/>
          <w:szCs w:val="24"/>
          <w:lang w:eastAsia="zh-CN"/>
        </w:rPr>
        <w:t>包工包料：材料符合招标文件要求并报验使用；办理用工保险。</w:t>
      </w:r>
    </w:p>
    <w:p w14:paraId="7B9AF63E">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1.1.2</w:t>
      </w:r>
      <w:r>
        <w:rPr>
          <w:rFonts w:hint="eastAsia" w:ascii="宋体" w:hAnsi="宋体" w:eastAsia="宋体" w:cs="宋体"/>
          <w:b w:val="0"/>
          <w:bCs w:val="0"/>
          <w:color w:val="auto"/>
          <w:sz w:val="24"/>
          <w:szCs w:val="24"/>
          <w:lang w:eastAsia="zh-CN"/>
        </w:rPr>
        <w:t>包质量：符合招标文件要求。</w:t>
      </w:r>
    </w:p>
    <w:p w14:paraId="7B78EA46">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1.1.3</w:t>
      </w:r>
      <w:r>
        <w:rPr>
          <w:rFonts w:hint="eastAsia" w:ascii="宋体" w:hAnsi="宋体" w:eastAsia="宋体" w:cs="宋体"/>
          <w:b w:val="0"/>
          <w:bCs w:val="0"/>
          <w:color w:val="auto"/>
          <w:sz w:val="24"/>
          <w:szCs w:val="24"/>
          <w:lang w:eastAsia="zh-CN"/>
        </w:rPr>
        <w:t>包安全包文明施工：符合招标文件要求。</w:t>
      </w:r>
    </w:p>
    <w:p w14:paraId="50116E11">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1.1.4</w:t>
      </w:r>
      <w:r>
        <w:rPr>
          <w:rFonts w:hint="eastAsia" w:ascii="宋体" w:hAnsi="宋体" w:eastAsia="宋体" w:cs="宋体"/>
          <w:b w:val="0"/>
          <w:bCs w:val="0"/>
          <w:color w:val="auto"/>
          <w:sz w:val="24"/>
          <w:szCs w:val="24"/>
          <w:lang w:eastAsia="zh-CN"/>
        </w:rPr>
        <w:t>包工期：本招标项目施工必须在招标工期内完成。</w:t>
      </w:r>
    </w:p>
    <w:p w14:paraId="744C7E87">
      <w:pPr>
        <w:pStyle w:val="3"/>
        <w:bidi w:val="0"/>
        <w:spacing w:line="360" w:lineRule="auto"/>
        <w:ind w:firstLine="482" w:firstLineChars="200"/>
        <w:rPr>
          <w:rFonts w:hint="eastAsia" w:ascii="宋体" w:hAnsi="宋体" w:eastAsia="宋体" w:cs="宋体"/>
          <w:color w:val="auto"/>
          <w:sz w:val="24"/>
          <w:szCs w:val="24"/>
          <w:lang w:eastAsia="zh-CN"/>
        </w:rPr>
      </w:pPr>
      <w:bookmarkStart w:id="98" w:name="_Toc3028"/>
      <w:r>
        <w:rPr>
          <w:rFonts w:hint="eastAsia" w:ascii="宋体" w:hAnsi="宋体" w:eastAsia="宋体" w:cs="宋体"/>
          <w:color w:val="auto"/>
          <w:sz w:val="24"/>
          <w:szCs w:val="24"/>
          <w:lang w:eastAsia="zh-CN"/>
        </w:rPr>
        <w:t>2．工程结算原则</w:t>
      </w:r>
      <w:bookmarkEnd w:id="98"/>
    </w:p>
    <w:p w14:paraId="42EDFB64">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2.1</w:t>
      </w:r>
      <w:r>
        <w:rPr>
          <w:rFonts w:hint="eastAsia" w:ascii="宋体" w:hAnsi="宋体" w:eastAsia="宋体" w:cs="宋体"/>
          <w:b w:val="0"/>
          <w:bCs w:val="0"/>
          <w:color w:val="auto"/>
          <w:sz w:val="24"/>
          <w:szCs w:val="24"/>
          <w:lang w:eastAsia="zh-CN"/>
        </w:rPr>
        <w:t>承包人的投标总价为中标价，即为签约合同价。</w:t>
      </w:r>
    </w:p>
    <w:p w14:paraId="2D0F612E">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2.2</w:t>
      </w:r>
      <w:r>
        <w:rPr>
          <w:rFonts w:hint="eastAsia" w:ascii="宋体" w:hAnsi="宋体" w:eastAsia="宋体" w:cs="宋体"/>
          <w:b w:val="0"/>
          <w:bCs w:val="0"/>
          <w:color w:val="auto"/>
          <w:sz w:val="24"/>
          <w:szCs w:val="24"/>
          <w:lang w:eastAsia="zh-CN"/>
        </w:rPr>
        <w:t>招标工程量清单标明的工程量是投标人投标报价的共同基础，竣工结算的工程量按《建设工程工程量清单计价规范》（GB50500—2013）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0DAC1C09">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2.3</w:t>
      </w:r>
      <w:r>
        <w:rPr>
          <w:rFonts w:hint="eastAsia" w:ascii="宋体" w:hAnsi="宋体" w:eastAsia="宋体" w:cs="宋体"/>
          <w:b w:val="0"/>
          <w:bCs w:val="0"/>
          <w:color w:val="auto"/>
          <w:sz w:val="24"/>
          <w:szCs w:val="24"/>
          <w:lang w:eastAsia="zh-CN"/>
        </w:rPr>
        <w:t>施工合同履行期间，若出现下列情形的，发、承包双方应当按照以下规定调整合同价款：</w:t>
      </w:r>
    </w:p>
    <w:p w14:paraId="529216F9">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2.3.1</w:t>
      </w:r>
      <w:r>
        <w:rPr>
          <w:rFonts w:hint="eastAsia" w:ascii="宋体" w:hAnsi="宋体" w:eastAsia="宋体" w:cs="宋体"/>
          <w:b w:val="0"/>
          <w:bCs w:val="0"/>
          <w:color w:val="auto"/>
          <w:sz w:val="24"/>
          <w:szCs w:val="24"/>
          <w:lang w:eastAsia="zh-CN"/>
        </w:rPr>
        <w:t>法律法规变化</w:t>
      </w:r>
    </w:p>
    <w:p w14:paraId="5C48CD64">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color w:val="auto"/>
          <w:sz w:val="24"/>
          <w:szCs w:val="24"/>
          <w:lang w:eastAsia="zh-CN"/>
        </w:rPr>
        <w:instrText xml:space="preserve"> HYPERLINK "2.3.1.1" </w:instrText>
      </w:r>
      <w:r>
        <w:rPr>
          <w:rFonts w:hint="eastAsia" w:ascii="宋体" w:hAnsi="宋体" w:eastAsia="宋体" w:cs="宋体"/>
          <w:b/>
          <w:bCs/>
          <w:color w:val="auto"/>
          <w:sz w:val="24"/>
          <w:szCs w:val="24"/>
          <w:lang w:eastAsia="zh-CN"/>
        </w:rPr>
        <w:fldChar w:fldCharType="separate"/>
      </w:r>
      <w:r>
        <w:rPr>
          <w:rFonts w:hint="eastAsia" w:ascii="宋体" w:hAnsi="宋体" w:eastAsia="宋体" w:cs="宋体"/>
          <w:b/>
          <w:bCs/>
          <w:color w:val="auto"/>
          <w:sz w:val="24"/>
          <w:szCs w:val="24"/>
          <w:lang w:eastAsia="zh-CN"/>
        </w:rPr>
        <w:t>2.3.1.1</w:t>
      </w:r>
      <w:r>
        <w:rPr>
          <w:rFonts w:hint="eastAsia" w:ascii="宋体" w:hAnsi="宋体" w:eastAsia="宋体" w:cs="宋体"/>
          <w:b/>
          <w:bCs/>
          <w:color w:val="auto"/>
          <w:sz w:val="24"/>
          <w:szCs w:val="24"/>
          <w:lang w:eastAsia="zh-CN"/>
        </w:rPr>
        <w:fldChar w:fldCharType="end"/>
      </w:r>
      <w:r>
        <w:rPr>
          <w:rFonts w:hint="eastAsia" w:ascii="宋体" w:hAnsi="宋体" w:eastAsia="宋体" w:cs="宋体"/>
          <w:b w:val="0"/>
          <w:bCs w:val="0"/>
          <w:color w:val="auto"/>
          <w:sz w:val="24"/>
          <w:szCs w:val="24"/>
          <w:lang w:eastAsia="zh-CN"/>
        </w:rPr>
        <w:t>基准日之后，因国家法律、法规、规章和政策发生变化引起工程造价增减变化时，发、承包双方应按照省级建设主管部门（或省级行业主管部门）或其授权的工程造价管理机构据此发布的最新规定调整合同价款。</w:t>
      </w:r>
    </w:p>
    <w:p w14:paraId="32E54159">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注：本招标文件所称“基准日”，均指投标文件递交截止时间（见第一章第二节“重要事项时间地点一览表”）前28天。</w:t>
      </w:r>
    </w:p>
    <w:p w14:paraId="25751FCC">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color w:val="auto"/>
          <w:sz w:val="24"/>
          <w:szCs w:val="24"/>
          <w:lang w:eastAsia="zh-CN"/>
        </w:rPr>
        <w:instrText xml:space="preserve"> HYPERLINK "2.3.1.2" </w:instrText>
      </w:r>
      <w:r>
        <w:rPr>
          <w:rFonts w:hint="eastAsia" w:ascii="宋体" w:hAnsi="宋体" w:eastAsia="宋体" w:cs="宋体"/>
          <w:b/>
          <w:bCs/>
          <w:color w:val="auto"/>
          <w:sz w:val="24"/>
          <w:szCs w:val="24"/>
          <w:lang w:eastAsia="zh-CN"/>
        </w:rPr>
        <w:fldChar w:fldCharType="separate"/>
      </w:r>
      <w:r>
        <w:rPr>
          <w:rFonts w:hint="eastAsia" w:ascii="宋体" w:hAnsi="宋体" w:eastAsia="宋体" w:cs="宋体"/>
          <w:b/>
          <w:bCs/>
          <w:color w:val="auto"/>
          <w:sz w:val="24"/>
          <w:szCs w:val="24"/>
          <w:lang w:eastAsia="zh-CN"/>
        </w:rPr>
        <w:t>2.3.1.2</w:t>
      </w:r>
      <w:r>
        <w:rPr>
          <w:rFonts w:hint="eastAsia" w:ascii="宋体" w:hAnsi="宋体" w:eastAsia="宋体" w:cs="宋体"/>
          <w:b/>
          <w:bCs/>
          <w:color w:val="auto"/>
          <w:sz w:val="24"/>
          <w:szCs w:val="24"/>
          <w:lang w:eastAsia="zh-CN"/>
        </w:rPr>
        <w:fldChar w:fldCharType="end"/>
      </w:r>
      <w:r>
        <w:rPr>
          <w:rFonts w:hint="eastAsia" w:ascii="宋体" w:hAnsi="宋体" w:eastAsia="宋体" w:cs="宋体"/>
          <w:b w:val="0"/>
          <w:bCs w:val="0"/>
          <w:color w:val="auto"/>
          <w:sz w:val="24"/>
          <w:szCs w:val="24"/>
          <w:lang w:eastAsia="zh-CN"/>
        </w:rPr>
        <w:t>因承包人原因导致工程延误，本章第2.3.1.1子目中的法定机构根据国家法律法规变化发布新规的时间在合同工程原定竣工时间之后的，合同价款调增的不予调整，合同价款调减的予以调整。</w:t>
      </w:r>
    </w:p>
    <w:p w14:paraId="3B62E050">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2.3.2</w:t>
      </w:r>
      <w:r>
        <w:rPr>
          <w:rFonts w:hint="eastAsia" w:ascii="宋体" w:hAnsi="宋体" w:eastAsia="宋体" w:cs="宋体"/>
          <w:b w:val="0"/>
          <w:bCs w:val="0"/>
          <w:color w:val="auto"/>
          <w:sz w:val="24"/>
          <w:szCs w:val="24"/>
          <w:lang w:eastAsia="zh-CN"/>
        </w:rPr>
        <w:t>工程量偏差或变化</w:t>
      </w:r>
    </w:p>
    <w:p w14:paraId="58F8366C">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color w:val="auto"/>
          <w:sz w:val="24"/>
          <w:szCs w:val="24"/>
          <w:lang w:eastAsia="zh-CN"/>
        </w:rPr>
        <w:instrText xml:space="preserve"> HYPERLINK "2.3.2.1" </w:instrText>
      </w:r>
      <w:r>
        <w:rPr>
          <w:rFonts w:hint="eastAsia" w:ascii="宋体" w:hAnsi="宋体" w:eastAsia="宋体" w:cs="宋体"/>
          <w:b/>
          <w:bCs/>
          <w:color w:val="auto"/>
          <w:sz w:val="24"/>
          <w:szCs w:val="24"/>
          <w:lang w:eastAsia="zh-CN"/>
        </w:rPr>
        <w:fldChar w:fldCharType="separate"/>
      </w:r>
      <w:r>
        <w:rPr>
          <w:rFonts w:hint="eastAsia" w:ascii="宋体" w:hAnsi="宋体" w:eastAsia="宋体" w:cs="宋体"/>
          <w:b/>
          <w:bCs/>
          <w:color w:val="auto"/>
          <w:sz w:val="24"/>
          <w:szCs w:val="24"/>
          <w:lang w:eastAsia="zh-CN"/>
        </w:rPr>
        <w:t>2.3.2.1</w:t>
      </w:r>
      <w:r>
        <w:rPr>
          <w:rFonts w:hint="eastAsia" w:ascii="宋体" w:hAnsi="宋体" w:eastAsia="宋体" w:cs="宋体"/>
          <w:b/>
          <w:bCs/>
          <w:color w:val="auto"/>
          <w:sz w:val="24"/>
          <w:szCs w:val="24"/>
          <w:lang w:eastAsia="zh-CN"/>
        </w:rPr>
        <w:fldChar w:fldCharType="end"/>
      </w:r>
      <w:r>
        <w:rPr>
          <w:rFonts w:hint="eastAsia" w:ascii="宋体" w:hAnsi="宋体" w:eastAsia="宋体" w:cs="宋体"/>
          <w:b w:val="0"/>
          <w:bCs w:val="0"/>
          <w:color w:val="auto"/>
          <w:sz w:val="24"/>
          <w:szCs w:val="24"/>
          <w:lang w:eastAsia="zh-CN"/>
        </w:rPr>
        <w:t>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对于合理报价的清单项目，当工程量增加超过15%时，增加部分的工程量的综合单价以投标报价《分部分项工程和单价措施项目清单与计价表》中综合单价为基价调低3%；当工程量减少超过15%时，减少后剩余部分的工程量的综合单价以投标报价《分部分项工程和单价措施项目清单与计价表》中综合单价为基价调高3%。</w:t>
      </w:r>
    </w:p>
    <w:p w14:paraId="212B3C9A">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对于按照第二章“中标人须知”第4.2条被认定为不平衡报价的清单项目，其综合单价按照以下方法调整：</w:t>
      </w:r>
    </w:p>
    <w:p w14:paraId="0C14168D">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以招标控制价中《分部分项工程和单价措施项目清单与计价表》子目相对应综合单价×（1-中标下浮率）。</w:t>
      </w:r>
    </w:p>
    <w:p w14:paraId="3387DE65">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中标下浮率=[1-（中标价-中标绿色施工安全防护措施费-暂列金额-暂估价）/（招标控制价-控制价绿色施工安全防护措施费-暂列金额-暂估价）]×100%</w:t>
      </w:r>
    </w:p>
    <w:p w14:paraId="11BF287E">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若修正后的该部分《分部分项工程和单价措施项目清单与计价表》总金额大于原投标报价中的该部分总金额，则从投标报价需调高的综合单价中选择偏离最大的清单开始调整，调整幅度逐步减少，直至修正后的该部分《分部分项工程和单价措施项目清单与计价表》总金额与原投标报价中的该部分总金额一致；若修正后的该部分《分部分项工程和单价措施项目清单与计价表》总金额小于原投标报价中的该部分总金额，则从投标报价需调低的综合单价中选择偏离最大的清单开始调整，调整幅度逐步减少，直至修正后的该部分《分部分项工程和单价措施项目清单与计价表》总金额与原投标报价中的该部分总金额一致。修正后的总造价应与总中标价保持一致，形成《不平衡报价修正报告》，并由招标人和中标人共同签章确认。</w:t>
      </w:r>
    </w:p>
    <w:p w14:paraId="64058BD5">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color w:val="auto"/>
          <w:sz w:val="24"/>
          <w:szCs w:val="24"/>
          <w:lang w:eastAsia="zh-CN"/>
        </w:rPr>
        <w:instrText xml:space="preserve"> HYPERLINK "2.3.2.2" </w:instrText>
      </w:r>
      <w:r>
        <w:rPr>
          <w:rFonts w:hint="eastAsia" w:ascii="宋体" w:hAnsi="宋体" w:eastAsia="宋体" w:cs="宋体"/>
          <w:b/>
          <w:bCs/>
          <w:color w:val="auto"/>
          <w:sz w:val="24"/>
          <w:szCs w:val="24"/>
          <w:lang w:eastAsia="zh-CN"/>
        </w:rPr>
        <w:fldChar w:fldCharType="separate"/>
      </w:r>
      <w:r>
        <w:rPr>
          <w:rFonts w:hint="eastAsia" w:ascii="宋体" w:hAnsi="宋体" w:eastAsia="宋体" w:cs="宋体"/>
          <w:b/>
          <w:bCs/>
          <w:color w:val="auto"/>
          <w:sz w:val="24"/>
          <w:szCs w:val="24"/>
          <w:lang w:eastAsia="zh-CN"/>
        </w:rPr>
        <w:t>2.3.2.2</w:t>
      </w:r>
      <w:r>
        <w:rPr>
          <w:rFonts w:hint="eastAsia" w:ascii="宋体" w:hAnsi="宋体" w:eastAsia="宋体" w:cs="宋体"/>
          <w:b/>
          <w:bCs/>
          <w:color w:val="auto"/>
          <w:sz w:val="24"/>
          <w:szCs w:val="24"/>
          <w:lang w:eastAsia="zh-CN"/>
        </w:rPr>
        <w:fldChar w:fldCharType="end"/>
      </w:r>
      <w:r>
        <w:rPr>
          <w:rFonts w:hint="eastAsia" w:ascii="宋体" w:hAnsi="宋体" w:eastAsia="宋体" w:cs="宋体"/>
          <w:b w:val="0"/>
          <w:bCs w:val="0"/>
          <w:color w:val="auto"/>
          <w:sz w:val="24"/>
          <w:szCs w:val="24"/>
          <w:lang w:eastAsia="zh-CN"/>
        </w:rPr>
        <w:t>如果工程量出现本章第2.3.2.1子目的变化，且该变化引起相关措施项目相应发生变化时，按系数或单一总价方式计价的，工程量增加的措施项目费调增，工程量减少的措施项目费调减。</w:t>
      </w:r>
    </w:p>
    <w:p w14:paraId="7638F3F5">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2.3.3</w:t>
      </w:r>
      <w:r>
        <w:rPr>
          <w:rFonts w:hint="eastAsia" w:ascii="宋体" w:hAnsi="宋体" w:eastAsia="宋体" w:cs="宋体"/>
          <w:b w:val="0"/>
          <w:bCs w:val="0"/>
          <w:color w:val="auto"/>
          <w:sz w:val="24"/>
          <w:szCs w:val="24"/>
          <w:lang w:eastAsia="zh-CN"/>
        </w:rPr>
        <w:t>工程变更</w:t>
      </w:r>
    </w:p>
    <w:p w14:paraId="3E973EFA">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color w:val="auto"/>
          <w:sz w:val="24"/>
          <w:szCs w:val="24"/>
          <w:lang w:eastAsia="zh-CN"/>
        </w:rPr>
        <w:instrText xml:space="preserve"> HYPERLINK "2.3.3.1" </w:instrText>
      </w:r>
      <w:r>
        <w:rPr>
          <w:rFonts w:hint="eastAsia" w:ascii="宋体" w:hAnsi="宋体" w:eastAsia="宋体" w:cs="宋体"/>
          <w:b/>
          <w:bCs/>
          <w:color w:val="auto"/>
          <w:sz w:val="24"/>
          <w:szCs w:val="24"/>
          <w:lang w:eastAsia="zh-CN"/>
        </w:rPr>
        <w:fldChar w:fldCharType="separate"/>
      </w:r>
      <w:r>
        <w:rPr>
          <w:rFonts w:hint="eastAsia" w:ascii="宋体" w:hAnsi="宋体" w:eastAsia="宋体" w:cs="宋体"/>
          <w:b/>
          <w:bCs/>
          <w:color w:val="auto"/>
          <w:sz w:val="24"/>
          <w:szCs w:val="24"/>
          <w:lang w:eastAsia="zh-CN"/>
        </w:rPr>
        <w:t>2.3.3.1</w:t>
      </w:r>
      <w:r>
        <w:rPr>
          <w:rFonts w:hint="eastAsia" w:ascii="宋体" w:hAnsi="宋体" w:eastAsia="宋体" w:cs="宋体"/>
          <w:b/>
          <w:bCs/>
          <w:color w:val="auto"/>
          <w:sz w:val="24"/>
          <w:szCs w:val="24"/>
          <w:lang w:eastAsia="zh-CN"/>
        </w:rPr>
        <w:fldChar w:fldCharType="end"/>
      </w:r>
      <w:r>
        <w:rPr>
          <w:rFonts w:hint="eastAsia" w:ascii="宋体" w:hAnsi="宋体" w:eastAsia="宋体" w:cs="宋体"/>
          <w:b w:val="0"/>
          <w:bCs w:val="0"/>
          <w:color w:val="auto"/>
          <w:sz w:val="24"/>
          <w:szCs w:val="24"/>
          <w:lang w:eastAsia="zh-CN"/>
        </w:rPr>
        <w:t>合同履行期间，因工程变更引起已标价工程量清单项目发生变化时，按照以下规定调整：</w:t>
      </w:r>
    </w:p>
    <w:p w14:paraId="619C4431">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1）已标价工程量清单中有适用于变更工程项目的，采用该项目的单价。但如果被采用的项目属于按照第二章“中标人须知”第4.2条被认定为不平衡报价的清单项目，变更工程项目的单价按照本章2.3.2.1的方法调整。】</w:t>
      </w:r>
    </w:p>
    <w:p w14:paraId="3DCF14E2">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2）已标价工程量清单中没有适用但有类似于变更工程项目的，可在合理范围内参照类似项目的单价。但如果被参考的类似项目属于按照第二章“中标人须知”第4.2条被认定为不平衡报价的清单项目，变更工程项目的单价按照本章2.3.2.1的方法调整。</w:t>
      </w:r>
    </w:p>
    <w:p w14:paraId="78F46C95">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28C3A104">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中标下浮率=[1-（中标价-中标绿色施工安全防护措施费-暂列金额-暂估价）/（招标控制价-控制价绿色施工安全防护措施费-暂列金额-暂估价）]×100%</w:t>
      </w:r>
    </w:p>
    <w:p w14:paraId="77514234">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6A967242">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color w:val="auto"/>
          <w:sz w:val="24"/>
          <w:szCs w:val="24"/>
          <w:lang w:eastAsia="zh-CN"/>
        </w:rPr>
        <w:instrText xml:space="preserve"> HYPERLINK "2.3.3.2" </w:instrText>
      </w:r>
      <w:r>
        <w:rPr>
          <w:rFonts w:hint="eastAsia" w:ascii="宋体" w:hAnsi="宋体" w:eastAsia="宋体" w:cs="宋体"/>
          <w:b/>
          <w:bCs/>
          <w:color w:val="auto"/>
          <w:sz w:val="24"/>
          <w:szCs w:val="24"/>
          <w:lang w:eastAsia="zh-CN"/>
        </w:rPr>
        <w:fldChar w:fldCharType="separate"/>
      </w:r>
      <w:r>
        <w:rPr>
          <w:rFonts w:hint="eastAsia" w:ascii="宋体" w:hAnsi="宋体" w:eastAsia="宋体" w:cs="宋体"/>
          <w:b/>
          <w:bCs/>
          <w:color w:val="auto"/>
          <w:sz w:val="24"/>
          <w:szCs w:val="24"/>
          <w:lang w:eastAsia="zh-CN"/>
        </w:rPr>
        <w:t>2.3.3.2</w:t>
      </w:r>
      <w:r>
        <w:rPr>
          <w:rFonts w:hint="eastAsia" w:ascii="宋体" w:hAnsi="宋体" w:eastAsia="宋体" w:cs="宋体"/>
          <w:b/>
          <w:bCs/>
          <w:color w:val="auto"/>
          <w:sz w:val="24"/>
          <w:szCs w:val="24"/>
          <w:lang w:eastAsia="zh-CN"/>
        </w:rPr>
        <w:fldChar w:fldCharType="end"/>
      </w:r>
      <w:r>
        <w:rPr>
          <w:rFonts w:hint="eastAsia" w:ascii="宋体" w:hAnsi="宋体" w:eastAsia="宋体" w:cs="宋体"/>
          <w:b w:val="0"/>
          <w:bCs w:val="0"/>
          <w:color w:val="auto"/>
          <w:sz w:val="24"/>
          <w:szCs w:val="24"/>
          <w:lang w:eastAsia="zh-CN"/>
        </w:rPr>
        <w:t>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0BB57610">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（1）绿色施工安全防护措施费应按照实际发生变化的措施项目计算。</w:t>
      </w:r>
    </w:p>
    <w:p w14:paraId="0CD999CB">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（2）采用单价计算的措施项目费，应按照实际发生变化的措施项目，按本章第2.3.3.1子目的规定确定单价。</w:t>
      </w:r>
    </w:p>
    <w:p w14:paraId="6D4835A4">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（3）按总价或系数计算的措施项目费，应按照实际发生变化的措施项目费调整并考虑中标下浮率因素，即调整金额＝按照实际变化调整后的金额×（1-中标下浮率）。</w:t>
      </w:r>
    </w:p>
    <w:p w14:paraId="09CE31F4">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如果承包人未事先将拟实施的方案提交发包人确认，视为工程变更不引起措施项目费的调整或承包人放弃调整措施项目费的权利。</w:t>
      </w:r>
    </w:p>
    <w:p w14:paraId="30211EFB">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color w:val="auto"/>
          <w:sz w:val="24"/>
          <w:szCs w:val="24"/>
          <w:lang w:eastAsia="zh-CN"/>
        </w:rPr>
        <w:instrText xml:space="preserve"> HYPERLINK "2.3.3.3" </w:instrText>
      </w:r>
      <w:r>
        <w:rPr>
          <w:rFonts w:hint="eastAsia" w:ascii="宋体" w:hAnsi="宋体" w:eastAsia="宋体" w:cs="宋体"/>
          <w:b/>
          <w:bCs/>
          <w:color w:val="auto"/>
          <w:sz w:val="24"/>
          <w:szCs w:val="24"/>
          <w:lang w:eastAsia="zh-CN"/>
        </w:rPr>
        <w:fldChar w:fldCharType="separate"/>
      </w:r>
      <w:r>
        <w:rPr>
          <w:rFonts w:hint="eastAsia" w:ascii="宋体" w:hAnsi="宋体" w:eastAsia="宋体" w:cs="宋体"/>
          <w:b/>
          <w:bCs/>
          <w:color w:val="auto"/>
          <w:sz w:val="24"/>
          <w:szCs w:val="24"/>
          <w:lang w:eastAsia="zh-CN"/>
        </w:rPr>
        <w:t>2.3.3.3</w:t>
      </w:r>
      <w:r>
        <w:rPr>
          <w:rFonts w:hint="eastAsia" w:ascii="宋体" w:hAnsi="宋体" w:eastAsia="宋体" w:cs="宋体"/>
          <w:b/>
          <w:bCs/>
          <w:color w:val="auto"/>
          <w:sz w:val="24"/>
          <w:szCs w:val="24"/>
          <w:lang w:eastAsia="zh-CN"/>
        </w:rPr>
        <w:fldChar w:fldCharType="end"/>
      </w:r>
      <w:r>
        <w:rPr>
          <w:rFonts w:hint="eastAsia" w:ascii="宋体" w:hAnsi="宋体" w:eastAsia="宋体" w:cs="宋体"/>
          <w:b w:val="0"/>
          <w:bCs w:val="0"/>
          <w:color w:val="auto"/>
          <w:sz w:val="24"/>
          <w:szCs w:val="24"/>
          <w:lang w:eastAsia="zh-CN"/>
        </w:rPr>
        <w:t>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2E498571">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2.3.4</w:t>
      </w:r>
      <w:r>
        <w:rPr>
          <w:rFonts w:hint="eastAsia" w:ascii="宋体" w:hAnsi="宋体" w:eastAsia="宋体" w:cs="宋体"/>
          <w:b w:val="0"/>
          <w:bCs w:val="0"/>
          <w:color w:val="auto"/>
          <w:sz w:val="24"/>
          <w:szCs w:val="24"/>
          <w:lang w:eastAsia="zh-CN"/>
        </w:rPr>
        <w:t>项目特征不符</w:t>
      </w:r>
    </w:p>
    <w:p w14:paraId="2678EE38">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2.3.3目相关条款的规定重新确定相应工程量清单项目的综合单价，并调整合同价款。</w:t>
      </w:r>
    </w:p>
    <w:p w14:paraId="145805C5">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2.3.5</w:t>
      </w:r>
      <w:r>
        <w:rPr>
          <w:rFonts w:hint="eastAsia" w:ascii="宋体" w:hAnsi="宋体" w:eastAsia="宋体" w:cs="宋体"/>
          <w:b w:val="0"/>
          <w:bCs w:val="0"/>
          <w:color w:val="auto"/>
          <w:sz w:val="24"/>
          <w:szCs w:val="24"/>
          <w:lang w:eastAsia="zh-CN"/>
        </w:rPr>
        <w:t>招标工程量清单缺项</w:t>
      </w:r>
    </w:p>
    <w:p w14:paraId="61997667">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color w:val="auto"/>
          <w:sz w:val="24"/>
          <w:szCs w:val="24"/>
          <w:lang w:eastAsia="zh-CN"/>
        </w:rPr>
        <w:instrText xml:space="preserve"> HYPERLINK "2.3.5.1" </w:instrText>
      </w:r>
      <w:r>
        <w:rPr>
          <w:rFonts w:hint="eastAsia" w:ascii="宋体" w:hAnsi="宋体" w:eastAsia="宋体" w:cs="宋体"/>
          <w:b/>
          <w:bCs/>
          <w:color w:val="auto"/>
          <w:sz w:val="24"/>
          <w:szCs w:val="24"/>
          <w:lang w:eastAsia="zh-CN"/>
        </w:rPr>
        <w:fldChar w:fldCharType="separate"/>
      </w:r>
      <w:r>
        <w:rPr>
          <w:rFonts w:hint="eastAsia" w:ascii="宋体" w:hAnsi="宋体" w:eastAsia="宋体" w:cs="宋体"/>
          <w:b/>
          <w:bCs/>
          <w:color w:val="auto"/>
          <w:sz w:val="24"/>
          <w:szCs w:val="24"/>
          <w:lang w:eastAsia="zh-CN"/>
        </w:rPr>
        <w:t>2.3.5.1</w:t>
      </w:r>
      <w:r>
        <w:rPr>
          <w:rFonts w:hint="eastAsia" w:ascii="宋体" w:hAnsi="宋体" w:eastAsia="宋体" w:cs="宋体"/>
          <w:b/>
          <w:bCs/>
          <w:color w:val="auto"/>
          <w:sz w:val="24"/>
          <w:szCs w:val="24"/>
          <w:lang w:eastAsia="zh-CN"/>
        </w:rPr>
        <w:fldChar w:fldCharType="end"/>
      </w:r>
      <w:r>
        <w:rPr>
          <w:rFonts w:hint="eastAsia" w:ascii="宋体" w:hAnsi="宋体" w:eastAsia="宋体" w:cs="宋体"/>
          <w:b w:val="0"/>
          <w:bCs w:val="0"/>
          <w:color w:val="auto"/>
          <w:sz w:val="24"/>
          <w:szCs w:val="24"/>
          <w:lang w:eastAsia="zh-CN"/>
        </w:rPr>
        <w:t>合同履行期间，由于招标工程量清单中缺项，新增分部分项工程清单项目，应按照本章第2.3.3.1子目的规定确定单价，并调整合同价款。</w:t>
      </w:r>
    </w:p>
    <w:p w14:paraId="789E1BD8">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color w:val="auto"/>
          <w:sz w:val="24"/>
          <w:szCs w:val="24"/>
          <w:lang w:eastAsia="zh-CN"/>
        </w:rPr>
        <w:instrText xml:space="preserve"> HYPERLINK "2.3.5.2" </w:instrText>
      </w:r>
      <w:r>
        <w:rPr>
          <w:rFonts w:hint="eastAsia" w:ascii="宋体" w:hAnsi="宋体" w:eastAsia="宋体" w:cs="宋体"/>
          <w:b/>
          <w:bCs/>
          <w:color w:val="auto"/>
          <w:sz w:val="24"/>
          <w:szCs w:val="24"/>
          <w:lang w:eastAsia="zh-CN"/>
        </w:rPr>
        <w:fldChar w:fldCharType="separate"/>
      </w:r>
      <w:r>
        <w:rPr>
          <w:rFonts w:hint="eastAsia" w:ascii="宋体" w:hAnsi="宋体" w:eastAsia="宋体" w:cs="宋体"/>
          <w:b/>
          <w:bCs/>
          <w:color w:val="auto"/>
          <w:sz w:val="24"/>
          <w:szCs w:val="24"/>
          <w:lang w:eastAsia="zh-CN"/>
        </w:rPr>
        <w:t>2.3.5.2</w:t>
      </w:r>
      <w:r>
        <w:rPr>
          <w:rFonts w:hint="eastAsia" w:ascii="宋体" w:hAnsi="宋体" w:eastAsia="宋体" w:cs="宋体"/>
          <w:b/>
          <w:bCs/>
          <w:color w:val="auto"/>
          <w:sz w:val="24"/>
          <w:szCs w:val="24"/>
          <w:lang w:eastAsia="zh-CN"/>
        </w:rPr>
        <w:fldChar w:fldCharType="end"/>
      </w:r>
      <w:r>
        <w:rPr>
          <w:rFonts w:hint="eastAsia" w:ascii="宋体" w:hAnsi="宋体" w:eastAsia="宋体" w:cs="宋体"/>
          <w:b w:val="0"/>
          <w:bCs w:val="0"/>
          <w:color w:val="auto"/>
          <w:sz w:val="24"/>
          <w:szCs w:val="24"/>
          <w:lang w:eastAsia="zh-CN"/>
        </w:rPr>
        <w:t>新增分部分项工程清单项目后，引起措施项目发生变化的，应按照本章第2.3.3.2子目的规定，在承包人提交的实施方案被发包人批准后调整合同价款。</w:t>
      </w:r>
    </w:p>
    <w:p w14:paraId="175DBB59">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color w:val="auto"/>
          <w:sz w:val="24"/>
          <w:szCs w:val="24"/>
          <w:lang w:eastAsia="zh-CN"/>
        </w:rPr>
        <w:instrText xml:space="preserve"> HYPERLINK "2.3.5.3" </w:instrText>
      </w:r>
      <w:r>
        <w:rPr>
          <w:rFonts w:hint="eastAsia" w:ascii="宋体" w:hAnsi="宋体" w:eastAsia="宋体" w:cs="宋体"/>
          <w:b/>
          <w:bCs/>
          <w:color w:val="auto"/>
          <w:sz w:val="24"/>
          <w:szCs w:val="24"/>
          <w:lang w:eastAsia="zh-CN"/>
        </w:rPr>
        <w:fldChar w:fldCharType="separate"/>
      </w:r>
      <w:r>
        <w:rPr>
          <w:rFonts w:hint="eastAsia" w:ascii="宋体" w:hAnsi="宋体" w:eastAsia="宋体" w:cs="宋体"/>
          <w:b/>
          <w:bCs/>
          <w:color w:val="auto"/>
          <w:sz w:val="24"/>
          <w:szCs w:val="24"/>
          <w:lang w:eastAsia="zh-CN"/>
        </w:rPr>
        <w:t>2.3.5.3</w:t>
      </w:r>
      <w:r>
        <w:rPr>
          <w:rFonts w:hint="eastAsia" w:ascii="宋体" w:hAnsi="宋体" w:eastAsia="宋体" w:cs="宋体"/>
          <w:b/>
          <w:bCs/>
          <w:color w:val="auto"/>
          <w:sz w:val="24"/>
          <w:szCs w:val="24"/>
          <w:lang w:eastAsia="zh-CN"/>
        </w:rPr>
        <w:fldChar w:fldCharType="end"/>
      </w:r>
      <w:r>
        <w:rPr>
          <w:rFonts w:hint="eastAsia" w:ascii="宋体" w:hAnsi="宋体" w:eastAsia="宋体" w:cs="宋体"/>
          <w:b w:val="0"/>
          <w:bCs w:val="0"/>
          <w:color w:val="auto"/>
          <w:sz w:val="24"/>
          <w:szCs w:val="24"/>
          <w:lang w:eastAsia="zh-CN"/>
        </w:rPr>
        <w:t>由于招标工程量清单中措施项目缺项，承包人应将新增措施项目实施方案提交发包人批准后，按照本章第2.3.3.1子目、第2.3.3.2子目的规定调整合同价款。</w:t>
      </w:r>
    </w:p>
    <w:p w14:paraId="3908FF25">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2.3.6</w:t>
      </w:r>
      <w:r>
        <w:rPr>
          <w:rFonts w:hint="eastAsia" w:ascii="宋体" w:hAnsi="宋体" w:eastAsia="宋体" w:cs="宋体"/>
          <w:b w:val="0"/>
          <w:bCs w:val="0"/>
          <w:color w:val="auto"/>
          <w:sz w:val="24"/>
          <w:szCs w:val="24"/>
          <w:lang w:eastAsia="zh-CN"/>
        </w:rPr>
        <w:t>物价变化</w:t>
      </w:r>
    </w:p>
    <w:p w14:paraId="4D800B6C">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color w:val="auto"/>
          <w:sz w:val="24"/>
          <w:szCs w:val="24"/>
          <w:lang w:eastAsia="zh-CN"/>
        </w:rPr>
        <w:instrText xml:space="preserve"> HYPERLINK "2.3.6.1" </w:instrText>
      </w:r>
      <w:r>
        <w:rPr>
          <w:rFonts w:hint="eastAsia" w:ascii="宋体" w:hAnsi="宋体" w:eastAsia="宋体" w:cs="宋体"/>
          <w:b/>
          <w:bCs/>
          <w:color w:val="auto"/>
          <w:sz w:val="24"/>
          <w:szCs w:val="24"/>
          <w:lang w:eastAsia="zh-CN"/>
        </w:rPr>
        <w:fldChar w:fldCharType="separate"/>
      </w:r>
      <w:r>
        <w:rPr>
          <w:rFonts w:hint="eastAsia" w:ascii="宋体" w:hAnsi="宋体" w:eastAsia="宋体" w:cs="宋体"/>
          <w:b/>
          <w:bCs/>
          <w:color w:val="auto"/>
          <w:sz w:val="24"/>
          <w:szCs w:val="24"/>
          <w:lang w:eastAsia="zh-CN"/>
        </w:rPr>
        <w:t>2.3.6.1</w:t>
      </w:r>
      <w:r>
        <w:rPr>
          <w:rFonts w:hint="eastAsia" w:ascii="宋体" w:hAnsi="宋体" w:eastAsia="宋体" w:cs="宋体"/>
          <w:b/>
          <w:bCs/>
          <w:color w:val="auto"/>
          <w:sz w:val="24"/>
          <w:szCs w:val="24"/>
          <w:lang w:eastAsia="zh-CN"/>
        </w:rPr>
        <w:fldChar w:fldCharType="end"/>
      </w:r>
      <w:r>
        <w:rPr>
          <w:rFonts w:hint="eastAsia" w:ascii="宋体" w:hAnsi="宋体" w:eastAsia="宋体" w:cs="宋体"/>
          <w:b w:val="0"/>
          <w:bCs w:val="0"/>
          <w:color w:val="auto"/>
          <w:sz w:val="24"/>
          <w:szCs w:val="24"/>
          <w:lang w:eastAsia="zh-CN"/>
        </w:rPr>
        <w:t>合同履行期间，项目所在地工程造价管理机构发布的动态人工调整系数发生变化时，如果承包人投标报价中人工费（以下简称“中标人工费”）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2EA18F4E">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结算人工费＝中标人工费×F1</w:t>
      </w:r>
    </w:p>
    <w:p w14:paraId="2C53135F">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式中，F1为施工当月项目所在地工程造价管理机构发布的动态人工调整系数。</w:t>
      </w:r>
    </w:p>
    <w:p w14:paraId="0625A34B">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color w:val="auto"/>
          <w:sz w:val="24"/>
          <w:szCs w:val="24"/>
          <w:lang w:eastAsia="zh-CN"/>
        </w:rPr>
        <w:instrText xml:space="preserve"> HYPERLINK "2.3.6.2" </w:instrText>
      </w:r>
      <w:r>
        <w:rPr>
          <w:rFonts w:hint="eastAsia" w:ascii="宋体" w:hAnsi="宋体" w:eastAsia="宋体" w:cs="宋体"/>
          <w:b/>
          <w:bCs/>
          <w:color w:val="auto"/>
          <w:sz w:val="24"/>
          <w:szCs w:val="24"/>
          <w:lang w:eastAsia="zh-CN"/>
        </w:rPr>
        <w:fldChar w:fldCharType="separate"/>
      </w:r>
      <w:r>
        <w:rPr>
          <w:rFonts w:hint="eastAsia" w:ascii="宋体" w:hAnsi="宋体" w:eastAsia="宋体" w:cs="宋体"/>
          <w:b/>
          <w:bCs/>
          <w:color w:val="auto"/>
          <w:sz w:val="24"/>
          <w:szCs w:val="24"/>
          <w:lang w:eastAsia="zh-CN"/>
        </w:rPr>
        <w:t>2.3.6.2</w:t>
      </w:r>
      <w:r>
        <w:rPr>
          <w:rFonts w:hint="eastAsia" w:ascii="宋体" w:hAnsi="宋体" w:eastAsia="宋体" w:cs="宋体"/>
          <w:b/>
          <w:bCs/>
          <w:color w:val="auto"/>
          <w:sz w:val="24"/>
          <w:szCs w:val="24"/>
          <w:lang w:eastAsia="zh-CN"/>
        </w:rPr>
        <w:fldChar w:fldCharType="end"/>
      </w:r>
      <w:r>
        <w:rPr>
          <w:rFonts w:hint="eastAsia" w:ascii="宋体" w:hAnsi="宋体" w:eastAsia="宋体" w:cs="宋体"/>
          <w:b w:val="0"/>
          <w:bCs w:val="0"/>
          <w:color w:val="auto"/>
          <w:sz w:val="24"/>
          <w:szCs w:val="24"/>
          <w:lang w:eastAsia="zh-CN"/>
        </w:rPr>
        <w:t>本招标项目约定，材料、工程设备单价涨跌风险幅度值A为5%。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5B458B68">
      <w:pPr>
        <w:spacing w:line="24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涨价时，</w:t>
      </w:r>
      <w:r>
        <w:rPr>
          <w:rFonts w:hint="eastAsia" w:ascii="宋体" w:hAnsi="宋体" w:eastAsia="宋体" w:cs="宋体"/>
          <w:b w:val="0"/>
          <w:bCs w:val="0"/>
          <w:color w:val="auto"/>
          <w:sz w:val="24"/>
          <w:szCs w:val="24"/>
          <w:lang w:eastAsia="zh-CN"/>
        </w:rPr>
        <w:object>
          <v:shape id="_x0000_i1025" o:spt="75" type="#_x0000_t75" style="height:33.95pt;width:200.95pt;" o:ole="t" filled="f" stroked="f" coordsize="21600,21600">
            <v:path/>
            <v:fill on="f" focussize="0,0"/>
            <v:stroke on="f"/>
            <v:imagedata r:id="rId11" o:title=""/>
            <o:lock v:ext="edit" grouping="f" rotation="f" text="f" aspectratio="t"/>
            <w10:wrap type="none"/>
            <w10:anchorlock/>
          </v:shape>
          <o:OLEObject Type="Embed" ProgID="Equation.KSEE3" ShapeID="_x0000_i1025" DrawAspect="Content" ObjectID="_1468075725" r:id="rId10">
            <o:LockedField>false</o:LockedField>
          </o:OLEObject>
        </w:object>
      </w:r>
    </w:p>
    <w:p w14:paraId="60EAEDF2">
      <w:pPr>
        <w:spacing w:line="24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跌价时，</w:t>
      </w:r>
      <w:r>
        <w:rPr>
          <w:rFonts w:hint="eastAsia" w:ascii="宋体" w:hAnsi="宋体" w:eastAsia="宋体" w:cs="宋体"/>
          <w:b w:val="0"/>
          <w:bCs w:val="0"/>
          <w:color w:val="auto"/>
          <w:sz w:val="24"/>
          <w:szCs w:val="24"/>
          <w:lang w:eastAsia="zh-CN"/>
        </w:rPr>
        <w:object>
          <v:shape id="_x0000_i1026" o:spt="75" type="#_x0000_t75" style="height:33.95pt;width:198.95pt;" o:ole="t" filled="f" stroked="f" coordsize="21600,21600">
            <v:path/>
            <v:fill on="f" focussize="0,0"/>
            <v:stroke on="f"/>
            <v:imagedata r:id="rId13" o:title=""/>
            <o:lock v:ext="edit" grouping="f" rotation="f" text="f" aspectratio="t"/>
            <w10:wrap type="none"/>
            <w10:anchorlock/>
          </v:shape>
          <o:OLEObject Type="Embed" ProgID="Equation.KSEE3" ShapeID="_x0000_i1026" DrawAspect="Content" ObjectID="_1468075726" r:id="rId12">
            <o:LockedField>false</o:LockedField>
          </o:OLEObject>
        </w:object>
      </w:r>
    </w:p>
    <w:p w14:paraId="1A065B78">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b．如果中标单价高于基准单价，该材料、工程设备的结算单价调整公式为：</w:t>
      </w:r>
    </w:p>
    <w:p w14:paraId="7C1F8BB9">
      <w:pPr>
        <w:spacing w:line="24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涨价时，</w:t>
      </w:r>
      <w:r>
        <w:rPr>
          <w:rFonts w:hint="eastAsia" w:ascii="宋体" w:hAnsi="宋体" w:eastAsia="宋体" w:cs="宋体"/>
          <w:b w:val="0"/>
          <w:bCs w:val="0"/>
          <w:color w:val="auto"/>
          <w:sz w:val="24"/>
          <w:szCs w:val="24"/>
          <w:lang w:eastAsia="zh-CN"/>
        </w:rPr>
        <w:object>
          <v:shape id="_x0000_i1027" o:spt="75" type="#_x0000_t75" style="height:33.95pt;width:198.95pt;" o:ole="t" filled="f" stroked="f" coordsize="21600,21600">
            <v:path/>
            <v:fill on="f" focussize="0,0"/>
            <v:stroke on="f"/>
            <v:imagedata r:id="rId15" o:title=""/>
            <o:lock v:ext="edit" grouping="f" rotation="f" text="f" aspectratio="t"/>
            <w10:wrap type="none"/>
            <w10:anchorlock/>
          </v:shape>
          <o:OLEObject Type="Embed" ProgID="Equation.KSEE3" ShapeID="_x0000_i1027" DrawAspect="Content" ObjectID="_1468075727" r:id="rId14">
            <o:LockedField>false</o:LockedField>
          </o:OLEObject>
        </w:object>
      </w:r>
    </w:p>
    <w:p w14:paraId="2F47B91A">
      <w:pPr>
        <w:spacing w:line="24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跌价时，</w:t>
      </w:r>
      <w:r>
        <w:rPr>
          <w:rFonts w:hint="eastAsia" w:ascii="宋体" w:hAnsi="宋体" w:eastAsia="宋体" w:cs="宋体"/>
          <w:b w:val="0"/>
          <w:bCs w:val="0"/>
          <w:color w:val="auto"/>
          <w:sz w:val="24"/>
          <w:szCs w:val="24"/>
          <w:lang w:eastAsia="zh-CN"/>
        </w:rPr>
        <w:object>
          <v:shape id="_x0000_i1028" o:spt="75" type="#_x0000_t75" style="height:33.95pt;width:200.95pt;" o:ole="t" filled="f" stroked="f" coordsize="21600,21600">
            <v:path/>
            <v:fill on="f" focussize="0,0"/>
            <v:stroke on="f"/>
            <v:imagedata r:id="rId17" o:title=""/>
            <o:lock v:ext="edit" grouping="f" rotation="f" text="f" aspectratio="t"/>
            <w10:wrap type="none"/>
            <w10:anchorlock/>
          </v:shape>
          <o:OLEObject Type="Embed" ProgID="Equation.KSEE3" ShapeID="_x0000_i1028" DrawAspect="Content" ObjectID="_1468075728" r:id="rId16">
            <o:LockedField>false</o:LockedField>
          </o:OLEObject>
        </w:object>
      </w:r>
    </w:p>
    <w:p w14:paraId="76DE1B18">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c．如果中标单价等于基准单价，该材料、工程设备的结算单价调整公式为：</w:t>
      </w:r>
    </w:p>
    <w:p w14:paraId="67E3A7B2">
      <w:pPr>
        <w:spacing w:line="24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涨价时，</w:t>
      </w:r>
      <w:r>
        <w:rPr>
          <w:rFonts w:hint="eastAsia" w:ascii="宋体" w:hAnsi="宋体" w:eastAsia="宋体" w:cs="宋体"/>
          <w:b w:val="0"/>
          <w:bCs w:val="0"/>
          <w:color w:val="auto"/>
          <w:sz w:val="24"/>
          <w:szCs w:val="24"/>
          <w:lang w:eastAsia="zh-CN"/>
        </w:rPr>
        <w:object>
          <v:shape id="_x0000_i1029" o:spt="75" type="#_x0000_t75" style="height:33.95pt;width:200.95pt;" o:ole="t" filled="f" stroked="f" coordsize="21600,21600">
            <v:path/>
            <v:fill on="f" focussize="0,0"/>
            <v:stroke on="f"/>
            <v:imagedata r:id="rId19" o:title=""/>
            <o:lock v:ext="edit" grouping="f" rotation="f" text="f" aspectratio="t"/>
            <w10:wrap type="none"/>
            <w10:anchorlock/>
          </v:shape>
          <o:OLEObject Type="Embed" ProgID="Equation.KSEE3" ShapeID="_x0000_i1029" DrawAspect="Content" ObjectID="_1468075729" r:id="rId18">
            <o:LockedField>false</o:LockedField>
          </o:OLEObject>
        </w:object>
      </w:r>
    </w:p>
    <w:p w14:paraId="2FDEC8F2">
      <w:pPr>
        <w:spacing w:line="24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跌价时，</w:t>
      </w:r>
      <w:r>
        <w:rPr>
          <w:rFonts w:hint="eastAsia" w:ascii="宋体" w:hAnsi="宋体" w:eastAsia="宋体" w:cs="宋体"/>
          <w:b w:val="0"/>
          <w:bCs w:val="0"/>
          <w:color w:val="auto"/>
          <w:sz w:val="24"/>
          <w:szCs w:val="24"/>
          <w:lang w:eastAsia="zh-CN"/>
        </w:rPr>
        <w:object>
          <v:shape id="_x0000_i1030" o:spt="75" type="#_x0000_t75" style="height:33.95pt;width:200.95pt;" o:ole="t" filled="f" o:preferrelative="t" stroked="f" coordsize="21600,21600">
            <v:path/>
            <v:fill on="f" focussize="0,0"/>
            <v:stroke on="f"/>
            <v:imagedata r:id="rId21" o:title=""/>
            <o:lock v:ext="edit" grouping="f" rotation="f" text="f" aspectratio="t"/>
            <w10:wrap type="none"/>
            <w10:anchorlock/>
          </v:shape>
          <o:OLEObject Type="Embed" ProgID="Equation.KSEE3" ShapeID="_x0000_i1030" DrawAspect="Content" ObjectID="_1468075730" r:id="rId20">
            <o:LockedField>false</o:LockedField>
          </o:OLEObject>
        </w:object>
      </w:r>
    </w:p>
    <w:p w14:paraId="70F779DD">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以上公式中，F1为中标单价；F0为基准单价、指项目所在地工程造价管理机构招标控制价审定当月发布的材料、工程设备单价；F2为施工当月项目所在地工程造价管理机构发布的材料、工程设备单价；A为合同约定的材料、工程设备单价涨跌风险幅度值。</w:t>
      </w:r>
    </w:p>
    <w:p w14:paraId="07AE337E">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color w:val="auto"/>
          <w:sz w:val="24"/>
          <w:szCs w:val="24"/>
          <w:lang w:eastAsia="zh-CN"/>
        </w:rPr>
        <w:instrText xml:space="preserve"> HYPERLINK "2.3.6.3" </w:instrText>
      </w:r>
      <w:r>
        <w:rPr>
          <w:rFonts w:hint="eastAsia" w:ascii="宋体" w:hAnsi="宋体" w:eastAsia="宋体" w:cs="宋体"/>
          <w:b/>
          <w:bCs/>
          <w:color w:val="auto"/>
          <w:sz w:val="24"/>
          <w:szCs w:val="24"/>
          <w:lang w:eastAsia="zh-CN"/>
        </w:rPr>
        <w:fldChar w:fldCharType="separate"/>
      </w:r>
      <w:r>
        <w:rPr>
          <w:rFonts w:hint="eastAsia" w:ascii="宋体" w:hAnsi="宋体" w:eastAsia="宋体" w:cs="宋体"/>
          <w:b/>
          <w:bCs/>
          <w:color w:val="auto"/>
          <w:sz w:val="24"/>
          <w:szCs w:val="24"/>
          <w:lang w:eastAsia="zh-CN"/>
        </w:rPr>
        <w:t>2.3.6.3</w:t>
      </w:r>
      <w:r>
        <w:rPr>
          <w:rFonts w:hint="eastAsia" w:ascii="宋体" w:hAnsi="宋体" w:eastAsia="宋体" w:cs="宋体"/>
          <w:b/>
          <w:bCs/>
          <w:color w:val="auto"/>
          <w:sz w:val="24"/>
          <w:szCs w:val="24"/>
          <w:lang w:eastAsia="zh-CN"/>
        </w:rPr>
        <w:fldChar w:fldCharType="end"/>
      </w:r>
      <w:r>
        <w:rPr>
          <w:rFonts w:hint="eastAsia" w:ascii="宋体" w:hAnsi="宋体" w:eastAsia="宋体" w:cs="宋体"/>
          <w:b w:val="0"/>
          <w:bCs w:val="0"/>
          <w:color w:val="auto"/>
          <w:sz w:val="24"/>
          <w:szCs w:val="24"/>
          <w:lang w:eastAsia="zh-CN"/>
        </w:rPr>
        <w:t>合同履行期间，当《发包人提供材料和工程设备一览表》（详见招标工程量清单）中的材料、工程设备单价发生变化时，由发包人按照实际变化调整，并列入合同价款。</w:t>
      </w:r>
    </w:p>
    <w:p w14:paraId="0D9BB4BD">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color w:val="auto"/>
          <w:sz w:val="24"/>
          <w:szCs w:val="24"/>
          <w:lang w:eastAsia="zh-CN"/>
        </w:rPr>
        <w:instrText xml:space="preserve"> HYPERLINK "2.3.6.4" </w:instrText>
      </w:r>
      <w:r>
        <w:rPr>
          <w:rFonts w:hint="eastAsia" w:ascii="宋体" w:hAnsi="宋体" w:eastAsia="宋体" w:cs="宋体"/>
          <w:b/>
          <w:bCs/>
          <w:color w:val="auto"/>
          <w:sz w:val="24"/>
          <w:szCs w:val="24"/>
          <w:lang w:eastAsia="zh-CN"/>
        </w:rPr>
        <w:fldChar w:fldCharType="separate"/>
      </w:r>
      <w:r>
        <w:rPr>
          <w:rFonts w:hint="eastAsia" w:ascii="宋体" w:hAnsi="宋体" w:eastAsia="宋体" w:cs="宋体"/>
          <w:b/>
          <w:bCs/>
          <w:color w:val="auto"/>
          <w:sz w:val="24"/>
          <w:szCs w:val="24"/>
          <w:lang w:eastAsia="zh-CN"/>
        </w:rPr>
        <w:t>2.3.6.4</w:t>
      </w:r>
      <w:r>
        <w:rPr>
          <w:rFonts w:hint="eastAsia" w:ascii="宋体" w:hAnsi="宋体" w:eastAsia="宋体" w:cs="宋体"/>
          <w:b/>
          <w:bCs/>
          <w:color w:val="auto"/>
          <w:sz w:val="24"/>
          <w:szCs w:val="24"/>
          <w:lang w:eastAsia="zh-CN"/>
        </w:rPr>
        <w:fldChar w:fldCharType="end"/>
      </w:r>
      <w:r>
        <w:rPr>
          <w:rFonts w:hint="eastAsia" w:ascii="宋体" w:hAnsi="宋体" w:eastAsia="宋体" w:cs="宋体"/>
          <w:b w:val="0"/>
          <w:bCs w:val="0"/>
          <w:color w:val="auto"/>
          <w:sz w:val="24"/>
          <w:szCs w:val="24"/>
          <w:lang w:eastAsia="zh-CN"/>
        </w:rPr>
        <w:t>本招标项目约定，施工机具台班单价涨跌风险幅度值B为10%。合同履行期间，当施工机具台班单价涨跌幅度等于或低于B值时，该施工机具台班单价不予调整；超过B值时，其超过部分可以调整。相关费用按有关规定进行相应调整。</w:t>
      </w:r>
    </w:p>
    <w:p w14:paraId="1902A9B6">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a．如果承包人投标报价中施工机具台班单价（以下简称“中标单价”）低于基准日当月项目所在地工程造价管理机构发布的对应施工机具台班单价（以下简称“基准单价”），该施工机具台班的结算单价调整公式为：</w:t>
      </w:r>
    </w:p>
    <w:p w14:paraId="20C202F4">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涨价时，</w:t>
      </w:r>
      <w:r>
        <w:rPr>
          <w:rFonts w:hint="eastAsia" w:ascii="宋体" w:hAnsi="宋体" w:eastAsia="宋体" w:cs="宋体"/>
          <w:b w:val="0"/>
          <w:bCs w:val="0"/>
          <w:color w:val="auto"/>
          <w:sz w:val="24"/>
          <w:szCs w:val="24"/>
          <w:lang w:eastAsia="zh-CN"/>
        </w:rPr>
        <w:object>
          <v:shape id="_x0000_i1031" o:spt="75" type="#_x0000_t75" style="height:33.95pt;width:200.95pt;" o:ole="t" filled="f" o:preferrelative="t" stroked="f" coordsize="21600,21600">
            <v:path/>
            <v:fill on="f" focussize="0,0"/>
            <v:stroke on="f"/>
            <v:imagedata r:id="rId23" o:title=""/>
            <o:lock v:ext="edit" grouping="f" rotation="f" text="f" aspectratio="t"/>
            <w10:wrap type="none"/>
            <w10:anchorlock/>
          </v:shape>
          <o:OLEObject Type="Embed" ProgID="Equation.KSEE3" ShapeID="_x0000_i1031" DrawAspect="Content" ObjectID="_1468075731" r:id="rId22">
            <o:LockedField>false</o:LockedField>
          </o:OLEObject>
        </w:object>
      </w:r>
    </w:p>
    <w:p w14:paraId="4BA33309">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跌价时，</w:t>
      </w:r>
      <w:r>
        <w:rPr>
          <w:rFonts w:hint="eastAsia" w:ascii="宋体" w:hAnsi="宋体" w:eastAsia="宋体" w:cs="宋体"/>
          <w:b w:val="0"/>
          <w:bCs w:val="0"/>
          <w:color w:val="auto"/>
          <w:sz w:val="24"/>
          <w:szCs w:val="24"/>
          <w:lang w:eastAsia="zh-CN"/>
        </w:rPr>
        <w:object>
          <v:shape id="_x0000_i1032" o:spt="75" type="#_x0000_t75" style="height:33.95pt;width:198pt;" o:ole="t" filled="f" o:preferrelative="t" stroked="f" coordsize="21600,21600">
            <v:path/>
            <v:fill on="f" focussize="0,0"/>
            <v:stroke on="f"/>
            <v:imagedata r:id="rId25" o:title=""/>
            <o:lock v:ext="edit" grouping="f" rotation="f" text="f" aspectratio="t"/>
            <w10:wrap type="none"/>
            <w10:anchorlock/>
          </v:shape>
          <o:OLEObject Type="Embed" ProgID="Equation.KSEE3" ShapeID="_x0000_i1032" DrawAspect="Content" ObjectID="_1468075732" r:id="rId24">
            <o:LockedField>false</o:LockedField>
          </o:OLEObject>
        </w:object>
      </w:r>
    </w:p>
    <w:p w14:paraId="227DE2E3">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b．如果中标单价高于基准单价，该施工机具台班的结算单价调整公式为：</w:t>
      </w:r>
    </w:p>
    <w:p w14:paraId="77042B11">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涨价时，</w:t>
      </w:r>
      <w:r>
        <w:rPr>
          <w:rFonts w:hint="eastAsia" w:ascii="宋体" w:hAnsi="宋体" w:eastAsia="宋体" w:cs="宋体"/>
          <w:b w:val="0"/>
          <w:bCs w:val="0"/>
          <w:color w:val="auto"/>
          <w:sz w:val="24"/>
          <w:szCs w:val="24"/>
          <w:lang w:eastAsia="zh-CN"/>
        </w:rPr>
        <w:object>
          <v:shape id="_x0000_i1033" o:spt="75" type="#_x0000_t75" style="height:33.95pt;width:198pt;" o:ole="t" filled="f" o:preferrelative="t" stroked="f" coordsize="21600,21600">
            <v:path/>
            <v:fill on="f" focussize="0,0"/>
            <v:stroke on="f"/>
            <v:imagedata r:id="rId27" o:title=""/>
            <o:lock v:ext="edit" grouping="f" rotation="f" text="f" aspectratio="t"/>
            <w10:wrap type="none"/>
            <w10:anchorlock/>
          </v:shape>
          <o:OLEObject Type="Embed" ProgID="Equation.KSEE3" ShapeID="_x0000_i1033" DrawAspect="Content" ObjectID="_1468075733" r:id="rId26">
            <o:LockedField>false</o:LockedField>
          </o:OLEObject>
        </w:object>
      </w:r>
    </w:p>
    <w:p w14:paraId="7A0A1DBD">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跌价时，</w:t>
      </w:r>
      <w:r>
        <w:rPr>
          <w:rFonts w:hint="eastAsia" w:ascii="宋体" w:hAnsi="宋体" w:eastAsia="宋体" w:cs="宋体"/>
          <w:b w:val="0"/>
          <w:bCs w:val="0"/>
          <w:color w:val="auto"/>
          <w:sz w:val="24"/>
          <w:szCs w:val="24"/>
          <w:lang w:eastAsia="zh-CN"/>
        </w:rPr>
        <w:object>
          <v:shape id="_x0000_i1034" o:spt="75" type="#_x0000_t75" style="height:33.95pt;width:200.95pt;" o:ole="t" filled="f" o:preferrelative="t" stroked="f" coordsize="21600,21600">
            <v:path/>
            <v:fill on="f" focussize="0,0"/>
            <v:stroke on="f"/>
            <v:imagedata r:id="rId29" o:title=""/>
            <o:lock v:ext="edit" grouping="f" rotation="f" text="f" aspectratio="t"/>
            <w10:wrap type="none"/>
            <w10:anchorlock/>
          </v:shape>
          <o:OLEObject Type="Embed" ProgID="Equation.KSEE3" ShapeID="_x0000_i1034" DrawAspect="Content" ObjectID="_1468075734" r:id="rId28">
            <o:LockedField>false</o:LockedField>
          </o:OLEObject>
        </w:object>
      </w:r>
    </w:p>
    <w:p w14:paraId="40744CE1">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c．如果中标单价等于基准单价，该施工机具台班的结算单价调整公式为：</w:t>
      </w:r>
    </w:p>
    <w:p w14:paraId="0B8DB182">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涨价时，</w:t>
      </w:r>
      <w:r>
        <w:rPr>
          <w:rFonts w:hint="eastAsia" w:ascii="宋体" w:hAnsi="宋体" w:eastAsia="宋体" w:cs="宋体"/>
          <w:b w:val="0"/>
          <w:bCs w:val="0"/>
          <w:color w:val="auto"/>
          <w:sz w:val="24"/>
          <w:szCs w:val="24"/>
          <w:lang w:eastAsia="zh-CN"/>
        </w:rPr>
        <w:object>
          <v:shape id="_x0000_i1035" o:spt="75" type="#_x0000_t75" style="height:33.95pt;width:200.95pt;" o:ole="t" filled="f" o:preferrelative="t" stroked="f" coordsize="21600,21600">
            <v:path/>
            <v:fill on="f" focussize="0,0"/>
            <v:stroke on="f"/>
            <v:imagedata r:id="rId31" o:title=""/>
            <o:lock v:ext="edit" grouping="f" rotation="f" text="f" aspectratio="t"/>
            <w10:wrap type="none"/>
            <w10:anchorlock/>
          </v:shape>
          <o:OLEObject Type="Embed" ProgID="Equation.KSEE3" ShapeID="_x0000_i1035" DrawAspect="Content" ObjectID="_1468075735" r:id="rId30">
            <o:LockedField>false</o:LockedField>
          </o:OLEObject>
        </w:object>
      </w:r>
    </w:p>
    <w:p w14:paraId="3C2990F3">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跌价时，</w:t>
      </w:r>
      <w:r>
        <w:rPr>
          <w:rFonts w:hint="eastAsia" w:ascii="宋体" w:hAnsi="宋体" w:eastAsia="宋体" w:cs="宋体"/>
          <w:b w:val="0"/>
          <w:bCs w:val="0"/>
          <w:color w:val="auto"/>
          <w:sz w:val="24"/>
          <w:szCs w:val="24"/>
          <w:lang w:eastAsia="zh-CN"/>
        </w:rPr>
        <w:object>
          <v:shape id="_x0000_i1036" o:spt="75" type="#_x0000_t75" style="height:33.95pt;width:200.95pt;" o:ole="t" filled="f" o:preferrelative="t" stroked="f" coordsize="21600,21600">
            <v:path/>
            <v:fill on="f" focussize="0,0"/>
            <v:stroke on="f"/>
            <v:imagedata r:id="rId33" o:title=""/>
            <o:lock v:ext="edit" grouping="f" rotation="f" text="f" aspectratio="t"/>
            <w10:wrap type="none"/>
            <w10:anchorlock/>
          </v:shape>
          <o:OLEObject Type="Embed" ProgID="Equation.KSEE3" ShapeID="_x0000_i1036" DrawAspect="Content" ObjectID="_1468075736" r:id="rId32">
            <o:LockedField>false</o:LockedField>
          </o:OLEObject>
        </w:object>
      </w:r>
    </w:p>
    <w:p w14:paraId="1041EC7B">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以上公式中，F1为中标单价；F0为基准单价；F2为施工当月项目所在地工程造价管理机构发布的施工机具台班单价；B为合同约定的施工机具台班单价涨跌风险幅度值。</w:t>
      </w:r>
    </w:p>
    <w:p w14:paraId="75E7E2F4">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2.3.7</w:t>
      </w:r>
      <w:r>
        <w:rPr>
          <w:rFonts w:hint="eastAsia" w:ascii="宋体" w:hAnsi="宋体" w:eastAsia="宋体" w:cs="宋体"/>
          <w:b w:val="0"/>
          <w:bCs w:val="0"/>
          <w:color w:val="auto"/>
          <w:sz w:val="24"/>
          <w:szCs w:val="24"/>
          <w:lang w:eastAsia="zh-CN"/>
        </w:rPr>
        <w:t>暂估价和暂列金额</w:t>
      </w:r>
    </w:p>
    <w:p w14:paraId="478B1F4D">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color w:val="auto"/>
          <w:sz w:val="24"/>
          <w:szCs w:val="24"/>
          <w:lang w:eastAsia="zh-CN"/>
        </w:rPr>
        <w:instrText xml:space="preserve"> HYPERLINK "2.3.7.1" </w:instrText>
      </w:r>
      <w:r>
        <w:rPr>
          <w:rFonts w:hint="eastAsia" w:ascii="宋体" w:hAnsi="宋体" w:eastAsia="宋体" w:cs="宋体"/>
          <w:b/>
          <w:bCs/>
          <w:color w:val="auto"/>
          <w:sz w:val="24"/>
          <w:szCs w:val="24"/>
          <w:lang w:eastAsia="zh-CN"/>
        </w:rPr>
        <w:fldChar w:fldCharType="separate"/>
      </w:r>
      <w:r>
        <w:rPr>
          <w:rFonts w:hint="eastAsia" w:ascii="宋体" w:hAnsi="宋体" w:eastAsia="宋体" w:cs="宋体"/>
          <w:b/>
          <w:bCs/>
          <w:color w:val="auto"/>
          <w:sz w:val="24"/>
          <w:szCs w:val="24"/>
          <w:lang w:eastAsia="zh-CN"/>
        </w:rPr>
        <w:t>2.3.7.1</w:t>
      </w:r>
      <w:r>
        <w:rPr>
          <w:rFonts w:hint="eastAsia" w:ascii="宋体" w:hAnsi="宋体" w:eastAsia="宋体" w:cs="宋体"/>
          <w:b/>
          <w:bCs/>
          <w:color w:val="auto"/>
          <w:sz w:val="24"/>
          <w:szCs w:val="24"/>
          <w:lang w:eastAsia="zh-CN"/>
        </w:rPr>
        <w:fldChar w:fldCharType="end"/>
      </w:r>
      <w:r>
        <w:rPr>
          <w:rFonts w:hint="eastAsia" w:ascii="宋体" w:hAnsi="宋体" w:eastAsia="宋体" w:cs="宋体"/>
          <w:b w:val="0"/>
          <w:bCs w:val="0"/>
          <w:color w:val="auto"/>
          <w:sz w:val="24"/>
          <w:szCs w:val="24"/>
          <w:lang w:eastAsia="zh-CN"/>
        </w:rPr>
        <w:t>暂估价项目按第一章第三节“投标人须知正文”第8.5条的规定确定专业工程承包人（或材料供应商、工程设备供应商）后，将专业工程合同价款（或材料单价、工程设备单价）取代相应暂估价，并调整合同价款。</w:t>
      </w:r>
    </w:p>
    <w:p w14:paraId="5133AC1A">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color w:val="auto"/>
          <w:sz w:val="24"/>
          <w:szCs w:val="24"/>
          <w:lang w:eastAsia="zh-CN"/>
        </w:rPr>
        <w:instrText xml:space="preserve"> HYPERLINK "2.3.7.2" </w:instrText>
      </w:r>
      <w:r>
        <w:rPr>
          <w:rFonts w:hint="eastAsia" w:ascii="宋体" w:hAnsi="宋体" w:eastAsia="宋体" w:cs="宋体"/>
          <w:b/>
          <w:bCs/>
          <w:color w:val="auto"/>
          <w:sz w:val="24"/>
          <w:szCs w:val="24"/>
          <w:lang w:eastAsia="zh-CN"/>
        </w:rPr>
        <w:fldChar w:fldCharType="separate"/>
      </w:r>
      <w:r>
        <w:rPr>
          <w:rFonts w:hint="eastAsia" w:ascii="宋体" w:hAnsi="宋体" w:eastAsia="宋体" w:cs="宋体"/>
          <w:b/>
          <w:bCs/>
          <w:color w:val="auto"/>
          <w:sz w:val="24"/>
          <w:szCs w:val="24"/>
          <w:lang w:eastAsia="zh-CN"/>
        </w:rPr>
        <w:t>2.3.7.2</w:t>
      </w:r>
      <w:r>
        <w:rPr>
          <w:rFonts w:hint="eastAsia" w:ascii="宋体" w:hAnsi="宋体" w:eastAsia="宋体" w:cs="宋体"/>
          <w:b/>
          <w:bCs/>
          <w:color w:val="auto"/>
          <w:sz w:val="24"/>
          <w:szCs w:val="24"/>
          <w:lang w:eastAsia="zh-CN"/>
        </w:rPr>
        <w:fldChar w:fldCharType="end"/>
      </w:r>
      <w:r>
        <w:rPr>
          <w:rFonts w:hint="eastAsia" w:ascii="宋体" w:hAnsi="宋体" w:eastAsia="宋体" w:cs="宋体"/>
          <w:b w:val="0"/>
          <w:bCs w:val="0"/>
          <w:color w:val="auto"/>
          <w:sz w:val="24"/>
          <w:szCs w:val="24"/>
          <w:lang w:eastAsia="zh-CN"/>
        </w:rPr>
        <w:t>暂列金额由发包人掌握和使用。暂列金额项目若有发生，按第一章第三节“投标人须知正文”第8.6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4BA1E7DC">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2.3.8</w:t>
      </w:r>
      <w:r>
        <w:rPr>
          <w:rFonts w:hint="eastAsia" w:ascii="宋体" w:hAnsi="宋体" w:eastAsia="宋体" w:cs="宋体"/>
          <w:b w:val="0"/>
          <w:bCs w:val="0"/>
          <w:color w:val="auto"/>
          <w:sz w:val="24"/>
          <w:szCs w:val="24"/>
          <w:lang w:eastAsia="zh-CN"/>
        </w:rPr>
        <w:t>预算包干费按照分部分项的人工费与施工机具费之和及投标费率计取。本招标项目的预算包干内容包括：施工雨水、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地上(地下)设施，建筑物的临时保护设施费和二次加工基地设施费；雨季施工增加费；己完工程及设备保护等。</w:t>
      </w:r>
    </w:p>
    <w:p w14:paraId="12DC3C23">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2.3.9</w:t>
      </w:r>
      <w:r>
        <w:rPr>
          <w:rFonts w:hint="eastAsia" w:ascii="宋体" w:hAnsi="宋体" w:eastAsia="宋体" w:cs="宋体"/>
          <w:b w:val="0"/>
          <w:bCs w:val="0"/>
          <w:color w:val="auto"/>
          <w:sz w:val="24"/>
          <w:szCs w:val="24"/>
          <w:lang w:eastAsia="zh-CN"/>
        </w:rPr>
        <w:t>其余事项（如不可抗力、索赔、现场签证等）的调整原则按照《建设工程工程量清单计价规范》（GB50500—2013）有关规定执行。</w:t>
      </w:r>
    </w:p>
    <w:p w14:paraId="7E34DA75">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2.4</w:t>
      </w:r>
      <w:r>
        <w:rPr>
          <w:rFonts w:hint="eastAsia" w:ascii="宋体" w:hAnsi="宋体" w:eastAsia="宋体" w:cs="宋体"/>
          <w:b w:val="0"/>
          <w:bCs w:val="0"/>
          <w:color w:val="auto"/>
          <w:sz w:val="24"/>
          <w:szCs w:val="24"/>
          <w:lang w:eastAsia="zh-CN"/>
        </w:rPr>
        <w:t>凡将引起合同价款调增的事项，承包人必须于拟实施14天前，将详细的报价书（含拟实施项目名称、变更部位、理由、预计造价等）报监理单位审核和发包人批准后方可实施。</w:t>
      </w:r>
    </w:p>
    <w:p w14:paraId="596D0B21">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2.5</w:t>
      </w:r>
      <w:r>
        <w:rPr>
          <w:rFonts w:hint="eastAsia" w:ascii="宋体" w:hAnsi="宋体" w:eastAsia="宋体" w:cs="宋体"/>
          <w:b w:val="0"/>
          <w:bCs w:val="0"/>
          <w:color w:val="auto"/>
          <w:sz w:val="24"/>
          <w:szCs w:val="24"/>
          <w:lang w:eastAsia="zh-CN"/>
        </w:rPr>
        <w:t>承包人不得以不完全了解现场情况为理由，提出额外付款或延长工期等要求。对此类要求，发包人不作任何考虑及答复。</w:t>
      </w:r>
    </w:p>
    <w:p w14:paraId="1DEDC522">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2.6</w:t>
      </w:r>
      <w:r>
        <w:rPr>
          <w:rFonts w:hint="eastAsia" w:ascii="宋体" w:hAnsi="宋体" w:eastAsia="宋体" w:cs="宋体"/>
          <w:b w:val="0"/>
          <w:bCs w:val="0"/>
          <w:color w:val="auto"/>
          <w:sz w:val="24"/>
          <w:szCs w:val="24"/>
          <w:lang w:eastAsia="zh-CN"/>
        </w:rPr>
        <w:t>承包人已标价工程量清单中漏报、错报或少报的清单项目，其价格均视为已经包含在其它清单项目中，竣工结算时不得重新组价和调整。</w:t>
      </w:r>
    </w:p>
    <w:p w14:paraId="3E601474">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2.7</w:t>
      </w:r>
      <w:r>
        <w:rPr>
          <w:rFonts w:hint="eastAsia" w:ascii="宋体" w:hAnsi="宋体" w:eastAsia="宋体" w:cs="宋体"/>
          <w:b w:val="0"/>
          <w:bCs w:val="0"/>
          <w:color w:val="auto"/>
          <w:sz w:val="24"/>
          <w:szCs w:val="24"/>
          <w:lang w:eastAsia="zh-CN"/>
        </w:rPr>
        <w:t>项目完工后，发、承包双方和受其委托具备相应资质的工程造价咨询单位必须按照《建设工程工程量清单计价规范》（GB50500—2013）和国家、省、市的有关规定办理竣工结算。</w:t>
      </w:r>
    </w:p>
    <w:p w14:paraId="1570C099">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2.8</w:t>
      </w:r>
      <w:r>
        <w:rPr>
          <w:rFonts w:hint="eastAsia" w:ascii="宋体" w:hAnsi="宋体" w:eastAsia="宋体" w:cs="宋体"/>
          <w:b w:val="0"/>
          <w:bCs w:val="0"/>
          <w:color w:val="auto"/>
          <w:sz w:val="24"/>
          <w:szCs w:val="24"/>
          <w:lang w:eastAsia="zh-CN"/>
        </w:rPr>
        <w:t>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306206A0">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2.9</w:t>
      </w:r>
      <w:r>
        <w:rPr>
          <w:rFonts w:hint="eastAsia" w:ascii="宋体" w:hAnsi="宋体" w:eastAsia="宋体" w:cs="宋体"/>
          <w:b w:val="0"/>
          <w:bCs w:val="0"/>
          <w:color w:val="auto"/>
          <w:sz w:val="24"/>
          <w:szCs w:val="24"/>
          <w:lang w:eastAsia="zh-CN"/>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692468B1">
      <w:pPr>
        <w:pStyle w:val="3"/>
        <w:bidi w:val="0"/>
        <w:spacing w:line="360" w:lineRule="auto"/>
        <w:ind w:firstLine="482" w:firstLineChars="200"/>
        <w:rPr>
          <w:rFonts w:hint="eastAsia" w:ascii="宋体" w:hAnsi="宋体" w:eastAsia="宋体" w:cs="宋体"/>
          <w:color w:val="auto"/>
          <w:sz w:val="24"/>
          <w:szCs w:val="24"/>
          <w:lang w:eastAsia="zh-CN"/>
        </w:rPr>
      </w:pPr>
      <w:bookmarkStart w:id="99" w:name="_Toc18125"/>
      <w:r>
        <w:rPr>
          <w:rFonts w:hint="eastAsia" w:ascii="宋体" w:hAnsi="宋体" w:eastAsia="宋体" w:cs="宋体"/>
          <w:color w:val="auto"/>
          <w:sz w:val="24"/>
          <w:szCs w:val="24"/>
          <w:lang w:eastAsia="zh-CN"/>
        </w:rPr>
        <w:t>3．工程付款办法</w:t>
      </w:r>
      <w:bookmarkEnd w:id="99"/>
    </w:p>
    <w:p w14:paraId="68B5EFF7">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3.1</w:t>
      </w:r>
      <w:r>
        <w:rPr>
          <w:rFonts w:hint="eastAsia" w:ascii="宋体" w:hAnsi="宋体" w:eastAsia="宋体" w:cs="宋体"/>
          <w:b w:val="0"/>
          <w:bCs w:val="0"/>
          <w:color w:val="auto"/>
          <w:sz w:val="24"/>
          <w:szCs w:val="24"/>
          <w:lang w:eastAsia="zh-CN"/>
        </w:rPr>
        <w:t>本招标项目</w:t>
      </w:r>
      <w:r>
        <w:rPr>
          <w:rFonts w:hint="eastAsia" w:ascii="宋体" w:hAnsi="宋体" w:eastAsia="宋体" w:cs="宋体"/>
          <w:b w:val="0"/>
          <w:bCs w:val="0"/>
          <w:color w:val="auto"/>
          <w:sz w:val="24"/>
          <w:szCs w:val="24"/>
          <w:u w:val="single"/>
          <w:lang w:eastAsia="zh-CN"/>
        </w:rPr>
        <w:t>支付</w:t>
      </w:r>
      <w:r>
        <w:rPr>
          <w:rFonts w:hint="eastAsia" w:ascii="宋体" w:hAnsi="宋体" w:eastAsia="宋体" w:cs="宋体"/>
          <w:b w:val="0"/>
          <w:bCs w:val="0"/>
          <w:color w:val="auto"/>
          <w:sz w:val="24"/>
          <w:szCs w:val="24"/>
          <w:lang w:eastAsia="zh-CN"/>
        </w:rPr>
        <w:t>施工预付款。</w:t>
      </w:r>
    </w:p>
    <w:p w14:paraId="54332FDA">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3.2</w:t>
      </w:r>
      <w:r>
        <w:rPr>
          <w:rFonts w:hint="eastAsia" w:ascii="宋体" w:hAnsi="宋体" w:eastAsia="宋体" w:cs="宋体"/>
          <w:b w:val="0"/>
          <w:bCs w:val="0"/>
          <w:color w:val="auto"/>
          <w:sz w:val="24"/>
          <w:szCs w:val="24"/>
          <w:lang w:eastAsia="zh-CN"/>
        </w:rPr>
        <w:t>施工预付款必须专用于合同工程，并按以下原则支付和抵扣：</w:t>
      </w:r>
    </w:p>
    <w:p w14:paraId="4B38E125">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3.2.1</w:t>
      </w:r>
      <w:r>
        <w:rPr>
          <w:rFonts w:hint="eastAsia" w:ascii="宋体" w:hAnsi="宋体" w:eastAsia="宋体" w:cs="宋体"/>
          <w:b w:val="0"/>
          <w:bCs w:val="0"/>
          <w:color w:val="auto"/>
          <w:sz w:val="24"/>
          <w:szCs w:val="24"/>
          <w:lang w:eastAsia="zh-CN"/>
        </w:rPr>
        <w:t>施工预付款支付比例为：按施工合同价的</w:t>
      </w:r>
      <w:r>
        <w:rPr>
          <w:rFonts w:hint="eastAsia" w:ascii="宋体" w:hAnsi="宋体" w:eastAsia="宋体" w:cs="宋体"/>
          <w:b w:val="0"/>
          <w:bCs w:val="0"/>
          <w:color w:val="auto"/>
          <w:sz w:val="24"/>
          <w:szCs w:val="24"/>
          <w:lang w:val="en-US" w:eastAsia="zh-CN"/>
        </w:rPr>
        <w:t>30%</w:t>
      </w:r>
      <w:r>
        <w:rPr>
          <w:rFonts w:hint="eastAsia" w:ascii="宋体" w:hAnsi="宋体" w:eastAsia="宋体" w:cs="宋体"/>
          <w:b w:val="0"/>
          <w:bCs w:val="0"/>
          <w:color w:val="auto"/>
          <w:sz w:val="24"/>
          <w:szCs w:val="24"/>
          <w:lang w:eastAsia="zh-CN"/>
        </w:rPr>
        <w:t>支付（注：合同签订且资金下达并经当地财政审核后15个工作日内支付）。</w:t>
      </w:r>
    </w:p>
    <w:p w14:paraId="3D9FE09E">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3.2.2</w:t>
      </w:r>
      <w:r>
        <w:rPr>
          <w:rFonts w:hint="eastAsia" w:ascii="宋体" w:hAnsi="宋体" w:eastAsia="宋体" w:cs="宋体"/>
          <w:b w:val="0"/>
          <w:bCs w:val="0"/>
          <w:color w:val="auto"/>
          <w:sz w:val="24"/>
          <w:szCs w:val="24"/>
          <w:lang w:eastAsia="zh-CN"/>
        </w:rPr>
        <w:t>本招标项目不要求承包人提供与预付款等额的预付款保函。</w:t>
      </w:r>
    </w:p>
    <w:p w14:paraId="76F11008">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3.2.3</w:t>
      </w:r>
      <w:r>
        <w:rPr>
          <w:rFonts w:hint="eastAsia" w:ascii="宋体" w:hAnsi="宋体" w:eastAsia="宋体" w:cs="宋体"/>
          <w:b w:val="0"/>
          <w:bCs w:val="0"/>
          <w:color w:val="auto"/>
          <w:sz w:val="24"/>
          <w:szCs w:val="24"/>
          <w:lang w:eastAsia="zh-CN"/>
        </w:rPr>
        <w:t>承包人应在签订合同后，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4F36CE35">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3.2.4</w:t>
      </w:r>
      <w:r>
        <w:rPr>
          <w:rFonts w:hint="eastAsia" w:ascii="宋体" w:hAnsi="宋体" w:eastAsia="宋体" w:cs="宋体"/>
          <w:b w:val="0"/>
          <w:bCs w:val="0"/>
          <w:color w:val="auto"/>
          <w:sz w:val="24"/>
          <w:szCs w:val="24"/>
          <w:lang w:eastAsia="zh-CN"/>
        </w:rPr>
        <w:t>发包人没有按时支付预付款的，承包人可催告发包人支付；发包人在付款期满后的7天内仍未支付的，承包人可在付款期满后的第8天起暂停施工。发包人应向承包人支付应付款的利息（从付款期满后之日起计算，利率按同期银行贷款利率计算），并承担违约责任。</w:t>
      </w:r>
    </w:p>
    <w:p w14:paraId="379DA9E9">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3.2.5</w:t>
      </w:r>
      <w:r>
        <w:rPr>
          <w:rFonts w:hint="eastAsia" w:ascii="宋体" w:hAnsi="宋体" w:eastAsia="宋体" w:cs="宋体"/>
          <w:b w:val="0"/>
          <w:bCs w:val="0"/>
          <w:color w:val="auto"/>
          <w:sz w:val="24"/>
          <w:szCs w:val="24"/>
          <w:lang w:eastAsia="zh-CN"/>
        </w:rPr>
        <w:t>预付款应从每支付期应支付给承包人的工程进度款中扣回，直到扣回的金额达到合同约定的预付款金额为止。</w:t>
      </w:r>
    </w:p>
    <w:p w14:paraId="6A4CE48E">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3.3</w:t>
      </w:r>
      <w:r>
        <w:rPr>
          <w:rFonts w:hint="eastAsia" w:ascii="宋体" w:hAnsi="宋体" w:eastAsia="宋体" w:cs="宋体"/>
          <w:b w:val="0"/>
          <w:bCs w:val="0"/>
          <w:color w:val="auto"/>
          <w:sz w:val="24"/>
          <w:szCs w:val="24"/>
          <w:lang w:eastAsia="zh-CN"/>
        </w:rPr>
        <w:t>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14:paraId="4C0D60D1">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3.4</w:t>
      </w:r>
      <w:r>
        <w:rPr>
          <w:rFonts w:hint="eastAsia" w:ascii="宋体" w:hAnsi="宋体" w:eastAsia="宋体" w:cs="宋体"/>
          <w:b w:val="0"/>
          <w:bCs w:val="0"/>
          <w:color w:val="auto"/>
          <w:sz w:val="24"/>
          <w:szCs w:val="24"/>
          <w:lang w:eastAsia="zh-CN"/>
        </w:rPr>
        <w:t>承包人已依照相关规定开立工人工资支付专用账户，发包人支付工程进度款时，其中80%支付进入本合同协议书载明的承包人账户、其中20%支付进入本款载明的工人工资支付专用账户。承包人必须与所有聘用人员签订劳动合同，并按劳动合同约定每月足额通过专用账户发放工资，并按月将工资发放资料提交一份给发包人。</w:t>
      </w:r>
    </w:p>
    <w:p w14:paraId="1ED2614B">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3.5</w:t>
      </w:r>
      <w:r>
        <w:rPr>
          <w:rFonts w:hint="eastAsia" w:ascii="宋体" w:hAnsi="宋体" w:eastAsia="宋体" w:cs="宋体"/>
          <w:b w:val="0"/>
          <w:bCs w:val="0"/>
          <w:color w:val="auto"/>
          <w:sz w:val="24"/>
          <w:szCs w:val="24"/>
          <w:lang w:eastAsia="zh-CN"/>
        </w:rPr>
        <w:t>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24AEA19A">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3.6</w:t>
      </w:r>
      <w:r>
        <w:rPr>
          <w:rFonts w:hint="eastAsia" w:ascii="宋体" w:hAnsi="宋体" w:eastAsia="宋体" w:cs="宋体"/>
          <w:b w:val="0"/>
          <w:bCs w:val="0"/>
          <w:color w:val="auto"/>
          <w:sz w:val="24"/>
          <w:szCs w:val="24"/>
          <w:lang w:eastAsia="zh-CN"/>
        </w:rPr>
        <w:t>变更工程造价必须经监理单位核实，并经发包人核定后方可支付。</w:t>
      </w:r>
    </w:p>
    <w:p w14:paraId="7CCA1B57">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3.7</w:t>
      </w:r>
      <w:r>
        <w:rPr>
          <w:rFonts w:hint="eastAsia" w:ascii="宋体" w:hAnsi="宋体" w:eastAsia="宋体" w:cs="宋体"/>
          <w:b w:val="0"/>
          <w:bCs w:val="0"/>
          <w:color w:val="auto"/>
          <w:sz w:val="24"/>
          <w:szCs w:val="24"/>
          <w:lang w:eastAsia="zh-CN"/>
        </w:rPr>
        <w:t>结算审核完成后，于次月支付至合同价格的97%，剩余3%转为质量保证金；承包人提交了等额质量保证担保或质量保证保险的，于次月一次性结清合同价格。</w:t>
      </w:r>
    </w:p>
    <w:p w14:paraId="5811403A">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3.8</w:t>
      </w:r>
      <w:r>
        <w:rPr>
          <w:rFonts w:hint="eastAsia" w:ascii="宋体" w:hAnsi="宋体" w:eastAsia="宋体" w:cs="宋体"/>
          <w:b w:val="0"/>
          <w:bCs w:val="0"/>
          <w:color w:val="auto"/>
          <w:sz w:val="24"/>
          <w:szCs w:val="24"/>
          <w:lang w:eastAsia="zh-CN"/>
        </w:rPr>
        <w:t>本招标项目缺陷责任期为</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lang w:eastAsia="zh-CN"/>
        </w:rPr>
        <w:t>年（自通过竣工验收之日起计）。缺陷责任期到期后，承包人向发包人申请退还质量保证。发包人收到退还申请后，于14天内会同承包人进行核实。经双方核实且均无异议后，发包人在核实之日起14天内将应返保证金（或银行保函）退还承包人。</w:t>
      </w:r>
    </w:p>
    <w:p w14:paraId="7453D5AB">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3.9</w:t>
      </w:r>
      <w:r>
        <w:rPr>
          <w:rFonts w:hint="eastAsia" w:ascii="宋体" w:hAnsi="宋体" w:eastAsia="宋体" w:cs="宋体"/>
          <w:b w:val="0"/>
          <w:bCs w:val="0"/>
          <w:color w:val="auto"/>
          <w:sz w:val="24"/>
          <w:szCs w:val="24"/>
          <w:lang w:eastAsia="zh-CN"/>
        </w:rPr>
        <w:t>发包人每次支付工程款前，承包人均应提供有效的增值税专用发票。如果承包人无法提供符合要求的发票，由此造成的相应损失由承包人承担。</w:t>
      </w:r>
    </w:p>
    <w:p w14:paraId="77524FAB">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3.10</w:t>
      </w:r>
      <w:r>
        <w:rPr>
          <w:rFonts w:hint="eastAsia" w:ascii="宋体" w:hAnsi="宋体" w:eastAsia="宋体" w:cs="宋体"/>
          <w:b w:val="0"/>
          <w:bCs w:val="0"/>
          <w:color w:val="auto"/>
          <w:sz w:val="24"/>
          <w:szCs w:val="24"/>
          <w:lang w:eastAsia="zh-CN"/>
        </w:rPr>
        <w:t>暂列金额支付方式：由招标人根据本工程实际情况和地方政策与中标人自行协商签定相关专用合同条款。</w:t>
      </w:r>
    </w:p>
    <w:p w14:paraId="2781C425">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3.11</w:t>
      </w:r>
      <w:r>
        <w:rPr>
          <w:rFonts w:hint="eastAsia" w:ascii="宋体" w:hAnsi="宋体" w:eastAsia="宋体" w:cs="宋体"/>
          <w:b w:val="0"/>
          <w:bCs w:val="0"/>
          <w:color w:val="auto"/>
          <w:sz w:val="24"/>
          <w:szCs w:val="24"/>
          <w:lang w:eastAsia="zh-CN"/>
        </w:rPr>
        <w:t>材料暂估价、专业工程暂估价支付方式：由招标人根据本工程实际情况和地方政策与中标人自行协商签定相关专用合同条款。</w:t>
      </w:r>
    </w:p>
    <w:p w14:paraId="28F7780D">
      <w:pPr>
        <w:pStyle w:val="3"/>
        <w:bidi w:val="0"/>
        <w:spacing w:line="360" w:lineRule="auto"/>
        <w:ind w:firstLine="482" w:firstLineChars="200"/>
        <w:rPr>
          <w:rFonts w:hint="eastAsia" w:ascii="宋体" w:hAnsi="宋体" w:eastAsia="宋体" w:cs="宋体"/>
          <w:color w:val="auto"/>
          <w:sz w:val="24"/>
          <w:szCs w:val="24"/>
          <w:lang w:eastAsia="zh-CN"/>
        </w:rPr>
      </w:pPr>
      <w:bookmarkStart w:id="100" w:name="_Toc29875"/>
      <w:r>
        <w:rPr>
          <w:rFonts w:hint="eastAsia" w:ascii="宋体" w:hAnsi="宋体" w:eastAsia="宋体" w:cs="宋体"/>
          <w:color w:val="auto"/>
          <w:sz w:val="24"/>
          <w:szCs w:val="24"/>
          <w:lang w:eastAsia="zh-CN"/>
        </w:rPr>
        <w:t>4．其他专用合同条款</w:t>
      </w:r>
      <w:bookmarkEnd w:id="100"/>
    </w:p>
    <w:p w14:paraId="49176F4B">
      <w:pPr>
        <w:spacing w:line="360" w:lineRule="auto"/>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由招标人根据本工程实际情况和地方政策与中标人自行协商签定相关专用合同条款。</w:t>
      </w:r>
    </w:p>
    <w:p w14:paraId="39A38ADA">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4.1</w:t>
      </w:r>
      <w:r>
        <w:rPr>
          <w:rFonts w:hint="eastAsia" w:ascii="宋体" w:hAnsi="宋体" w:eastAsia="宋体" w:cs="宋体"/>
          <w:b w:val="0"/>
          <w:bCs w:val="0"/>
          <w:color w:val="auto"/>
          <w:sz w:val="24"/>
          <w:szCs w:val="24"/>
          <w:lang w:eastAsia="zh-CN"/>
        </w:rPr>
        <w:t>专业工程分包</w:t>
      </w:r>
    </w:p>
    <w:p w14:paraId="12278E64">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16A7B292">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4.2</w:t>
      </w:r>
      <w:r>
        <w:rPr>
          <w:rFonts w:hint="eastAsia" w:ascii="宋体" w:hAnsi="宋体" w:eastAsia="宋体" w:cs="宋体"/>
          <w:b w:val="0"/>
          <w:bCs w:val="0"/>
          <w:color w:val="auto"/>
          <w:sz w:val="24"/>
          <w:szCs w:val="24"/>
          <w:lang w:eastAsia="zh-CN"/>
        </w:rPr>
        <w:t>工人工资支付专用账户</w:t>
      </w:r>
    </w:p>
    <w:p w14:paraId="0D3A5873">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4.2.1</w:t>
      </w:r>
      <w:r>
        <w:rPr>
          <w:rFonts w:hint="eastAsia" w:ascii="宋体" w:hAnsi="宋体" w:eastAsia="宋体" w:cs="宋体"/>
          <w:b w:val="0"/>
          <w:bCs w:val="0"/>
          <w:color w:val="auto"/>
          <w:sz w:val="24"/>
          <w:szCs w:val="24"/>
          <w:lang w:eastAsia="zh-CN"/>
        </w:rPr>
        <w:t>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05C8647F">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4.2.2</w:t>
      </w:r>
      <w:r>
        <w:rPr>
          <w:rFonts w:hint="eastAsia" w:ascii="宋体" w:hAnsi="宋体" w:eastAsia="宋体" w:cs="宋体"/>
          <w:b w:val="0"/>
          <w:bCs w:val="0"/>
          <w:color w:val="auto"/>
          <w:sz w:val="24"/>
          <w:szCs w:val="24"/>
          <w:lang w:eastAsia="zh-CN"/>
        </w:rPr>
        <w:t>依据人力资源社会保障部等十部门印发的《工程建设领域农民工工资专用账户管理暂行办法》（人社部发〔2021〕53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19CC4539">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按韶关市人力资源和社会保障局韶关市住房和城乡建设管理局韶关市交通运输局韶关市水务局韶关市金融工作局国家金融监督管理总局韶关监管分局关于印发《韶关市工程建设领域农民工工资保证金管理实施细则》的通知(韶人社规〔2023〕2号)及《韶关市工程建设领域农民工工资保证金管理实施细则》（韶法审〔2023〕19号）规定执行。承包人在签订工程施工承包合同后一个月内必须办妥该事项，并将办妥回执交发包人。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2倍向发包人支付违约金。</w:t>
      </w:r>
    </w:p>
    <w:p w14:paraId="3088EC99">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4.2.3</w:t>
      </w:r>
      <w:r>
        <w:rPr>
          <w:rFonts w:hint="eastAsia" w:ascii="宋体" w:hAnsi="宋体" w:eastAsia="宋体" w:cs="宋体"/>
          <w:b w:val="0"/>
          <w:bCs w:val="0"/>
          <w:color w:val="auto"/>
          <w:sz w:val="24"/>
          <w:szCs w:val="24"/>
          <w:lang w:eastAsia="zh-CN"/>
        </w:rPr>
        <w:t>承包人应在工资专户开立后2个工作日内，将开户银行及其账号、开户协议等资料提交给发包人。</w:t>
      </w:r>
    </w:p>
    <w:p w14:paraId="2CF2BAC0">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（1）用人单位应当在建设项目动工前，在建设项目所在地商业银行设立工人工资支付专用账户。</w:t>
      </w:r>
    </w:p>
    <w:p w14:paraId="501AB31E">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（2）用人单位应当在用工之日起15日内为每一位工人办理个人银行账户。</w:t>
      </w:r>
    </w:p>
    <w:p w14:paraId="7E2E4D82">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（3）用人单位应当指定专人负责建设项目施工现场台账管理，真实、准确记录工人名册、劳务合同、劳动合同、工程进度、工时台账、劳务承包款和工人工资支付等信息，并保存两年以上备查。</w:t>
      </w:r>
    </w:p>
    <w:p w14:paraId="09E5CA55">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4）用人单位应当按照“及时支付，按实结算”的原则，在规定日期前通过银行工人工资支付专用账户将工人工资直接支付到工人的个人银行账户，并按月将工人工资支付明细表报施工总承包单位和建设单位备案。</w:t>
      </w:r>
    </w:p>
    <w:p w14:paraId="62819E23">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用人单位未建立、保存用工管理台账，或者伪造相关台账的，按照《广东省劳动保障监察条例》第五十条的规定，由人力资源社会保障部门责令改正，并可处以二千元以上二万元以下的人民币罚款。</w:t>
      </w:r>
    </w:p>
    <w:p w14:paraId="7528AD83">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4.2.4</w:t>
      </w:r>
      <w:r>
        <w:rPr>
          <w:rFonts w:hint="eastAsia" w:ascii="宋体" w:hAnsi="宋体" w:eastAsia="宋体" w:cs="宋体"/>
          <w:b w:val="0"/>
          <w:bCs w:val="0"/>
          <w:color w:val="auto"/>
          <w:sz w:val="24"/>
          <w:szCs w:val="24"/>
          <w:lang w:eastAsia="zh-CN"/>
        </w:rPr>
        <w:t>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4988D283">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4.3</w:t>
      </w:r>
      <w:r>
        <w:rPr>
          <w:rFonts w:hint="eastAsia" w:ascii="宋体" w:hAnsi="宋体" w:eastAsia="宋体" w:cs="宋体"/>
          <w:b w:val="0"/>
          <w:bCs w:val="0"/>
          <w:color w:val="auto"/>
          <w:sz w:val="24"/>
          <w:szCs w:val="24"/>
          <w:lang w:eastAsia="zh-CN"/>
        </w:rPr>
        <w:t>诚信登记</w:t>
      </w:r>
    </w:p>
    <w:p w14:paraId="2872C6D7">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根据资质管理规定，许可机关应当建立、健全建筑业企业信用档案管理制度，包括企业基本信息、资质、业绩、工程质量和安全、合同履约、社会投诉和违法行为等情况。</w:t>
      </w:r>
    </w:p>
    <w:p w14:paraId="054A27F4">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4.4</w:t>
      </w:r>
      <w:r>
        <w:rPr>
          <w:rFonts w:hint="eastAsia" w:ascii="宋体" w:hAnsi="宋体" w:eastAsia="宋体" w:cs="宋体"/>
          <w:b w:val="0"/>
          <w:bCs w:val="0"/>
          <w:color w:val="auto"/>
          <w:sz w:val="24"/>
          <w:szCs w:val="24"/>
          <w:lang w:eastAsia="zh-CN"/>
        </w:rPr>
        <w:t>工期进度</w:t>
      </w:r>
    </w:p>
    <w:p w14:paraId="33D20652">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4.4.1</w:t>
      </w:r>
      <w:r>
        <w:rPr>
          <w:rFonts w:hint="eastAsia" w:ascii="宋体" w:hAnsi="宋体" w:eastAsia="宋体" w:cs="宋体"/>
          <w:b w:val="0"/>
          <w:bCs w:val="0"/>
          <w:color w:val="auto"/>
          <w:sz w:val="24"/>
          <w:szCs w:val="24"/>
          <w:lang w:eastAsia="zh-CN"/>
        </w:rPr>
        <w:t>本招标项目施工标准工期为</w:t>
      </w:r>
      <w:r>
        <w:rPr>
          <w:rFonts w:hint="eastAsia" w:ascii="宋体" w:hAnsi="宋体" w:eastAsia="宋体" w:cs="宋体"/>
          <w:b w:val="0"/>
          <w:bCs w:val="0"/>
          <w:color w:val="auto"/>
          <w:sz w:val="24"/>
          <w:szCs w:val="24"/>
          <w:lang w:val="en-US" w:eastAsia="zh-CN"/>
        </w:rPr>
        <w:t>230</w:t>
      </w:r>
      <w:r>
        <w:rPr>
          <w:rFonts w:hint="eastAsia" w:ascii="宋体" w:hAnsi="宋体" w:eastAsia="宋体" w:cs="宋体"/>
          <w:b w:val="0"/>
          <w:bCs w:val="0"/>
          <w:color w:val="auto"/>
          <w:sz w:val="24"/>
          <w:szCs w:val="24"/>
          <w:lang w:eastAsia="zh-CN"/>
        </w:rPr>
        <w:t>个日历天，招标工期为</w:t>
      </w:r>
      <w:r>
        <w:rPr>
          <w:rFonts w:hint="eastAsia" w:ascii="宋体" w:hAnsi="宋体" w:eastAsia="宋体" w:cs="宋体"/>
          <w:b w:val="0"/>
          <w:bCs w:val="0"/>
          <w:color w:val="auto"/>
          <w:sz w:val="24"/>
          <w:szCs w:val="24"/>
          <w:lang w:val="en-US" w:eastAsia="zh-CN"/>
        </w:rPr>
        <w:t>230</w:t>
      </w:r>
      <w:r>
        <w:rPr>
          <w:rFonts w:hint="eastAsia" w:ascii="宋体" w:hAnsi="宋体" w:eastAsia="宋体" w:cs="宋体"/>
          <w:b w:val="0"/>
          <w:bCs w:val="0"/>
          <w:color w:val="auto"/>
          <w:sz w:val="24"/>
          <w:szCs w:val="24"/>
          <w:lang w:eastAsia="zh-CN"/>
        </w:rPr>
        <w:t>个日历天，承包人必须在招标工期内完成招标范围内的全部内容。</w:t>
      </w:r>
    </w:p>
    <w:p w14:paraId="71AF4289">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4.4.2</w:t>
      </w:r>
      <w:r>
        <w:rPr>
          <w:rFonts w:hint="eastAsia" w:ascii="宋体" w:hAnsi="宋体" w:eastAsia="宋体" w:cs="宋体"/>
          <w:b w:val="0"/>
          <w:bCs w:val="0"/>
          <w:color w:val="auto"/>
          <w:sz w:val="24"/>
          <w:szCs w:val="24"/>
          <w:lang w:eastAsia="zh-CN"/>
        </w:rPr>
        <w:t>施工工期从承包人收到监理单位签发的开工令之日起计，至竣工验收合格之日止。</w:t>
      </w:r>
    </w:p>
    <w:p w14:paraId="0D0DF0E6">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4.4.3</w:t>
      </w:r>
      <w:r>
        <w:rPr>
          <w:rFonts w:hint="eastAsia" w:ascii="宋体" w:hAnsi="宋体" w:eastAsia="宋体" w:cs="宋体"/>
          <w:b w:val="0"/>
          <w:bCs w:val="0"/>
          <w:color w:val="auto"/>
          <w:sz w:val="24"/>
          <w:szCs w:val="24"/>
          <w:lang w:eastAsia="zh-CN"/>
        </w:rPr>
        <w:t>工期奖罚</w:t>
      </w:r>
    </w:p>
    <w:p w14:paraId="5F7A9F47">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□竣工验收合格交付使用每提前天竣工；奖</w:t>
      </w:r>
      <w:r>
        <w:rPr>
          <w:rFonts w:hint="eastAsia" w:ascii="宋体" w:hAnsi="宋体" w:eastAsia="宋体" w:cs="宋体"/>
          <w:b w:val="0"/>
          <w:bCs w:val="0"/>
          <w:color w:val="auto"/>
          <w:sz w:val="24"/>
          <w:szCs w:val="24"/>
          <w:u w:val="single"/>
          <w:lang w:val="en-US" w:eastAsia="zh-CN"/>
        </w:rPr>
        <w:t>/</w:t>
      </w:r>
      <w:r>
        <w:rPr>
          <w:rFonts w:hint="eastAsia" w:ascii="宋体" w:hAnsi="宋体" w:eastAsia="宋体" w:cs="宋体"/>
          <w:b w:val="0"/>
          <w:bCs w:val="0"/>
          <w:color w:val="auto"/>
          <w:sz w:val="24"/>
          <w:szCs w:val="24"/>
          <w:lang w:eastAsia="zh-CN"/>
        </w:rPr>
        <w:t>元，奖励金额不超过合同价款的</w:t>
      </w:r>
      <w:r>
        <w:rPr>
          <w:rFonts w:hint="eastAsia" w:ascii="宋体" w:hAnsi="宋体" w:eastAsia="宋体" w:cs="宋体"/>
          <w:b w:val="0"/>
          <w:bCs w:val="0"/>
          <w:color w:val="auto"/>
          <w:sz w:val="24"/>
          <w:szCs w:val="24"/>
          <w:u w:val="single"/>
          <w:lang w:val="en-US" w:eastAsia="zh-CN"/>
        </w:rPr>
        <w:t>/</w:t>
      </w:r>
      <w:r>
        <w:rPr>
          <w:rFonts w:hint="eastAsia" w:ascii="宋体" w:hAnsi="宋体" w:eastAsia="宋体" w:cs="宋体"/>
          <w:b w:val="0"/>
          <w:bCs w:val="0"/>
          <w:color w:val="auto"/>
          <w:sz w:val="24"/>
          <w:szCs w:val="24"/>
          <w:lang w:eastAsia="zh-CN"/>
        </w:rPr>
        <w:t>%（一般为2%～5%）且不超过</w:t>
      </w:r>
      <w:r>
        <w:rPr>
          <w:rFonts w:hint="eastAsia" w:ascii="宋体" w:hAnsi="宋体" w:eastAsia="宋体" w:cs="宋体"/>
          <w:b w:val="0"/>
          <w:bCs w:val="0"/>
          <w:color w:val="auto"/>
          <w:sz w:val="24"/>
          <w:szCs w:val="24"/>
          <w:u w:val="single"/>
          <w:lang w:val="en-US" w:eastAsia="zh-CN"/>
        </w:rPr>
        <w:t>/</w:t>
      </w:r>
      <w:r>
        <w:rPr>
          <w:rFonts w:hint="eastAsia" w:ascii="宋体" w:hAnsi="宋体" w:eastAsia="宋体" w:cs="宋体"/>
          <w:b w:val="0"/>
          <w:bCs w:val="0"/>
          <w:color w:val="auto"/>
          <w:sz w:val="24"/>
          <w:szCs w:val="24"/>
          <w:lang w:eastAsia="zh-CN"/>
        </w:rPr>
        <w:t>万元。</w:t>
      </w:r>
    </w:p>
    <w:p w14:paraId="023A2FF3">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☑按施工合同期约定,因承包人原因每延误天竣工,罚</w:t>
      </w:r>
      <w:r>
        <w:rPr>
          <w:rFonts w:hint="eastAsia" w:ascii="宋体" w:hAnsi="宋体" w:eastAsia="宋体" w:cs="宋体"/>
          <w:b w:val="0"/>
          <w:bCs w:val="0"/>
          <w:color w:val="auto"/>
          <w:sz w:val="24"/>
          <w:szCs w:val="24"/>
          <w:lang w:val="en-US" w:eastAsia="zh-CN"/>
        </w:rPr>
        <w:t>1000</w:t>
      </w:r>
      <w:r>
        <w:rPr>
          <w:rFonts w:hint="eastAsia" w:ascii="宋体" w:hAnsi="宋体" w:eastAsia="宋体" w:cs="宋体"/>
          <w:b w:val="0"/>
          <w:bCs w:val="0"/>
          <w:color w:val="auto"/>
          <w:sz w:val="24"/>
          <w:szCs w:val="24"/>
          <w:lang w:eastAsia="zh-CN"/>
        </w:rPr>
        <w:t>元。</w:t>
      </w:r>
    </w:p>
    <w:p w14:paraId="03835BDA">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□按施工合同期约定,因承包人原因延误工期天内不处罚，自第天起每延误天竣工,罚元。处罚金额不超过合同价款的</w:t>
      </w:r>
      <w:r>
        <w:rPr>
          <w:rFonts w:hint="eastAsia" w:ascii="宋体" w:hAnsi="宋体" w:eastAsia="宋体" w:cs="宋体"/>
          <w:b w:val="0"/>
          <w:bCs w:val="0"/>
          <w:color w:val="auto"/>
          <w:sz w:val="24"/>
          <w:szCs w:val="24"/>
          <w:u w:val="single"/>
          <w:lang w:val="en-US" w:eastAsia="zh-CN"/>
        </w:rPr>
        <w:t>/</w:t>
      </w:r>
      <w:r>
        <w:rPr>
          <w:rFonts w:hint="eastAsia" w:ascii="宋体" w:hAnsi="宋体" w:eastAsia="宋体" w:cs="宋体"/>
          <w:b w:val="0"/>
          <w:bCs w:val="0"/>
          <w:color w:val="auto"/>
          <w:sz w:val="24"/>
          <w:szCs w:val="24"/>
          <w:lang w:eastAsia="zh-CN"/>
        </w:rPr>
        <w:t>%（一般为2%～5%）且不超过万元，累计延误工期达到</w:t>
      </w:r>
      <w:r>
        <w:rPr>
          <w:rFonts w:hint="eastAsia" w:ascii="宋体" w:hAnsi="宋体" w:eastAsia="宋体" w:cs="宋体"/>
          <w:b w:val="0"/>
          <w:bCs w:val="0"/>
          <w:color w:val="auto"/>
          <w:sz w:val="24"/>
          <w:szCs w:val="24"/>
          <w:u w:val="single"/>
          <w:lang w:val="en-US" w:eastAsia="zh-CN"/>
        </w:rPr>
        <w:t>/</w:t>
      </w:r>
      <w:r>
        <w:rPr>
          <w:rFonts w:hint="eastAsia" w:ascii="宋体" w:hAnsi="宋体" w:eastAsia="宋体" w:cs="宋体"/>
          <w:b w:val="0"/>
          <w:bCs w:val="0"/>
          <w:color w:val="auto"/>
          <w:sz w:val="24"/>
          <w:szCs w:val="24"/>
          <w:lang w:eastAsia="zh-CN"/>
        </w:rPr>
        <w:t>天，报请建设行政主管部门作不良行为记录，非承包方原因或不可抗力造成延误的除外。</w:t>
      </w:r>
    </w:p>
    <w:p w14:paraId="64AE0222">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□其它说明：</w:t>
      </w:r>
    </w:p>
    <w:p w14:paraId="0ACD383A">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4.5</w:t>
      </w:r>
      <w:r>
        <w:rPr>
          <w:rFonts w:hint="eastAsia" w:ascii="宋体" w:hAnsi="宋体" w:eastAsia="宋体" w:cs="宋体"/>
          <w:b w:val="0"/>
          <w:bCs w:val="0"/>
          <w:color w:val="auto"/>
          <w:sz w:val="24"/>
          <w:szCs w:val="24"/>
          <w:lang w:eastAsia="zh-CN"/>
        </w:rPr>
        <w:t>项目管理机构</w:t>
      </w:r>
    </w:p>
    <w:p w14:paraId="19E04E94">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4.5.1</w:t>
      </w:r>
      <w:r>
        <w:rPr>
          <w:rFonts w:hint="eastAsia" w:ascii="宋体" w:hAnsi="宋体" w:eastAsia="宋体" w:cs="宋体"/>
          <w:b w:val="0"/>
          <w:bCs w:val="0"/>
          <w:color w:val="auto"/>
          <w:sz w:val="24"/>
          <w:szCs w:val="24"/>
          <w:lang w:eastAsia="zh-CN"/>
        </w:rPr>
        <w:t>承包人派驻的项目管理班子成员必须为其投标文件确定的人员，否则发包</w:t>
      </w:r>
      <w:r>
        <w:rPr>
          <w:rFonts w:hint="eastAsia" w:ascii="宋体" w:hAnsi="宋体" w:eastAsia="宋体" w:cs="宋体"/>
          <w:b w:val="0"/>
          <w:bCs w:val="0"/>
          <w:color w:val="auto"/>
          <w:sz w:val="24"/>
          <w:szCs w:val="24"/>
          <w:lang w:val="en-US" w:eastAsia="zh-CN"/>
        </w:rPr>
        <w:t>人</w:t>
      </w:r>
      <w:r>
        <w:rPr>
          <w:rFonts w:hint="eastAsia" w:ascii="宋体" w:hAnsi="宋体" w:eastAsia="宋体" w:cs="宋体"/>
          <w:b w:val="0"/>
          <w:bCs w:val="0"/>
          <w:color w:val="auto"/>
          <w:sz w:val="24"/>
          <w:szCs w:val="24"/>
          <w:lang w:eastAsia="zh-CN"/>
        </w:rPr>
        <w:t>有权终止合同。</w:t>
      </w:r>
    </w:p>
    <w:p w14:paraId="27B96277">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4.5.2</w:t>
      </w:r>
      <w:r>
        <w:rPr>
          <w:rFonts w:hint="eastAsia" w:ascii="宋体" w:hAnsi="宋体" w:eastAsia="宋体" w:cs="宋体"/>
          <w:b w:val="0"/>
          <w:bCs w:val="0"/>
          <w:color w:val="auto"/>
          <w:sz w:val="24"/>
          <w:szCs w:val="24"/>
          <w:lang w:eastAsia="zh-CN"/>
        </w:rPr>
        <w:t>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57D6735D">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4.6</w:t>
      </w:r>
      <w:r>
        <w:rPr>
          <w:rFonts w:hint="eastAsia" w:ascii="宋体" w:hAnsi="宋体" w:eastAsia="宋体" w:cs="宋体"/>
          <w:b w:val="0"/>
          <w:bCs w:val="0"/>
          <w:color w:val="auto"/>
          <w:sz w:val="24"/>
          <w:szCs w:val="24"/>
          <w:lang w:eastAsia="zh-CN"/>
        </w:rPr>
        <w:t>现场管理</w:t>
      </w:r>
    </w:p>
    <w:p w14:paraId="147FFCA2">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4.6.1</w:t>
      </w:r>
      <w:r>
        <w:rPr>
          <w:rFonts w:hint="eastAsia" w:ascii="宋体" w:hAnsi="宋体" w:eastAsia="宋体" w:cs="宋体"/>
          <w:b w:val="0"/>
          <w:bCs w:val="0"/>
          <w:color w:val="auto"/>
          <w:sz w:val="24"/>
          <w:szCs w:val="24"/>
          <w:lang w:eastAsia="zh-CN"/>
        </w:rPr>
        <w:t>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1E017279">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4.6.2</w:t>
      </w:r>
      <w:r>
        <w:rPr>
          <w:rFonts w:hint="eastAsia" w:ascii="宋体" w:hAnsi="宋体" w:eastAsia="宋体" w:cs="宋体"/>
          <w:b w:val="0"/>
          <w:bCs w:val="0"/>
          <w:color w:val="auto"/>
          <w:sz w:val="24"/>
          <w:szCs w:val="24"/>
          <w:lang w:eastAsia="zh-CN"/>
        </w:rPr>
        <w:t>承包人应按安全施工有关规定，采取严格、科学的安全防护措施，确保施工和人员（包括第三者）的安全，承担由于自身安全防护措施不力所造成的安全事故责任和发生的费用。</w:t>
      </w:r>
    </w:p>
    <w:p w14:paraId="33C02471">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4.6.3</w:t>
      </w:r>
      <w:r>
        <w:rPr>
          <w:rFonts w:hint="eastAsia" w:ascii="宋体" w:hAnsi="宋体" w:eastAsia="宋体" w:cs="宋体"/>
          <w:b w:val="0"/>
          <w:bCs w:val="0"/>
          <w:color w:val="auto"/>
          <w:sz w:val="24"/>
          <w:szCs w:val="24"/>
          <w:lang w:eastAsia="zh-CN"/>
        </w:rPr>
        <w:t>为保证施工现场的环境卫生，承包人在本招标项目施工过程中，所有的车辆必须按发包人规定的行车路线行驶。</w:t>
      </w:r>
    </w:p>
    <w:p w14:paraId="6C7D6C1F">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4.7</w:t>
      </w:r>
      <w:r>
        <w:rPr>
          <w:rFonts w:hint="eastAsia" w:ascii="宋体" w:hAnsi="宋体" w:eastAsia="宋体" w:cs="宋体"/>
          <w:b w:val="0"/>
          <w:bCs w:val="0"/>
          <w:color w:val="auto"/>
          <w:sz w:val="24"/>
          <w:szCs w:val="24"/>
          <w:lang w:eastAsia="zh-CN"/>
        </w:rPr>
        <w:t>监督实施</w:t>
      </w:r>
    </w:p>
    <w:p w14:paraId="7451CD0C">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15EAEC81">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4.8</w:t>
      </w:r>
      <w:r>
        <w:rPr>
          <w:rFonts w:hint="eastAsia" w:ascii="宋体" w:hAnsi="宋体" w:eastAsia="宋体" w:cs="宋体"/>
          <w:b w:val="0"/>
          <w:bCs w:val="0"/>
          <w:color w:val="auto"/>
          <w:sz w:val="24"/>
          <w:szCs w:val="24"/>
          <w:lang w:eastAsia="zh-CN"/>
        </w:rPr>
        <w:t>主材的采购和使用</w:t>
      </w:r>
    </w:p>
    <w:p w14:paraId="099D6A5B">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5C9088F6">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4.9</w:t>
      </w:r>
      <w:r>
        <w:rPr>
          <w:rFonts w:hint="eastAsia" w:ascii="宋体" w:hAnsi="宋体" w:eastAsia="宋体" w:cs="宋体"/>
          <w:b w:val="0"/>
          <w:bCs w:val="0"/>
          <w:color w:val="auto"/>
          <w:sz w:val="24"/>
          <w:szCs w:val="24"/>
          <w:lang w:eastAsia="zh-CN"/>
        </w:rPr>
        <w:t>竣工资料移交</w:t>
      </w:r>
    </w:p>
    <w:p w14:paraId="16E789DC">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项目竣工验收时，承包人应向监理单位和发包人提供符合国家档案部门备案要求的，编制成册的竣工图及有关的技术档案资料（含声像档案）一式</w:t>
      </w:r>
      <w:r>
        <w:rPr>
          <w:rFonts w:hint="eastAsia" w:ascii="宋体" w:hAnsi="宋体" w:eastAsia="宋体" w:cs="宋体"/>
          <w:b w:val="0"/>
          <w:bCs w:val="0"/>
          <w:color w:val="auto"/>
          <w:sz w:val="24"/>
          <w:szCs w:val="24"/>
          <w:lang w:val="en-US" w:eastAsia="zh-CN"/>
        </w:rPr>
        <w:t>八</w:t>
      </w:r>
      <w:r>
        <w:rPr>
          <w:rFonts w:hint="eastAsia" w:ascii="宋体" w:hAnsi="宋体" w:eastAsia="宋体" w:cs="宋体"/>
          <w:b w:val="0"/>
          <w:bCs w:val="0"/>
          <w:color w:val="auto"/>
          <w:sz w:val="24"/>
          <w:szCs w:val="24"/>
          <w:lang w:eastAsia="zh-CN"/>
        </w:rPr>
        <w:t>份。</w:t>
      </w:r>
    </w:p>
    <w:p w14:paraId="0DFAF20D">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4.10</w:t>
      </w:r>
      <w:r>
        <w:rPr>
          <w:rFonts w:hint="eastAsia" w:ascii="宋体" w:hAnsi="宋体" w:eastAsia="宋体" w:cs="宋体"/>
          <w:b w:val="0"/>
          <w:bCs w:val="0"/>
          <w:color w:val="auto"/>
          <w:sz w:val="24"/>
          <w:szCs w:val="24"/>
          <w:lang w:eastAsia="zh-CN"/>
        </w:rPr>
        <w:t>质量保证</w:t>
      </w:r>
    </w:p>
    <w:p w14:paraId="126E5FD2">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4.10.1</w:t>
      </w:r>
      <w:r>
        <w:rPr>
          <w:rFonts w:hint="eastAsia" w:ascii="宋体" w:hAnsi="宋体" w:eastAsia="宋体" w:cs="宋体"/>
          <w:b w:val="0"/>
          <w:bCs w:val="0"/>
          <w:color w:val="auto"/>
          <w:sz w:val="24"/>
          <w:szCs w:val="24"/>
          <w:lang w:eastAsia="zh-CN"/>
        </w:rPr>
        <w:t>本招标项目缺陷责任期为</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lang w:eastAsia="zh-CN"/>
        </w:rPr>
        <w:t>年（自通过竣工验收之日起计），在此期间预留金额为结算价</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lang w:eastAsia="zh-CN"/>
        </w:rPr>
        <w:t>%的质量保证。</w:t>
      </w:r>
    </w:p>
    <w:p w14:paraId="5DC43AD2">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4.10.2</w:t>
      </w:r>
      <w:r>
        <w:rPr>
          <w:rFonts w:hint="eastAsia" w:ascii="宋体" w:hAnsi="宋体" w:eastAsia="宋体" w:cs="宋体"/>
          <w:b w:val="0"/>
          <w:bCs w:val="0"/>
          <w:color w:val="auto"/>
          <w:sz w:val="24"/>
          <w:szCs w:val="24"/>
          <w:lang w:eastAsia="zh-CN"/>
        </w:rPr>
        <w:t>采用质量保证金，在结清审定总造价时一次性扣留相应金额作为质量保证金。</w:t>
      </w:r>
    </w:p>
    <w:p w14:paraId="66172171">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4.10.3</w:t>
      </w:r>
      <w:r>
        <w:rPr>
          <w:rFonts w:hint="eastAsia" w:ascii="宋体" w:hAnsi="宋体" w:eastAsia="宋体" w:cs="宋体"/>
          <w:b w:val="0"/>
          <w:bCs w:val="0"/>
          <w:color w:val="auto"/>
          <w:sz w:val="24"/>
          <w:szCs w:val="24"/>
          <w:lang w:eastAsia="zh-CN"/>
        </w:rPr>
        <w:t>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71854777">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由他人原因造成的缺陷，发包人负责组织维修，承包人不承担费用，且发包人不得从质量保证中扣除费用。</w:t>
      </w:r>
    </w:p>
    <w:p w14:paraId="245E90AD">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4.10.4</w:t>
      </w:r>
      <w:r>
        <w:rPr>
          <w:rFonts w:hint="eastAsia" w:ascii="宋体" w:hAnsi="宋体" w:eastAsia="宋体" w:cs="宋体"/>
          <w:b w:val="0"/>
          <w:bCs w:val="0"/>
          <w:color w:val="auto"/>
          <w:sz w:val="24"/>
          <w:szCs w:val="24"/>
          <w:lang w:eastAsia="zh-CN"/>
        </w:rPr>
        <w:t>缺陷责任期内，承包人应认真履行合同约定的责任。缺陷责任期到期后，承包人向发包人申请退还质量保证，发包人应按照《建设工程质量保证金管理办法》有关规定将质量保证退还给承包人。</w:t>
      </w:r>
    </w:p>
    <w:p w14:paraId="62E1531C">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4.11</w:t>
      </w:r>
      <w:r>
        <w:rPr>
          <w:rFonts w:hint="eastAsia" w:ascii="宋体" w:hAnsi="宋体" w:eastAsia="宋体" w:cs="宋体"/>
          <w:b w:val="0"/>
          <w:bCs w:val="0"/>
          <w:color w:val="auto"/>
          <w:sz w:val="24"/>
          <w:szCs w:val="24"/>
          <w:lang w:eastAsia="zh-CN"/>
        </w:rPr>
        <w:t>不良行为处理</w:t>
      </w:r>
    </w:p>
    <w:p w14:paraId="4DD4E34B">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06727D98">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（1）转包、违法分包或违反投标承诺分包工程的；</w:t>
      </w:r>
    </w:p>
    <w:p w14:paraId="13A26E9A">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（2）非原参加投标中标的项目经理负责组织施工或在实施过程中擅自更换项目经理的、项目的其他主要管理人员与中标文件确定的人员不相符的；</w:t>
      </w:r>
    </w:p>
    <w:p w14:paraId="54F075D1">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（3）投标文件确定的大型机械设备没有进入施工现场的；</w:t>
      </w:r>
    </w:p>
    <w:p w14:paraId="6281A308">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（4）与建设单位、监理单位串通，签认虚假工程量或工程造价的；</w:t>
      </w:r>
    </w:p>
    <w:p w14:paraId="7ACA9089">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（5）项目经理施工现场管理不到位的；</w:t>
      </w:r>
    </w:p>
    <w:p w14:paraId="39CEFBE6">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（6）项目经理在非本人资格证书注册单位从事工程项目施工管理的；</w:t>
      </w:r>
    </w:p>
    <w:p w14:paraId="51BE2E54">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（7）项目经理同时承担超过一项工程项目的；</w:t>
      </w:r>
    </w:p>
    <w:p w14:paraId="00C0CD9C">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（8）违反有关法律、法规、规章规定的其它行为。</w:t>
      </w:r>
    </w:p>
    <w:p w14:paraId="037F89D4">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4.12</w:t>
      </w:r>
      <w:r>
        <w:rPr>
          <w:rFonts w:hint="eastAsia" w:ascii="宋体" w:hAnsi="宋体" w:eastAsia="宋体" w:cs="宋体"/>
          <w:b w:val="0"/>
          <w:bCs w:val="0"/>
          <w:color w:val="auto"/>
          <w:sz w:val="24"/>
          <w:szCs w:val="24"/>
          <w:lang w:eastAsia="zh-CN"/>
        </w:rPr>
        <w:t>信用评价条款内容</w:t>
      </w:r>
    </w:p>
    <w:p w14:paraId="6386CAB6">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由发包人决定是否对施工单位的履约情况进行信用评价。若进行信用评价，评价条款由发包人自拟，条款内容可参考人员到位情况、服务配合程度、服务成果质量、项目后期服务及信用评价结果的运用等。</w:t>
      </w:r>
    </w:p>
    <w:p w14:paraId="2760E6F5">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4.13</w:t>
      </w:r>
      <w:r>
        <w:rPr>
          <w:rFonts w:hint="eastAsia" w:ascii="宋体" w:hAnsi="宋体" w:eastAsia="宋体" w:cs="宋体"/>
          <w:b w:val="0"/>
          <w:bCs w:val="0"/>
          <w:color w:val="auto"/>
          <w:sz w:val="24"/>
          <w:szCs w:val="24"/>
          <w:lang w:eastAsia="zh-CN"/>
        </w:rPr>
        <w:t>危险性较大的分部分项工程安全管理约定。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w:t>
      </w:r>
    </w:p>
    <w:p w14:paraId="0D003821">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承包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和《广东省安全生产委员会办公室广东省住房和城乡建设厅关于&lt;严格落实危险性较大的分部分项工程“六不施工”要求的通知&gt;》（粤安办〔2020〕151号）等有关危险性较大的分部分项工程的法规规定通知，履行建设工程安全生产管理职责。</w:t>
      </w:r>
    </w:p>
    <w:p w14:paraId="5CF6E1C6">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4.14</w:t>
      </w:r>
      <w:r>
        <w:rPr>
          <w:rFonts w:hint="eastAsia" w:ascii="宋体" w:hAnsi="宋体" w:eastAsia="宋体" w:cs="宋体"/>
          <w:b w:val="0"/>
          <w:bCs w:val="0"/>
          <w:color w:val="auto"/>
          <w:sz w:val="24"/>
          <w:szCs w:val="24"/>
          <w:lang w:eastAsia="zh-CN"/>
        </w:rPr>
        <w:t>承包人在工程实施过程中，按照国家、省、市的相关规定制定相关的专项安全施工方案（如高支模、基坑支护、沉井等），编制专项施工方案报监理人、发包人审批后方可开展专项工程的施工。</w:t>
      </w:r>
    </w:p>
    <w:p w14:paraId="53C10BD4">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4.15</w:t>
      </w:r>
      <w:r>
        <w:rPr>
          <w:rFonts w:hint="eastAsia" w:ascii="宋体" w:hAnsi="宋体" w:eastAsia="宋体" w:cs="宋体"/>
          <w:b w:val="0"/>
          <w:bCs w:val="0"/>
          <w:color w:val="auto"/>
          <w:sz w:val="24"/>
          <w:szCs w:val="24"/>
          <w:lang w:eastAsia="zh-CN"/>
        </w:rPr>
        <w:t>承包人须按照《韶关市建筑垃圾管理条例》（2021年5月1日起施行），将弃土运至发包人指定的场所，否则发包人有权要求承包人无条件将弃土从违约弃土点运至发包人指定的场所并扣除违约金人民币</w:t>
      </w: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lang w:eastAsia="zh-CN"/>
        </w:rPr>
        <w:t>万元/次。承包人对建筑垃圾须按《韶关市建筑垃圾管理条例》（2021年5月1日起施行）的相关规定进行排放和运输，投标人在投标报价时综合考虑在报价内。承包人应在施工现场建立洗车槽和临时排水系统等确保外运车辆（土方运输车辆应符合韶关市相关规定）不带泥上路，投标人在投标报价时综合考虑在报价内，发包人不另行支付该部分费用）。建设单位、施工单位应当在施工工地出入口显著位置公示建筑垃圾处理方案主要信息，包括建设工程垃圾种类、产生量、外运处置去向等信息及各相关单位名称、联系人及联系电话等。</w:t>
      </w:r>
    </w:p>
    <w:p w14:paraId="436DA9D1">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4.16</w:t>
      </w:r>
      <w:r>
        <w:rPr>
          <w:rFonts w:hint="eastAsia" w:ascii="宋体" w:hAnsi="宋体" w:eastAsia="宋体" w:cs="宋体"/>
          <w:b w:val="0"/>
          <w:bCs w:val="0"/>
          <w:color w:val="auto"/>
          <w:sz w:val="24"/>
          <w:szCs w:val="24"/>
          <w:lang w:eastAsia="zh-CN"/>
        </w:rPr>
        <w:t>工程竣工验收后15日内，承包人应按市城建档案馆的要求（质量、数量），将编制成册的施工档案资料（含声像档案和电子档案）提供给发包人、市城建档案馆、市住建管理局、管养单位及监理单位，并承担档案涉及的所有费用（制作标准和相关要求按市城建档案馆的有关规定执行）。承包人提交符合城建档案馆要求的竣工资料经发包人确认签收后，即可办理工程结算手续。</w:t>
      </w:r>
    </w:p>
    <w:p w14:paraId="2A405F32">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4.17</w:t>
      </w:r>
      <w:r>
        <w:rPr>
          <w:rFonts w:hint="eastAsia" w:ascii="宋体" w:hAnsi="宋体" w:eastAsia="宋体" w:cs="宋体"/>
          <w:b w:val="0"/>
          <w:bCs w:val="0"/>
          <w:color w:val="auto"/>
          <w:sz w:val="24"/>
          <w:szCs w:val="24"/>
          <w:lang w:eastAsia="zh-CN"/>
        </w:rPr>
        <w:t>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w:t>
      </w:r>
    </w:p>
    <w:p w14:paraId="5B2E9B2E">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4.18</w:t>
      </w:r>
      <w:r>
        <w:rPr>
          <w:rFonts w:hint="eastAsia" w:ascii="宋体" w:hAnsi="宋体" w:eastAsia="宋体" w:cs="宋体"/>
          <w:b w:val="0"/>
          <w:bCs w:val="0"/>
          <w:color w:val="auto"/>
          <w:sz w:val="24"/>
          <w:szCs w:val="24"/>
          <w:lang w:eastAsia="zh-CN"/>
        </w:rPr>
        <w:t>承包人中标后必须按规定及时缴交工人工资保证金、环保噪声排污费等（</w:t>
      </w:r>
      <w:r>
        <w:rPr>
          <w:rFonts w:hint="eastAsia" w:ascii="宋体" w:hAnsi="宋体" w:eastAsia="宋体" w:cs="宋体"/>
          <w:b w:val="0"/>
          <w:bCs w:val="0"/>
          <w:color w:val="auto"/>
          <w:sz w:val="24"/>
          <w:szCs w:val="24"/>
          <w:lang w:val="en-US" w:eastAsia="zh-CN"/>
        </w:rPr>
        <w:t>如有</w:t>
      </w:r>
      <w:r>
        <w:rPr>
          <w:rFonts w:hint="eastAsia" w:ascii="宋体" w:hAnsi="宋体" w:eastAsia="宋体" w:cs="宋体"/>
          <w:b w:val="0"/>
          <w:bCs w:val="0"/>
          <w:color w:val="auto"/>
          <w:sz w:val="24"/>
          <w:szCs w:val="24"/>
          <w:lang w:eastAsia="zh-CN"/>
        </w:rPr>
        <w:t>）。</w:t>
      </w:r>
    </w:p>
    <w:p w14:paraId="4A8A0921">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4.19</w:t>
      </w:r>
      <w:r>
        <w:rPr>
          <w:rFonts w:hint="eastAsia" w:ascii="宋体" w:hAnsi="宋体" w:eastAsia="宋体" w:cs="宋体"/>
          <w:b w:val="0"/>
          <w:bCs w:val="0"/>
          <w:color w:val="auto"/>
          <w:sz w:val="24"/>
          <w:szCs w:val="24"/>
          <w:lang w:eastAsia="zh-CN"/>
        </w:rPr>
        <w:t>工程质量保修期按《中华人民共和国建筑法》、《建设工程质量管理条例》等相关规定实施。</w:t>
      </w:r>
    </w:p>
    <w:p w14:paraId="4BA0298F">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4.20</w:t>
      </w:r>
      <w:r>
        <w:rPr>
          <w:rFonts w:hint="eastAsia" w:ascii="宋体" w:hAnsi="宋体" w:eastAsia="宋体" w:cs="宋体"/>
          <w:b w:val="0"/>
          <w:bCs w:val="0"/>
          <w:color w:val="auto"/>
          <w:sz w:val="24"/>
          <w:szCs w:val="24"/>
          <w:lang w:eastAsia="zh-CN"/>
        </w:rPr>
        <w:t>如项目实施过程中发生了工程变更及工程签证，承包人需根据发包人发布的《工程变更管理办法》和《工程签证管理办法》完善工程变更签证相关程序。</w:t>
      </w:r>
    </w:p>
    <w:p w14:paraId="2ED04897">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4.21</w:t>
      </w:r>
      <w:r>
        <w:rPr>
          <w:rFonts w:hint="eastAsia" w:ascii="宋体" w:hAnsi="宋体" w:eastAsia="宋体" w:cs="宋体"/>
          <w:b w:val="0"/>
          <w:bCs w:val="0"/>
          <w:color w:val="auto"/>
          <w:sz w:val="24"/>
          <w:szCs w:val="24"/>
          <w:lang w:eastAsia="zh-CN"/>
        </w:rPr>
        <w:t>承包人需按相关规定要求，设置本工程符合相关要求的永久性标牌及规划公示牌，投标人在投标报价时综合考虑在报价内，发包人不另行支付该部分费用。</w:t>
      </w:r>
    </w:p>
    <w:p w14:paraId="67AE4E4A">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4.22</w:t>
      </w:r>
      <w:r>
        <w:rPr>
          <w:rFonts w:hint="eastAsia" w:ascii="宋体" w:hAnsi="宋体" w:eastAsia="宋体" w:cs="宋体"/>
          <w:b w:val="0"/>
          <w:bCs w:val="0"/>
          <w:color w:val="auto"/>
          <w:sz w:val="24"/>
          <w:szCs w:val="24"/>
          <w:lang w:eastAsia="zh-CN"/>
        </w:rPr>
        <w:t>承包人应在项目所在地住建管理部门办理诚信登记，发包人将严格按住建管理部门诚信登记管理办法对承包人履约情况进行考核。</w:t>
      </w:r>
    </w:p>
    <w:p w14:paraId="36A6E3E4">
      <w:pPr>
        <w:spacing w:line="360" w:lineRule="auto"/>
        <w:ind w:firstLine="482" w:firstLineChars="200"/>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4.23</w:t>
      </w:r>
      <w:r>
        <w:rPr>
          <w:rFonts w:hint="eastAsia" w:ascii="宋体" w:hAnsi="宋体" w:eastAsia="宋体" w:cs="宋体"/>
          <w:b w:val="0"/>
          <w:bCs w:val="0"/>
          <w:color w:val="auto"/>
          <w:sz w:val="24"/>
          <w:szCs w:val="24"/>
          <w:lang w:eastAsia="zh-CN"/>
        </w:rPr>
        <w:t>承包人应按韶关市住房和城乡建设管理局、韶关市人力资源和社会保障局等职能部门对用工实名制的相关规定,落实工人及相关软硬件设施要求。</w:t>
      </w:r>
      <w:bookmarkEnd w:id="92"/>
      <w:bookmarkStart w:id="101" w:name="_Hlt69698796"/>
    </w:p>
    <w:p w14:paraId="19040132">
      <w:pPr>
        <w:rPr>
          <w:rFonts w:hint="eastAsia" w:ascii="宋体" w:hAnsi="宋体" w:eastAsia="宋体" w:cs="宋体"/>
          <w:color w:val="auto"/>
        </w:rPr>
      </w:pPr>
    </w:p>
    <w:p w14:paraId="5AB90C95">
      <w:pPr>
        <w:rPr>
          <w:rFonts w:hint="eastAsia" w:ascii="宋体" w:hAnsi="宋体" w:eastAsia="宋体" w:cs="宋体"/>
          <w:color w:val="auto"/>
        </w:rPr>
      </w:pPr>
    </w:p>
    <w:p w14:paraId="25EE0058">
      <w:pPr>
        <w:rPr>
          <w:rFonts w:hint="eastAsia" w:ascii="宋体" w:hAnsi="宋体" w:eastAsia="宋体" w:cs="宋体"/>
          <w:color w:val="auto"/>
        </w:rPr>
      </w:pPr>
    </w:p>
    <w:p w14:paraId="7E033D6F">
      <w:pPr>
        <w:rPr>
          <w:rFonts w:hint="eastAsia" w:ascii="宋体" w:hAnsi="宋体" w:eastAsia="宋体" w:cs="宋体"/>
          <w:color w:val="auto"/>
        </w:rPr>
      </w:pPr>
    </w:p>
    <w:p w14:paraId="6F0F57B7">
      <w:pPr>
        <w:rPr>
          <w:rFonts w:hint="eastAsia" w:ascii="宋体" w:hAnsi="宋体" w:eastAsia="宋体" w:cs="宋体"/>
          <w:color w:val="auto"/>
        </w:rPr>
      </w:pPr>
    </w:p>
    <w:p w14:paraId="2E23B930">
      <w:pPr>
        <w:rPr>
          <w:rFonts w:hint="eastAsia" w:ascii="宋体" w:hAnsi="宋体" w:eastAsia="宋体" w:cs="宋体"/>
          <w:color w:val="auto"/>
        </w:rPr>
      </w:pPr>
    </w:p>
    <w:p w14:paraId="7FC52D99">
      <w:pPr>
        <w:rPr>
          <w:rFonts w:hint="eastAsia" w:ascii="宋体" w:hAnsi="宋体" w:eastAsia="宋体" w:cs="宋体"/>
          <w:color w:val="auto"/>
        </w:rPr>
      </w:pPr>
    </w:p>
    <w:p w14:paraId="229011B8">
      <w:pPr>
        <w:rPr>
          <w:rFonts w:hint="eastAsia" w:ascii="宋体" w:hAnsi="宋体" w:eastAsia="宋体" w:cs="宋体"/>
          <w:color w:val="auto"/>
        </w:rPr>
      </w:pPr>
    </w:p>
    <w:p w14:paraId="1871D5E8">
      <w:pPr>
        <w:rPr>
          <w:rFonts w:hint="eastAsia" w:ascii="宋体" w:hAnsi="宋体" w:eastAsia="宋体" w:cs="宋体"/>
          <w:color w:val="auto"/>
        </w:rPr>
      </w:pPr>
    </w:p>
    <w:p w14:paraId="6869A096">
      <w:pPr>
        <w:rPr>
          <w:rFonts w:hint="eastAsia" w:ascii="宋体" w:hAnsi="宋体" w:eastAsia="宋体" w:cs="宋体"/>
          <w:color w:val="auto"/>
        </w:rPr>
      </w:pPr>
    </w:p>
    <w:p w14:paraId="76AE7536">
      <w:pPr>
        <w:rPr>
          <w:rFonts w:hint="eastAsia" w:ascii="宋体" w:hAnsi="宋体" w:eastAsia="宋体" w:cs="宋体"/>
          <w:color w:val="auto"/>
        </w:rPr>
      </w:pPr>
    </w:p>
    <w:p w14:paraId="2A2B2667">
      <w:pPr>
        <w:rPr>
          <w:rFonts w:hint="eastAsia" w:ascii="宋体" w:hAnsi="宋体" w:eastAsia="宋体" w:cs="宋体"/>
          <w:color w:val="auto"/>
        </w:rPr>
      </w:pPr>
    </w:p>
    <w:p w14:paraId="4A22E0B5">
      <w:pPr>
        <w:rPr>
          <w:rFonts w:hint="eastAsia" w:ascii="宋体" w:hAnsi="宋体" w:eastAsia="宋体" w:cs="宋体"/>
          <w:color w:val="auto"/>
        </w:rPr>
      </w:pPr>
    </w:p>
    <w:p w14:paraId="5016EAF6">
      <w:pPr>
        <w:rPr>
          <w:rFonts w:hint="eastAsia" w:ascii="宋体" w:hAnsi="宋体" w:eastAsia="宋体" w:cs="宋体"/>
          <w:color w:val="auto"/>
        </w:rPr>
      </w:pPr>
    </w:p>
    <w:p w14:paraId="1265E8B4">
      <w:pPr>
        <w:pStyle w:val="2"/>
        <w:keepNext w:val="0"/>
        <w:keepLines w:val="0"/>
        <w:pageBreakBefore w:val="0"/>
        <w:widowControl w:val="0"/>
        <w:tabs>
          <w:tab w:val="left" w:pos="885"/>
        </w:tabs>
        <w:kinsoku/>
        <w:wordWrap w:val="0"/>
        <w:overflowPunct/>
        <w:topLinePunct w:val="0"/>
        <w:autoSpaceDE/>
        <w:autoSpaceDN/>
        <w:bidi w:val="0"/>
        <w:adjustRightInd w:val="0"/>
        <w:snapToGrid w:val="0"/>
        <w:spacing w:before="0" w:beforeLines="300" w:line="440" w:lineRule="exact"/>
        <w:jc w:val="center"/>
        <w:textAlignment w:val="auto"/>
        <w:rPr>
          <w:rFonts w:hint="eastAsia" w:ascii="宋体" w:hAnsi="宋体" w:eastAsia="宋体" w:cs="宋体"/>
          <w:b/>
          <w:snapToGrid w:val="0"/>
          <w:color w:val="auto"/>
          <w:highlight w:val="none"/>
        </w:rPr>
      </w:pPr>
      <w:bookmarkStart w:id="102" w:name="_Toc21764"/>
      <w:r>
        <w:rPr>
          <w:rFonts w:hint="eastAsia" w:ascii="宋体" w:hAnsi="宋体" w:eastAsia="宋体" w:cs="宋体"/>
          <w:b/>
          <w:snapToGrid w:val="0"/>
          <w:color w:val="auto"/>
          <w:sz w:val="28"/>
          <w:szCs w:val="28"/>
          <w:highlight w:val="none"/>
        </w:rPr>
        <w:t>第四章</w:t>
      </w:r>
      <w:bookmarkStart w:id="103" w:name="_Hlt87793853"/>
      <w:bookmarkEnd w:id="103"/>
      <w:r>
        <w:rPr>
          <w:rFonts w:hint="eastAsia" w:ascii="宋体" w:hAnsi="宋体" w:eastAsia="宋体" w:cs="宋体"/>
          <w:b/>
          <w:snapToGrid w:val="0"/>
          <w:color w:val="auto"/>
          <w:sz w:val="28"/>
          <w:szCs w:val="28"/>
          <w:highlight w:val="none"/>
          <w:lang w:val="en-US" w:eastAsia="zh-CN"/>
        </w:rPr>
        <w:t xml:space="preserve">   </w:t>
      </w:r>
      <w:r>
        <w:rPr>
          <w:rFonts w:hint="eastAsia" w:ascii="宋体" w:hAnsi="宋体" w:eastAsia="宋体" w:cs="宋体"/>
          <w:b/>
          <w:snapToGrid w:val="0"/>
          <w:color w:val="auto"/>
          <w:sz w:val="28"/>
          <w:szCs w:val="28"/>
          <w:highlight w:val="none"/>
        </w:rPr>
        <w:t>技术要求</w:t>
      </w:r>
      <w:bookmarkEnd w:id="101"/>
      <w:bookmarkEnd w:id="102"/>
      <w:bookmarkStart w:id="104" w:name="_Hlt69359335"/>
      <w:bookmarkEnd w:id="104"/>
      <w:bookmarkStart w:id="105" w:name="_Hlt68774758"/>
      <w:bookmarkEnd w:id="105"/>
      <w:bookmarkStart w:id="106" w:name="_Hlt69116854"/>
      <w:bookmarkEnd w:id="106"/>
      <w:bookmarkStart w:id="107" w:name="_Hlt69357851"/>
      <w:bookmarkEnd w:id="107"/>
      <w:bookmarkStart w:id="108" w:name="_Hlt75685840"/>
      <w:bookmarkEnd w:id="108"/>
      <w:bookmarkStart w:id="109" w:name="_Hlt87793346"/>
      <w:bookmarkEnd w:id="109"/>
      <w:bookmarkStart w:id="110" w:name="_Hlt87793370"/>
      <w:bookmarkEnd w:id="110"/>
      <w:bookmarkStart w:id="111" w:name="_Hlt66104926"/>
      <w:bookmarkEnd w:id="111"/>
      <w:bookmarkStart w:id="112" w:name="_Hlt80411122"/>
      <w:bookmarkEnd w:id="112"/>
      <w:bookmarkStart w:id="113" w:name="_Hlt69358207"/>
      <w:bookmarkEnd w:id="113"/>
      <w:bookmarkStart w:id="114" w:name="_Hlt69265216"/>
      <w:bookmarkEnd w:id="114"/>
    </w:p>
    <w:p w14:paraId="305D3BE6">
      <w:pPr>
        <w:pStyle w:val="3"/>
        <w:bidi w:val="0"/>
        <w:spacing w:line="360" w:lineRule="auto"/>
        <w:ind w:firstLine="482" w:firstLineChars="200"/>
        <w:rPr>
          <w:rFonts w:hint="eastAsia" w:ascii="宋体" w:hAnsi="宋体" w:eastAsia="宋体" w:cs="宋体"/>
          <w:color w:val="auto"/>
          <w:sz w:val="24"/>
          <w:szCs w:val="24"/>
          <w:lang w:eastAsia="zh-CN"/>
        </w:rPr>
      </w:pPr>
      <w:bookmarkStart w:id="115" w:name="_Hlt69670335"/>
      <w:bookmarkEnd w:id="115"/>
      <w:bookmarkStart w:id="116" w:name="_Toc8885"/>
      <w:r>
        <w:rPr>
          <w:rFonts w:hint="eastAsia" w:ascii="宋体" w:hAnsi="宋体" w:eastAsia="宋体" w:cs="宋体"/>
          <w:color w:val="auto"/>
          <w:sz w:val="24"/>
          <w:szCs w:val="24"/>
          <w:lang w:eastAsia="zh-CN"/>
        </w:rPr>
        <w:t>1．房屋建筑工程建设项目</w:t>
      </w:r>
      <w:bookmarkEnd w:id="116"/>
    </w:p>
    <w:p w14:paraId="5CDE2E5E">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房屋建筑工程建设项目必须执行的现行技术规范，包括且不限于：</w:t>
      </w:r>
    </w:p>
    <w:p w14:paraId="64E10C59">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（1）《建筑工程施工质量验收统一标准》；</w:t>
      </w:r>
    </w:p>
    <w:p w14:paraId="6B556863">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（2）《建筑地基基础工程施工质量验收规范》；</w:t>
      </w:r>
    </w:p>
    <w:p w14:paraId="7F8B9639">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（3）《砌体工程施工质量验收规范》；</w:t>
      </w:r>
    </w:p>
    <w:p w14:paraId="1B504CA2">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（4）《混凝土结构工程施工质量验收规范》；</w:t>
      </w:r>
    </w:p>
    <w:p w14:paraId="383AD0BA">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（5）《屋面工程质量验收规范》；</w:t>
      </w:r>
    </w:p>
    <w:p w14:paraId="74623A43">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（6）《地下防水工程质量验收规范》；</w:t>
      </w:r>
    </w:p>
    <w:p w14:paraId="19978179">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（7）《建筑地面工程施工质量验收规范》；</w:t>
      </w:r>
    </w:p>
    <w:p w14:paraId="671F7550">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（8）《建筑装饰装修工程施工质量验收规范》；</w:t>
      </w:r>
    </w:p>
    <w:p w14:paraId="198B3C07">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（9）《建筑给排水及采暖工程施工质量验收规范》；</w:t>
      </w:r>
    </w:p>
    <w:p w14:paraId="5A51021C">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（10）《建筑电气工程施工质量验收规范》；</w:t>
      </w:r>
    </w:p>
    <w:p w14:paraId="74ED438D">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（11）《住建部绿色建筑评价标准》；</w:t>
      </w:r>
    </w:p>
    <w:p w14:paraId="0C9E6483">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（12）《建筑节能与可再生能源利用通用规范》（GB55015-2021）；</w:t>
      </w:r>
    </w:p>
    <w:p w14:paraId="1BA47ABA">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（13）《建筑环境通用规范》；</w:t>
      </w:r>
    </w:p>
    <w:p w14:paraId="046599D9">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（14）《建筑与市政工程无障碍通用规范》GB55019-2021；</w:t>
      </w:r>
    </w:p>
    <w:p w14:paraId="1E9D645F">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（15）《建筑防火通用规范》GB55037-2022；</w:t>
      </w:r>
    </w:p>
    <w:p w14:paraId="36691F02">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（16）《建筑与市政工程抗震通用规范》GB55002-2001；</w:t>
      </w:r>
    </w:p>
    <w:p w14:paraId="401F9308">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（17）《建筑与市政地基基础通用规范》GB55003-2001；</w:t>
      </w:r>
    </w:p>
    <w:p w14:paraId="15C708C7">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（18）《广东省住房和城乡建设厅绿色施工导则》；</w:t>
      </w:r>
    </w:p>
    <w:p w14:paraId="7AD271B8">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（19）《广东省建筑工程绿色施工评价标准》；</w:t>
      </w:r>
    </w:p>
    <w:p w14:paraId="07B1B2F7">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（20）《广东省建筑节能与绿色建筑工程施工质量验收规范》；</w:t>
      </w:r>
    </w:p>
    <w:p w14:paraId="0CFF95BD">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（21）其他现行国家、广东省关于房建工程的施工及验收规范、定额、规程、标准。</w:t>
      </w:r>
    </w:p>
    <w:p w14:paraId="721D5301">
      <w:pPr>
        <w:pStyle w:val="3"/>
        <w:bidi w:val="0"/>
        <w:spacing w:line="360" w:lineRule="auto"/>
        <w:ind w:firstLine="482" w:firstLineChars="200"/>
        <w:rPr>
          <w:rFonts w:hint="eastAsia" w:ascii="宋体" w:hAnsi="宋体" w:eastAsia="宋体" w:cs="宋体"/>
          <w:color w:val="auto"/>
          <w:sz w:val="24"/>
          <w:szCs w:val="24"/>
          <w:lang w:eastAsia="zh-CN"/>
        </w:rPr>
      </w:pPr>
      <w:bookmarkStart w:id="117" w:name="_Toc10145"/>
      <w:r>
        <w:rPr>
          <w:rFonts w:hint="eastAsia" w:ascii="宋体" w:hAnsi="宋体" w:eastAsia="宋体" w:cs="宋体"/>
          <w:color w:val="auto"/>
          <w:sz w:val="24"/>
          <w:szCs w:val="24"/>
          <w:lang w:eastAsia="zh-CN"/>
        </w:rPr>
        <w:t>2．市政基础设施工程建设项目</w:t>
      </w:r>
      <w:bookmarkEnd w:id="117"/>
    </w:p>
    <w:p w14:paraId="4416F073">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市政基础设施工程建设项目必须执行的现行技术规范，包括且不限于：</w:t>
      </w:r>
    </w:p>
    <w:p w14:paraId="172CF027">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（1）《公路路基施工技术规范》；</w:t>
      </w:r>
    </w:p>
    <w:p w14:paraId="045FB603">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（2）《市政道路工程质量检验评定标准》；</w:t>
      </w:r>
    </w:p>
    <w:p w14:paraId="05992B48">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（3）《市政排水管渠工程质量检验评定标准》；</w:t>
      </w:r>
    </w:p>
    <w:p w14:paraId="3079BE90">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（4）《给水排水管道工程施工及验收规范》；</w:t>
      </w:r>
      <w:bookmarkStart w:id="118" w:name="bookmark146"/>
      <w:bookmarkEnd w:id="118"/>
    </w:p>
    <w:p w14:paraId="202983E9">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（5）《城市道路路基工程施工及验收规范》；</w:t>
      </w:r>
    </w:p>
    <w:p w14:paraId="4D90C103">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（6）《水泥砼路面施工及验收规范》；</w:t>
      </w:r>
    </w:p>
    <w:p w14:paraId="366DA439">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（7）《公路水泥砼路面施工技术规范》；</w:t>
      </w:r>
    </w:p>
    <w:p w14:paraId="47663C9B">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（8）《埋地硬聚氯乙烯排水管道工程技术规程》；</w:t>
      </w:r>
    </w:p>
    <w:p w14:paraId="7CDFC683">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（9）《沥青路面施工及验收规范》；</w:t>
      </w:r>
    </w:p>
    <w:p w14:paraId="1E4E09A6">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（10）《广东省市政工程施工质量技术资料统一用表》。</w:t>
      </w:r>
    </w:p>
    <w:p w14:paraId="65BD5C27">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（11）《建筑与市政工程无障碍通用规范》GB55019-2021；</w:t>
      </w:r>
    </w:p>
    <w:p w14:paraId="2956A998">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（12）《建筑防火通用规范》GB55037-2022；</w:t>
      </w:r>
    </w:p>
    <w:p w14:paraId="30B534C2">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（13）《建筑与市政工程抗震通用规范》GB55002-2001；</w:t>
      </w:r>
    </w:p>
    <w:p w14:paraId="3F882057">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（14）《建筑与市政地基基础通用规范》GB55003-2001；</w:t>
      </w:r>
    </w:p>
    <w:p w14:paraId="021D6AAD">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（15）《城市道路照明设计标准》（CJJ45-2015）；</w:t>
      </w:r>
    </w:p>
    <w:p w14:paraId="7ED16147">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（16）《低压配电设计规范》（GB50054-2011）；</w:t>
      </w:r>
    </w:p>
    <w:p w14:paraId="550FE742">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（17）《城市道路照明工程施工及验收规程》（CJJ89-2012）；</w:t>
      </w:r>
    </w:p>
    <w:p w14:paraId="255018BB">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（18）《LED道路照明工程技术规范》（DB44/T1898-2016）；</w:t>
      </w:r>
    </w:p>
    <w:p w14:paraId="2974CA77">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（19）《灯具第1部分：一般要求与试验》（GB7000.1-2015）；</w:t>
      </w:r>
    </w:p>
    <w:p w14:paraId="4E798892">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（20）《电缆工程电缆设计标准》（GB50217-2018）；</w:t>
      </w:r>
    </w:p>
    <w:p w14:paraId="6E6957CC">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（21）其他现行国家、广东省关于市政工程的技术及验收规范、定额、规程、标准。</w:t>
      </w:r>
    </w:p>
    <w:p w14:paraId="7602C4CB">
      <w:pPr>
        <w:pStyle w:val="3"/>
        <w:bidi w:val="0"/>
        <w:spacing w:line="360" w:lineRule="auto"/>
        <w:ind w:firstLine="482" w:firstLineChars="200"/>
        <w:rPr>
          <w:rFonts w:hint="eastAsia" w:ascii="宋体" w:hAnsi="宋体" w:eastAsia="宋体" w:cs="宋体"/>
          <w:color w:val="auto"/>
          <w:sz w:val="24"/>
          <w:szCs w:val="24"/>
          <w:lang w:eastAsia="zh-CN"/>
        </w:rPr>
      </w:pPr>
      <w:bookmarkStart w:id="119" w:name="_Toc24849"/>
      <w:r>
        <w:rPr>
          <w:rFonts w:hint="eastAsia" w:ascii="宋体" w:hAnsi="宋体" w:eastAsia="宋体" w:cs="宋体"/>
          <w:color w:val="auto"/>
          <w:sz w:val="24"/>
          <w:szCs w:val="24"/>
          <w:lang w:eastAsia="zh-CN"/>
        </w:rPr>
        <w:t>3．备查要求</w:t>
      </w:r>
      <w:bookmarkEnd w:id="119"/>
    </w:p>
    <w:p w14:paraId="6AFA1EC5">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承包人必须在施工现场准备至少一套上述规范，发包人和监理单位可随时检查承包人的上述规范，并监督承包人按规范要求执行。</w:t>
      </w:r>
    </w:p>
    <w:p w14:paraId="1B05846C">
      <w:pPr>
        <w:rPr>
          <w:rFonts w:hint="eastAsia" w:ascii="宋体" w:hAnsi="宋体" w:eastAsia="宋体" w:cs="宋体"/>
          <w:color w:val="auto"/>
        </w:rPr>
      </w:pPr>
    </w:p>
    <w:p w14:paraId="6E2F9141">
      <w:pPr>
        <w:rPr>
          <w:rFonts w:hint="eastAsia" w:ascii="宋体" w:hAnsi="宋体" w:eastAsia="宋体" w:cs="宋体"/>
          <w:color w:val="auto"/>
        </w:rPr>
      </w:pPr>
    </w:p>
    <w:p w14:paraId="75CA9CAE">
      <w:pPr>
        <w:rPr>
          <w:rFonts w:hint="eastAsia" w:ascii="宋体" w:hAnsi="宋体" w:eastAsia="宋体" w:cs="宋体"/>
          <w:color w:val="auto"/>
        </w:rPr>
      </w:pPr>
    </w:p>
    <w:p w14:paraId="3BB18752">
      <w:pPr>
        <w:rPr>
          <w:rFonts w:hint="eastAsia" w:ascii="宋体" w:hAnsi="宋体" w:eastAsia="宋体" w:cs="宋体"/>
          <w:color w:val="auto"/>
        </w:rPr>
      </w:pPr>
    </w:p>
    <w:p w14:paraId="6C4B6983">
      <w:pPr>
        <w:rPr>
          <w:rFonts w:hint="eastAsia" w:ascii="宋体" w:hAnsi="宋体" w:eastAsia="宋体" w:cs="宋体"/>
          <w:color w:val="auto"/>
        </w:rPr>
      </w:pPr>
    </w:p>
    <w:p w14:paraId="02D8E274">
      <w:pPr>
        <w:rPr>
          <w:rFonts w:hint="eastAsia" w:ascii="宋体" w:hAnsi="宋体" w:eastAsia="宋体" w:cs="宋体"/>
          <w:color w:val="auto"/>
        </w:rPr>
      </w:pPr>
    </w:p>
    <w:p w14:paraId="3F4448C7">
      <w:pPr>
        <w:rPr>
          <w:rFonts w:hint="eastAsia" w:ascii="宋体" w:hAnsi="宋体" w:eastAsia="宋体" w:cs="宋体"/>
          <w:color w:val="auto"/>
        </w:rPr>
      </w:pPr>
    </w:p>
    <w:p w14:paraId="5516ACEB">
      <w:pPr>
        <w:rPr>
          <w:rFonts w:hint="eastAsia" w:ascii="宋体" w:hAnsi="宋体" w:eastAsia="宋体" w:cs="宋体"/>
          <w:color w:val="auto"/>
        </w:rPr>
      </w:pPr>
    </w:p>
    <w:p w14:paraId="44653F32">
      <w:pPr>
        <w:rPr>
          <w:rFonts w:hint="eastAsia" w:ascii="宋体" w:hAnsi="宋体" w:eastAsia="宋体" w:cs="宋体"/>
          <w:color w:val="auto"/>
        </w:rPr>
      </w:pPr>
    </w:p>
    <w:p w14:paraId="2A001216">
      <w:pPr>
        <w:rPr>
          <w:rFonts w:hint="eastAsia" w:ascii="宋体" w:hAnsi="宋体" w:eastAsia="宋体" w:cs="宋体"/>
          <w:color w:val="auto"/>
        </w:rPr>
      </w:pPr>
    </w:p>
    <w:p w14:paraId="4805E4F5">
      <w:pPr>
        <w:rPr>
          <w:rFonts w:hint="eastAsia" w:ascii="宋体" w:hAnsi="宋体" w:eastAsia="宋体" w:cs="宋体"/>
          <w:color w:val="auto"/>
        </w:rPr>
      </w:pPr>
    </w:p>
    <w:p w14:paraId="43E39CCE">
      <w:pPr>
        <w:rPr>
          <w:rFonts w:hint="eastAsia" w:ascii="宋体" w:hAnsi="宋体" w:eastAsia="宋体" w:cs="宋体"/>
          <w:color w:val="auto"/>
        </w:rPr>
      </w:pPr>
    </w:p>
    <w:p w14:paraId="41F569E2">
      <w:pPr>
        <w:rPr>
          <w:rFonts w:hint="eastAsia" w:ascii="宋体" w:hAnsi="宋体" w:eastAsia="宋体" w:cs="宋体"/>
          <w:color w:val="auto"/>
        </w:rPr>
      </w:pPr>
    </w:p>
    <w:p w14:paraId="541F40AD">
      <w:pPr>
        <w:rPr>
          <w:rFonts w:hint="eastAsia" w:ascii="宋体" w:hAnsi="宋体" w:eastAsia="宋体" w:cs="宋体"/>
          <w:color w:val="auto"/>
        </w:rPr>
      </w:pPr>
    </w:p>
    <w:p w14:paraId="3F01E9C7">
      <w:pPr>
        <w:rPr>
          <w:rFonts w:hint="eastAsia" w:ascii="宋体" w:hAnsi="宋体" w:eastAsia="宋体" w:cs="宋体"/>
          <w:color w:val="auto"/>
        </w:rPr>
      </w:pPr>
    </w:p>
    <w:p w14:paraId="285FEE02">
      <w:pPr>
        <w:rPr>
          <w:rFonts w:hint="eastAsia" w:ascii="宋体" w:hAnsi="宋体" w:eastAsia="宋体" w:cs="宋体"/>
          <w:color w:val="auto"/>
        </w:rPr>
      </w:pPr>
    </w:p>
    <w:p w14:paraId="0B4DBD11">
      <w:pPr>
        <w:rPr>
          <w:rFonts w:hint="eastAsia" w:ascii="宋体" w:hAnsi="宋体" w:eastAsia="宋体" w:cs="宋体"/>
          <w:color w:val="auto"/>
        </w:rPr>
      </w:pPr>
    </w:p>
    <w:p w14:paraId="375360F6">
      <w:pPr>
        <w:rPr>
          <w:rFonts w:hint="eastAsia" w:ascii="宋体" w:hAnsi="宋体" w:eastAsia="宋体" w:cs="宋体"/>
          <w:color w:val="auto"/>
        </w:rPr>
      </w:pPr>
    </w:p>
    <w:p w14:paraId="03222497">
      <w:pPr>
        <w:rPr>
          <w:rFonts w:hint="eastAsia" w:ascii="宋体" w:hAnsi="宋体" w:eastAsia="宋体" w:cs="宋体"/>
          <w:color w:val="auto"/>
        </w:rPr>
      </w:pPr>
    </w:p>
    <w:p w14:paraId="79AAB56E">
      <w:pPr>
        <w:rPr>
          <w:rFonts w:hint="eastAsia" w:ascii="宋体" w:hAnsi="宋体" w:eastAsia="宋体" w:cs="宋体"/>
          <w:color w:val="auto"/>
        </w:rPr>
      </w:pPr>
    </w:p>
    <w:bookmarkEnd w:id="6"/>
    <w:p w14:paraId="28D7BEFF">
      <w:pPr>
        <w:pStyle w:val="2"/>
        <w:keepNext w:val="0"/>
        <w:keepLines w:val="0"/>
        <w:pageBreakBefore w:val="0"/>
        <w:widowControl w:val="0"/>
        <w:tabs>
          <w:tab w:val="left" w:pos="885"/>
        </w:tabs>
        <w:kinsoku/>
        <w:wordWrap w:val="0"/>
        <w:overflowPunct/>
        <w:topLinePunct w:val="0"/>
        <w:autoSpaceDE/>
        <w:autoSpaceDN/>
        <w:bidi w:val="0"/>
        <w:adjustRightInd w:val="0"/>
        <w:snapToGrid w:val="0"/>
        <w:spacing w:before="0" w:beforeLines="300" w:line="440" w:lineRule="exact"/>
        <w:jc w:val="center"/>
        <w:textAlignment w:val="auto"/>
        <w:rPr>
          <w:rFonts w:hint="eastAsia" w:ascii="宋体" w:hAnsi="宋体" w:eastAsia="宋体" w:cs="宋体"/>
          <w:color w:val="auto"/>
        </w:rPr>
      </w:pPr>
      <w:bookmarkStart w:id="120" w:name="_Hlt69338190"/>
      <w:bookmarkEnd w:id="120"/>
      <w:bookmarkStart w:id="121" w:name="_Hlt69635247"/>
      <w:bookmarkEnd w:id="121"/>
      <w:bookmarkStart w:id="122" w:name="_Hlt69116863"/>
      <w:bookmarkEnd w:id="122"/>
      <w:bookmarkStart w:id="123" w:name="_Hlt66848640"/>
      <w:bookmarkEnd w:id="123"/>
      <w:bookmarkStart w:id="124" w:name="_Hlt69265207"/>
      <w:bookmarkEnd w:id="124"/>
      <w:bookmarkStart w:id="125" w:name="_Hlt69358336"/>
      <w:bookmarkEnd w:id="125"/>
      <w:bookmarkStart w:id="126" w:name="_Toc26006"/>
      <w:r>
        <w:rPr>
          <w:rFonts w:hint="eastAsia" w:ascii="宋体" w:hAnsi="宋体" w:eastAsia="宋体" w:cs="宋体"/>
          <w:b/>
          <w:snapToGrid w:val="0"/>
          <w:color w:val="auto"/>
          <w:sz w:val="28"/>
          <w:szCs w:val="28"/>
          <w:highlight w:val="none"/>
          <w:lang w:val="en-US" w:eastAsia="zh-CN"/>
        </w:rPr>
        <w:t>第五章   投标文件格式</w:t>
      </w:r>
      <w:bookmarkEnd w:id="126"/>
    </w:p>
    <w:p w14:paraId="161BE961">
      <w:pPr>
        <w:pStyle w:val="3"/>
        <w:bidi w:val="0"/>
        <w:spacing w:line="360" w:lineRule="auto"/>
        <w:ind w:firstLine="482" w:firstLineChars="200"/>
        <w:rPr>
          <w:rFonts w:hint="eastAsia" w:ascii="宋体" w:hAnsi="宋体" w:eastAsia="宋体" w:cs="宋体"/>
          <w:color w:val="auto"/>
          <w:sz w:val="24"/>
          <w:szCs w:val="24"/>
          <w:lang w:eastAsia="zh-CN"/>
        </w:rPr>
      </w:pPr>
      <w:bookmarkStart w:id="127" w:name="_Toc26935"/>
      <w:r>
        <w:rPr>
          <w:rFonts w:hint="eastAsia" w:ascii="宋体" w:hAnsi="宋体" w:eastAsia="宋体" w:cs="宋体"/>
          <w:color w:val="auto"/>
          <w:sz w:val="24"/>
          <w:szCs w:val="24"/>
          <w:lang w:eastAsia="zh-CN"/>
        </w:rPr>
        <w:t>格式一</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封面</w:t>
      </w:r>
      <w:bookmarkEnd w:id="127"/>
    </w:p>
    <w:p w14:paraId="3AA88690">
      <w:pPr>
        <w:rPr>
          <w:rFonts w:hint="eastAsia" w:ascii="宋体" w:hAnsi="宋体" w:eastAsia="宋体" w:cs="宋体"/>
          <w:color w:val="auto"/>
        </w:rPr>
      </w:pPr>
    </w:p>
    <w:p w14:paraId="277606D7">
      <w:pPr>
        <w:rPr>
          <w:rFonts w:hint="eastAsia" w:ascii="宋体" w:hAnsi="宋体" w:eastAsia="宋体" w:cs="宋体"/>
          <w:color w:val="auto"/>
        </w:rPr>
      </w:pPr>
    </w:p>
    <w:p w14:paraId="2928ACB5">
      <w:pPr>
        <w:rPr>
          <w:rFonts w:hint="eastAsia" w:ascii="宋体" w:hAnsi="宋体" w:eastAsia="宋体" w:cs="宋体"/>
          <w:color w:val="auto"/>
        </w:rPr>
      </w:pPr>
    </w:p>
    <w:p w14:paraId="03A2AF1D">
      <w:pPr>
        <w:rPr>
          <w:rFonts w:hint="eastAsia" w:ascii="宋体" w:hAnsi="宋体" w:eastAsia="宋体" w:cs="宋体"/>
          <w:color w:val="auto"/>
        </w:rPr>
      </w:pPr>
    </w:p>
    <w:p w14:paraId="790A9604">
      <w:pPr>
        <w:rPr>
          <w:rFonts w:hint="eastAsia" w:ascii="宋体" w:hAnsi="宋体" w:eastAsia="宋体" w:cs="宋体"/>
          <w:color w:val="auto"/>
        </w:rPr>
      </w:pPr>
    </w:p>
    <w:p w14:paraId="4EB1C5E2">
      <w:pPr>
        <w:rPr>
          <w:rFonts w:hint="eastAsia" w:ascii="宋体" w:hAnsi="宋体" w:eastAsia="宋体" w:cs="宋体"/>
          <w:color w:val="auto"/>
        </w:rPr>
      </w:pPr>
    </w:p>
    <w:p w14:paraId="5A2B0961">
      <w:pPr>
        <w:spacing w:before="153" w:line="225" w:lineRule="auto"/>
        <w:ind w:left="432"/>
        <w:jc w:val="center"/>
        <w:rPr>
          <w:rFonts w:hint="eastAsia" w:ascii="宋体" w:hAnsi="宋体" w:eastAsia="宋体" w:cs="宋体"/>
          <w:color w:val="auto"/>
          <w:sz w:val="47"/>
          <w:szCs w:val="47"/>
        </w:rPr>
      </w:pPr>
      <w:r>
        <w:rPr>
          <w:rFonts w:hint="eastAsia" w:ascii="宋体" w:hAnsi="宋体" w:eastAsia="宋体" w:cs="宋体"/>
          <w:b/>
          <w:bCs/>
          <w:color w:val="auto"/>
          <w:spacing w:val="8"/>
          <w:sz w:val="47"/>
          <w:szCs w:val="47"/>
          <w:u w:val="single"/>
        </w:rPr>
        <w:t>（项目名称</w:t>
      </w:r>
      <w:r>
        <w:rPr>
          <w:rFonts w:hint="eastAsia" w:ascii="宋体" w:hAnsi="宋体" w:eastAsia="宋体" w:cs="宋体"/>
          <w:b/>
          <w:bCs/>
          <w:color w:val="auto"/>
          <w:spacing w:val="-32"/>
          <w:sz w:val="47"/>
          <w:szCs w:val="47"/>
          <w:u w:val="single"/>
        </w:rPr>
        <w:t>）</w:t>
      </w:r>
      <w:r>
        <w:rPr>
          <w:rFonts w:hint="eastAsia" w:ascii="宋体" w:hAnsi="宋体" w:eastAsia="宋体" w:cs="宋体"/>
          <w:color w:val="auto"/>
          <w:spacing w:val="-214"/>
          <w:sz w:val="47"/>
          <w:szCs w:val="47"/>
          <w:u w:val="single"/>
        </w:rPr>
        <w:t xml:space="preserve"> </w:t>
      </w:r>
      <w:r>
        <w:rPr>
          <w:rFonts w:hint="eastAsia" w:ascii="宋体" w:hAnsi="宋体" w:eastAsia="宋体" w:cs="宋体"/>
          <w:b/>
          <w:bCs/>
          <w:color w:val="auto"/>
          <w:spacing w:val="8"/>
          <w:sz w:val="47"/>
          <w:szCs w:val="47"/>
        </w:rPr>
        <w:t>工程施工招标</w:t>
      </w:r>
    </w:p>
    <w:p w14:paraId="0BA78EE7">
      <w:pPr>
        <w:rPr>
          <w:rFonts w:hint="eastAsia" w:ascii="宋体" w:hAnsi="宋体" w:eastAsia="宋体" w:cs="宋体"/>
          <w:color w:val="auto"/>
        </w:rPr>
      </w:pPr>
    </w:p>
    <w:p w14:paraId="36EBA3E7">
      <w:pPr>
        <w:rPr>
          <w:rFonts w:hint="eastAsia" w:ascii="宋体" w:hAnsi="宋体" w:eastAsia="宋体" w:cs="宋体"/>
          <w:color w:val="auto"/>
        </w:rPr>
      </w:pPr>
    </w:p>
    <w:p w14:paraId="01E76621">
      <w:pPr>
        <w:rPr>
          <w:rFonts w:hint="eastAsia" w:ascii="宋体" w:hAnsi="宋体" w:eastAsia="宋体" w:cs="宋体"/>
          <w:color w:val="auto"/>
        </w:rPr>
      </w:pPr>
    </w:p>
    <w:p w14:paraId="10B57D1C">
      <w:pPr>
        <w:rPr>
          <w:rFonts w:hint="eastAsia" w:ascii="宋体" w:hAnsi="宋体" w:eastAsia="宋体" w:cs="宋体"/>
          <w:color w:val="auto"/>
        </w:rPr>
      </w:pPr>
    </w:p>
    <w:p w14:paraId="47734857">
      <w:pPr>
        <w:rPr>
          <w:rFonts w:hint="eastAsia" w:ascii="宋体" w:hAnsi="宋体" w:eastAsia="宋体" w:cs="宋体"/>
          <w:color w:val="auto"/>
        </w:rPr>
      </w:pPr>
    </w:p>
    <w:p w14:paraId="09DD8AC1">
      <w:pPr>
        <w:rPr>
          <w:rFonts w:hint="eastAsia" w:ascii="宋体" w:hAnsi="宋体" w:eastAsia="宋体" w:cs="宋体"/>
          <w:color w:val="auto"/>
        </w:rPr>
      </w:pPr>
    </w:p>
    <w:p w14:paraId="0496AB47">
      <w:pPr>
        <w:spacing w:before="231" w:line="223" w:lineRule="auto"/>
        <w:ind w:left="2002"/>
        <w:rPr>
          <w:rFonts w:hint="eastAsia" w:ascii="宋体" w:hAnsi="宋体" w:eastAsia="宋体" w:cs="宋体"/>
          <w:color w:val="auto"/>
          <w:sz w:val="71"/>
          <w:szCs w:val="71"/>
        </w:rPr>
      </w:pPr>
      <w:r>
        <w:rPr>
          <w:rFonts w:hint="eastAsia" w:ascii="宋体" w:hAnsi="宋体" w:eastAsia="宋体" w:cs="宋体"/>
          <w:b/>
          <w:bCs/>
          <w:color w:val="auto"/>
          <w:spacing w:val="-26"/>
          <w:sz w:val="71"/>
          <w:szCs w:val="71"/>
        </w:rPr>
        <w:t>投</w:t>
      </w:r>
      <w:r>
        <w:rPr>
          <w:rFonts w:hint="eastAsia" w:ascii="宋体" w:hAnsi="宋体" w:eastAsia="宋体" w:cs="宋体"/>
          <w:color w:val="auto"/>
          <w:spacing w:val="22"/>
          <w:sz w:val="71"/>
          <w:szCs w:val="71"/>
        </w:rPr>
        <w:t xml:space="preserve">  </w:t>
      </w:r>
      <w:r>
        <w:rPr>
          <w:rFonts w:hint="eastAsia" w:ascii="宋体" w:hAnsi="宋体" w:eastAsia="宋体" w:cs="宋体"/>
          <w:b/>
          <w:bCs/>
          <w:color w:val="auto"/>
          <w:spacing w:val="-26"/>
          <w:sz w:val="71"/>
          <w:szCs w:val="71"/>
        </w:rPr>
        <w:t>标</w:t>
      </w:r>
      <w:r>
        <w:rPr>
          <w:rFonts w:hint="eastAsia" w:ascii="宋体" w:hAnsi="宋体" w:eastAsia="宋体" w:cs="宋体"/>
          <w:color w:val="auto"/>
          <w:spacing w:val="23"/>
          <w:sz w:val="71"/>
          <w:szCs w:val="71"/>
        </w:rPr>
        <w:t xml:space="preserve">  </w:t>
      </w:r>
      <w:r>
        <w:rPr>
          <w:rFonts w:hint="eastAsia" w:ascii="宋体" w:hAnsi="宋体" w:eastAsia="宋体" w:cs="宋体"/>
          <w:b/>
          <w:bCs/>
          <w:color w:val="auto"/>
          <w:spacing w:val="-26"/>
          <w:sz w:val="71"/>
          <w:szCs w:val="71"/>
        </w:rPr>
        <w:t>文</w:t>
      </w:r>
      <w:r>
        <w:rPr>
          <w:rFonts w:hint="eastAsia" w:ascii="宋体" w:hAnsi="宋体" w:eastAsia="宋体" w:cs="宋体"/>
          <w:color w:val="auto"/>
          <w:spacing w:val="19"/>
          <w:sz w:val="71"/>
          <w:szCs w:val="71"/>
        </w:rPr>
        <w:t xml:space="preserve">  </w:t>
      </w:r>
      <w:r>
        <w:rPr>
          <w:rFonts w:hint="eastAsia" w:ascii="宋体" w:hAnsi="宋体" w:eastAsia="宋体" w:cs="宋体"/>
          <w:b/>
          <w:bCs/>
          <w:color w:val="auto"/>
          <w:spacing w:val="-26"/>
          <w:sz w:val="71"/>
          <w:szCs w:val="71"/>
        </w:rPr>
        <w:t>件</w:t>
      </w:r>
    </w:p>
    <w:p w14:paraId="23D213F7">
      <w:pPr>
        <w:rPr>
          <w:rFonts w:hint="eastAsia" w:ascii="宋体" w:hAnsi="宋体" w:eastAsia="宋体" w:cs="宋体"/>
          <w:color w:val="auto"/>
        </w:rPr>
      </w:pPr>
    </w:p>
    <w:p w14:paraId="0DF8EB6B">
      <w:pPr>
        <w:rPr>
          <w:rFonts w:hint="eastAsia" w:ascii="宋体" w:hAnsi="宋体" w:eastAsia="宋体" w:cs="宋体"/>
          <w:color w:val="auto"/>
        </w:rPr>
      </w:pPr>
    </w:p>
    <w:p w14:paraId="746243D2">
      <w:pPr>
        <w:rPr>
          <w:rFonts w:hint="eastAsia" w:ascii="宋体" w:hAnsi="宋体" w:eastAsia="宋体" w:cs="宋体"/>
          <w:color w:val="auto"/>
        </w:rPr>
      </w:pPr>
    </w:p>
    <w:p w14:paraId="27D745A6">
      <w:pPr>
        <w:rPr>
          <w:rFonts w:hint="eastAsia" w:ascii="宋体" w:hAnsi="宋体" w:eastAsia="宋体" w:cs="宋体"/>
          <w:color w:val="auto"/>
        </w:rPr>
      </w:pPr>
    </w:p>
    <w:p w14:paraId="660D4C1D">
      <w:pPr>
        <w:rPr>
          <w:rFonts w:hint="eastAsia" w:ascii="宋体" w:hAnsi="宋体" w:eastAsia="宋体" w:cs="宋体"/>
          <w:color w:val="auto"/>
        </w:rPr>
      </w:pPr>
    </w:p>
    <w:p w14:paraId="49436564">
      <w:pPr>
        <w:rPr>
          <w:rFonts w:hint="eastAsia" w:ascii="宋体" w:hAnsi="宋体" w:eastAsia="宋体" w:cs="宋体"/>
          <w:color w:val="auto"/>
        </w:rPr>
      </w:pPr>
    </w:p>
    <w:p w14:paraId="3098D689">
      <w:pPr>
        <w:spacing w:before="152" w:line="223" w:lineRule="auto"/>
        <w:jc w:val="center"/>
        <w:rPr>
          <w:rFonts w:hint="eastAsia" w:ascii="宋体" w:hAnsi="宋体" w:eastAsia="宋体" w:cs="宋体"/>
          <w:b/>
          <w:bCs/>
          <w:color w:val="auto"/>
          <w:spacing w:val="2"/>
          <w:sz w:val="47"/>
          <w:szCs w:val="47"/>
        </w:rPr>
      </w:pPr>
      <w:bookmarkStart w:id="128" w:name="bookmark105"/>
      <w:bookmarkEnd w:id="128"/>
      <w:r>
        <w:rPr>
          <w:rFonts w:hint="eastAsia" w:ascii="宋体" w:hAnsi="宋体" w:eastAsia="宋体" w:cs="宋体"/>
          <w:b/>
          <w:bCs/>
          <w:color w:val="auto"/>
          <w:spacing w:val="2"/>
          <w:sz w:val="47"/>
          <w:szCs w:val="47"/>
        </w:rPr>
        <w:t>（商务标书／施工组织设计）</w:t>
      </w:r>
    </w:p>
    <w:p w14:paraId="7FD98410">
      <w:pPr>
        <w:rPr>
          <w:rFonts w:hint="eastAsia" w:ascii="宋体" w:hAnsi="宋体" w:eastAsia="宋体" w:cs="宋体"/>
          <w:color w:val="auto"/>
        </w:rPr>
      </w:pPr>
    </w:p>
    <w:p w14:paraId="03598E44">
      <w:pPr>
        <w:rPr>
          <w:rFonts w:hint="eastAsia" w:ascii="宋体" w:hAnsi="宋体" w:eastAsia="宋体" w:cs="宋体"/>
          <w:color w:val="auto"/>
        </w:rPr>
      </w:pPr>
    </w:p>
    <w:p w14:paraId="5A1A44F0">
      <w:pPr>
        <w:rPr>
          <w:rFonts w:hint="eastAsia" w:ascii="宋体" w:hAnsi="宋体" w:eastAsia="宋体" w:cs="宋体"/>
          <w:color w:val="auto"/>
        </w:rPr>
      </w:pPr>
    </w:p>
    <w:p w14:paraId="0006238F">
      <w:pPr>
        <w:rPr>
          <w:rFonts w:hint="eastAsia" w:ascii="宋体" w:hAnsi="宋体" w:eastAsia="宋体" w:cs="宋体"/>
          <w:color w:val="auto"/>
        </w:rPr>
      </w:pPr>
    </w:p>
    <w:p w14:paraId="55BF82E0">
      <w:pPr>
        <w:rPr>
          <w:rFonts w:hint="eastAsia" w:ascii="宋体" w:hAnsi="宋体" w:eastAsia="宋体" w:cs="宋体"/>
          <w:color w:val="auto"/>
        </w:rPr>
      </w:pPr>
    </w:p>
    <w:p w14:paraId="197789F2">
      <w:pPr>
        <w:rPr>
          <w:rFonts w:hint="eastAsia" w:ascii="宋体" w:hAnsi="宋体" w:eastAsia="宋体" w:cs="宋体"/>
          <w:color w:val="auto"/>
        </w:rPr>
      </w:pPr>
    </w:p>
    <w:p w14:paraId="1149FEAF">
      <w:pPr>
        <w:pStyle w:val="30"/>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09EECB73">
      <w:pPr>
        <w:rPr>
          <w:rFonts w:hint="eastAsia" w:ascii="宋体" w:hAnsi="宋体" w:eastAsia="宋体" w:cs="宋体"/>
          <w:color w:val="auto"/>
        </w:rPr>
      </w:pPr>
    </w:p>
    <w:p w14:paraId="2105A85D">
      <w:pPr>
        <w:rPr>
          <w:rFonts w:hint="eastAsia" w:ascii="宋体" w:hAnsi="宋体" w:eastAsia="宋体" w:cs="宋体"/>
          <w:color w:val="auto"/>
        </w:rPr>
      </w:pPr>
    </w:p>
    <w:p w14:paraId="7D8603F9">
      <w:pPr>
        <w:rPr>
          <w:rFonts w:hint="eastAsia" w:ascii="宋体" w:hAnsi="宋体" w:eastAsia="宋体" w:cs="宋体"/>
          <w:color w:val="auto"/>
        </w:rPr>
      </w:pPr>
    </w:p>
    <w:p w14:paraId="2F674DB3">
      <w:pPr>
        <w:pStyle w:val="30"/>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4222C718">
      <w:pPr>
        <w:rPr>
          <w:rFonts w:hint="eastAsia" w:ascii="宋体" w:hAnsi="宋体" w:eastAsia="宋体" w:cs="宋体"/>
          <w:color w:val="auto"/>
        </w:rPr>
      </w:pPr>
    </w:p>
    <w:p w14:paraId="06B20263">
      <w:pPr>
        <w:rPr>
          <w:rFonts w:hint="eastAsia" w:ascii="宋体" w:hAnsi="宋体" w:eastAsia="宋体" w:cs="宋体"/>
          <w:color w:val="auto"/>
        </w:rPr>
      </w:pPr>
    </w:p>
    <w:p w14:paraId="2B19DE36">
      <w:pPr>
        <w:rPr>
          <w:rFonts w:hint="eastAsia" w:ascii="宋体" w:hAnsi="宋体" w:eastAsia="宋体" w:cs="宋体"/>
          <w:color w:val="auto"/>
        </w:rPr>
      </w:pPr>
    </w:p>
    <w:p w14:paraId="1B0F404C">
      <w:pPr>
        <w:pStyle w:val="30"/>
        <w:widowControl w:val="0"/>
        <w:wordWrap w:val="0"/>
        <w:adjustRightInd w:val="0"/>
        <w:snapToGrid w:val="0"/>
        <w:spacing w:line="24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020733A6">
      <w:pPr>
        <w:rPr>
          <w:rFonts w:hint="eastAsia" w:ascii="宋体" w:hAnsi="宋体" w:eastAsia="宋体" w:cs="宋体"/>
          <w:color w:val="auto"/>
        </w:rPr>
      </w:pPr>
    </w:p>
    <w:p w14:paraId="31940806">
      <w:pPr>
        <w:rPr>
          <w:rFonts w:hint="eastAsia" w:ascii="宋体" w:hAnsi="宋体" w:eastAsia="宋体" w:cs="宋体"/>
          <w:color w:val="auto"/>
        </w:rPr>
      </w:pPr>
    </w:p>
    <w:p w14:paraId="1E6C02AF">
      <w:pPr>
        <w:rPr>
          <w:rFonts w:hint="eastAsia" w:ascii="宋体" w:hAnsi="宋体" w:eastAsia="宋体" w:cs="宋体"/>
          <w:color w:val="auto"/>
        </w:rPr>
      </w:pPr>
    </w:p>
    <w:p w14:paraId="17CE6A6A">
      <w:pPr>
        <w:rPr>
          <w:rFonts w:hint="eastAsia" w:ascii="宋体" w:hAnsi="宋体" w:eastAsia="宋体" w:cs="宋体"/>
          <w:color w:val="auto"/>
        </w:rPr>
      </w:pPr>
    </w:p>
    <w:p w14:paraId="05EF594C">
      <w:pPr>
        <w:rPr>
          <w:rFonts w:hint="eastAsia" w:ascii="宋体" w:hAnsi="宋体" w:eastAsia="宋体" w:cs="宋体"/>
          <w:color w:val="auto"/>
        </w:rPr>
      </w:pPr>
    </w:p>
    <w:p w14:paraId="3B6524B7">
      <w:pPr>
        <w:rPr>
          <w:rFonts w:hint="eastAsia" w:ascii="宋体" w:hAnsi="宋体" w:eastAsia="宋体" w:cs="宋体"/>
          <w:color w:val="auto"/>
        </w:rPr>
      </w:pPr>
    </w:p>
    <w:p w14:paraId="2F1C4027">
      <w:pPr>
        <w:pStyle w:val="3"/>
        <w:bidi w:val="0"/>
        <w:spacing w:line="360" w:lineRule="auto"/>
        <w:ind w:firstLine="482" w:firstLineChars="200"/>
        <w:rPr>
          <w:rFonts w:hint="eastAsia" w:ascii="宋体" w:hAnsi="宋体" w:eastAsia="宋体" w:cs="宋体"/>
          <w:color w:val="auto"/>
        </w:rPr>
      </w:pPr>
      <w:bookmarkStart w:id="129" w:name="_Toc32691"/>
      <w:r>
        <w:rPr>
          <w:rFonts w:hint="eastAsia" w:ascii="宋体" w:hAnsi="宋体" w:eastAsia="宋体" w:cs="宋体"/>
          <w:color w:val="auto"/>
          <w:sz w:val="24"/>
          <w:szCs w:val="24"/>
          <w:lang w:val="en-US" w:eastAsia="zh-CN"/>
        </w:rPr>
        <w:t>格式二   投标函</w:t>
      </w:r>
      <w:bookmarkEnd w:id="129"/>
    </w:p>
    <w:p w14:paraId="22CAA19D">
      <w:pPr>
        <w:jc w:val="center"/>
        <w:rPr>
          <w:rFonts w:hint="eastAsia" w:ascii="宋体" w:hAnsi="宋体" w:eastAsia="宋体" w:cs="宋体"/>
          <w:b/>
          <w:bCs/>
          <w:color w:val="auto"/>
          <w:sz w:val="32"/>
          <w:szCs w:val="22"/>
          <w:highlight w:val="none"/>
        </w:rPr>
      </w:pPr>
      <w:bookmarkStart w:id="130" w:name="bookmark148"/>
      <w:bookmarkEnd w:id="130"/>
      <w:r>
        <w:rPr>
          <w:rFonts w:hint="eastAsia" w:ascii="宋体" w:hAnsi="宋体" w:eastAsia="宋体" w:cs="宋体"/>
          <w:b/>
          <w:bCs/>
          <w:color w:val="auto"/>
          <w:sz w:val="32"/>
          <w:szCs w:val="22"/>
          <w:highlight w:val="none"/>
        </w:rPr>
        <w:t>投  标  函</w:t>
      </w:r>
    </w:p>
    <w:p w14:paraId="220B2D82">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（招标人名称）</w:t>
      </w:r>
    </w:p>
    <w:p w14:paraId="3BB77A2D">
      <w:pPr>
        <w:pStyle w:val="7"/>
        <w:keepNext w:val="0"/>
        <w:keepLines w:val="0"/>
        <w:pageBreakBefore w:val="0"/>
        <w:widowControl w:val="0"/>
        <w:kinsoku/>
        <w:wordWrap/>
        <w:overflowPunct/>
        <w:topLinePunct w:val="0"/>
        <w:autoSpaceDE/>
        <w:autoSpaceDN/>
        <w:bidi w:val="0"/>
        <w:adjustRightInd/>
        <w:snapToGrid/>
        <w:spacing w:after="0" w:line="360" w:lineRule="auto"/>
        <w:ind w:right="142" w:firstLine="480" w:firstLineChars="200"/>
        <w:jc w:val="both"/>
        <w:textAlignment w:val="auto"/>
        <w:rPr>
          <w:rFonts w:hint="eastAsia" w:ascii="宋体" w:hAnsi="宋体" w:eastAsia="宋体" w:cs="宋体"/>
          <w:color w:val="auto"/>
          <w:sz w:val="24"/>
          <w:szCs w:val="24"/>
          <w:u w:val="single" w:color="auto"/>
        </w:rPr>
      </w:pPr>
      <w:r>
        <w:rPr>
          <w:rFonts w:hint="eastAsia" w:ascii="宋体" w:hAnsi="宋体" w:eastAsia="宋体" w:cs="宋体"/>
          <w:color w:val="auto"/>
          <w:sz w:val="24"/>
          <w:szCs w:val="24"/>
        </w:rPr>
        <w:t>1.我方考察现场并充分研究（项目名称</w:t>
      </w:r>
      <w:r>
        <w:rPr>
          <w:rFonts w:hint="eastAsia" w:ascii="宋体" w:hAnsi="宋体" w:eastAsia="宋体" w:cs="宋体"/>
          <w:color w:val="auto"/>
          <w:spacing w:val="-12"/>
          <w:sz w:val="24"/>
          <w:szCs w:val="24"/>
        </w:rPr>
        <w:t>）（</w:t>
      </w:r>
      <w:r>
        <w:rPr>
          <w:rFonts w:hint="eastAsia" w:ascii="宋体" w:hAnsi="宋体" w:eastAsia="宋体" w:cs="宋体"/>
          <w:color w:val="auto"/>
          <w:sz w:val="24"/>
          <w:szCs w:val="24"/>
        </w:rPr>
        <w:t>以下简称“本项目</w:t>
      </w:r>
      <w:r>
        <w:rPr>
          <w:rFonts w:hint="eastAsia" w:ascii="宋体" w:hAnsi="宋体" w:eastAsia="宋体" w:cs="宋体"/>
          <w:color w:val="auto"/>
          <w:spacing w:val="-85"/>
          <w:sz w:val="24"/>
          <w:szCs w:val="24"/>
        </w:rPr>
        <w:t xml:space="preserve"> </w:t>
      </w:r>
      <w:r>
        <w:rPr>
          <w:rFonts w:hint="eastAsia" w:ascii="宋体" w:hAnsi="宋体" w:eastAsia="宋体" w:cs="宋体"/>
          <w:color w:val="auto"/>
          <w:sz w:val="24"/>
          <w:szCs w:val="24"/>
        </w:rPr>
        <w:t>”）施工招标文件</w:t>
      </w:r>
      <w:r>
        <w:rPr>
          <w:rFonts w:hint="eastAsia" w:ascii="宋体" w:hAnsi="宋体" w:eastAsia="宋体" w:cs="宋体"/>
          <w:color w:val="auto"/>
          <w:spacing w:val="-2"/>
          <w:sz w:val="24"/>
          <w:szCs w:val="24"/>
        </w:rPr>
        <w:t>所有内容后，结合自身资质、能力和特点，愿意接受招标文件的全部内容和条件，兹以</w:t>
      </w:r>
      <w:r>
        <w:rPr>
          <w:rFonts w:hint="eastAsia" w:ascii="宋体" w:hAnsi="宋体" w:eastAsia="宋体" w:cs="宋体"/>
          <w:color w:val="auto"/>
          <w:spacing w:val="-5"/>
          <w:sz w:val="24"/>
          <w:szCs w:val="24"/>
        </w:rPr>
        <w:t>人民币（大写</w:t>
      </w:r>
      <w:r>
        <w:rPr>
          <w:rFonts w:hint="eastAsia" w:ascii="宋体" w:hAnsi="宋体" w:eastAsia="宋体" w:cs="宋体"/>
          <w:color w:val="auto"/>
          <w:spacing w:val="2"/>
          <w:sz w:val="24"/>
          <w:szCs w:val="24"/>
        </w:rPr>
        <w:t>）：</w:t>
      </w:r>
    </w:p>
    <w:p w14:paraId="7B59D766">
      <w:pPr>
        <w:pStyle w:val="7"/>
        <w:keepNext w:val="0"/>
        <w:keepLines w:val="0"/>
        <w:pageBreakBefore w:val="0"/>
        <w:widowControl w:val="0"/>
        <w:kinsoku/>
        <w:wordWrap/>
        <w:overflowPunct/>
        <w:topLinePunct w:val="0"/>
        <w:autoSpaceDE/>
        <w:autoSpaceDN/>
        <w:bidi w:val="0"/>
        <w:adjustRightInd/>
        <w:snapToGrid/>
        <w:spacing w:after="0" w:line="360" w:lineRule="auto"/>
        <w:ind w:right="142"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z w:val="24"/>
          <w:szCs w:val="24"/>
          <w:u w:val="single" w:color="auto"/>
          <w:lang w:val="en-US" w:eastAsia="zh-CN"/>
        </w:rPr>
        <w:t xml:space="preserve"> </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5"/>
          <w:sz w:val="24"/>
          <w:szCs w:val="24"/>
        </w:rPr>
        <w:t>(¥</w:t>
      </w:r>
      <w:r>
        <w:rPr>
          <w:rFonts w:hint="eastAsia" w:ascii="宋体" w:hAnsi="宋体" w:eastAsia="宋体" w:cs="宋体"/>
          <w:color w:val="auto"/>
          <w:spacing w:val="-66"/>
          <w:sz w:val="24"/>
          <w:szCs w:val="24"/>
        </w:rPr>
        <w:t xml:space="preserve"> </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5"/>
          <w:sz w:val="24"/>
          <w:szCs w:val="24"/>
        </w:rPr>
        <w:t>)的投标总价竞投本项目施工</w:t>
      </w:r>
      <w:r>
        <w:rPr>
          <w:rFonts w:hint="eastAsia" w:ascii="宋体" w:hAnsi="宋体" w:eastAsia="宋体" w:cs="宋体"/>
          <w:color w:val="auto"/>
          <w:spacing w:val="-5"/>
          <w:sz w:val="24"/>
          <w:szCs w:val="24"/>
          <w:lang w:eastAsia="zh-CN"/>
        </w:rPr>
        <w:t>，</w:t>
      </w:r>
      <w:r>
        <w:rPr>
          <w:rFonts w:hint="eastAsia" w:ascii="宋体" w:hAnsi="宋体" w:eastAsia="宋体" w:cs="宋体"/>
          <w:snapToGrid w:val="0"/>
          <w:color w:val="auto"/>
          <w:kern w:val="0"/>
          <w:sz w:val="24"/>
          <w:szCs w:val="24"/>
          <w:highlight w:val="none"/>
        </w:rPr>
        <w:t>投标</w:t>
      </w:r>
      <w:r>
        <w:rPr>
          <w:rFonts w:hint="eastAsia" w:ascii="宋体" w:hAnsi="宋体" w:eastAsia="宋体" w:cs="宋体"/>
          <w:snapToGrid w:val="0"/>
          <w:color w:val="auto"/>
          <w:kern w:val="0"/>
          <w:sz w:val="24"/>
          <w:szCs w:val="24"/>
          <w:highlight w:val="none"/>
          <w:lang w:eastAsia="zh-CN"/>
        </w:rPr>
        <w:t>下浮</w:t>
      </w:r>
      <w:r>
        <w:rPr>
          <w:rFonts w:hint="eastAsia" w:ascii="宋体" w:hAnsi="宋体" w:eastAsia="宋体" w:cs="宋体"/>
          <w:snapToGrid w:val="0"/>
          <w:color w:val="auto"/>
          <w:kern w:val="0"/>
          <w:sz w:val="24"/>
          <w:szCs w:val="24"/>
          <w:highlight w:val="none"/>
        </w:rPr>
        <w:t>率为</w:t>
      </w:r>
      <w:r>
        <w:rPr>
          <w:rFonts w:hint="eastAsia" w:ascii="宋体" w:hAnsi="宋体" w:eastAsia="宋体" w:cs="宋体"/>
          <w:snapToGrid w:val="0"/>
          <w:color w:val="auto"/>
          <w:kern w:val="0"/>
          <w:sz w:val="24"/>
          <w:szCs w:val="24"/>
          <w:highlight w:val="none"/>
          <w:u w:val="single"/>
        </w:rPr>
        <w:t xml:space="preserve">     % </w:t>
      </w:r>
      <w:r>
        <w:rPr>
          <w:rFonts w:hint="eastAsia" w:ascii="宋体" w:hAnsi="宋体" w:eastAsia="宋体" w:cs="宋体"/>
          <w:color w:val="auto"/>
          <w:spacing w:val="-5"/>
          <w:sz w:val="24"/>
          <w:szCs w:val="24"/>
        </w:rPr>
        <w:t>。</w:t>
      </w:r>
    </w:p>
    <w:p w14:paraId="2421AEB4">
      <w:pPr>
        <w:keepNext w:val="0"/>
        <w:keepLines w:val="0"/>
        <w:pageBreakBefore w:val="0"/>
        <w:widowControl w:val="0"/>
        <w:kinsoku/>
        <w:wordWrap/>
        <w:overflowPunct/>
        <w:topLinePunct w:val="0"/>
        <w:autoSpaceDE/>
        <w:autoSpaceDN/>
        <w:bidi w:val="0"/>
        <w:adjustRightInd/>
        <w:snapToGrid/>
        <w:spacing w:line="360" w:lineRule="auto"/>
        <w:ind w:right="142" w:firstLine="484" w:firstLineChars="200"/>
        <w:textAlignment w:val="auto"/>
        <w:rPr>
          <w:rFonts w:hint="eastAsia" w:ascii="宋体" w:hAnsi="宋体" w:eastAsia="宋体" w:cs="宋体"/>
          <w:color w:val="auto"/>
          <w:sz w:val="24"/>
          <w:szCs w:val="24"/>
        </w:rPr>
      </w:pPr>
      <w:r>
        <w:rPr>
          <w:rFonts w:hint="eastAsia" w:ascii="宋体" w:hAnsi="宋体" w:eastAsia="宋体" w:cs="宋体"/>
          <w:color w:val="auto"/>
          <w:spacing w:val="1"/>
          <w:sz w:val="24"/>
          <w:szCs w:val="24"/>
        </w:rPr>
        <w:t>2.如果我方中标，我方保证按照合同约定的开工日期开始本项目的施工</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个日历天内竣工，并确保工程质量达到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标准和维修其中的任何缺陷。</w:t>
      </w:r>
    </w:p>
    <w:p w14:paraId="1232FF89">
      <w:pPr>
        <w:keepNext w:val="0"/>
        <w:keepLines w:val="0"/>
        <w:pageBreakBefore w:val="0"/>
        <w:widowControl w:val="0"/>
        <w:kinsoku/>
        <w:wordWrap/>
        <w:overflowPunct/>
        <w:topLinePunct w:val="0"/>
        <w:autoSpaceDE/>
        <w:autoSpaceDN/>
        <w:bidi w:val="0"/>
        <w:adjustRightInd/>
        <w:snapToGrid/>
        <w:spacing w:line="360" w:lineRule="auto"/>
        <w:ind w:right="142" w:firstLine="484" w:firstLineChars="200"/>
        <w:textAlignment w:val="auto"/>
        <w:rPr>
          <w:rFonts w:hint="eastAsia" w:ascii="宋体" w:hAnsi="宋体" w:eastAsia="宋体" w:cs="宋体"/>
          <w:color w:val="auto"/>
          <w:sz w:val="24"/>
          <w:szCs w:val="24"/>
        </w:rPr>
      </w:pPr>
      <w:r>
        <w:rPr>
          <w:rFonts w:hint="eastAsia" w:ascii="宋体" w:hAnsi="宋体" w:eastAsia="宋体" w:cs="宋体"/>
          <w:color w:val="auto"/>
          <w:spacing w:val="1"/>
          <w:sz w:val="24"/>
          <w:szCs w:val="24"/>
        </w:rPr>
        <w:t>3.本投标函在你方接收我方递交的投标文件之日起、到招标</w:t>
      </w:r>
      <w:r>
        <w:rPr>
          <w:rFonts w:hint="eastAsia" w:ascii="宋体" w:hAnsi="宋体" w:eastAsia="宋体" w:cs="宋体"/>
          <w:color w:val="auto"/>
          <w:sz w:val="24"/>
          <w:szCs w:val="24"/>
        </w:rPr>
        <w:t>文件规定的投标有效</w:t>
      </w:r>
      <w:r>
        <w:rPr>
          <w:rFonts w:hint="eastAsia" w:ascii="宋体" w:hAnsi="宋体" w:eastAsia="宋体" w:cs="宋体"/>
          <w:color w:val="auto"/>
          <w:spacing w:val="-1"/>
          <w:sz w:val="24"/>
          <w:szCs w:val="24"/>
        </w:rPr>
        <w:t>期期满前对我方具有约束力。我方随时准备接受你方发出的中标通知书。</w:t>
      </w:r>
    </w:p>
    <w:p w14:paraId="2A11FC64">
      <w:pPr>
        <w:keepNext w:val="0"/>
        <w:keepLines w:val="0"/>
        <w:pageBreakBefore w:val="0"/>
        <w:widowControl w:val="0"/>
        <w:kinsoku/>
        <w:wordWrap/>
        <w:overflowPunct/>
        <w:topLinePunct w:val="0"/>
        <w:autoSpaceDE/>
        <w:autoSpaceDN/>
        <w:bidi w:val="0"/>
        <w:adjustRightInd/>
        <w:snapToGrid/>
        <w:spacing w:line="360" w:lineRule="auto"/>
        <w:ind w:right="61"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我方在此声明，我方不存在本项目招标</w:t>
      </w:r>
      <w:r>
        <w:rPr>
          <w:rFonts w:hint="eastAsia" w:ascii="宋体" w:hAnsi="宋体" w:eastAsia="宋体" w:cs="宋体"/>
          <w:color w:val="auto"/>
          <w:spacing w:val="-1"/>
          <w:sz w:val="24"/>
          <w:szCs w:val="24"/>
        </w:rPr>
        <w:t>文件第一章第三节第</w:t>
      </w:r>
      <w:r>
        <w:rPr>
          <w:rFonts w:hint="eastAsia" w:ascii="宋体" w:hAnsi="宋体" w:eastAsia="宋体" w:cs="宋体"/>
          <w:color w:val="auto"/>
          <w:spacing w:val="-55"/>
          <w:sz w:val="24"/>
          <w:szCs w:val="24"/>
        </w:rPr>
        <w:t xml:space="preserve"> </w:t>
      </w:r>
      <w:r>
        <w:rPr>
          <w:rFonts w:hint="eastAsia" w:ascii="宋体" w:hAnsi="宋体" w:eastAsia="宋体" w:cs="宋体"/>
          <w:b/>
          <w:bCs/>
          <w:color w:val="auto"/>
          <w:spacing w:val="-1"/>
          <w:sz w:val="24"/>
          <w:szCs w:val="24"/>
        </w:rPr>
        <w:t>2.4</w:t>
      </w:r>
      <w:r>
        <w:rPr>
          <w:rFonts w:hint="eastAsia" w:ascii="宋体" w:hAnsi="宋体" w:eastAsia="宋体" w:cs="宋体"/>
          <w:color w:val="auto"/>
          <w:spacing w:val="-1"/>
          <w:sz w:val="24"/>
          <w:szCs w:val="24"/>
        </w:rPr>
        <w:t>条“禁止投标</w:t>
      </w:r>
      <w:r>
        <w:rPr>
          <w:rFonts w:hint="eastAsia" w:ascii="宋体" w:hAnsi="宋体" w:eastAsia="宋体" w:cs="宋体"/>
          <w:color w:val="auto"/>
          <w:spacing w:val="-6"/>
          <w:sz w:val="24"/>
          <w:szCs w:val="24"/>
        </w:rPr>
        <w:t>条款</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6"/>
          <w:sz w:val="24"/>
          <w:szCs w:val="24"/>
        </w:rPr>
        <w:t>”所列出的任何一种情形，并愿意承担因我</w:t>
      </w:r>
      <w:r>
        <w:rPr>
          <w:rFonts w:hint="eastAsia" w:ascii="宋体" w:hAnsi="宋体" w:eastAsia="宋体" w:cs="宋体"/>
          <w:color w:val="auto"/>
          <w:spacing w:val="-7"/>
          <w:sz w:val="24"/>
          <w:szCs w:val="24"/>
        </w:rPr>
        <w:t>方就此弄虚作假所引起的一切法律后果。</w:t>
      </w:r>
    </w:p>
    <w:p w14:paraId="0E23CBEE">
      <w:pPr>
        <w:keepNext w:val="0"/>
        <w:keepLines w:val="0"/>
        <w:pageBreakBefore w:val="0"/>
        <w:widowControl w:val="0"/>
        <w:kinsoku/>
        <w:wordWrap/>
        <w:overflowPunct/>
        <w:topLinePunct w:val="0"/>
        <w:autoSpaceDE/>
        <w:autoSpaceDN/>
        <w:bidi w:val="0"/>
        <w:adjustRightInd/>
        <w:snapToGrid/>
        <w:spacing w:line="360" w:lineRule="auto"/>
        <w:ind w:right="142" w:firstLine="472" w:firstLineChars="200"/>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rPr>
        <w:t>5</w:t>
      </w:r>
      <w:r>
        <w:rPr>
          <w:rFonts w:hint="eastAsia" w:ascii="宋体" w:hAnsi="宋体" w:eastAsia="宋体" w:cs="宋体"/>
          <w:color w:val="auto"/>
          <w:spacing w:val="-2"/>
          <w:sz w:val="24"/>
          <w:szCs w:val="24"/>
          <w:lang w:val="en-US" w:eastAsia="zh-CN"/>
        </w:rPr>
        <w:t>.</w:t>
      </w:r>
      <w:r>
        <w:rPr>
          <w:rFonts w:hint="eastAsia" w:ascii="宋体" w:hAnsi="宋体" w:eastAsia="宋体" w:cs="宋体"/>
          <w:color w:val="auto"/>
          <w:spacing w:val="-2"/>
          <w:sz w:val="24"/>
          <w:szCs w:val="24"/>
        </w:rPr>
        <w:t>我方在此承诺，所递交投标文件的全部内容均为真实、有效、准确的，并愿意承担因我方就此弄虚作假所引起的一切法律后果，同时理解和同意有可能被要求提供更</w:t>
      </w:r>
    </w:p>
    <w:p w14:paraId="0278C83D">
      <w:pPr>
        <w:keepNext w:val="0"/>
        <w:keepLines w:val="0"/>
        <w:pageBreakBefore w:val="0"/>
        <w:widowControl w:val="0"/>
        <w:kinsoku/>
        <w:wordWrap/>
        <w:overflowPunct/>
        <w:topLinePunct w:val="0"/>
        <w:autoSpaceDE/>
        <w:autoSpaceDN/>
        <w:bidi w:val="0"/>
        <w:adjustRightInd/>
        <w:snapToGrid/>
        <w:spacing w:line="360" w:lineRule="auto"/>
        <w:ind w:left="20"/>
        <w:textAlignment w:val="auto"/>
        <w:rPr>
          <w:rFonts w:hint="eastAsia" w:ascii="宋体" w:hAnsi="宋体" w:eastAsia="宋体" w:cs="宋体"/>
          <w:color w:val="auto"/>
          <w:sz w:val="24"/>
          <w:szCs w:val="24"/>
        </w:rPr>
      </w:pPr>
      <w:r>
        <w:rPr>
          <w:rFonts w:hint="eastAsia" w:ascii="宋体" w:hAnsi="宋体" w:eastAsia="宋体" w:cs="宋体"/>
          <w:color w:val="auto"/>
          <w:spacing w:val="-5"/>
          <w:sz w:val="24"/>
          <w:szCs w:val="24"/>
        </w:rPr>
        <w:t>多的资料。</w:t>
      </w:r>
    </w:p>
    <w:p w14:paraId="66DC659D">
      <w:pPr>
        <w:keepNext w:val="0"/>
        <w:keepLines w:val="0"/>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rPr>
        <w:t>6.我方理解你方不一定要接纳收到的最低投标总价或任何投标总价的投标人中标，</w:t>
      </w:r>
      <w:r>
        <w:rPr>
          <w:rFonts w:hint="eastAsia" w:ascii="宋体" w:hAnsi="宋体" w:eastAsia="宋体" w:cs="宋体"/>
          <w:color w:val="auto"/>
          <w:spacing w:val="-1"/>
          <w:sz w:val="24"/>
          <w:szCs w:val="24"/>
        </w:rPr>
        <w:t>也不要求你方解释我方是否中标的原因。</w:t>
      </w:r>
    </w:p>
    <w:p w14:paraId="03EA1382">
      <w:pPr>
        <w:rPr>
          <w:rFonts w:hint="eastAsia" w:ascii="宋体" w:hAnsi="宋体" w:eastAsia="宋体" w:cs="宋体"/>
          <w:color w:val="auto"/>
        </w:rPr>
      </w:pPr>
    </w:p>
    <w:p w14:paraId="519B7DE4">
      <w:pPr>
        <w:wordWrap w:val="0"/>
        <w:adjustRightInd w:val="0"/>
        <w:snapToGrid w:val="0"/>
        <w:spacing w:line="440" w:lineRule="exact"/>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（盖单位章）</w:t>
      </w:r>
    </w:p>
    <w:p w14:paraId="7C59A809">
      <w:pPr>
        <w:rPr>
          <w:rFonts w:hint="eastAsia" w:ascii="宋体" w:hAnsi="宋体" w:eastAsia="宋体" w:cs="宋体"/>
          <w:color w:val="auto"/>
          <w:sz w:val="24"/>
          <w:szCs w:val="24"/>
        </w:rPr>
      </w:pPr>
    </w:p>
    <w:p w14:paraId="08A77DB9">
      <w:pPr>
        <w:wordWrap w:val="0"/>
        <w:adjustRightInd w:val="0"/>
        <w:snapToGrid w:val="0"/>
        <w:spacing w:line="440" w:lineRule="exact"/>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法定代表人或其委托代理人：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（签字或盖章）</w:t>
      </w:r>
    </w:p>
    <w:p w14:paraId="14FB63DA">
      <w:pPr>
        <w:rPr>
          <w:rFonts w:hint="eastAsia" w:ascii="宋体" w:hAnsi="宋体" w:eastAsia="宋体" w:cs="宋体"/>
          <w:color w:val="auto"/>
        </w:rPr>
      </w:pPr>
    </w:p>
    <w:p w14:paraId="20A1036C">
      <w:pPr>
        <w:wordWrap w:val="0"/>
        <w:adjustRightInd w:val="0"/>
        <w:snapToGrid w:val="0"/>
        <w:spacing w:line="44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56FD0727">
      <w:pPr>
        <w:rPr>
          <w:rFonts w:hint="eastAsia" w:ascii="宋体" w:hAnsi="宋体" w:eastAsia="宋体" w:cs="宋体"/>
          <w:color w:val="auto"/>
        </w:rPr>
      </w:pPr>
    </w:p>
    <w:p w14:paraId="6130FC86">
      <w:pPr>
        <w:rPr>
          <w:rFonts w:hint="eastAsia" w:ascii="宋体" w:hAnsi="宋体" w:eastAsia="宋体" w:cs="宋体"/>
          <w:color w:val="auto"/>
        </w:rPr>
      </w:pPr>
    </w:p>
    <w:p w14:paraId="202EFD4F">
      <w:pPr>
        <w:rPr>
          <w:rFonts w:hint="eastAsia" w:ascii="宋体" w:hAnsi="宋体" w:eastAsia="宋体" w:cs="宋体"/>
          <w:color w:val="auto"/>
        </w:rPr>
      </w:pPr>
    </w:p>
    <w:p w14:paraId="1825B727">
      <w:pPr>
        <w:rPr>
          <w:rFonts w:hint="eastAsia" w:ascii="宋体" w:hAnsi="宋体" w:eastAsia="宋体" w:cs="宋体"/>
          <w:color w:val="auto"/>
        </w:rPr>
      </w:pPr>
    </w:p>
    <w:p w14:paraId="65F91268">
      <w:pPr>
        <w:rPr>
          <w:rFonts w:hint="eastAsia" w:ascii="宋体" w:hAnsi="宋体" w:eastAsia="宋体" w:cs="宋体"/>
          <w:color w:val="auto"/>
        </w:rPr>
      </w:pPr>
    </w:p>
    <w:p w14:paraId="1C5A4BE4">
      <w:pPr>
        <w:rPr>
          <w:rFonts w:hint="eastAsia" w:ascii="宋体" w:hAnsi="宋体" w:eastAsia="宋体" w:cs="宋体"/>
          <w:color w:val="auto"/>
        </w:rPr>
      </w:pPr>
    </w:p>
    <w:p w14:paraId="6132AC1C">
      <w:pPr>
        <w:rPr>
          <w:rFonts w:hint="eastAsia" w:ascii="宋体" w:hAnsi="宋体" w:eastAsia="宋体" w:cs="宋体"/>
          <w:color w:val="auto"/>
        </w:rPr>
      </w:pPr>
    </w:p>
    <w:p w14:paraId="59BE3F00">
      <w:pPr>
        <w:rPr>
          <w:rFonts w:hint="eastAsia" w:ascii="宋体" w:hAnsi="宋体" w:eastAsia="宋体" w:cs="宋体"/>
          <w:color w:val="auto"/>
        </w:rPr>
      </w:pPr>
    </w:p>
    <w:p w14:paraId="3CC72996">
      <w:pPr>
        <w:rPr>
          <w:rFonts w:hint="eastAsia" w:ascii="宋体" w:hAnsi="宋体" w:eastAsia="宋体" w:cs="宋体"/>
          <w:color w:val="auto"/>
        </w:rPr>
      </w:pPr>
    </w:p>
    <w:p w14:paraId="0EF7F4B8">
      <w:pPr>
        <w:rPr>
          <w:rFonts w:hint="eastAsia" w:ascii="宋体" w:hAnsi="宋体" w:eastAsia="宋体" w:cs="宋体"/>
          <w:color w:val="auto"/>
        </w:rPr>
      </w:pPr>
    </w:p>
    <w:p w14:paraId="016E6E5A">
      <w:pPr>
        <w:rPr>
          <w:rFonts w:hint="eastAsia" w:ascii="宋体" w:hAnsi="宋体" w:eastAsia="宋体" w:cs="宋体"/>
          <w:color w:val="auto"/>
        </w:rPr>
      </w:pPr>
    </w:p>
    <w:p w14:paraId="04FC4E08">
      <w:pPr>
        <w:rPr>
          <w:rFonts w:hint="eastAsia" w:ascii="宋体" w:hAnsi="宋体" w:eastAsia="宋体" w:cs="宋体"/>
          <w:color w:val="auto"/>
        </w:rPr>
      </w:pPr>
    </w:p>
    <w:p w14:paraId="1124D745">
      <w:pPr>
        <w:rPr>
          <w:rFonts w:hint="eastAsia" w:ascii="宋体" w:hAnsi="宋体" w:eastAsia="宋体" w:cs="宋体"/>
          <w:color w:val="auto"/>
        </w:rPr>
      </w:pPr>
    </w:p>
    <w:p w14:paraId="27344829">
      <w:pPr>
        <w:rPr>
          <w:rFonts w:hint="eastAsia" w:ascii="宋体" w:hAnsi="宋体" w:eastAsia="宋体" w:cs="宋体"/>
          <w:color w:val="auto"/>
        </w:rPr>
      </w:pPr>
    </w:p>
    <w:p w14:paraId="007D0A58">
      <w:pPr>
        <w:rPr>
          <w:rFonts w:hint="eastAsia" w:ascii="宋体" w:hAnsi="宋体" w:eastAsia="宋体" w:cs="宋体"/>
          <w:color w:val="auto"/>
        </w:rPr>
      </w:pPr>
    </w:p>
    <w:p w14:paraId="295B8E4A">
      <w:pPr>
        <w:rPr>
          <w:rFonts w:hint="eastAsia" w:ascii="宋体" w:hAnsi="宋体" w:eastAsia="宋体" w:cs="宋体"/>
          <w:color w:val="auto"/>
        </w:rPr>
      </w:pPr>
    </w:p>
    <w:p w14:paraId="36C0E738">
      <w:pPr>
        <w:pStyle w:val="3"/>
        <w:bidi w:val="0"/>
        <w:spacing w:line="360" w:lineRule="auto"/>
        <w:ind w:firstLine="482" w:firstLineChars="200"/>
        <w:rPr>
          <w:rFonts w:hint="eastAsia" w:ascii="宋体" w:hAnsi="宋体" w:eastAsia="宋体" w:cs="宋体"/>
          <w:color w:val="auto"/>
        </w:rPr>
      </w:pPr>
      <w:bookmarkStart w:id="131" w:name="_Toc6483"/>
      <w:r>
        <w:rPr>
          <w:rFonts w:hint="eastAsia" w:ascii="宋体" w:hAnsi="宋体" w:eastAsia="宋体" w:cs="宋体"/>
          <w:color w:val="auto"/>
          <w:sz w:val="24"/>
          <w:szCs w:val="24"/>
          <w:lang w:val="en-US" w:eastAsia="zh-CN"/>
        </w:rPr>
        <w:t>格式三   各项承诺一览表</w:t>
      </w:r>
      <w:bookmarkEnd w:id="131"/>
    </w:p>
    <w:p w14:paraId="3D53F07D">
      <w:pPr>
        <w:jc w:val="center"/>
        <w:rPr>
          <w:rFonts w:hint="eastAsia" w:ascii="宋体" w:hAnsi="宋体" w:eastAsia="宋体" w:cs="宋体"/>
          <w:b/>
          <w:bCs/>
          <w:color w:val="auto"/>
          <w:sz w:val="32"/>
          <w:szCs w:val="22"/>
          <w:highlight w:val="none"/>
        </w:rPr>
      </w:pPr>
      <w:bookmarkStart w:id="132" w:name="bookmark149"/>
      <w:bookmarkEnd w:id="132"/>
      <w:r>
        <w:rPr>
          <w:rFonts w:hint="eastAsia" w:ascii="宋体" w:hAnsi="宋体" w:eastAsia="宋体" w:cs="宋体"/>
          <w:b/>
          <w:bCs/>
          <w:color w:val="auto"/>
          <w:sz w:val="32"/>
          <w:szCs w:val="22"/>
          <w:highlight w:val="none"/>
        </w:rPr>
        <w:t>各项承诺一览表</w:t>
      </w:r>
    </w:p>
    <w:tbl>
      <w:tblPr>
        <w:tblStyle w:val="19"/>
        <w:tblW w:w="9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5"/>
        <w:gridCol w:w="1670"/>
        <w:gridCol w:w="2923"/>
        <w:gridCol w:w="4434"/>
      </w:tblGrid>
      <w:tr w14:paraId="61C8F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55" w:type="dxa"/>
            <w:noWrap w:val="0"/>
            <w:vAlign w:val="center"/>
          </w:tcPr>
          <w:p w14:paraId="23D029B9">
            <w:pPr>
              <w:pStyle w:val="31"/>
              <w:wordWrap w:val="0"/>
              <w:adjustRightInd w:val="0"/>
              <w:snapToGrid w:val="0"/>
              <w:spacing w:line="380" w:lineRule="exact"/>
              <w:jc w:val="center"/>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序号</w:t>
            </w:r>
          </w:p>
        </w:tc>
        <w:tc>
          <w:tcPr>
            <w:tcW w:w="1670" w:type="dxa"/>
            <w:noWrap w:val="0"/>
            <w:vAlign w:val="center"/>
          </w:tcPr>
          <w:p w14:paraId="51E5F2CB">
            <w:pPr>
              <w:pStyle w:val="31"/>
              <w:wordWrap w:val="0"/>
              <w:adjustRightInd w:val="0"/>
              <w:snapToGrid w:val="0"/>
              <w:spacing w:line="380" w:lineRule="exact"/>
              <w:jc w:val="center"/>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承诺事项</w:t>
            </w:r>
          </w:p>
        </w:tc>
        <w:tc>
          <w:tcPr>
            <w:tcW w:w="2923" w:type="dxa"/>
            <w:noWrap w:val="0"/>
            <w:vAlign w:val="center"/>
          </w:tcPr>
          <w:p w14:paraId="3DEEE7F3">
            <w:pPr>
              <w:pStyle w:val="31"/>
              <w:wordWrap w:val="0"/>
              <w:adjustRightInd w:val="0"/>
              <w:snapToGrid w:val="0"/>
              <w:spacing w:line="380" w:lineRule="exact"/>
              <w:jc w:val="center"/>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承诺内容</w:t>
            </w:r>
          </w:p>
        </w:tc>
        <w:tc>
          <w:tcPr>
            <w:tcW w:w="4434" w:type="dxa"/>
            <w:noWrap w:val="0"/>
            <w:vAlign w:val="center"/>
          </w:tcPr>
          <w:p w14:paraId="3CAC6CAE">
            <w:pPr>
              <w:pStyle w:val="31"/>
              <w:wordWrap w:val="0"/>
              <w:adjustRightInd w:val="0"/>
              <w:snapToGrid w:val="0"/>
              <w:spacing w:line="380" w:lineRule="exact"/>
              <w:jc w:val="center"/>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违约承诺</w:t>
            </w:r>
          </w:p>
        </w:tc>
      </w:tr>
      <w:tr w14:paraId="151D5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5" w:hRule="atLeast"/>
          <w:jc w:val="center"/>
        </w:trPr>
        <w:tc>
          <w:tcPr>
            <w:tcW w:w="755" w:type="dxa"/>
            <w:noWrap w:val="0"/>
            <w:vAlign w:val="center"/>
          </w:tcPr>
          <w:p w14:paraId="481C51F0">
            <w:pPr>
              <w:pStyle w:val="31"/>
              <w:wordWrap w:val="0"/>
              <w:adjustRightInd w:val="0"/>
              <w:snapToGrid w:val="0"/>
              <w:spacing w:line="38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670" w:type="dxa"/>
            <w:noWrap w:val="0"/>
            <w:vAlign w:val="center"/>
          </w:tcPr>
          <w:p w14:paraId="30BEFF1F">
            <w:pPr>
              <w:pStyle w:val="32"/>
              <w:wordWrap w:val="0"/>
              <w:adjustRightInd w:val="0"/>
              <w:snapToGrid w:val="0"/>
              <w:spacing w:line="380" w:lineRule="exact"/>
              <w:ind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自愿接受招标</w:t>
            </w:r>
          </w:p>
          <w:p w14:paraId="4E80AB9D">
            <w:pPr>
              <w:pStyle w:val="32"/>
              <w:wordWrap w:val="0"/>
              <w:adjustRightInd w:val="0"/>
              <w:snapToGrid w:val="0"/>
              <w:spacing w:line="380" w:lineRule="exact"/>
              <w:ind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文件条款的承诺</w:t>
            </w:r>
          </w:p>
        </w:tc>
        <w:tc>
          <w:tcPr>
            <w:tcW w:w="2923" w:type="dxa"/>
            <w:noWrap w:val="0"/>
            <w:vAlign w:val="center"/>
          </w:tcPr>
          <w:p w14:paraId="75AEBAE8">
            <w:pPr>
              <w:pStyle w:val="32"/>
              <w:wordWrap w:val="0"/>
              <w:adjustRightInd w:val="0"/>
              <w:snapToGrid w:val="0"/>
              <w:spacing w:line="380" w:lineRule="exact"/>
              <w:ind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我方自愿接受招标文件的所有条款，所递交的投标文件已经充分响应招标文件的实质性要求。</w:t>
            </w:r>
          </w:p>
        </w:tc>
        <w:tc>
          <w:tcPr>
            <w:tcW w:w="4434" w:type="dxa"/>
            <w:noWrap w:val="0"/>
            <w:vAlign w:val="center"/>
          </w:tcPr>
          <w:p w14:paraId="5FCC431A">
            <w:pPr>
              <w:pStyle w:val="32"/>
              <w:wordWrap w:val="0"/>
              <w:adjustRightInd w:val="0"/>
              <w:snapToGrid w:val="0"/>
              <w:spacing w:line="380" w:lineRule="exact"/>
              <w:ind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如果我方的投标文件未响应、违反、偏离招标文件的实质性要求，我方接受招标人或其授权的招标代理机构或其组建的评标委员会依据招标文件作出的相应处理，包括否决投标。</w:t>
            </w:r>
          </w:p>
        </w:tc>
      </w:tr>
      <w:tr w14:paraId="0FC6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0" w:hRule="atLeast"/>
          <w:jc w:val="center"/>
        </w:trPr>
        <w:tc>
          <w:tcPr>
            <w:tcW w:w="755" w:type="dxa"/>
            <w:noWrap w:val="0"/>
            <w:vAlign w:val="center"/>
          </w:tcPr>
          <w:p w14:paraId="42F5D4CB">
            <w:pPr>
              <w:pStyle w:val="31"/>
              <w:wordWrap w:val="0"/>
              <w:adjustRightInd w:val="0"/>
              <w:snapToGrid w:val="0"/>
              <w:spacing w:line="38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670" w:type="dxa"/>
            <w:noWrap w:val="0"/>
            <w:vAlign w:val="center"/>
          </w:tcPr>
          <w:p w14:paraId="0FDB62ED">
            <w:pPr>
              <w:pStyle w:val="32"/>
              <w:wordWrap w:val="0"/>
              <w:adjustRightInd w:val="0"/>
              <w:snapToGrid w:val="0"/>
              <w:spacing w:line="380" w:lineRule="exact"/>
              <w:ind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无禁止投标</w:t>
            </w:r>
          </w:p>
          <w:p w14:paraId="2308786F">
            <w:pPr>
              <w:pStyle w:val="32"/>
              <w:wordWrap w:val="0"/>
              <w:adjustRightInd w:val="0"/>
              <w:snapToGrid w:val="0"/>
              <w:spacing w:line="380" w:lineRule="exact"/>
              <w:ind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情形的承诺</w:t>
            </w:r>
          </w:p>
        </w:tc>
        <w:tc>
          <w:tcPr>
            <w:tcW w:w="2923" w:type="dxa"/>
            <w:noWrap w:val="0"/>
            <w:vAlign w:val="center"/>
          </w:tcPr>
          <w:p w14:paraId="5638A84F">
            <w:pPr>
              <w:pStyle w:val="32"/>
              <w:wordWrap w:val="0"/>
              <w:adjustRightInd w:val="0"/>
              <w:snapToGrid w:val="0"/>
              <w:spacing w:line="380" w:lineRule="exact"/>
              <w:ind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我方不存在招标文件第一章第三节第</w:t>
            </w: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条“禁止投标条款”规定的任何一种情形。</w:t>
            </w:r>
          </w:p>
        </w:tc>
        <w:tc>
          <w:tcPr>
            <w:tcW w:w="4434" w:type="dxa"/>
            <w:noWrap w:val="0"/>
            <w:vAlign w:val="center"/>
          </w:tcPr>
          <w:p w14:paraId="529B3FC9">
            <w:pPr>
              <w:pStyle w:val="32"/>
              <w:wordWrap w:val="0"/>
              <w:adjustRightInd w:val="0"/>
              <w:snapToGrid w:val="0"/>
              <w:spacing w:line="380" w:lineRule="exact"/>
              <w:ind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如果我方有招标文件第一章第三节第</w:t>
            </w: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0298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5" w:hRule="atLeast"/>
          <w:jc w:val="center"/>
        </w:trPr>
        <w:tc>
          <w:tcPr>
            <w:tcW w:w="755" w:type="dxa"/>
            <w:noWrap w:val="0"/>
            <w:vAlign w:val="center"/>
          </w:tcPr>
          <w:p w14:paraId="57A90362">
            <w:pPr>
              <w:pStyle w:val="31"/>
              <w:wordWrap w:val="0"/>
              <w:adjustRightInd w:val="0"/>
              <w:snapToGrid w:val="0"/>
              <w:spacing w:line="38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670" w:type="dxa"/>
            <w:noWrap w:val="0"/>
            <w:vAlign w:val="center"/>
          </w:tcPr>
          <w:p w14:paraId="499ACB0A">
            <w:pPr>
              <w:pStyle w:val="32"/>
              <w:wordWrap w:val="0"/>
              <w:adjustRightInd w:val="0"/>
              <w:snapToGrid w:val="0"/>
              <w:spacing w:line="380" w:lineRule="exact"/>
              <w:ind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自觉抵制围标</w:t>
            </w:r>
          </w:p>
          <w:p w14:paraId="2795BA3C">
            <w:pPr>
              <w:pStyle w:val="32"/>
              <w:wordWrap w:val="0"/>
              <w:adjustRightInd w:val="0"/>
              <w:snapToGrid w:val="0"/>
              <w:spacing w:line="380" w:lineRule="exact"/>
              <w:ind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串标和弄虚</w:t>
            </w:r>
          </w:p>
          <w:p w14:paraId="00BE34C4">
            <w:pPr>
              <w:pStyle w:val="32"/>
              <w:wordWrap w:val="0"/>
              <w:adjustRightInd w:val="0"/>
              <w:snapToGrid w:val="0"/>
              <w:spacing w:line="380" w:lineRule="exact"/>
              <w:ind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作假行为的承诺</w:t>
            </w:r>
          </w:p>
        </w:tc>
        <w:tc>
          <w:tcPr>
            <w:tcW w:w="2923" w:type="dxa"/>
            <w:noWrap w:val="0"/>
            <w:vAlign w:val="center"/>
          </w:tcPr>
          <w:p w14:paraId="02490F51">
            <w:pPr>
              <w:pStyle w:val="32"/>
              <w:wordWrap w:val="0"/>
              <w:adjustRightInd w:val="0"/>
              <w:snapToGrid w:val="0"/>
              <w:spacing w:line="380" w:lineRule="exact"/>
              <w:ind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我方合法正当、诚实守信地参与投标，不组织、不参加围标串标违法行为，不通过弄虚作假行为骗取中标。</w:t>
            </w:r>
          </w:p>
        </w:tc>
        <w:tc>
          <w:tcPr>
            <w:tcW w:w="4434" w:type="dxa"/>
            <w:noWrap w:val="0"/>
            <w:vAlign w:val="center"/>
          </w:tcPr>
          <w:p w14:paraId="7C6F23EC">
            <w:pPr>
              <w:pStyle w:val="32"/>
              <w:wordWrap w:val="0"/>
              <w:adjustRightInd w:val="0"/>
              <w:snapToGrid w:val="0"/>
              <w:spacing w:line="380" w:lineRule="exact"/>
              <w:ind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33AD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5" w:hRule="atLeast"/>
          <w:jc w:val="center"/>
        </w:trPr>
        <w:tc>
          <w:tcPr>
            <w:tcW w:w="755" w:type="dxa"/>
            <w:noWrap w:val="0"/>
            <w:vAlign w:val="center"/>
          </w:tcPr>
          <w:p w14:paraId="2286959E">
            <w:pPr>
              <w:pStyle w:val="31"/>
              <w:wordWrap w:val="0"/>
              <w:adjustRightInd w:val="0"/>
              <w:snapToGrid w:val="0"/>
              <w:spacing w:line="38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670" w:type="dxa"/>
            <w:noWrap w:val="0"/>
            <w:vAlign w:val="center"/>
          </w:tcPr>
          <w:p w14:paraId="277DCB44">
            <w:pPr>
              <w:pStyle w:val="32"/>
              <w:wordWrap w:val="0"/>
              <w:adjustRightInd w:val="0"/>
              <w:snapToGrid w:val="0"/>
              <w:spacing w:line="380" w:lineRule="exact"/>
              <w:ind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项目经理</w:t>
            </w:r>
          </w:p>
          <w:p w14:paraId="291542B1">
            <w:pPr>
              <w:pStyle w:val="32"/>
              <w:wordWrap w:val="0"/>
              <w:adjustRightInd w:val="0"/>
              <w:snapToGrid w:val="0"/>
              <w:spacing w:line="380" w:lineRule="exact"/>
              <w:ind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任职承诺</w:t>
            </w:r>
          </w:p>
        </w:tc>
        <w:tc>
          <w:tcPr>
            <w:tcW w:w="2923" w:type="dxa"/>
            <w:noWrap w:val="0"/>
            <w:vAlign w:val="center"/>
          </w:tcPr>
          <w:p w14:paraId="21E514C3">
            <w:pPr>
              <w:pStyle w:val="32"/>
              <w:wordWrap w:val="0"/>
              <w:adjustRightInd w:val="0"/>
              <w:snapToGrid w:val="0"/>
              <w:spacing w:line="380" w:lineRule="exact"/>
              <w:ind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我方拟派项目经理现阶段没有担任任何在施（包括已中标未开工、已开工未竣工）建设工程项目的项目经理。</w:t>
            </w:r>
          </w:p>
        </w:tc>
        <w:tc>
          <w:tcPr>
            <w:tcW w:w="4434" w:type="dxa"/>
            <w:noWrap w:val="0"/>
            <w:vAlign w:val="center"/>
          </w:tcPr>
          <w:p w14:paraId="7D1D8258">
            <w:pPr>
              <w:pStyle w:val="32"/>
              <w:wordWrap w:val="0"/>
              <w:adjustRightInd w:val="0"/>
              <w:snapToGrid w:val="0"/>
              <w:spacing w:line="380" w:lineRule="exact"/>
              <w:ind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4F70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5" w:hRule="atLeast"/>
          <w:jc w:val="center"/>
        </w:trPr>
        <w:tc>
          <w:tcPr>
            <w:tcW w:w="755" w:type="dxa"/>
            <w:noWrap w:val="0"/>
            <w:vAlign w:val="center"/>
          </w:tcPr>
          <w:p w14:paraId="5700D7CC">
            <w:pPr>
              <w:pStyle w:val="31"/>
              <w:wordWrap w:val="0"/>
              <w:adjustRightInd w:val="0"/>
              <w:snapToGrid w:val="0"/>
              <w:spacing w:line="38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670" w:type="dxa"/>
            <w:noWrap w:val="0"/>
            <w:vAlign w:val="center"/>
          </w:tcPr>
          <w:p w14:paraId="2D779965">
            <w:pPr>
              <w:pStyle w:val="32"/>
              <w:wordWrap w:val="0"/>
              <w:adjustRightInd w:val="0"/>
              <w:snapToGrid w:val="0"/>
              <w:spacing w:line="380" w:lineRule="exact"/>
              <w:ind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w:t>
            </w:r>
          </w:p>
          <w:p w14:paraId="5572B077">
            <w:pPr>
              <w:pStyle w:val="32"/>
              <w:wordWrap w:val="0"/>
              <w:adjustRightInd w:val="0"/>
              <w:snapToGrid w:val="0"/>
              <w:spacing w:line="380" w:lineRule="exact"/>
              <w:ind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真实性承诺</w:t>
            </w:r>
          </w:p>
        </w:tc>
        <w:tc>
          <w:tcPr>
            <w:tcW w:w="2923" w:type="dxa"/>
            <w:noWrap w:val="0"/>
            <w:vAlign w:val="center"/>
          </w:tcPr>
          <w:p w14:paraId="3217B676">
            <w:pPr>
              <w:pStyle w:val="32"/>
              <w:wordWrap w:val="0"/>
              <w:adjustRightInd w:val="0"/>
              <w:snapToGrid w:val="0"/>
              <w:spacing w:line="380" w:lineRule="exact"/>
              <w:ind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我方所递交投标文件的全部内容均为真实、有效、准确的。</w:t>
            </w:r>
          </w:p>
        </w:tc>
        <w:tc>
          <w:tcPr>
            <w:tcW w:w="4434" w:type="dxa"/>
            <w:noWrap w:val="0"/>
            <w:vAlign w:val="center"/>
          </w:tcPr>
          <w:p w14:paraId="391A5AC4">
            <w:pPr>
              <w:pStyle w:val="32"/>
              <w:wordWrap w:val="0"/>
              <w:adjustRightInd w:val="0"/>
              <w:snapToGrid w:val="0"/>
              <w:spacing w:line="380" w:lineRule="exact"/>
              <w:ind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如果我方递交的投标文件任何内容不真实或无效或不准确，我方接受招标人或其授权的招标代理机构或其组建的评标委员会依据招标文件作出的相应处理，包括否决投标。</w:t>
            </w:r>
          </w:p>
        </w:tc>
      </w:tr>
      <w:tr w14:paraId="2D63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5" w:type="dxa"/>
            <w:noWrap w:val="0"/>
            <w:vAlign w:val="center"/>
          </w:tcPr>
          <w:p w14:paraId="098D4456">
            <w:pPr>
              <w:pStyle w:val="31"/>
              <w:wordWrap w:val="0"/>
              <w:adjustRightInd w:val="0"/>
              <w:snapToGrid w:val="0"/>
              <w:spacing w:line="38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670" w:type="dxa"/>
            <w:noWrap w:val="0"/>
            <w:vAlign w:val="center"/>
          </w:tcPr>
          <w:p w14:paraId="78F5A1C1">
            <w:pPr>
              <w:pStyle w:val="32"/>
              <w:wordWrap w:val="0"/>
              <w:adjustRightInd w:val="0"/>
              <w:snapToGrid w:val="0"/>
              <w:spacing w:line="380" w:lineRule="exact"/>
              <w:ind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w:t>
            </w:r>
          </w:p>
          <w:p w14:paraId="3412DDD8">
            <w:pPr>
              <w:pStyle w:val="32"/>
              <w:wordWrap w:val="0"/>
              <w:adjustRightInd w:val="0"/>
              <w:snapToGrid w:val="0"/>
              <w:spacing w:line="380" w:lineRule="exact"/>
              <w:ind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信息公开承诺</w:t>
            </w:r>
          </w:p>
        </w:tc>
        <w:tc>
          <w:tcPr>
            <w:tcW w:w="2923" w:type="dxa"/>
            <w:noWrap w:val="0"/>
            <w:vAlign w:val="center"/>
          </w:tcPr>
          <w:p w14:paraId="289CE72A">
            <w:pPr>
              <w:pStyle w:val="32"/>
              <w:wordWrap w:val="0"/>
              <w:adjustRightInd w:val="0"/>
              <w:snapToGrid w:val="0"/>
              <w:spacing w:line="380" w:lineRule="exact"/>
              <w:ind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我方提供完整的、与投标文件一致的电子文件。如果我方成为本项目中标候选人，我方同意并授权招标人在评标结果公示期内公开我方商务标书的全部内容。</w:t>
            </w:r>
          </w:p>
        </w:tc>
        <w:tc>
          <w:tcPr>
            <w:tcW w:w="4434" w:type="dxa"/>
            <w:noWrap w:val="0"/>
            <w:vAlign w:val="center"/>
          </w:tcPr>
          <w:p w14:paraId="65CE4BE8">
            <w:pPr>
              <w:pStyle w:val="32"/>
              <w:wordWrap w:val="0"/>
              <w:adjustRightInd w:val="0"/>
              <w:snapToGrid w:val="0"/>
              <w:spacing w:line="38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如果我方提供的电子文件不完整，又不按招标文件规定重新修正和提交电子文件，我方接受招标人依据招标文件作出的相应处理。</w:t>
            </w:r>
          </w:p>
        </w:tc>
      </w:tr>
      <w:tr w14:paraId="20BA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55" w:type="dxa"/>
            <w:noWrap w:val="0"/>
            <w:vAlign w:val="center"/>
          </w:tcPr>
          <w:p w14:paraId="37D87932">
            <w:pPr>
              <w:pStyle w:val="31"/>
              <w:wordWrap w:val="0"/>
              <w:adjustRightInd w:val="0"/>
              <w:snapToGrid w:val="0"/>
              <w:spacing w:line="38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670" w:type="dxa"/>
            <w:noWrap w:val="0"/>
            <w:vAlign w:val="center"/>
          </w:tcPr>
          <w:p w14:paraId="1B3B2FD2">
            <w:pPr>
              <w:pStyle w:val="32"/>
              <w:wordWrap w:val="0"/>
              <w:adjustRightInd w:val="0"/>
              <w:snapToGrid w:val="0"/>
              <w:spacing w:line="380" w:lineRule="exact"/>
              <w:ind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对不正常报价</w:t>
            </w:r>
          </w:p>
          <w:p w14:paraId="6A6F10C6">
            <w:pPr>
              <w:pStyle w:val="32"/>
              <w:wordWrap w:val="0"/>
              <w:adjustRightInd w:val="0"/>
              <w:snapToGrid w:val="0"/>
              <w:spacing w:line="380" w:lineRule="exact"/>
              <w:ind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的确认承诺</w:t>
            </w:r>
          </w:p>
        </w:tc>
        <w:tc>
          <w:tcPr>
            <w:tcW w:w="2923" w:type="dxa"/>
            <w:noWrap w:val="0"/>
            <w:vAlign w:val="center"/>
          </w:tcPr>
          <w:p w14:paraId="74AE1BD6">
            <w:pPr>
              <w:pStyle w:val="32"/>
              <w:wordWrap w:val="0"/>
              <w:adjustRightInd w:val="0"/>
              <w:snapToGrid w:val="0"/>
              <w:spacing w:line="380" w:lineRule="exact"/>
              <w:ind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如果我方中标，我方接受招标人在合同订立期间依据招标文件有关条款约定对我方已标价工程量清单中不正常报价的修正或认定，并按要求签署《不正常报价清单》加以确认。</w:t>
            </w:r>
          </w:p>
        </w:tc>
        <w:tc>
          <w:tcPr>
            <w:tcW w:w="4434" w:type="dxa"/>
            <w:noWrap w:val="0"/>
            <w:vAlign w:val="center"/>
          </w:tcPr>
          <w:p w14:paraId="45C57B78">
            <w:pPr>
              <w:pStyle w:val="32"/>
              <w:wordWrap w:val="0"/>
              <w:adjustRightInd w:val="0"/>
              <w:snapToGrid w:val="0"/>
              <w:spacing w:line="380" w:lineRule="exact"/>
              <w:ind w:firstLine="0" w:firstLineChars="0"/>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22860</wp:posOffset>
                      </wp:positionH>
                      <wp:positionV relativeFrom="paragraph">
                        <wp:posOffset>17780</wp:posOffset>
                      </wp:positionV>
                      <wp:extent cx="2804160" cy="1663065"/>
                      <wp:effectExtent l="2540" t="3810" r="12700" b="9525"/>
                      <wp:wrapNone/>
                      <wp:docPr id="18" name="直接箭头连接符 18"/>
                      <wp:cNvGraphicFramePr/>
                      <a:graphic xmlns:a="http://schemas.openxmlformats.org/drawingml/2006/main">
                        <a:graphicData uri="http://schemas.microsoft.com/office/word/2010/wordprocessingShape">
                          <wps:wsp>
                            <wps:cNvCnPr/>
                            <wps:spPr>
                              <a:xfrm>
                                <a:off x="0" y="0"/>
                                <a:ext cx="2804160" cy="166306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pt;margin-top:1.4pt;height:130.95pt;width:220.8pt;z-index:251659264;mso-width-relative:page;mso-height-relative:page;" filled="f" stroked="t" coordsize="21600,21600" o:gfxdata="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y1zzL1QAAAAcBAAAPAAAAAAAAAAEAIAAAACIAAABkcnMvZG93&#10;bnJldi54bWxQSwECFAAUAAAACACHTuJAaUXJfAMCAAD0AwAADgAAAAAAAAABACAAAAAkAQAAZHJz&#10;L2Uyb0RvYy54bWxQSwUGAAAAAAYABgBZAQAAmQUAAAAA&#10;">
                      <v:fill on="f" focussize="0,0"/>
                      <v:stroke color="#000000" joinstyle="round"/>
                      <v:imagedata o:title=""/>
                      <o:lock v:ext="edit" aspectratio="f"/>
                    </v:shape>
                  </w:pict>
                </mc:Fallback>
              </mc:AlternateContent>
            </w:r>
          </w:p>
        </w:tc>
      </w:tr>
      <w:tr w14:paraId="44B1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55" w:type="dxa"/>
            <w:noWrap w:val="0"/>
            <w:vAlign w:val="center"/>
          </w:tcPr>
          <w:p w14:paraId="224B3468">
            <w:pPr>
              <w:pStyle w:val="31"/>
              <w:wordWrap w:val="0"/>
              <w:adjustRightInd w:val="0"/>
              <w:snapToGrid w:val="0"/>
              <w:spacing w:line="38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670" w:type="dxa"/>
            <w:noWrap w:val="0"/>
            <w:vAlign w:val="center"/>
          </w:tcPr>
          <w:p w14:paraId="7223E581">
            <w:pPr>
              <w:pStyle w:val="32"/>
              <w:wordWrap w:val="0"/>
              <w:adjustRightInd w:val="0"/>
              <w:snapToGrid w:val="0"/>
              <w:spacing w:line="380" w:lineRule="exact"/>
              <w:ind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按时提交履约</w:t>
            </w:r>
          </w:p>
          <w:p w14:paraId="3338783C">
            <w:pPr>
              <w:pStyle w:val="32"/>
              <w:wordWrap w:val="0"/>
              <w:adjustRightInd w:val="0"/>
              <w:snapToGrid w:val="0"/>
              <w:spacing w:line="380" w:lineRule="exact"/>
              <w:ind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保证的承诺</w:t>
            </w:r>
          </w:p>
        </w:tc>
        <w:tc>
          <w:tcPr>
            <w:tcW w:w="2923" w:type="dxa"/>
            <w:noWrap w:val="0"/>
            <w:vAlign w:val="center"/>
          </w:tcPr>
          <w:p w14:paraId="3C38EC54">
            <w:pPr>
              <w:pStyle w:val="32"/>
              <w:wordWrap w:val="0"/>
              <w:adjustRightInd w:val="0"/>
              <w:snapToGrid w:val="0"/>
              <w:spacing w:line="380" w:lineRule="exact"/>
              <w:ind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如果我方中标，我方保证在招标文件规定的时限内全额提交履约保证。</w:t>
            </w:r>
          </w:p>
        </w:tc>
        <w:tc>
          <w:tcPr>
            <w:tcW w:w="4434" w:type="dxa"/>
            <w:noWrap w:val="0"/>
            <w:vAlign w:val="center"/>
          </w:tcPr>
          <w:p w14:paraId="5F986BFE">
            <w:pPr>
              <w:pStyle w:val="32"/>
              <w:wordWrap w:val="0"/>
              <w:adjustRightInd w:val="0"/>
              <w:snapToGrid w:val="0"/>
              <w:spacing w:line="38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如果我方未在招标文件规定的时限内全额提交履约保证，我方接受招标人依据招标文件作出的相应处理以及有关监督部门作出的行政处罚，并承担由此引起的一切法律后果。</w:t>
            </w:r>
          </w:p>
        </w:tc>
      </w:tr>
      <w:tr w14:paraId="7E20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3" w:hRule="atLeast"/>
          <w:jc w:val="center"/>
        </w:trPr>
        <w:tc>
          <w:tcPr>
            <w:tcW w:w="755" w:type="dxa"/>
            <w:noWrap w:val="0"/>
            <w:vAlign w:val="center"/>
          </w:tcPr>
          <w:p w14:paraId="68DFE57E">
            <w:pPr>
              <w:pStyle w:val="31"/>
              <w:wordWrap w:val="0"/>
              <w:adjustRightInd w:val="0"/>
              <w:snapToGrid w:val="0"/>
              <w:spacing w:line="38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670" w:type="dxa"/>
            <w:noWrap w:val="0"/>
            <w:vAlign w:val="center"/>
          </w:tcPr>
          <w:p w14:paraId="21EDB068">
            <w:pPr>
              <w:pStyle w:val="32"/>
              <w:wordWrap w:val="0"/>
              <w:adjustRightInd w:val="0"/>
              <w:snapToGrid w:val="0"/>
              <w:spacing w:line="380" w:lineRule="exact"/>
              <w:ind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按时签订合同</w:t>
            </w:r>
          </w:p>
          <w:p w14:paraId="19872EA6">
            <w:pPr>
              <w:pStyle w:val="32"/>
              <w:wordWrap w:val="0"/>
              <w:adjustRightInd w:val="0"/>
              <w:snapToGrid w:val="0"/>
              <w:spacing w:line="380" w:lineRule="exact"/>
              <w:ind w:firstLine="0" w:firstLineChars="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的承诺</w:t>
            </w:r>
          </w:p>
        </w:tc>
        <w:tc>
          <w:tcPr>
            <w:tcW w:w="2923" w:type="dxa"/>
            <w:noWrap w:val="0"/>
            <w:vAlign w:val="center"/>
          </w:tcPr>
          <w:p w14:paraId="544724A7">
            <w:pPr>
              <w:pStyle w:val="32"/>
              <w:wordWrap w:val="0"/>
              <w:adjustRightInd w:val="0"/>
              <w:snapToGrid w:val="0"/>
              <w:spacing w:line="380" w:lineRule="exact"/>
              <w:ind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如果我方中标，我方保证在招标文件规定的时限内与招标人签订合同，不提出违背或超出招标文件、中标文件的要求。</w:t>
            </w:r>
          </w:p>
        </w:tc>
        <w:tc>
          <w:tcPr>
            <w:tcW w:w="4434" w:type="dxa"/>
            <w:noWrap w:val="0"/>
            <w:vAlign w:val="center"/>
          </w:tcPr>
          <w:p w14:paraId="346190DF">
            <w:pPr>
              <w:pStyle w:val="32"/>
              <w:wordWrap w:val="0"/>
              <w:adjustRightInd w:val="0"/>
              <w:snapToGrid w:val="0"/>
              <w:spacing w:line="380" w:lineRule="exact"/>
              <w:ind w:firstLine="42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01F76133">
      <w:pPr>
        <w:rPr>
          <w:rFonts w:hint="eastAsia" w:ascii="宋体" w:hAnsi="宋体" w:eastAsia="宋体" w:cs="宋体"/>
          <w:color w:val="auto"/>
        </w:rPr>
      </w:pPr>
    </w:p>
    <w:p w14:paraId="6047676D">
      <w:pPr>
        <w:pStyle w:val="13"/>
        <w:wordWrap w:val="0"/>
        <w:adjustRightInd w:val="0"/>
        <w:snapToGrid w:val="0"/>
        <w:spacing w:line="360" w:lineRule="auto"/>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（盖单位章）</w:t>
      </w:r>
    </w:p>
    <w:p w14:paraId="1C2897FC">
      <w:pPr>
        <w:rPr>
          <w:rFonts w:hint="eastAsia" w:ascii="宋体" w:hAnsi="宋体" w:eastAsia="宋体" w:cs="宋体"/>
          <w:color w:val="auto"/>
        </w:rPr>
      </w:pPr>
    </w:p>
    <w:p w14:paraId="6CAFB6E3">
      <w:pPr>
        <w:pStyle w:val="13"/>
        <w:wordWrap w:val="0"/>
        <w:adjustRightInd w:val="0"/>
        <w:snapToGrid w:val="0"/>
        <w:spacing w:line="360" w:lineRule="auto"/>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法定代表人或其委托代理人：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（签字或盖章）</w:t>
      </w:r>
    </w:p>
    <w:p w14:paraId="64013DC6">
      <w:pPr>
        <w:rPr>
          <w:rFonts w:hint="eastAsia" w:ascii="宋体" w:hAnsi="宋体" w:eastAsia="宋体" w:cs="宋体"/>
          <w:color w:val="auto"/>
        </w:rPr>
      </w:pPr>
    </w:p>
    <w:p w14:paraId="6414E010">
      <w:pPr>
        <w:pStyle w:val="13"/>
        <w:wordWrap w:val="0"/>
        <w:adjustRightInd w:val="0"/>
        <w:snapToGrid w:val="0"/>
        <w:spacing w:line="360" w:lineRule="auto"/>
        <w:ind w:firstLine="480" w:firstLineChars="20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61582821">
      <w:pPr>
        <w:rPr>
          <w:rFonts w:hint="eastAsia" w:ascii="宋体" w:hAnsi="宋体" w:eastAsia="宋体" w:cs="宋体"/>
          <w:color w:val="auto"/>
        </w:rPr>
      </w:pPr>
    </w:p>
    <w:p w14:paraId="4E78A6A1">
      <w:pPr>
        <w:rPr>
          <w:rFonts w:hint="eastAsia" w:ascii="宋体" w:hAnsi="宋体" w:eastAsia="宋体" w:cs="宋体"/>
          <w:color w:val="auto"/>
        </w:rPr>
      </w:pPr>
    </w:p>
    <w:p w14:paraId="02BB7140">
      <w:pPr>
        <w:rPr>
          <w:rFonts w:hint="eastAsia" w:ascii="宋体" w:hAnsi="宋体" w:eastAsia="宋体" w:cs="宋体"/>
          <w:color w:val="auto"/>
        </w:rPr>
      </w:pPr>
    </w:p>
    <w:p w14:paraId="2E59C75A">
      <w:pPr>
        <w:rPr>
          <w:rFonts w:hint="eastAsia" w:ascii="宋体" w:hAnsi="宋体" w:eastAsia="宋体" w:cs="宋体"/>
          <w:color w:val="auto"/>
        </w:rPr>
      </w:pPr>
    </w:p>
    <w:p w14:paraId="51689400">
      <w:pPr>
        <w:rPr>
          <w:rFonts w:hint="eastAsia" w:ascii="宋体" w:hAnsi="宋体" w:eastAsia="宋体" w:cs="宋体"/>
          <w:color w:val="auto"/>
        </w:rPr>
      </w:pPr>
    </w:p>
    <w:p w14:paraId="47374447">
      <w:pPr>
        <w:rPr>
          <w:rFonts w:hint="eastAsia" w:ascii="宋体" w:hAnsi="宋体" w:eastAsia="宋体" w:cs="宋体"/>
          <w:color w:val="auto"/>
        </w:rPr>
      </w:pPr>
    </w:p>
    <w:p w14:paraId="74497B8C">
      <w:pPr>
        <w:rPr>
          <w:rFonts w:hint="eastAsia" w:ascii="宋体" w:hAnsi="宋体" w:eastAsia="宋体" w:cs="宋体"/>
          <w:color w:val="auto"/>
        </w:rPr>
      </w:pPr>
    </w:p>
    <w:p w14:paraId="6FE5D8E3">
      <w:pPr>
        <w:rPr>
          <w:rFonts w:hint="eastAsia" w:ascii="宋体" w:hAnsi="宋体" w:eastAsia="宋体" w:cs="宋体"/>
          <w:color w:val="auto"/>
        </w:rPr>
      </w:pPr>
    </w:p>
    <w:p w14:paraId="7D926CA6">
      <w:pPr>
        <w:rPr>
          <w:rFonts w:hint="eastAsia" w:ascii="宋体" w:hAnsi="宋体" w:eastAsia="宋体" w:cs="宋体"/>
          <w:color w:val="auto"/>
        </w:rPr>
      </w:pPr>
    </w:p>
    <w:p w14:paraId="2BAE95CA">
      <w:pPr>
        <w:rPr>
          <w:rFonts w:hint="eastAsia" w:ascii="宋体" w:hAnsi="宋体" w:eastAsia="宋体" w:cs="宋体"/>
          <w:color w:val="auto"/>
        </w:rPr>
      </w:pPr>
    </w:p>
    <w:p w14:paraId="4CA5F932">
      <w:pPr>
        <w:rPr>
          <w:rFonts w:hint="eastAsia" w:ascii="宋体" w:hAnsi="宋体" w:eastAsia="宋体" w:cs="宋体"/>
          <w:color w:val="auto"/>
        </w:rPr>
      </w:pPr>
    </w:p>
    <w:p w14:paraId="344A3168">
      <w:pPr>
        <w:rPr>
          <w:rFonts w:hint="eastAsia" w:ascii="宋体" w:hAnsi="宋体" w:eastAsia="宋体" w:cs="宋体"/>
          <w:color w:val="auto"/>
        </w:rPr>
      </w:pPr>
    </w:p>
    <w:p w14:paraId="346F5DEE">
      <w:pPr>
        <w:pStyle w:val="3"/>
        <w:bidi w:val="0"/>
        <w:spacing w:line="360" w:lineRule="auto"/>
        <w:ind w:firstLine="482" w:firstLineChars="200"/>
        <w:rPr>
          <w:rFonts w:hint="eastAsia" w:ascii="宋体" w:hAnsi="宋体" w:eastAsia="宋体" w:cs="宋体"/>
          <w:color w:val="auto"/>
          <w:sz w:val="24"/>
          <w:szCs w:val="24"/>
          <w:lang w:val="en-US" w:eastAsia="zh-CN"/>
        </w:rPr>
      </w:pPr>
      <w:bookmarkStart w:id="133" w:name="_Toc12710"/>
      <w:r>
        <w:rPr>
          <w:rFonts w:hint="eastAsia" w:ascii="宋体" w:hAnsi="宋体" w:eastAsia="宋体" w:cs="宋体"/>
          <w:color w:val="auto"/>
          <w:sz w:val="24"/>
          <w:szCs w:val="24"/>
          <w:lang w:val="en-US" w:eastAsia="zh-CN"/>
        </w:rPr>
        <w:t>格式四   授权委托书</w:t>
      </w:r>
      <w:bookmarkEnd w:id="133"/>
    </w:p>
    <w:p w14:paraId="7646B27A">
      <w:pPr>
        <w:wordWrap w:val="0"/>
        <w:adjustRightInd w:val="0"/>
        <w:snapToGrid w:val="0"/>
        <w:spacing w:before="260" w:after="260"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授权委托书</w:t>
      </w:r>
    </w:p>
    <w:p w14:paraId="5339AF75">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（姓名）系</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（投标人名称）的法定代表人，现委托</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（姓名）为我方代理人。代理人根据授权，以我方名义签署、澄清、说明、补正、递交、撤回、修改</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（项目名称）投标文件、签订合同和处理有关事宜，其法律后果由我方承担。</w:t>
      </w:r>
    </w:p>
    <w:p w14:paraId="2AFB08C3">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委托期限：至</w:t>
      </w:r>
      <w:r>
        <w:rPr>
          <w:rFonts w:hint="eastAsia" w:ascii="宋体" w:hAnsi="宋体" w:eastAsia="宋体" w:cs="宋体"/>
          <w:snapToGrid w:val="0"/>
          <w:color w:val="auto"/>
          <w:kern w:val="0"/>
          <w:sz w:val="24"/>
          <w:szCs w:val="24"/>
          <w:highlight w:val="none"/>
          <w:u w:val="single"/>
        </w:rPr>
        <w:t xml:space="preserve">     年   月   日</w:t>
      </w:r>
      <w:r>
        <w:rPr>
          <w:rFonts w:hint="eastAsia" w:ascii="宋体" w:hAnsi="宋体" w:eastAsia="宋体" w:cs="宋体"/>
          <w:i/>
          <w:iCs/>
          <w:snapToGrid w:val="0"/>
          <w:color w:val="auto"/>
          <w:kern w:val="0"/>
          <w:sz w:val="24"/>
          <w:szCs w:val="24"/>
          <w:highlight w:val="none"/>
          <w:u w:val="single"/>
        </w:rPr>
        <w:t>（不得短于招标文件规定的投标有效期）</w:t>
      </w:r>
      <w:r>
        <w:rPr>
          <w:rFonts w:hint="eastAsia" w:ascii="宋体" w:hAnsi="宋体" w:eastAsia="宋体" w:cs="宋体"/>
          <w:snapToGrid w:val="0"/>
          <w:color w:val="auto"/>
          <w:kern w:val="0"/>
          <w:sz w:val="24"/>
          <w:szCs w:val="24"/>
          <w:highlight w:val="none"/>
        </w:rPr>
        <w:t xml:space="preserve"> 。</w:t>
      </w:r>
    </w:p>
    <w:p w14:paraId="702B2892">
      <w:pPr>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代理人无转委托权。</w:t>
      </w:r>
    </w:p>
    <w:p w14:paraId="77354428">
      <w:pPr>
        <w:rPr>
          <w:rFonts w:hint="eastAsia" w:ascii="宋体" w:hAnsi="宋体" w:eastAsia="宋体" w:cs="宋体"/>
          <w:color w:val="auto"/>
        </w:rPr>
      </w:pPr>
    </w:p>
    <w:p w14:paraId="7BCAE384">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投  标  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（盖单位章）</w:t>
      </w:r>
    </w:p>
    <w:p w14:paraId="41C183C1">
      <w:pPr>
        <w:rPr>
          <w:rFonts w:hint="eastAsia" w:ascii="宋体" w:hAnsi="宋体" w:eastAsia="宋体" w:cs="宋体"/>
          <w:color w:val="auto"/>
        </w:rPr>
      </w:pPr>
    </w:p>
    <w:p w14:paraId="4FBDDF96">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法定代表人：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（签字或盖章）</w:t>
      </w:r>
    </w:p>
    <w:p w14:paraId="128C3893">
      <w:pPr>
        <w:rPr>
          <w:rFonts w:hint="eastAsia" w:ascii="宋体" w:hAnsi="宋体" w:eastAsia="宋体" w:cs="宋体"/>
          <w:color w:val="auto"/>
        </w:rPr>
      </w:pPr>
    </w:p>
    <w:p w14:paraId="177EFE8A">
      <w:pPr>
        <w:wordWrap w:val="0"/>
        <w:adjustRightInd w:val="0"/>
        <w:snapToGrid w:val="0"/>
        <w:spacing w:line="360" w:lineRule="auto"/>
        <w:ind w:firstLine="480" w:firstLineChars="200"/>
        <w:rPr>
          <w:rFonts w:hint="eastAsia" w:ascii="宋体" w:hAnsi="宋体" w:eastAsia="宋体" w:cs="宋体"/>
          <w:color w:val="auto"/>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snapToGrid w:val="0"/>
          <w:color w:val="auto"/>
          <w:kern w:val="0"/>
          <w:sz w:val="24"/>
          <w:szCs w:val="24"/>
          <w:highlight w:val="none"/>
        </w:rPr>
        <w:t>委托代理人：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（签字或盖章）</w:t>
      </w:r>
    </w:p>
    <w:p w14:paraId="1327628A">
      <w:pPr>
        <w:rPr>
          <w:rFonts w:hint="eastAsia" w:ascii="宋体" w:hAnsi="宋体" w:eastAsia="宋体" w:cs="宋体"/>
          <w:color w:val="auto"/>
        </w:rPr>
      </w:pPr>
    </w:p>
    <w:p w14:paraId="7271A6F7">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547CA13B">
      <w:pPr>
        <w:rPr>
          <w:rFonts w:hint="eastAsia" w:ascii="宋体" w:hAnsi="宋体" w:eastAsia="宋体" w:cs="宋体"/>
          <w:color w:val="auto"/>
        </w:rPr>
      </w:pPr>
    </w:p>
    <w:p w14:paraId="45D76057">
      <w:pPr>
        <w:rPr>
          <w:rFonts w:hint="eastAsia" w:ascii="宋体" w:hAnsi="宋体" w:eastAsia="宋体" w:cs="宋体"/>
          <w:color w:val="auto"/>
        </w:rPr>
      </w:pPr>
    </w:p>
    <w:p w14:paraId="72E902DC">
      <w:pPr>
        <w:rPr>
          <w:rFonts w:hint="eastAsia" w:ascii="宋体" w:hAnsi="宋体" w:eastAsia="宋体" w:cs="宋体"/>
          <w:color w:val="auto"/>
        </w:rPr>
      </w:pPr>
      <w:r>
        <w:rPr>
          <w:rFonts w:hint="eastAsia" w:ascii="宋体" w:hAnsi="宋体" w:eastAsia="宋体" w:cs="宋体"/>
          <w:color w:val="auto"/>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15" name="流程图: 可选过程 15"/>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46C3A5C">
                            <w:pPr>
                              <w:jc w:val="center"/>
                              <w:rPr>
                                <w:rFonts w:hint="eastAsia"/>
                                <w:szCs w:val="21"/>
                              </w:rPr>
                            </w:pPr>
                          </w:p>
                          <w:p w14:paraId="1771A8F3">
                            <w:pPr>
                              <w:jc w:val="center"/>
                              <w:rPr>
                                <w:rFonts w:hint="eastAsia"/>
                                <w:szCs w:val="21"/>
                              </w:rPr>
                            </w:pPr>
                          </w:p>
                          <w:p w14:paraId="61C4DFED">
                            <w:pPr>
                              <w:jc w:val="center"/>
                              <w:rPr>
                                <w:rFonts w:hint="eastAsia"/>
                                <w:szCs w:val="21"/>
                              </w:rPr>
                            </w:pPr>
                          </w:p>
                          <w:p w14:paraId="100B56F2">
                            <w:pPr>
                              <w:jc w:val="center"/>
                              <w:rPr>
                                <w:sz w:val="24"/>
                                <w:szCs w:val="24"/>
                              </w:rPr>
                            </w:pPr>
                            <w:r>
                              <w:rPr>
                                <w:rFonts w:hint="eastAsia"/>
                                <w:sz w:val="24"/>
                                <w:szCs w:val="24"/>
                              </w:rPr>
                              <w:t>委托代理人身份证复印件正、反面</w:t>
                            </w:r>
                          </w:p>
                        </w:txbxContent>
                      </wps:txbx>
                      <wps:bodyPr upright="1"/>
                    </wps:wsp>
                  </a:graphicData>
                </a:graphic>
              </wp:anchor>
            </w:drawing>
          </mc:Choice>
          <mc:Fallback>
            <w:pict>
              <v:shape id="_x0000_s1026" o:spid="_x0000_s1026" o:spt="176" type="#_x0000_t176" style="position:absolute;left:0pt;margin-left:115.5pt;margin-top:2.6pt;height:124.75pt;width:251.25pt;z-index:251661312;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sn06zYAAAACQEAAA8AAAAAAAAAAQAgAAAAIgAAAGRycy9kb3ducmV2LnhtbFBLAQIU&#10;ABQAAAAIAIdO4kCaiCyVLAIAAFIEAAAOAAAAAAAAAAEAIAAAACcBAABkcnMvZTJvRG9jLnhtbFBL&#10;BQYAAAAABgAGAFkBAADFBQAAAAA=&#10;">
                <v:fill on="t" focussize="0,0"/>
                <v:stroke color="#000000" joinstyle="miter"/>
                <v:imagedata o:title=""/>
                <o:lock v:ext="edit" aspectratio="f"/>
                <v:textbox>
                  <w:txbxContent>
                    <w:p w14:paraId="246C3A5C">
                      <w:pPr>
                        <w:jc w:val="center"/>
                        <w:rPr>
                          <w:rFonts w:hint="eastAsia"/>
                          <w:szCs w:val="21"/>
                        </w:rPr>
                      </w:pPr>
                    </w:p>
                    <w:p w14:paraId="1771A8F3">
                      <w:pPr>
                        <w:jc w:val="center"/>
                        <w:rPr>
                          <w:rFonts w:hint="eastAsia"/>
                          <w:szCs w:val="21"/>
                        </w:rPr>
                      </w:pPr>
                    </w:p>
                    <w:p w14:paraId="61C4DFED">
                      <w:pPr>
                        <w:jc w:val="center"/>
                        <w:rPr>
                          <w:rFonts w:hint="eastAsia"/>
                          <w:szCs w:val="21"/>
                        </w:rPr>
                      </w:pPr>
                    </w:p>
                    <w:p w14:paraId="100B56F2">
                      <w:pPr>
                        <w:jc w:val="center"/>
                        <w:rPr>
                          <w:sz w:val="24"/>
                          <w:szCs w:val="24"/>
                        </w:rPr>
                      </w:pPr>
                      <w:r>
                        <w:rPr>
                          <w:rFonts w:hint="eastAsia"/>
                          <w:sz w:val="24"/>
                          <w:szCs w:val="24"/>
                        </w:rPr>
                        <w:t>委托代理人身份证复印件正、反面</w:t>
                      </w:r>
                    </w:p>
                  </w:txbxContent>
                </v:textbox>
              </v:shape>
            </w:pict>
          </mc:Fallback>
        </mc:AlternateContent>
      </w:r>
    </w:p>
    <w:p w14:paraId="55AF7AAE">
      <w:pPr>
        <w:rPr>
          <w:rFonts w:hint="eastAsia" w:ascii="宋体" w:hAnsi="宋体" w:eastAsia="宋体" w:cs="宋体"/>
          <w:color w:val="auto"/>
        </w:rPr>
      </w:pPr>
    </w:p>
    <w:p w14:paraId="5AFEAA4E">
      <w:pPr>
        <w:rPr>
          <w:rFonts w:hint="eastAsia" w:ascii="宋体" w:hAnsi="宋体" w:eastAsia="宋体" w:cs="宋体"/>
          <w:color w:val="auto"/>
        </w:rPr>
      </w:pPr>
    </w:p>
    <w:p w14:paraId="565BC272">
      <w:pPr>
        <w:rPr>
          <w:rFonts w:hint="eastAsia" w:ascii="宋体" w:hAnsi="宋体" w:eastAsia="宋体" w:cs="宋体"/>
          <w:color w:val="auto"/>
        </w:rPr>
      </w:pPr>
    </w:p>
    <w:p w14:paraId="7FF6F896">
      <w:pPr>
        <w:rPr>
          <w:rFonts w:hint="eastAsia" w:ascii="宋体" w:hAnsi="宋体" w:eastAsia="宋体" w:cs="宋体"/>
          <w:color w:val="auto"/>
        </w:rPr>
      </w:pPr>
    </w:p>
    <w:p w14:paraId="7C5ED5D2">
      <w:pPr>
        <w:rPr>
          <w:rFonts w:hint="eastAsia" w:ascii="宋体" w:hAnsi="宋体" w:eastAsia="宋体" w:cs="宋体"/>
          <w:color w:val="auto"/>
        </w:rPr>
      </w:pPr>
    </w:p>
    <w:p w14:paraId="5DCE5A4C">
      <w:pPr>
        <w:rPr>
          <w:rFonts w:hint="eastAsia" w:ascii="宋体" w:hAnsi="宋体" w:eastAsia="宋体" w:cs="宋体"/>
          <w:color w:val="auto"/>
        </w:rPr>
      </w:pPr>
    </w:p>
    <w:p w14:paraId="627C5EF5">
      <w:pPr>
        <w:rPr>
          <w:rFonts w:hint="eastAsia" w:ascii="宋体" w:hAnsi="宋体" w:eastAsia="宋体" w:cs="宋体"/>
          <w:color w:val="auto"/>
        </w:rPr>
      </w:pPr>
    </w:p>
    <w:p w14:paraId="65B95335">
      <w:pPr>
        <w:rPr>
          <w:rFonts w:hint="eastAsia" w:ascii="宋体" w:hAnsi="宋体" w:eastAsia="宋体" w:cs="宋体"/>
          <w:color w:val="auto"/>
        </w:rPr>
      </w:pPr>
    </w:p>
    <w:p w14:paraId="02FCA0A1">
      <w:pPr>
        <w:rPr>
          <w:rFonts w:hint="eastAsia" w:ascii="宋体" w:hAnsi="宋体" w:eastAsia="宋体" w:cs="宋体"/>
          <w:color w:val="auto"/>
        </w:rPr>
      </w:pPr>
    </w:p>
    <w:p w14:paraId="15FF89C7">
      <w:pPr>
        <w:rPr>
          <w:rFonts w:hint="eastAsia" w:ascii="宋体" w:hAnsi="宋体" w:eastAsia="宋体" w:cs="宋体"/>
          <w:color w:val="auto"/>
        </w:rPr>
      </w:pPr>
    </w:p>
    <w:p w14:paraId="19584FB3">
      <w:pPr>
        <w:rPr>
          <w:rFonts w:hint="eastAsia" w:ascii="宋体" w:hAnsi="宋体" w:eastAsia="宋体" w:cs="宋体"/>
          <w:color w:val="auto"/>
        </w:rPr>
      </w:pPr>
    </w:p>
    <w:p w14:paraId="745790B2">
      <w:pPr>
        <w:rPr>
          <w:rFonts w:hint="eastAsia" w:ascii="宋体" w:hAnsi="宋体" w:eastAsia="宋体" w:cs="宋体"/>
          <w:color w:val="auto"/>
        </w:rPr>
      </w:pPr>
    </w:p>
    <w:p w14:paraId="622F491B">
      <w:pPr>
        <w:rPr>
          <w:rFonts w:hint="eastAsia" w:ascii="宋体" w:hAnsi="宋体" w:eastAsia="宋体" w:cs="宋体"/>
          <w:color w:val="auto"/>
        </w:rPr>
      </w:pPr>
    </w:p>
    <w:p w14:paraId="202C972A">
      <w:pPr>
        <w:rPr>
          <w:rFonts w:hint="eastAsia" w:ascii="宋体" w:hAnsi="宋体" w:eastAsia="宋体" w:cs="宋体"/>
          <w:color w:val="auto"/>
        </w:rPr>
      </w:pPr>
    </w:p>
    <w:p w14:paraId="63D47E55">
      <w:pPr>
        <w:rPr>
          <w:rFonts w:hint="eastAsia" w:ascii="宋体" w:hAnsi="宋体" w:eastAsia="宋体" w:cs="宋体"/>
          <w:color w:val="auto"/>
        </w:rPr>
      </w:pPr>
    </w:p>
    <w:p w14:paraId="349C5FB2">
      <w:pPr>
        <w:rPr>
          <w:rFonts w:hint="eastAsia" w:ascii="宋体" w:hAnsi="宋体" w:eastAsia="宋体" w:cs="宋体"/>
          <w:color w:val="auto"/>
        </w:rPr>
      </w:pPr>
    </w:p>
    <w:p w14:paraId="288D19B6">
      <w:pPr>
        <w:rPr>
          <w:rFonts w:hint="eastAsia" w:ascii="宋体" w:hAnsi="宋体" w:eastAsia="宋体" w:cs="宋体"/>
          <w:color w:val="auto"/>
        </w:rPr>
      </w:pPr>
    </w:p>
    <w:p w14:paraId="0221A626">
      <w:pPr>
        <w:rPr>
          <w:rFonts w:hint="eastAsia" w:ascii="宋体" w:hAnsi="宋体" w:eastAsia="宋体" w:cs="宋体"/>
          <w:color w:val="auto"/>
        </w:rPr>
      </w:pPr>
    </w:p>
    <w:p w14:paraId="20A4BB20">
      <w:pPr>
        <w:rPr>
          <w:rFonts w:hint="eastAsia" w:ascii="宋体" w:hAnsi="宋体" w:eastAsia="宋体" w:cs="宋体"/>
          <w:color w:val="auto"/>
        </w:rPr>
      </w:pPr>
    </w:p>
    <w:p w14:paraId="73941B24">
      <w:pPr>
        <w:rPr>
          <w:rFonts w:hint="eastAsia" w:ascii="宋体" w:hAnsi="宋体" w:eastAsia="宋体" w:cs="宋体"/>
          <w:color w:val="auto"/>
        </w:rPr>
      </w:pPr>
    </w:p>
    <w:p w14:paraId="3ED11AAD">
      <w:pPr>
        <w:rPr>
          <w:rFonts w:hint="eastAsia" w:ascii="宋体" w:hAnsi="宋体" w:eastAsia="宋体" w:cs="宋体"/>
          <w:color w:val="auto"/>
        </w:rPr>
      </w:pPr>
    </w:p>
    <w:p w14:paraId="25322D03">
      <w:pPr>
        <w:rPr>
          <w:rFonts w:hint="eastAsia" w:ascii="宋体" w:hAnsi="宋体" w:eastAsia="宋体" w:cs="宋体"/>
          <w:color w:val="auto"/>
        </w:rPr>
      </w:pPr>
    </w:p>
    <w:p w14:paraId="4174DB3F">
      <w:pPr>
        <w:rPr>
          <w:rFonts w:hint="eastAsia" w:ascii="宋体" w:hAnsi="宋体" w:eastAsia="宋体" w:cs="宋体"/>
          <w:color w:val="auto"/>
        </w:rPr>
      </w:pPr>
    </w:p>
    <w:p w14:paraId="34AEACCF">
      <w:pPr>
        <w:rPr>
          <w:rFonts w:hint="eastAsia" w:ascii="宋体" w:hAnsi="宋体" w:eastAsia="宋体" w:cs="宋体"/>
          <w:color w:val="auto"/>
        </w:rPr>
      </w:pPr>
    </w:p>
    <w:p w14:paraId="14677218">
      <w:pPr>
        <w:rPr>
          <w:rFonts w:hint="eastAsia" w:ascii="宋体" w:hAnsi="宋体" w:eastAsia="宋体" w:cs="宋体"/>
          <w:color w:val="auto"/>
        </w:rPr>
      </w:pPr>
    </w:p>
    <w:p w14:paraId="688C7228">
      <w:pPr>
        <w:pStyle w:val="3"/>
        <w:bidi w:val="0"/>
        <w:spacing w:line="360" w:lineRule="auto"/>
        <w:ind w:firstLine="482" w:firstLineChars="200"/>
        <w:rPr>
          <w:rFonts w:hint="eastAsia" w:ascii="宋体" w:hAnsi="宋体" w:eastAsia="宋体" w:cs="宋体"/>
          <w:b/>
          <w:snapToGrid w:val="0"/>
          <w:color w:val="auto"/>
          <w:kern w:val="0"/>
          <w:highlight w:val="none"/>
        </w:rPr>
      </w:pPr>
      <w:bookmarkStart w:id="134" w:name="_Toc964"/>
      <w:r>
        <w:rPr>
          <w:rFonts w:hint="eastAsia" w:ascii="宋体" w:hAnsi="宋体" w:eastAsia="宋体" w:cs="宋体"/>
          <w:color w:val="auto"/>
          <w:sz w:val="24"/>
          <w:szCs w:val="24"/>
          <w:lang w:val="en-US" w:eastAsia="zh-CN"/>
        </w:rPr>
        <w:t>格式五   法定代表人身份证明</w:t>
      </w:r>
      <w:bookmarkEnd w:id="134"/>
    </w:p>
    <w:p w14:paraId="081BA699">
      <w:pPr>
        <w:wordWrap w:val="0"/>
        <w:adjustRightInd w:val="0"/>
        <w:snapToGrid w:val="0"/>
        <w:spacing w:before="260" w:after="260"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b/>
          <w:snapToGrid w:val="0"/>
          <w:color w:val="auto"/>
          <w:kern w:val="0"/>
          <w:sz w:val="30"/>
          <w:highlight w:val="none"/>
        </w:rPr>
        <w:t>法定代表人身份证明</w:t>
      </w:r>
    </w:p>
    <w:p w14:paraId="413C386B">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投标人名称：</w:t>
      </w:r>
      <w:r>
        <w:rPr>
          <w:rFonts w:hint="eastAsia" w:ascii="宋体" w:hAnsi="宋体" w:eastAsia="宋体" w:cs="宋体"/>
          <w:snapToGrid w:val="0"/>
          <w:color w:val="auto"/>
          <w:kern w:val="0"/>
          <w:sz w:val="24"/>
          <w:szCs w:val="24"/>
          <w:highlight w:val="none"/>
          <w:u w:val="single"/>
        </w:rPr>
        <w:t xml:space="preserve">                  </w:t>
      </w:r>
    </w:p>
    <w:p w14:paraId="78CF3450">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姓名：</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性别：</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年龄：</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职务：</w:t>
      </w:r>
      <w:r>
        <w:rPr>
          <w:rFonts w:hint="eastAsia" w:ascii="宋体" w:hAnsi="宋体" w:eastAsia="宋体" w:cs="宋体"/>
          <w:snapToGrid w:val="0"/>
          <w:color w:val="auto"/>
          <w:kern w:val="0"/>
          <w:sz w:val="24"/>
          <w:szCs w:val="24"/>
          <w:highlight w:val="none"/>
          <w:u w:val="single"/>
        </w:rPr>
        <w:t xml:space="preserve">           </w:t>
      </w:r>
    </w:p>
    <w:p w14:paraId="5E212163">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系</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（投标人名称）的法定代表人。</w:t>
      </w:r>
    </w:p>
    <w:p w14:paraId="4EFABD8B">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特此证明。</w:t>
      </w:r>
    </w:p>
    <w:p w14:paraId="2CD7C6DD">
      <w:pPr>
        <w:rPr>
          <w:rFonts w:hint="eastAsia" w:ascii="宋体" w:hAnsi="宋体" w:eastAsia="宋体" w:cs="宋体"/>
          <w:color w:val="auto"/>
        </w:rPr>
      </w:pPr>
    </w:p>
    <w:p w14:paraId="66C33507">
      <w:pPr>
        <w:wordWrap w:val="0"/>
        <w:adjustRightInd w:val="0"/>
        <w:snapToGrid w:val="0"/>
        <w:spacing w:line="360" w:lineRule="auto"/>
        <w:ind w:firstLine="3840" w:firstLineChars="1600"/>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（盖单位章）</w:t>
      </w:r>
    </w:p>
    <w:p w14:paraId="20D3B2E4">
      <w:pPr>
        <w:rPr>
          <w:rFonts w:hint="eastAsia" w:ascii="宋体" w:hAnsi="宋体" w:eastAsia="宋体" w:cs="宋体"/>
          <w:color w:val="auto"/>
        </w:rPr>
      </w:pPr>
    </w:p>
    <w:p w14:paraId="726CB830">
      <w:pPr>
        <w:wordWrap w:val="0"/>
        <w:adjustRightInd w:val="0"/>
        <w:snapToGrid w:val="0"/>
        <w:spacing w:line="360" w:lineRule="auto"/>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法定代表人：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（签字或盖章）</w:t>
      </w:r>
    </w:p>
    <w:p w14:paraId="267A88FD">
      <w:pPr>
        <w:rPr>
          <w:rFonts w:hint="eastAsia" w:ascii="宋体" w:hAnsi="宋体" w:eastAsia="宋体" w:cs="宋体"/>
          <w:color w:val="auto"/>
        </w:rPr>
      </w:pPr>
    </w:p>
    <w:p w14:paraId="2F982D27">
      <w:pPr>
        <w:wordWrap w:val="0"/>
        <w:adjustRightInd w:val="0"/>
        <w:snapToGrid w:val="0"/>
        <w:spacing w:line="360" w:lineRule="auto"/>
        <w:ind w:firstLine="4800" w:firstLineChars="2000"/>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48F507EC">
      <w:pPr>
        <w:rPr>
          <w:rFonts w:hint="eastAsia" w:ascii="宋体" w:hAnsi="宋体" w:eastAsia="宋体" w:cs="宋体"/>
          <w:color w:val="auto"/>
        </w:rPr>
      </w:pPr>
    </w:p>
    <w:p w14:paraId="3A825124">
      <w:pPr>
        <w:rPr>
          <w:rFonts w:hint="eastAsia" w:ascii="宋体" w:hAnsi="宋体" w:eastAsia="宋体" w:cs="宋体"/>
          <w:color w:val="auto"/>
        </w:rPr>
      </w:pPr>
    </w:p>
    <w:p w14:paraId="1E97E527">
      <w:pPr>
        <w:rPr>
          <w:rFonts w:hint="eastAsia" w:ascii="宋体" w:hAnsi="宋体" w:eastAsia="宋体" w:cs="宋体"/>
          <w:color w:val="auto"/>
        </w:rPr>
      </w:pPr>
    </w:p>
    <w:p w14:paraId="5F88F0E8">
      <w:pPr>
        <w:rPr>
          <w:rFonts w:hint="eastAsia" w:ascii="宋体" w:hAnsi="宋体" w:eastAsia="宋体" w:cs="宋体"/>
          <w:color w:val="auto"/>
        </w:rPr>
      </w:pPr>
    </w:p>
    <w:p w14:paraId="0842BDB6">
      <w:pPr>
        <w:rPr>
          <w:rFonts w:hint="eastAsia" w:ascii="宋体" w:hAnsi="宋体" w:eastAsia="宋体" w:cs="宋体"/>
          <w:color w:val="auto"/>
        </w:rPr>
      </w:pPr>
      <w:r>
        <w:rPr>
          <w:rFonts w:hint="eastAsia" w:ascii="宋体" w:hAnsi="宋体" w:eastAsia="宋体" w:cs="宋体"/>
          <w:color w:val="auto"/>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17" name="流程图: 可选过程 17"/>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B63714C">
                            <w:pPr>
                              <w:jc w:val="center"/>
                              <w:rPr>
                                <w:rFonts w:hint="eastAsia"/>
                                <w:szCs w:val="21"/>
                              </w:rPr>
                            </w:pPr>
                          </w:p>
                          <w:p w14:paraId="784EED2C">
                            <w:pPr>
                              <w:jc w:val="center"/>
                              <w:rPr>
                                <w:rFonts w:hint="eastAsia"/>
                                <w:szCs w:val="21"/>
                              </w:rPr>
                            </w:pPr>
                          </w:p>
                          <w:p w14:paraId="469EF748">
                            <w:pPr>
                              <w:jc w:val="center"/>
                              <w:rPr>
                                <w:rFonts w:hint="eastAsia"/>
                                <w:sz w:val="24"/>
                                <w:szCs w:val="24"/>
                              </w:rPr>
                            </w:pPr>
                          </w:p>
                          <w:p w14:paraId="6944B149">
                            <w:pPr>
                              <w:jc w:val="center"/>
                              <w:rPr>
                                <w:sz w:val="24"/>
                                <w:szCs w:val="24"/>
                              </w:rPr>
                            </w:pPr>
                            <w:r>
                              <w:rPr>
                                <w:rFonts w:hint="eastAsia"/>
                                <w:sz w:val="24"/>
                                <w:szCs w:val="24"/>
                              </w:rPr>
                              <w:t>法定代表人身份证复印件正、反面</w:t>
                            </w:r>
                          </w:p>
                        </w:txbxContent>
                      </wps:txbx>
                      <wps:bodyPr upright="1"/>
                    </wps:wsp>
                  </a:graphicData>
                </a:graphic>
              </wp:anchor>
            </w:drawing>
          </mc:Choice>
          <mc:Fallback>
            <w:pict>
              <v:shape id="_x0000_s1026" o:spid="_x0000_s1026" o:spt="176" type="#_x0000_t176" style="position:absolute;left:0pt;margin-left:127.5pt;margin-top:1.6pt;height:124.75pt;width:222.45pt;z-index:251660288;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eFdSm2AAAAAkBAAAPAAAAAAAAAAEAIAAAACIAAABkcnMvZG93bnJldi54bWxQSwECFAAU&#10;AAAACACHTuJA1YIVDioCAABSBAAADgAAAAAAAAABACAAAAAnAQAAZHJzL2Uyb0RvYy54bWxQSwUG&#10;AAAAAAYABgBZAQAAwwUAAAAA&#10;">
                <v:fill on="t" focussize="0,0"/>
                <v:stroke color="#000000" joinstyle="miter"/>
                <v:imagedata o:title=""/>
                <o:lock v:ext="edit" aspectratio="f"/>
                <v:textbox>
                  <w:txbxContent>
                    <w:p w14:paraId="4B63714C">
                      <w:pPr>
                        <w:jc w:val="center"/>
                        <w:rPr>
                          <w:rFonts w:hint="eastAsia"/>
                          <w:szCs w:val="21"/>
                        </w:rPr>
                      </w:pPr>
                    </w:p>
                    <w:p w14:paraId="784EED2C">
                      <w:pPr>
                        <w:jc w:val="center"/>
                        <w:rPr>
                          <w:rFonts w:hint="eastAsia"/>
                          <w:szCs w:val="21"/>
                        </w:rPr>
                      </w:pPr>
                    </w:p>
                    <w:p w14:paraId="469EF748">
                      <w:pPr>
                        <w:jc w:val="center"/>
                        <w:rPr>
                          <w:rFonts w:hint="eastAsia"/>
                          <w:sz w:val="24"/>
                          <w:szCs w:val="24"/>
                        </w:rPr>
                      </w:pPr>
                    </w:p>
                    <w:p w14:paraId="6944B149">
                      <w:pPr>
                        <w:jc w:val="center"/>
                        <w:rPr>
                          <w:sz w:val="24"/>
                          <w:szCs w:val="24"/>
                        </w:rPr>
                      </w:pPr>
                      <w:r>
                        <w:rPr>
                          <w:rFonts w:hint="eastAsia"/>
                          <w:sz w:val="24"/>
                          <w:szCs w:val="24"/>
                        </w:rPr>
                        <w:t>法定代表人身份证复印件正、反面</w:t>
                      </w:r>
                    </w:p>
                  </w:txbxContent>
                </v:textbox>
              </v:shape>
            </w:pict>
          </mc:Fallback>
        </mc:AlternateContent>
      </w:r>
    </w:p>
    <w:p w14:paraId="2083E92A">
      <w:pPr>
        <w:rPr>
          <w:rFonts w:hint="eastAsia" w:ascii="宋体" w:hAnsi="宋体" w:eastAsia="宋体" w:cs="宋体"/>
          <w:color w:val="auto"/>
        </w:rPr>
      </w:pPr>
    </w:p>
    <w:p w14:paraId="02B06DB3">
      <w:pPr>
        <w:rPr>
          <w:rFonts w:hint="eastAsia" w:ascii="宋体" w:hAnsi="宋体" w:eastAsia="宋体" w:cs="宋体"/>
          <w:color w:val="auto"/>
        </w:rPr>
      </w:pPr>
    </w:p>
    <w:p w14:paraId="2B4936F3">
      <w:pPr>
        <w:rPr>
          <w:rFonts w:hint="eastAsia" w:ascii="宋体" w:hAnsi="宋体" w:eastAsia="宋体" w:cs="宋体"/>
          <w:color w:val="auto"/>
        </w:rPr>
      </w:pPr>
    </w:p>
    <w:p w14:paraId="57160BCD">
      <w:pPr>
        <w:rPr>
          <w:rFonts w:hint="eastAsia" w:ascii="宋体" w:hAnsi="宋体" w:eastAsia="宋体" w:cs="宋体"/>
          <w:color w:val="auto"/>
        </w:rPr>
      </w:pPr>
    </w:p>
    <w:p w14:paraId="52C2F350">
      <w:pPr>
        <w:rPr>
          <w:rFonts w:hint="eastAsia" w:ascii="宋体" w:hAnsi="宋体" w:eastAsia="宋体" w:cs="宋体"/>
          <w:color w:val="auto"/>
        </w:rPr>
      </w:pPr>
    </w:p>
    <w:p w14:paraId="3F0364BA">
      <w:pPr>
        <w:rPr>
          <w:rFonts w:hint="eastAsia" w:ascii="宋体" w:hAnsi="宋体" w:eastAsia="宋体" w:cs="宋体"/>
          <w:color w:val="auto"/>
        </w:rPr>
      </w:pPr>
    </w:p>
    <w:p w14:paraId="6DF59963">
      <w:pPr>
        <w:rPr>
          <w:rFonts w:hint="eastAsia" w:ascii="宋体" w:hAnsi="宋体" w:eastAsia="宋体" w:cs="宋体"/>
          <w:color w:val="auto"/>
        </w:rPr>
      </w:pPr>
    </w:p>
    <w:p w14:paraId="11CE8F9C">
      <w:pPr>
        <w:rPr>
          <w:rFonts w:hint="eastAsia" w:ascii="宋体" w:hAnsi="宋体" w:eastAsia="宋体" w:cs="宋体"/>
          <w:color w:val="auto"/>
        </w:rPr>
      </w:pPr>
    </w:p>
    <w:p w14:paraId="08ACF20E">
      <w:pPr>
        <w:rPr>
          <w:rFonts w:hint="eastAsia" w:ascii="宋体" w:hAnsi="宋体" w:eastAsia="宋体" w:cs="宋体"/>
          <w:color w:val="auto"/>
        </w:rPr>
      </w:pPr>
    </w:p>
    <w:p w14:paraId="207654D4">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02533D1F">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735CAB16">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74DB3BCA">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4786C443">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3C5FF3A3">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6504EB83">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6E7C493D">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4ECE2C30">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06A99C05">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5EF8F97C">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03CD43F0">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6F1CE26E">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1D90D825">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4FC2FCFA">
      <w:pPr>
        <w:pStyle w:val="3"/>
        <w:bidi w:val="0"/>
        <w:spacing w:line="360" w:lineRule="auto"/>
        <w:ind w:firstLine="482" w:firstLineChars="200"/>
        <w:rPr>
          <w:rFonts w:hint="eastAsia" w:ascii="宋体" w:hAnsi="宋体" w:eastAsia="宋体" w:cs="宋体"/>
          <w:color w:val="auto"/>
          <w:sz w:val="24"/>
          <w:szCs w:val="24"/>
          <w:lang w:val="en-US" w:eastAsia="zh-CN"/>
        </w:rPr>
      </w:pPr>
      <w:bookmarkStart w:id="135" w:name="_Toc7188"/>
      <w:r>
        <w:rPr>
          <w:rFonts w:hint="eastAsia" w:ascii="宋体" w:hAnsi="宋体" w:eastAsia="宋体" w:cs="宋体"/>
          <w:color w:val="auto"/>
          <w:sz w:val="24"/>
          <w:szCs w:val="24"/>
          <w:lang w:val="en-US" w:eastAsia="zh-CN"/>
        </w:rPr>
        <w:t>格式六   投标人基本情况表</w:t>
      </w:r>
      <w:bookmarkEnd w:id="135"/>
    </w:p>
    <w:p w14:paraId="4CB77104">
      <w:pPr>
        <w:spacing w:before="333" w:line="219" w:lineRule="auto"/>
        <w:jc w:val="center"/>
        <w:rPr>
          <w:rFonts w:hint="eastAsia" w:ascii="宋体" w:hAnsi="宋体" w:eastAsia="宋体" w:cs="宋体"/>
          <w:color w:val="auto"/>
        </w:rPr>
      </w:pPr>
      <w:bookmarkStart w:id="136" w:name="bookmark154"/>
      <w:bookmarkEnd w:id="136"/>
      <w:r>
        <w:rPr>
          <w:rFonts w:hint="eastAsia" w:ascii="宋体" w:hAnsi="宋体" w:eastAsia="宋体" w:cs="宋体"/>
          <w:b/>
          <w:bCs/>
          <w:color w:val="auto"/>
          <w:spacing w:val="-5"/>
          <w:sz w:val="30"/>
          <w:szCs w:val="30"/>
        </w:rPr>
        <w:t>投标人基本情况表</w:t>
      </w:r>
    </w:p>
    <w:tbl>
      <w:tblPr>
        <w:tblStyle w:val="33"/>
        <w:tblW w:w="10044" w:type="dxa"/>
        <w:tblInd w:w="-1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17"/>
        <w:gridCol w:w="1427"/>
        <w:gridCol w:w="625"/>
        <w:gridCol w:w="1275"/>
        <w:gridCol w:w="267"/>
        <w:gridCol w:w="765"/>
        <w:gridCol w:w="818"/>
        <w:gridCol w:w="684"/>
        <w:gridCol w:w="1766"/>
      </w:tblGrid>
      <w:tr w14:paraId="3B774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417" w:type="dxa"/>
            <w:noWrap w:val="0"/>
            <w:vAlign w:val="center"/>
          </w:tcPr>
          <w:p w14:paraId="178DBBCD">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投标人名称</w:t>
            </w:r>
          </w:p>
        </w:tc>
        <w:tc>
          <w:tcPr>
            <w:tcW w:w="7627" w:type="dxa"/>
            <w:gridSpan w:val="8"/>
            <w:noWrap w:val="0"/>
            <w:vAlign w:val="center"/>
          </w:tcPr>
          <w:p w14:paraId="0E89E7D5">
            <w:pPr>
              <w:pStyle w:val="34"/>
              <w:spacing w:line="240" w:lineRule="auto"/>
              <w:jc w:val="center"/>
              <w:rPr>
                <w:rFonts w:hint="eastAsia" w:ascii="宋体" w:hAnsi="宋体" w:eastAsia="宋体" w:cs="宋体"/>
                <w:color w:val="auto"/>
                <w:sz w:val="24"/>
                <w:szCs w:val="24"/>
              </w:rPr>
            </w:pPr>
          </w:p>
        </w:tc>
      </w:tr>
      <w:tr w14:paraId="6369D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417" w:type="dxa"/>
            <w:noWrap w:val="0"/>
            <w:vAlign w:val="center"/>
          </w:tcPr>
          <w:p w14:paraId="2A6DB935">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注册地址</w:t>
            </w:r>
          </w:p>
        </w:tc>
        <w:tc>
          <w:tcPr>
            <w:tcW w:w="3594" w:type="dxa"/>
            <w:gridSpan w:val="4"/>
            <w:noWrap w:val="0"/>
            <w:vAlign w:val="center"/>
          </w:tcPr>
          <w:p w14:paraId="50573AFF">
            <w:pPr>
              <w:pStyle w:val="34"/>
              <w:spacing w:line="240" w:lineRule="auto"/>
              <w:jc w:val="center"/>
              <w:rPr>
                <w:rFonts w:hint="eastAsia" w:ascii="宋体" w:hAnsi="宋体" w:eastAsia="宋体" w:cs="宋体"/>
                <w:color w:val="auto"/>
                <w:sz w:val="24"/>
                <w:szCs w:val="24"/>
              </w:rPr>
            </w:pPr>
          </w:p>
        </w:tc>
        <w:tc>
          <w:tcPr>
            <w:tcW w:w="1583" w:type="dxa"/>
            <w:gridSpan w:val="2"/>
            <w:noWrap w:val="0"/>
            <w:vAlign w:val="center"/>
          </w:tcPr>
          <w:p w14:paraId="6EF212D4">
            <w:pPr>
              <w:spacing w:before="144" w:line="240" w:lineRule="auto"/>
              <w:ind w:left="226"/>
              <w:jc w:val="center"/>
              <w:rPr>
                <w:rFonts w:hint="eastAsia" w:ascii="宋体" w:hAnsi="宋体" w:eastAsia="宋体" w:cs="宋体"/>
                <w:color w:val="auto"/>
                <w:sz w:val="24"/>
                <w:szCs w:val="24"/>
              </w:rPr>
            </w:pPr>
            <w:r>
              <w:rPr>
                <w:rFonts w:hint="eastAsia" w:ascii="宋体" w:hAnsi="宋体" w:eastAsia="宋体" w:cs="宋体"/>
                <w:color w:val="auto"/>
                <w:spacing w:val="3"/>
                <w:sz w:val="24"/>
                <w:szCs w:val="24"/>
              </w:rPr>
              <w:t>邮政编码</w:t>
            </w:r>
          </w:p>
        </w:tc>
        <w:tc>
          <w:tcPr>
            <w:tcW w:w="2450" w:type="dxa"/>
            <w:gridSpan w:val="2"/>
            <w:noWrap w:val="0"/>
            <w:vAlign w:val="center"/>
          </w:tcPr>
          <w:p w14:paraId="0CFE1BA1">
            <w:pPr>
              <w:pStyle w:val="34"/>
              <w:spacing w:line="240" w:lineRule="auto"/>
              <w:jc w:val="center"/>
              <w:rPr>
                <w:rFonts w:hint="eastAsia" w:ascii="宋体" w:hAnsi="宋体" w:eastAsia="宋体" w:cs="宋体"/>
                <w:color w:val="auto"/>
                <w:sz w:val="24"/>
                <w:szCs w:val="24"/>
              </w:rPr>
            </w:pPr>
          </w:p>
        </w:tc>
      </w:tr>
      <w:tr w14:paraId="2DACC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417" w:type="dxa"/>
            <w:vMerge w:val="restart"/>
            <w:tcBorders>
              <w:bottom w:val="nil"/>
            </w:tcBorders>
            <w:noWrap w:val="0"/>
            <w:vAlign w:val="center"/>
          </w:tcPr>
          <w:p w14:paraId="3FDA0C43">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联系方式</w:t>
            </w:r>
          </w:p>
        </w:tc>
        <w:tc>
          <w:tcPr>
            <w:tcW w:w="1427" w:type="dxa"/>
            <w:noWrap w:val="0"/>
            <w:vAlign w:val="center"/>
          </w:tcPr>
          <w:p w14:paraId="72CEE638">
            <w:pPr>
              <w:spacing w:before="145" w:line="240" w:lineRule="auto"/>
              <w:ind w:left="136"/>
              <w:jc w:val="center"/>
              <w:rPr>
                <w:rFonts w:hint="eastAsia" w:ascii="宋体" w:hAnsi="宋体" w:eastAsia="宋体" w:cs="宋体"/>
                <w:color w:val="auto"/>
                <w:sz w:val="24"/>
                <w:szCs w:val="24"/>
              </w:rPr>
            </w:pPr>
            <w:r>
              <w:rPr>
                <w:rFonts w:hint="eastAsia" w:ascii="宋体" w:hAnsi="宋体" w:eastAsia="宋体" w:cs="宋体"/>
                <w:color w:val="auto"/>
                <w:spacing w:val="6"/>
                <w:sz w:val="24"/>
                <w:szCs w:val="24"/>
              </w:rPr>
              <w:t>联系人</w:t>
            </w:r>
          </w:p>
        </w:tc>
        <w:tc>
          <w:tcPr>
            <w:tcW w:w="2167" w:type="dxa"/>
            <w:gridSpan w:val="3"/>
            <w:noWrap w:val="0"/>
            <w:vAlign w:val="center"/>
          </w:tcPr>
          <w:p w14:paraId="2040CBF6">
            <w:pPr>
              <w:pStyle w:val="34"/>
              <w:spacing w:line="240" w:lineRule="auto"/>
              <w:jc w:val="center"/>
              <w:rPr>
                <w:rFonts w:hint="eastAsia" w:ascii="宋体" w:hAnsi="宋体" w:eastAsia="宋体" w:cs="宋体"/>
                <w:color w:val="auto"/>
                <w:sz w:val="24"/>
                <w:szCs w:val="24"/>
              </w:rPr>
            </w:pPr>
          </w:p>
        </w:tc>
        <w:tc>
          <w:tcPr>
            <w:tcW w:w="1583" w:type="dxa"/>
            <w:gridSpan w:val="2"/>
            <w:noWrap w:val="0"/>
            <w:vAlign w:val="center"/>
          </w:tcPr>
          <w:p w14:paraId="7E2951D1">
            <w:pPr>
              <w:spacing w:before="145" w:line="240" w:lineRule="auto"/>
              <w:ind w:left="338"/>
              <w:jc w:val="center"/>
              <w:rPr>
                <w:rFonts w:hint="eastAsia" w:ascii="宋体" w:hAnsi="宋体" w:eastAsia="宋体" w:cs="宋体"/>
                <w:color w:val="auto"/>
                <w:sz w:val="24"/>
                <w:szCs w:val="24"/>
              </w:rPr>
            </w:pPr>
            <w:r>
              <w:rPr>
                <w:rFonts w:hint="eastAsia" w:ascii="宋体" w:hAnsi="宋体" w:eastAsia="宋体" w:cs="宋体"/>
                <w:color w:val="auto"/>
                <w:spacing w:val="-12"/>
                <w:sz w:val="24"/>
                <w:szCs w:val="24"/>
              </w:rPr>
              <w:t>电话</w:t>
            </w:r>
          </w:p>
        </w:tc>
        <w:tc>
          <w:tcPr>
            <w:tcW w:w="2450" w:type="dxa"/>
            <w:gridSpan w:val="2"/>
            <w:noWrap w:val="0"/>
            <w:vAlign w:val="center"/>
          </w:tcPr>
          <w:p w14:paraId="0E877683">
            <w:pPr>
              <w:pStyle w:val="34"/>
              <w:spacing w:line="240" w:lineRule="auto"/>
              <w:jc w:val="center"/>
              <w:rPr>
                <w:rFonts w:hint="eastAsia" w:ascii="宋体" w:hAnsi="宋体" w:eastAsia="宋体" w:cs="宋体"/>
                <w:color w:val="auto"/>
                <w:sz w:val="24"/>
                <w:szCs w:val="24"/>
              </w:rPr>
            </w:pPr>
          </w:p>
        </w:tc>
      </w:tr>
      <w:tr w14:paraId="49EF3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417" w:type="dxa"/>
            <w:vMerge w:val="continue"/>
            <w:tcBorders>
              <w:top w:val="nil"/>
            </w:tcBorders>
            <w:noWrap w:val="0"/>
            <w:vAlign w:val="center"/>
          </w:tcPr>
          <w:p w14:paraId="5E2EBF67">
            <w:pPr>
              <w:spacing w:line="240" w:lineRule="auto"/>
              <w:jc w:val="center"/>
              <w:rPr>
                <w:rFonts w:hint="eastAsia" w:ascii="宋体" w:hAnsi="宋体" w:eastAsia="宋体" w:cs="宋体"/>
                <w:color w:val="auto"/>
                <w:sz w:val="24"/>
                <w:szCs w:val="24"/>
              </w:rPr>
            </w:pPr>
          </w:p>
        </w:tc>
        <w:tc>
          <w:tcPr>
            <w:tcW w:w="1427" w:type="dxa"/>
            <w:noWrap w:val="0"/>
            <w:vAlign w:val="center"/>
          </w:tcPr>
          <w:p w14:paraId="04C81E3B">
            <w:pPr>
              <w:spacing w:before="143" w:line="240" w:lineRule="auto"/>
              <w:ind w:left="134"/>
              <w:jc w:val="center"/>
              <w:rPr>
                <w:rFonts w:hint="eastAsia" w:ascii="宋体" w:hAnsi="宋体" w:eastAsia="宋体" w:cs="宋体"/>
                <w:color w:val="auto"/>
                <w:sz w:val="24"/>
                <w:szCs w:val="24"/>
              </w:rPr>
            </w:pPr>
            <w:r>
              <w:rPr>
                <w:rFonts w:hint="eastAsia" w:ascii="宋体" w:hAnsi="宋体" w:eastAsia="宋体" w:cs="宋体"/>
                <w:color w:val="auto"/>
                <w:spacing w:val="1"/>
                <w:sz w:val="24"/>
                <w:szCs w:val="24"/>
              </w:rPr>
              <w:t>传</w:t>
            </w: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
                <w:sz w:val="24"/>
                <w:szCs w:val="24"/>
              </w:rPr>
              <w:t>真</w:t>
            </w:r>
          </w:p>
        </w:tc>
        <w:tc>
          <w:tcPr>
            <w:tcW w:w="2167" w:type="dxa"/>
            <w:gridSpan w:val="3"/>
            <w:noWrap w:val="0"/>
            <w:vAlign w:val="center"/>
          </w:tcPr>
          <w:p w14:paraId="506A17BD">
            <w:pPr>
              <w:pStyle w:val="34"/>
              <w:spacing w:line="240" w:lineRule="auto"/>
              <w:jc w:val="center"/>
              <w:rPr>
                <w:rFonts w:hint="eastAsia" w:ascii="宋体" w:hAnsi="宋体" w:eastAsia="宋体" w:cs="宋体"/>
                <w:color w:val="auto"/>
                <w:sz w:val="24"/>
                <w:szCs w:val="24"/>
              </w:rPr>
            </w:pPr>
          </w:p>
        </w:tc>
        <w:tc>
          <w:tcPr>
            <w:tcW w:w="1583" w:type="dxa"/>
            <w:gridSpan w:val="2"/>
            <w:noWrap w:val="0"/>
            <w:vAlign w:val="center"/>
          </w:tcPr>
          <w:p w14:paraId="5DD33F54">
            <w:pPr>
              <w:spacing w:before="144" w:line="240" w:lineRule="auto"/>
              <w:ind w:left="235"/>
              <w:jc w:val="center"/>
              <w:rPr>
                <w:rFonts w:hint="eastAsia" w:ascii="宋体" w:hAnsi="宋体" w:eastAsia="宋体" w:cs="宋体"/>
                <w:color w:val="auto"/>
                <w:sz w:val="24"/>
                <w:szCs w:val="24"/>
              </w:rPr>
            </w:pPr>
            <w:r>
              <w:rPr>
                <w:rFonts w:hint="eastAsia" w:ascii="宋体" w:hAnsi="宋体" w:eastAsia="宋体" w:cs="宋体"/>
                <w:color w:val="auto"/>
                <w:spacing w:val="1"/>
                <w:sz w:val="24"/>
                <w:szCs w:val="24"/>
              </w:rPr>
              <w:t>电子邮箱</w:t>
            </w:r>
          </w:p>
        </w:tc>
        <w:tc>
          <w:tcPr>
            <w:tcW w:w="2450" w:type="dxa"/>
            <w:gridSpan w:val="2"/>
            <w:noWrap w:val="0"/>
            <w:vAlign w:val="center"/>
          </w:tcPr>
          <w:p w14:paraId="7C5FEF43">
            <w:pPr>
              <w:pStyle w:val="34"/>
              <w:spacing w:line="240" w:lineRule="auto"/>
              <w:jc w:val="center"/>
              <w:rPr>
                <w:rFonts w:hint="eastAsia" w:ascii="宋体" w:hAnsi="宋体" w:eastAsia="宋体" w:cs="宋体"/>
                <w:color w:val="auto"/>
                <w:sz w:val="24"/>
                <w:szCs w:val="24"/>
              </w:rPr>
            </w:pPr>
          </w:p>
        </w:tc>
      </w:tr>
      <w:tr w14:paraId="45E04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417" w:type="dxa"/>
            <w:noWrap w:val="0"/>
            <w:vAlign w:val="center"/>
          </w:tcPr>
          <w:p w14:paraId="0CC1EC24">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单位性质</w:t>
            </w:r>
          </w:p>
        </w:tc>
        <w:tc>
          <w:tcPr>
            <w:tcW w:w="7627" w:type="dxa"/>
            <w:gridSpan w:val="8"/>
            <w:noWrap w:val="0"/>
            <w:vAlign w:val="center"/>
          </w:tcPr>
          <w:p w14:paraId="57C4B5D5">
            <w:pPr>
              <w:pStyle w:val="34"/>
              <w:spacing w:line="240" w:lineRule="auto"/>
              <w:jc w:val="center"/>
              <w:rPr>
                <w:rFonts w:hint="eastAsia" w:ascii="宋体" w:hAnsi="宋体" w:eastAsia="宋体" w:cs="宋体"/>
                <w:color w:val="auto"/>
                <w:sz w:val="24"/>
                <w:szCs w:val="24"/>
              </w:rPr>
            </w:pPr>
          </w:p>
        </w:tc>
      </w:tr>
      <w:tr w14:paraId="233D7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417" w:type="dxa"/>
            <w:noWrap w:val="0"/>
            <w:vAlign w:val="center"/>
          </w:tcPr>
          <w:p w14:paraId="5FE01B0F">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1427" w:type="dxa"/>
            <w:noWrap w:val="0"/>
            <w:vAlign w:val="center"/>
          </w:tcPr>
          <w:p w14:paraId="66F72465">
            <w:pPr>
              <w:spacing w:before="144" w:line="240" w:lineRule="auto"/>
              <w:ind w:left="241"/>
              <w:jc w:val="center"/>
              <w:rPr>
                <w:rFonts w:hint="eastAsia" w:ascii="宋体" w:hAnsi="宋体" w:eastAsia="宋体" w:cs="宋体"/>
                <w:color w:val="auto"/>
                <w:sz w:val="24"/>
                <w:szCs w:val="24"/>
              </w:rPr>
            </w:pPr>
            <w:r>
              <w:rPr>
                <w:rFonts w:hint="eastAsia" w:ascii="宋体" w:hAnsi="宋体" w:eastAsia="宋体" w:cs="宋体"/>
                <w:color w:val="auto"/>
                <w:spacing w:val="4"/>
                <w:sz w:val="24"/>
                <w:szCs w:val="24"/>
              </w:rPr>
              <w:t>姓名</w:t>
            </w:r>
          </w:p>
        </w:tc>
        <w:tc>
          <w:tcPr>
            <w:tcW w:w="625" w:type="dxa"/>
            <w:noWrap w:val="0"/>
            <w:vAlign w:val="center"/>
          </w:tcPr>
          <w:p w14:paraId="6E51DEED">
            <w:pPr>
              <w:pStyle w:val="34"/>
              <w:spacing w:line="240" w:lineRule="auto"/>
              <w:jc w:val="center"/>
              <w:rPr>
                <w:rFonts w:hint="eastAsia" w:ascii="宋体" w:hAnsi="宋体" w:eastAsia="宋体" w:cs="宋体"/>
                <w:color w:val="auto"/>
                <w:sz w:val="24"/>
                <w:szCs w:val="24"/>
              </w:rPr>
            </w:pPr>
          </w:p>
        </w:tc>
        <w:tc>
          <w:tcPr>
            <w:tcW w:w="1275" w:type="dxa"/>
            <w:noWrap w:val="0"/>
            <w:vAlign w:val="center"/>
          </w:tcPr>
          <w:p w14:paraId="0A7EB75F">
            <w:pPr>
              <w:spacing w:before="144" w:line="240" w:lineRule="auto"/>
              <w:ind w:left="130"/>
              <w:jc w:val="center"/>
              <w:rPr>
                <w:rFonts w:hint="eastAsia" w:ascii="宋体" w:hAnsi="宋体" w:eastAsia="宋体" w:cs="宋体"/>
                <w:color w:val="auto"/>
                <w:sz w:val="24"/>
                <w:szCs w:val="24"/>
              </w:rPr>
            </w:pPr>
            <w:r>
              <w:rPr>
                <w:rFonts w:hint="eastAsia" w:ascii="宋体" w:hAnsi="宋体" w:eastAsia="宋体" w:cs="宋体"/>
                <w:color w:val="auto"/>
                <w:spacing w:val="7"/>
                <w:sz w:val="24"/>
                <w:szCs w:val="24"/>
              </w:rPr>
              <w:t>技术职称</w:t>
            </w:r>
          </w:p>
        </w:tc>
        <w:tc>
          <w:tcPr>
            <w:tcW w:w="1032" w:type="dxa"/>
            <w:gridSpan w:val="2"/>
            <w:noWrap w:val="0"/>
            <w:vAlign w:val="center"/>
          </w:tcPr>
          <w:p w14:paraId="4BA3C502">
            <w:pPr>
              <w:pStyle w:val="34"/>
              <w:spacing w:line="240" w:lineRule="auto"/>
              <w:jc w:val="center"/>
              <w:rPr>
                <w:rFonts w:hint="eastAsia" w:ascii="宋体" w:hAnsi="宋体" w:eastAsia="宋体" w:cs="宋体"/>
                <w:color w:val="auto"/>
                <w:sz w:val="24"/>
                <w:szCs w:val="24"/>
              </w:rPr>
            </w:pPr>
          </w:p>
        </w:tc>
        <w:tc>
          <w:tcPr>
            <w:tcW w:w="1502" w:type="dxa"/>
            <w:gridSpan w:val="2"/>
            <w:noWrap w:val="0"/>
            <w:vAlign w:val="center"/>
          </w:tcPr>
          <w:p w14:paraId="14A3A46A">
            <w:pPr>
              <w:spacing w:before="143" w:line="240" w:lineRule="auto"/>
              <w:ind w:left="177"/>
              <w:jc w:val="center"/>
              <w:rPr>
                <w:rFonts w:hint="eastAsia" w:ascii="宋体" w:hAnsi="宋体" w:eastAsia="宋体" w:cs="宋体"/>
                <w:color w:val="auto"/>
                <w:sz w:val="24"/>
                <w:szCs w:val="24"/>
              </w:rPr>
            </w:pPr>
            <w:r>
              <w:rPr>
                <w:rFonts w:hint="eastAsia" w:ascii="宋体" w:hAnsi="宋体" w:eastAsia="宋体" w:cs="宋体"/>
                <w:color w:val="auto"/>
                <w:spacing w:val="-8"/>
                <w:sz w:val="24"/>
                <w:szCs w:val="24"/>
              </w:rPr>
              <w:t>电话</w:t>
            </w:r>
          </w:p>
        </w:tc>
        <w:tc>
          <w:tcPr>
            <w:tcW w:w="1766" w:type="dxa"/>
            <w:noWrap w:val="0"/>
            <w:vAlign w:val="center"/>
          </w:tcPr>
          <w:p w14:paraId="3C7374BF">
            <w:pPr>
              <w:pStyle w:val="34"/>
              <w:spacing w:line="240" w:lineRule="auto"/>
              <w:jc w:val="center"/>
              <w:rPr>
                <w:rFonts w:hint="eastAsia" w:ascii="宋体" w:hAnsi="宋体" w:eastAsia="宋体" w:cs="宋体"/>
                <w:color w:val="auto"/>
                <w:sz w:val="24"/>
                <w:szCs w:val="24"/>
              </w:rPr>
            </w:pPr>
          </w:p>
        </w:tc>
      </w:tr>
      <w:tr w14:paraId="6ED44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417" w:type="dxa"/>
            <w:noWrap w:val="0"/>
            <w:vAlign w:val="center"/>
          </w:tcPr>
          <w:p w14:paraId="10AAC0B7">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成立时间</w:t>
            </w:r>
          </w:p>
        </w:tc>
        <w:tc>
          <w:tcPr>
            <w:tcW w:w="2052" w:type="dxa"/>
            <w:gridSpan w:val="2"/>
            <w:noWrap w:val="0"/>
            <w:vAlign w:val="center"/>
          </w:tcPr>
          <w:p w14:paraId="4844EAE2">
            <w:pPr>
              <w:pStyle w:val="34"/>
              <w:spacing w:line="240" w:lineRule="auto"/>
              <w:jc w:val="center"/>
              <w:rPr>
                <w:rFonts w:hint="eastAsia" w:ascii="宋体" w:hAnsi="宋体" w:eastAsia="宋体" w:cs="宋体"/>
                <w:color w:val="auto"/>
                <w:sz w:val="24"/>
                <w:szCs w:val="24"/>
              </w:rPr>
            </w:pPr>
          </w:p>
        </w:tc>
        <w:tc>
          <w:tcPr>
            <w:tcW w:w="5575" w:type="dxa"/>
            <w:gridSpan w:val="6"/>
            <w:noWrap w:val="0"/>
            <w:vAlign w:val="center"/>
          </w:tcPr>
          <w:p w14:paraId="526D5E5B">
            <w:pPr>
              <w:spacing w:before="145" w:line="240" w:lineRule="auto"/>
              <w:ind w:left="1287"/>
              <w:jc w:val="center"/>
              <w:rPr>
                <w:rFonts w:hint="eastAsia" w:ascii="宋体" w:hAnsi="宋体" w:eastAsia="宋体" w:cs="宋体"/>
                <w:color w:val="auto"/>
                <w:sz w:val="24"/>
                <w:szCs w:val="24"/>
              </w:rPr>
            </w:pPr>
            <w:r>
              <w:rPr>
                <w:rFonts w:hint="eastAsia" w:ascii="宋体" w:hAnsi="宋体" w:eastAsia="宋体" w:cs="宋体"/>
                <w:color w:val="auto"/>
                <w:spacing w:val="7"/>
                <w:sz w:val="24"/>
                <w:szCs w:val="24"/>
              </w:rPr>
              <w:t>员工总人数（个</w:t>
            </w:r>
            <w:r>
              <w:rPr>
                <w:rFonts w:hint="eastAsia" w:ascii="宋体" w:hAnsi="宋体" w:eastAsia="宋体" w:cs="宋体"/>
                <w:color w:val="auto"/>
                <w:sz w:val="24"/>
                <w:szCs w:val="24"/>
              </w:rPr>
              <w:t>）：</w:t>
            </w:r>
          </w:p>
        </w:tc>
      </w:tr>
      <w:tr w14:paraId="67FCF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2417" w:type="dxa"/>
            <w:noWrap w:val="0"/>
            <w:vAlign w:val="center"/>
          </w:tcPr>
          <w:p w14:paraId="3A981E5B">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企业资质类型和等级</w:t>
            </w:r>
          </w:p>
        </w:tc>
        <w:tc>
          <w:tcPr>
            <w:tcW w:w="2052" w:type="dxa"/>
            <w:gridSpan w:val="2"/>
            <w:noWrap w:val="0"/>
            <w:vAlign w:val="center"/>
          </w:tcPr>
          <w:p w14:paraId="78B71908">
            <w:pPr>
              <w:pStyle w:val="34"/>
              <w:spacing w:line="240" w:lineRule="auto"/>
              <w:jc w:val="center"/>
              <w:rPr>
                <w:rFonts w:hint="eastAsia" w:ascii="宋体" w:hAnsi="宋体" w:eastAsia="宋体" w:cs="宋体"/>
                <w:color w:val="auto"/>
                <w:sz w:val="24"/>
                <w:szCs w:val="24"/>
              </w:rPr>
            </w:pPr>
          </w:p>
        </w:tc>
        <w:tc>
          <w:tcPr>
            <w:tcW w:w="1275" w:type="dxa"/>
            <w:vMerge w:val="restart"/>
            <w:tcBorders>
              <w:bottom w:val="nil"/>
            </w:tcBorders>
            <w:noWrap w:val="0"/>
            <w:vAlign w:val="center"/>
          </w:tcPr>
          <w:p w14:paraId="08BC5671">
            <w:pPr>
              <w:spacing w:before="65" w:line="240" w:lineRule="auto"/>
              <w:ind w:firstLine="496" w:firstLineChars="200"/>
              <w:jc w:val="both"/>
              <w:rPr>
                <w:rFonts w:hint="eastAsia" w:ascii="宋体" w:hAnsi="宋体" w:eastAsia="宋体" w:cs="宋体"/>
                <w:color w:val="auto"/>
                <w:sz w:val="24"/>
                <w:szCs w:val="24"/>
              </w:rPr>
            </w:pPr>
            <w:r>
              <w:rPr>
                <w:rFonts w:hint="eastAsia" w:ascii="宋体" w:hAnsi="宋体" w:eastAsia="宋体" w:cs="宋体"/>
                <w:color w:val="auto"/>
                <w:spacing w:val="4"/>
                <w:sz w:val="24"/>
                <w:szCs w:val="24"/>
              </w:rPr>
              <w:t>其中</w:t>
            </w:r>
          </w:p>
        </w:tc>
        <w:tc>
          <w:tcPr>
            <w:tcW w:w="2534" w:type="dxa"/>
            <w:gridSpan w:val="4"/>
            <w:noWrap w:val="0"/>
            <w:vAlign w:val="center"/>
          </w:tcPr>
          <w:p w14:paraId="0B9E10C5">
            <w:pPr>
              <w:spacing w:before="214" w:line="240" w:lineRule="auto"/>
              <w:ind w:left="554"/>
              <w:jc w:val="center"/>
              <w:rPr>
                <w:rFonts w:hint="eastAsia" w:ascii="宋体" w:hAnsi="宋体" w:eastAsia="宋体" w:cs="宋体"/>
                <w:color w:val="auto"/>
                <w:sz w:val="24"/>
                <w:szCs w:val="24"/>
              </w:rPr>
            </w:pPr>
            <w:r>
              <w:rPr>
                <w:rFonts w:hint="eastAsia" w:ascii="宋体" w:hAnsi="宋体" w:eastAsia="宋体" w:cs="宋体"/>
                <w:color w:val="auto"/>
                <w:spacing w:val="6"/>
                <w:sz w:val="24"/>
                <w:szCs w:val="24"/>
              </w:rPr>
              <w:t>项目经理</w:t>
            </w:r>
          </w:p>
        </w:tc>
        <w:tc>
          <w:tcPr>
            <w:tcW w:w="1766" w:type="dxa"/>
            <w:noWrap w:val="0"/>
            <w:vAlign w:val="center"/>
          </w:tcPr>
          <w:p w14:paraId="3EBE4BBD">
            <w:pPr>
              <w:pStyle w:val="34"/>
              <w:spacing w:line="240" w:lineRule="auto"/>
              <w:jc w:val="center"/>
              <w:rPr>
                <w:rFonts w:hint="eastAsia" w:ascii="宋体" w:hAnsi="宋体" w:eastAsia="宋体" w:cs="宋体"/>
                <w:color w:val="auto"/>
                <w:sz w:val="24"/>
                <w:szCs w:val="24"/>
              </w:rPr>
            </w:pPr>
          </w:p>
        </w:tc>
      </w:tr>
      <w:tr w14:paraId="752C3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417" w:type="dxa"/>
            <w:noWrap w:val="0"/>
            <w:vAlign w:val="center"/>
          </w:tcPr>
          <w:p w14:paraId="641C1A39">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营业执照号</w:t>
            </w:r>
          </w:p>
        </w:tc>
        <w:tc>
          <w:tcPr>
            <w:tcW w:w="2052" w:type="dxa"/>
            <w:gridSpan w:val="2"/>
            <w:noWrap w:val="0"/>
            <w:vAlign w:val="center"/>
          </w:tcPr>
          <w:p w14:paraId="5370D86E">
            <w:pPr>
              <w:pStyle w:val="34"/>
              <w:spacing w:line="240" w:lineRule="auto"/>
              <w:jc w:val="center"/>
              <w:rPr>
                <w:rFonts w:hint="eastAsia" w:ascii="宋体" w:hAnsi="宋体" w:eastAsia="宋体" w:cs="宋体"/>
                <w:color w:val="auto"/>
                <w:sz w:val="24"/>
                <w:szCs w:val="24"/>
              </w:rPr>
            </w:pPr>
          </w:p>
        </w:tc>
        <w:tc>
          <w:tcPr>
            <w:tcW w:w="1275" w:type="dxa"/>
            <w:vMerge w:val="continue"/>
            <w:tcBorders>
              <w:top w:val="nil"/>
              <w:bottom w:val="nil"/>
            </w:tcBorders>
            <w:noWrap w:val="0"/>
            <w:vAlign w:val="center"/>
          </w:tcPr>
          <w:p w14:paraId="5D7B4169">
            <w:pPr>
              <w:pStyle w:val="34"/>
              <w:spacing w:line="240" w:lineRule="auto"/>
              <w:jc w:val="center"/>
              <w:rPr>
                <w:rFonts w:hint="eastAsia" w:ascii="宋体" w:hAnsi="宋体" w:eastAsia="宋体" w:cs="宋体"/>
                <w:color w:val="auto"/>
                <w:sz w:val="24"/>
                <w:szCs w:val="24"/>
              </w:rPr>
            </w:pPr>
          </w:p>
        </w:tc>
        <w:tc>
          <w:tcPr>
            <w:tcW w:w="2534" w:type="dxa"/>
            <w:gridSpan w:val="4"/>
            <w:noWrap w:val="0"/>
            <w:vAlign w:val="center"/>
          </w:tcPr>
          <w:p w14:paraId="21C3E95D">
            <w:pPr>
              <w:spacing w:before="146" w:line="240" w:lineRule="auto"/>
              <w:ind w:left="345"/>
              <w:jc w:val="center"/>
              <w:rPr>
                <w:rFonts w:hint="eastAsia" w:ascii="宋体" w:hAnsi="宋体" w:eastAsia="宋体" w:cs="宋体"/>
                <w:color w:val="auto"/>
                <w:sz w:val="24"/>
                <w:szCs w:val="24"/>
              </w:rPr>
            </w:pPr>
            <w:r>
              <w:rPr>
                <w:rFonts w:hint="eastAsia" w:ascii="宋体" w:hAnsi="宋体" w:eastAsia="宋体" w:cs="宋体"/>
                <w:color w:val="auto"/>
                <w:spacing w:val="7"/>
                <w:sz w:val="24"/>
                <w:szCs w:val="24"/>
              </w:rPr>
              <w:t>高级职称人员</w:t>
            </w:r>
          </w:p>
        </w:tc>
        <w:tc>
          <w:tcPr>
            <w:tcW w:w="1766" w:type="dxa"/>
            <w:noWrap w:val="0"/>
            <w:vAlign w:val="center"/>
          </w:tcPr>
          <w:p w14:paraId="277ABC06">
            <w:pPr>
              <w:pStyle w:val="34"/>
              <w:spacing w:line="240" w:lineRule="auto"/>
              <w:jc w:val="center"/>
              <w:rPr>
                <w:rFonts w:hint="eastAsia" w:ascii="宋体" w:hAnsi="宋体" w:eastAsia="宋体" w:cs="宋体"/>
                <w:color w:val="auto"/>
                <w:sz w:val="24"/>
                <w:szCs w:val="24"/>
              </w:rPr>
            </w:pPr>
          </w:p>
        </w:tc>
      </w:tr>
      <w:tr w14:paraId="5AB92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417" w:type="dxa"/>
            <w:noWrap w:val="0"/>
            <w:vAlign w:val="center"/>
          </w:tcPr>
          <w:p w14:paraId="5CC072FF">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注册资金</w:t>
            </w:r>
          </w:p>
        </w:tc>
        <w:tc>
          <w:tcPr>
            <w:tcW w:w="2052" w:type="dxa"/>
            <w:gridSpan w:val="2"/>
            <w:noWrap w:val="0"/>
            <w:vAlign w:val="center"/>
          </w:tcPr>
          <w:p w14:paraId="3EE76A6C">
            <w:pPr>
              <w:pStyle w:val="34"/>
              <w:spacing w:line="240" w:lineRule="auto"/>
              <w:jc w:val="center"/>
              <w:rPr>
                <w:rFonts w:hint="eastAsia" w:ascii="宋体" w:hAnsi="宋体" w:eastAsia="宋体" w:cs="宋体"/>
                <w:color w:val="auto"/>
                <w:sz w:val="24"/>
                <w:szCs w:val="24"/>
              </w:rPr>
            </w:pPr>
          </w:p>
        </w:tc>
        <w:tc>
          <w:tcPr>
            <w:tcW w:w="1275" w:type="dxa"/>
            <w:vMerge w:val="continue"/>
            <w:tcBorders>
              <w:top w:val="nil"/>
              <w:bottom w:val="nil"/>
            </w:tcBorders>
            <w:noWrap w:val="0"/>
            <w:vAlign w:val="center"/>
          </w:tcPr>
          <w:p w14:paraId="3E8D3B59">
            <w:pPr>
              <w:pStyle w:val="34"/>
              <w:spacing w:line="240" w:lineRule="auto"/>
              <w:jc w:val="center"/>
              <w:rPr>
                <w:rFonts w:hint="eastAsia" w:ascii="宋体" w:hAnsi="宋体" w:eastAsia="宋体" w:cs="宋体"/>
                <w:color w:val="auto"/>
                <w:sz w:val="24"/>
                <w:szCs w:val="24"/>
              </w:rPr>
            </w:pPr>
          </w:p>
        </w:tc>
        <w:tc>
          <w:tcPr>
            <w:tcW w:w="2534" w:type="dxa"/>
            <w:gridSpan w:val="4"/>
            <w:noWrap w:val="0"/>
            <w:vAlign w:val="center"/>
          </w:tcPr>
          <w:p w14:paraId="6884D700">
            <w:pPr>
              <w:spacing w:before="147" w:line="240" w:lineRule="auto"/>
              <w:ind w:left="359"/>
              <w:jc w:val="center"/>
              <w:rPr>
                <w:rFonts w:hint="eastAsia" w:ascii="宋体" w:hAnsi="宋体" w:eastAsia="宋体" w:cs="宋体"/>
                <w:color w:val="auto"/>
                <w:sz w:val="24"/>
                <w:szCs w:val="24"/>
              </w:rPr>
            </w:pPr>
            <w:r>
              <w:rPr>
                <w:rFonts w:hint="eastAsia" w:ascii="宋体" w:hAnsi="宋体" w:eastAsia="宋体" w:cs="宋体"/>
                <w:color w:val="auto"/>
                <w:spacing w:val="4"/>
                <w:sz w:val="24"/>
                <w:szCs w:val="24"/>
              </w:rPr>
              <w:t>中级职称人员</w:t>
            </w:r>
          </w:p>
        </w:tc>
        <w:tc>
          <w:tcPr>
            <w:tcW w:w="1766" w:type="dxa"/>
            <w:noWrap w:val="0"/>
            <w:vAlign w:val="center"/>
          </w:tcPr>
          <w:p w14:paraId="74AEDA63">
            <w:pPr>
              <w:pStyle w:val="34"/>
              <w:spacing w:line="240" w:lineRule="auto"/>
              <w:jc w:val="center"/>
              <w:rPr>
                <w:rFonts w:hint="eastAsia" w:ascii="宋体" w:hAnsi="宋体" w:eastAsia="宋体" w:cs="宋体"/>
                <w:color w:val="auto"/>
                <w:sz w:val="24"/>
                <w:szCs w:val="24"/>
              </w:rPr>
            </w:pPr>
          </w:p>
        </w:tc>
      </w:tr>
      <w:tr w14:paraId="1314C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2417" w:type="dxa"/>
            <w:noWrap w:val="0"/>
            <w:vAlign w:val="center"/>
          </w:tcPr>
          <w:p w14:paraId="1BF7F9C6">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基本账户开户银行</w:t>
            </w:r>
          </w:p>
        </w:tc>
        <w:tc>
          <w:tcPr>
            <w:tcW w:w="2052" w:type="dxa"/>
            <w:gridSpan w:val="2"/>
            <w:noWrap w:val="0"/>
            <w:vAlign w:val="center"/>
          </w:tcPr>
          <w:p w14:paraId="69AC3472">
            <w:pPr>
              <w:pStyle w:val="34"/>
              <w:spacing w:line="240" w:lineRule="auto"/>
              <w:jc w:val="center"/>
              <w:rPr>
                <w:rFonts w:hint="eastAsia" w:ascii="宋体" w:hAnsi="宋体" w:eastAsia="宋体" w:cs="宋体"/>
                <w:color w:val="auto"/>
                <w:sz w:val="24"/>
                <w:szCs w:val="24"/>
              </w:rPr>
            </w:pPr>
          </w:p>
        </w:tc>
        <w:tc>
          <w:tcPr>
            <w:tcW w:w="1275" w:type="dxa"/>
            <w:vMerge w:val="continue"/>
            <w:tcBorders>
              <w:top w:val="nil"/>
              <w:bottom w:val="nil"/>
            </w:tcBorders>
            <w:noWrap w:val="0"/>
            <w:vAlign w:val="center"/>
          </w:tcPr>
          <w:p w14:paraId="43568FDB">
            <w:pPr>
              <w:pStyle w:val="34"/>
              <w:spacing w:line="240" w:lineRule="auto"/>
              <w:jc w:val="center"/>
              <w:rPr>
                <w:rFonts w:hint="eastAsia" w:ascii="宋体" w:hAnsi="宋体" w:eastAsia="宋体" w:cs="宋体"/>
                <w:color w:val="auto"/>
                <w:sz w:val="24"/>
                <w:szCs w:val="24"/>
              </w:rPr>
            </w:pPr>
          </w:p>
        </w:tc>
        <w:tc>
          <w:tcPr>
            <w:tcW w:w="2534" w:type="dxa"/>
            <w:gridSpan w:val="4"/>
            <w:noWrap w:val="0"/>
            <w:vAlign w:val="center"/>
          </w:tcPr>
          <w:p w14:paraId="04747295">
            <w:pPr>
              <w:spacing w:before="191" w:line="240" w:lineRule="auto"/>
              <w:ind w:left="338"/>
              <w:jc w:val="center"/>
              <w:rPr>
                <w:rFonts w:hint="eastAsia" w:ascii="宋体" w:hAnsi="宋体" w:eastAsia="宋体" w:cs="宋体"/>
                <w:color w:val="auto"/>
                <w:sz w:val="24"/>
                <w:szCs w:val="24"/>
              </w:rPr>
            </w:pPr>
            <w:r>
              <w:rPr>
                <w:rFonts w:hint="eastAsia" w:ascii="宋体" w:hAnsi="宋体" w:eastAsia="宋体" w:cs="宋体"/>
                <w:color w:val="auto"/>
                <w:spacing w:val="8"/>
                <w:sz w:val="24"/>
                <w:szCs w:val="24"/>
              </w:rPr>
              <w:t>初级职称人员</w:t>
            </w:r>
          </w:p>
        </w:tc>
        <w:tc>
          <w:tcPr>
            <w:tcW w:w="1766" w:type="dxa"/>
            <w:noWrap w:val="0"/>
            <w:vAlign w:val="center"/>
          </w:tcPr>
          <w:p w14:paraId="0E319308">
            <w:pPr>
              <w:pStyle w:val="34"/>
              <w:spacing w:line="240" w:lineRule="auto"/>
              <w:jc w:val="center"/>
              <w:rPr>
                <w:rFonts w:hint="eastAsia" w:ascii="宋体" w:hAnsi="宋体" w:eastAsia="宋体" w:cs="宋体"/>
                <w:color w:val="auto"/>
                <w:sz w:val="24"/>
                <w:szCs w:val="24"/>
              </w:rPr>
            </w:pPr>
          </w:p>
        </w:tc>
      </w:tr>
      <w:tr w14:paraId="3C3B8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417" w:type="dxa"/>
            <w:noWrap w:val="0"/>
            <w:vAlign w:val="center"/>
          </w:tcPr>
          <w:p w14:paraId="47522BF3">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基本账户银行账号</w:t>
            </w:r>
          </w:p>
        </w:tc>
        <w:tc>
          <w:tcPr>
            <w:tcW w:w="2052" w:type="dxa"/>
            <w:gridSpan w:val="2"/>
            <w:noWrap w:val="0"/>
            <w:vAlign w:val="center"/>
          </w:tcPr>
          <w:p w14:paraId="65E6E2C4">
            <w:pPr>
              <w:pStyle w:val="34"/>
              <w:spacing w:line="240" w:lineRule="auto"/>
              <w:jc w:val="center"/>
              <w:rPr>
                <w:rFonts w:hint="eastAsia" w:ascii="宋体" w:hAnsi="宋体" w:eastAsia="宋体" w:cs="宋体"/>
                <w:color w:val="auto"/>
                <w:sz w:val="24"/>
                <w:szCs w:val="24"/>
              </w:rPr>
            </w:pPr>
          </w:p>
        </w:tc>
        <w:tc>
          <w:tcPr>
            <w:tcW w:w="1275" w:type="dxa"/>
            <w:vMerge w:val="continue"/>
            <w:tcBorders>
              <w:top w:val="nil"/>
            </w:tcBorders>
            <w:noWrap w:val="0"/>
            <w:vAlign w:val="center"/>
          </w:tcPr>
          <w:p w14:paraId="1B922E1D">
            <w:pPr>
              <w:pStyle w:val="34"/>
              <w:spacing w:line="240" w:lineRule="auto"/>
              <w:jc w:val="center"/>
              <w:rPr>
                <w:rFonts w:hint="eastAsia" w:ascii="宋体" w:hAnsi="宋体" w:eastAsia="宋体" w:cs="宋体"/>
                <w:color w:val="auto"/>
                <w:sz w:val="24"/>
                <w:szCs w:val="24"/>
              </w:rPr>
            </w:pPr>
          </w:p>
        </w:tc>
        <w:tc>
          <w:tcPr>
            <w:tcW w:w="2534" w:type="dxa"/>
            <w:gridSpan w:val="4"/>
            <w:noWrap w:val="0"/>
            <w:vAlign w:val="center"/>
          </w:tcPr>
          <w:p w14:paraId="038A22EF">
            <w:pPr>
              <w:spacing w:before="211" w:line="240" w:lineRule="auto"/>
              <w:ind w:left="657"/>
              <w:jc w:val="center"/>
              <w:rPr>
                <w:rFonts w:hint="eastAsia" w:ascii="宋体" w:hAnsi="宋体" w:eastAsia="宋体" w:cs="宋体"/>
                <w:color w:val="auto"/>
                <w:sz w:val="24"/>
                <w:szCs w:val="24"/>
              </w:rPr>
            </w:pPr>
            <w:r>
              <w:rPr>
                <w:rFonts w:hint="eastAsia" w:ascii="宋体" w:hAnsi="宋体" w:eastAsia="宋体" w:cs="宋体"/>
                <w:color w:val="auto"/>
                <w:spacing w:val="6"/>
                <w:sz w:val="24"/>
                <w:szCs w:val="24"/>
              </w:rPr>
              <w:t>技术员</w:t>
            </w:r>
          </w:p>
        </w:tc>
        <w:tc>
          <w:tcPr>
            <w:tcW w:w="1766" w:type="dxa"/>
            <w:noWrap w:val="0"/>
            <w:vAlign w:val="center"/>
          </w:tcPr>
          <w:p w14:paraId="772285E0">
            <w:pPr>
              <w:pStyle w:val="34"/>
              <w:spacing w:line="240" w:lineRule="auto"/>
              <w:jc w:val="center"/>
              <w:rPr>
                <w:rFonts w:hint="eastAsia" w:ascii="宋体" w:hAnsi="宋体" w:eastAsia="宋体" w:cs="宋体"/>
                <w:color w:val="auto"/>
                <w:sz w:val="24"/>
                <w:szCs w:val="24"/>
              </w:rPr>
            </w:pPr>
          </w:p>
        </w:tc>
      </w:tr>
      <w:tr w14:paraId="7189D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2417" w:type="dxa"/>
            <w:noWrap w:val="0"/>
            <w:vAlign w:val="center"/>
          </w:tcPr>
          <w:p w14:paraId="114BDE7E">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经营范围</w:t>
            </w:r>
          </w:p>
        </w:tc>
        <w:tc>
          <w:tcPr>
            <w:tcW w:w="7627" w:type="dxa"/>
            <w:gridSpan w:val="8"/>
            <w:noWrap w:val="0"/>
            <w:vAlign w:val="center"/>
          </w:tcPr>
          <w:p w14:paraId="1D758593">
            <w:pPr>
              <w:pStyle w:val="34"/>
              <w:spacing w:line="240" w:lineRule="auto"/>
              <w:jc w:val="center"/>
              <w:rPr>
                <w:rFonts w:hint="eastAsia" w:ascii="宋体" w:hAnsi="宋体" w:eastAsia="宋体" w:cs="宋体"/>
                <w:color w:val="auto"/>
                <w:sz w:val="24"/>
                <w:szCs w:val="24"/>
              </w:rPr>
            </w:pPr>
          </w:p>
        </w:tc>
      </w:tr>
      <w:tr w14:paraId="08288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9" w:hRule="atLeast"/>
        </w:trPr>
        <w:tc>
          <w:tcPr>
            <w:tcW w:w="2417" w:type="dxa"/>
            <w:noWrap w:val="0"/>
            <w:vAlign w:val="center"/>
          </w:tcPr>
          <w:p w14:paraId="5FB3C1B1">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关联企业情况</w:t>
            </w:r>
          </w:p>
        </w:tc>
        <w:tc>
          <w:tcPr>
            <w:tcW w:w="7627" w:type="dxa"/>
            <w:gridSpan w:val="8"/>
            <w:noWrap w:val="0"/>
            <w:vAlign w:val="top"/>
          </w:tcPr>
          <w:p w14:paraId="41536A2D">
            <w:pPr>
              <w:rPr>
                <w:rFonts w:hint="eastAsia" w:ascii="宋体" w:hAnsi="宋体" w:eastAsia="宋体" w:cs="宋体"/>
                <w:color w:val="auto"/>
                <w:sz w:val="24"/>
                <w:szCs w:val="24"/>
              </w:rPr>
            </w:pPr>
            <w:r>
              <w:rPr>
                <w:rFonts w:hint="eastAsia" w:ascii="宋体" w:hAnsi="宋体" w:eastAsia="宋体" w:cs="宋体"/>
                <w:color w:val="auto"/>
                <w:sz w:val="24"/>
                <w:szCs w:val="24"/>
              </w:rPr>
              <w:t>包括但不限于与投标人存在以下关系的不同单位：</w:t>
            </w:r>
          </w:p>
          <w:p w14:paraId="757C4050">
            <w:pPr>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法定代表人为同一人的。</w:t>
            </w:r>
          </w:p>
          <w:p w14:paraId="03FD529B">
            <w:pPr>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存在控股、管理关系的。</w:t>
            </w:r>
          </w:p>
          <w:p w14:paraId="6FE7B5E8">
            <w:pPr>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主要人员相互任职的。</w:t>
            </w:r>
          </w:p>
        </w:tc>
      </w:tr>
      <w:tr w14:paraId="28067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2417" w:type="dxa"/>
            <w:noWrap w:val="0"/>
            <w:vAlign w:val="center"/>
          </w:tcPr>
          <w:p w14:paraId="0F9460BC">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c>
          <w:tcPr>
            <w:tcW w:w="7627" w:type="dxa"/>
            <w:gridSpan w:val="8"/>
            <w:noWrap w:val="0"/>
            <w:vAlign w:val="top"/>
          </w:tcPr>
          <w:p w14:paraId="2E09B824">
            <w:pPr>
              <w:pStyle w:val="34"/>
              <w:spacing w:line="240" w:lineRule="auto"/>
              <w:rPr>
                <w:rFonts w:hint="eastAsia" w:ascii="宋体" w:hAnsi="宋体" w:eastAsia="宋体" w:cs="宋体"/>
                <w:color w:val="auto"/>
                <w:sz w:val="24"/>
                <w:szCs w:val="24"/>
              </w:rPr>
            </w:pPr>
          </w:p>
        </w:tc>
      </w:tr>
    </w:tbl>
    <w:p w14:paraId="74AF3B1C">
      <w:pPr>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说明：</w:t>
      </w:r>
    </w:p>
    <w:p w14:paraId="59135217">
      <w:pPr>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1．《投标人基本情况表》后应附以下资料：</w:t>
      </w:r>
    </w:p>
    <w:p w14:paraId="008394A6">
      <w:pPr>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企业营业执照、资质证书、安全生产许可证的（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企业的安全生产许可证实时网页查询路径：登录“中华人民共和国住房和城乡建设部”，进入“全国工程质量安全监管信息平台公共服务门户”版块，具体网址为：https://zlaq.mohurd.gov.cn，进入后点击“安全生产许可证信息”，输入企业名称和统一社会信用代码即可查询。如中标后，投</w:t>
      </w:r>
      <w:bookmarkStart w:id="137" w:name="bookmark155"/>
      <w:bookmarkEnd w:id="137"/>
      <w:bookmarkStart w:id="138" w:name="bookmark89"/>
      <w:bookmarkEnd w:id="138"/>
      <w:r>
        <w:rPr>
          <w:rFonts w:hint="eastAsia" w:ascii="宋体" w:hAnsi="宋体" w:eastAsia="宋体" w:cs="宋体"/>
          <w:color w:val="auto"/>
          <w:sz w:val="24"/>
          <w:szCs w:val="24"/>
        </w:rPr>
        <w:t>标单位安全生产许可证发生被暂扣情形，需双方另行协商）；</w:t>
      </w:r>
    </w:p>
    <w:p w14:paraId="72A2BC23">
      <w:pPr>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（2）“进粤企业和人员诚信信息登记平台”企业信息情况打印页。（适用于省外建筑企业）</w:t>
      </w:r>
    </w:p>
    <w:p w14:paraId="510ABB5B">
      <w:pPr>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（3）《法人和非法人组织公共信用信息报告》（在“信用中国”网站企业查询界面中下载）。</w:t>
      </w:r>
    </w:p>
    <w:p w14:paraId="439D5C73">
      <w:pPr>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2．联合体投标的，联合体成员单位均应填写《投标人基本情况表》并提供以上所需资料。</w:t>
      </w:r>
    </w:p>
    <w:p w14:paraId="4B7B5610">
      <w:pPr>
        <w:pStyle w:val="3"/>
        <w:bidi w:val="0"/>
        <w:spacing w:line="360" w:lineRule="auto"/>
        <w:ind w:firstLine="482" w:firstLineChars="200"/>
        <w:rPr>
          <w:rFonts w:hint="eastAsia" w:ascii="宋体" w:hAnsi="宋体" w:eastAsia="宋体" w:cs="宋体"/>
          <w:color w:val="auto"/>
        </w:rPr>
      </w:pPr>
      <w:bookmarkStart w:id="139" w:name="_Toc18262"/>
      <w:r>
        <w:rPr>
          <w:rFonts w:hint="eastAsia" w:ascii="宋体" w:hAnsi="宋体" w:eastAsia="宋体" w:cs="宋体"/>
          <w:color w:val="auto"/>
          <w:sz w:val="24"/>
          <w:szCs w:val="24"/>
          <w:lang w:val="en-US" w:eastAsia="zh-CN"/>
        </w:rPr>
        <w:t>格式七   项目经理简历表</w:t>
      </w:r>
      <w:bookmarkEnd w:id="139"/>
    </w:p>
    <w:p w14:paraId="78CB89BA">
      <w:pPr>
        <w:spacing w:before="98" w:line="220" w:lineRule="auto"/>
        <w:ind w:left="3338"/>
        <w:rPr>
          <w:rFonts w:hint="eastAsia" w:ascii="宋体" w:hAnsi="宋体" w:eastAsia="宋体" w:cs="宋体"/>
          <w:b/>
          <w:bCs/>
          <w:color w:val="auto"/>
          <w:spacing w:val="-5"/>
          <w:sz w:val="30"/>
          <w:szCs w:val="30"/>
        </w:rPr>
      </w:pPr>
      <w:bookmarkStart w:id="140" w:name="bookmark156"/>
      <w:bookmarkEnd w:id="140"/>
      <w:r>
        <w:rPr>
          <w:rFonts w:hint="eastAsia" w:ascii="宋体" w:hAnsi="宋体" w:eastAsia="宋体" w:cs="宋体"/>
          <w:b/>
          <w:bCs/>
          <w:color w:val="auto"/>
          <w:spacing w:val="-5"/>
          <w:sz w:val="30"/>
          <w:szCs w:val="30"/>
        </w:rPr>
        <w:t>项目经理简历表</w:t>
      </w:r>
    </w:p>
    <w:tbl>
      <w:tblPr>
        <w:tblStyle w:val="33"/>
        <w:tblW w:w="96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9"/>
        <w:gridCol w:w="1136"/>
        <w:gridCol w:w="410"/>
        <w:gridCol w:w="648"/>
        <w:gridCol w:w="1293"/>
        <w:gridCol w:w="2149"/>
        <w:gridCol w:w="1933"/>
        <w:gridCol w:w="1350"/>
      </w:tblGrid>
      <w:tr w14:paraId="5FC17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915" w:type="dxa"/>
            <w:gridSpan w:val="2"/>
            <w:noWrap w:val="0"/>
            <w:vAlign w:val="top"/>
          </w:tcPr>
          <w:p w14:paraId="62961D55">
            <w:pPr>
              <w:spacing w:before="177" w:line="228" w:lineRule="auto"/>
              <w:ind w:left="508"/>
              <w:rPr>
                <w:rFonts w:hint="eastAsia" w:ascii="宋体" w:hAnsi="宋体" w:eastAsia="宋体" w:cs="宋体"/>
                <w:color w:val="auto"/>
                <w:sz w:val="24"/>
                <w:szCs w:val="24"/>
              </w:rPr>
            </w:pPr>
            <w:r>
              <w:rPr>
                <w:rFonts w:hint="eastAsia" w:ascii="宋体" w:hAnsi="宋体" w:eastAsia="宋体" w:cs="宋体"/>
                <w:color w:val="auto"/>
                <w:sz w:val="24"/>
                <w:szCs w:val="24"/>
              </w:rPr>
              <w:t>姓</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名</w:t>
            </w:r>
          </w:p>
        </w:tc>
        <w:tc>
          <w:tcPr>
            <w:tcW w:w="1058" w:type="dxa"/>
            <w:gridSpan w:val="2"/>
            <w:noWrap w:val="0"/>
            <w:vAlign w:val="top"/>
          </w:tcPr>
          <w:p w14:paraId="07C5A093">
            <w:pPr>
              <w:pStyle w:val="34"/>
              <w:rPr>
                <w:rFonts w:hint="eastAsia" w:ascii="宋体" w:hAnsi="宋体" w:eastAsia="宋体" w:cs="宋体"/>
                <w:color w:val="auto"/>
                <w:sz w:val="24"/>
                <w:szCs w:val="24"/>
              </w:rPr>
            </w:pPr>
          </w:p>
        </w:tc>
        <w:tc>
          <w:tcPr>
            <w:tcW w:w="1293" w:type="dxa"/>
            <w:noWrap w:val="0"/>
            <w:vAlign w:val="top"/>
          </w:tcPr>
          <w:p w14:paraId="196B9DCE">
            <w:pPr>
              <w:spacing w:before="177" w:line="229" w:lineRule="auto"/>
              <w:ind w:left="336"/>
              <w:rPr>
                <w:rFonts w:hint="eastAsia" w:ascii="宋体" w:hAnsi="宋体" w:eastAsia="宋体" w:cs="宋体"/>
                <w:color w:val="auto"/>
                <w:sz w:val="24"/>
                <w:szCs w:val="24"/>
              </w:rPr>
            </w:pPr>
            <w:r>
              <w:rPr>
                <w:rFonts w:hint="eastAsia" w:ascii="宋体" w:hAnsi="宋体" w:eastAsia="宋体" w:cs="宋体"/>
                <w:color w:val="auto"/>
                <w:sz w:val="24"/>
                <w:szCs w:val="24"/>
              </w:rPr>
              <w:t>性</w:t>
            </w:r>
            <w:r>
              <w:rPr>
                <w:rFonts w:hint="eastAsia" w:ascii="宋体" w:hAnsi="宋体" w:eastAsia="宋体" w:cs="宋体"/>
                <w:color w:val="auto"/>
                <w:spacing w:val="10"/>
                <w:sz w:val="24"/>
                <w:szCs w:val="24"/>
              </w:rPr>
              <w:t xml:space="preserve">  </w:t>
            </w:r>
            <w:r>
              <w:rPr>
                <w:rFonts w:hint="eastAsia" w:ascii="宋体" w:hAnsi="宋体" w:eastAsia="宋体" w:cs="宋体"/>
                <w:color w:val="auto"/>
                <w:sz w:val="24"/>
                <w:szCs w:val="24"/>
              </w:rPr>
              <w:t>别</w:t>
            </w:r>
          </w:p>
        </w:tc>
        <w:tc>
          <w:tcPr>
            <w:tcW w:w="2149" w:type="dxa"/>
            <w:noWrap w:val="0"/>
            <w:vAlign w:val="top"/>
          </w:tcPr>
          <w:p w14:paraId="532D23BC">
            <w:pPr>
              <w:pStyle w:val="34"/>
              <w:rPr>
                <w:rFonts w:hint="eastAsia" w:ascii="宋体" w:hAnsi="宋体" w:eastAsia="宋体" w:cs="宋体"/>
                <w:color w:val="auto"/>
                <w:sz w:val="24"/>
                <w:szCs w:val="24"/>
              </w:rPr>
            </w:pPr>
          </w:p>
        </w:tc>
        <w:tc>
          <w:tcPr>
            <w:tcW w:w="1933" w:type="dxa"/>
            <w:noWrap w:val="0"/>
            <w:vAlign w:val="top"/>
          </w:tcPr>
          <w:p w14:paraId="470693E9">
            <w:pPr>
              <w:spacing w:before="177" w:line="228" w:lineRule="auto"/>
              <w:ind w:left="488"/>
              <w:rPr>
                <w:rFonts w:hint="eastAsia" w:ascii="宋体" w:hAnsi="宋体" w:eastAsia="宋体" w:cs="宋体"/>
                <w:color w:val="auto"/>
                <w:sz w:val="24"/>
                <w:szCs w:val="24"/>
              </w:rPr>
            </w:pPr>
            <w:r>
              <w:rPr>
                <w:rFonts w:hint="eastAsia" w:ascii="宋体" w:hAnsi="宋体" w:eastAsia="宋体" w:cs="宋体"/>
                <w:color w:val="auto"/>
                <w:sz w:val="24"/>
                <w:szCs w:val="24"/>
              </w:rPr>
              <w:t>年</w:t>
            </w:r>
            <w:r>
              <w:rPr>
                <w:rFonts w:hint="eastAsia" w:ascii="宋体" w:hAnsi="宋体" w:eastAsia="宋体" w:cs="宋体"/>
                <w:color w:val="auto"/>
                <w:spacing w:val="8"/>
                <w:sz w:val="24"/>
                <w:szCs w:val="24"/>
              </w:rPr>
              <w:t xml:space="preserve">   </w:t>
            </w:r>
            <w:r>
              <w:rPr>
                <w:rFonts w:hint="eastAsia" w:ascii="宋体" w:hAnsi="宋体" w:eastAsia="宋体" w:cs="宋体"/>
                <w:color w:val="auto"/>
                <w:sz w:val="24"/>
                <w:szCs w:val="24"/>
              </w:rPr>
              <w:t>龄</w:t>
            </w:r>
          </w:p>
        </w:tc>
        <w:tc>
          <w:tcPr>
            <w:tcW w:w="1350" w:type="dxa"/>
            <w:noWrap w:val="0"/>
            <w:vAlign w:val="top"/>
          </w:tcPr>
          <w:p w14:paraId="6C26C503">
            <w:pPr>
              <w:pStyle w:val="34"/>
              <w:rPr>
                <w:rFonts w:hint="eastAsia" w:ascii="宋体" w:hAnsi="宋体" w:eastAsia="宋体" w:cs="宋体"/>
                <w:color w:val="auto"/>
                <w:sz w:val="24"/>
                <w:szCs w:val="24"/>
              </w:rPr>
            </w:pPr>
          </w:p>
        </w:tc>
      </w:tr>
      <w:tr w14:paraId="7DFB4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915" w:type="dxa"/>
            <w:gridSpan w:val="2"/>
            <w:noWrap w:val="0"/>
            <w:vAlign w:val="top"/>
          </w:tcPr>
          <w:p w14:paraId="6D276734">
            <w:pPr>
              <w:spacing w:before="175" w:line="228" w:lineRule="auto"/>
              <w:ind w:left="509"/>
              <w:rPr>
                <w:rFonts w:hint="eastAsia" w:ascii="宋体" w:hAnsi="宋体" w:eastAsia="宋体" w:cs="宋体"/>
                <w:color w:val="auto"/>
                <w:sz w:val="24"/>
                <w:szCs w:val="24"/>
              </w:rPr>
            </w:pPr>
            <w:r>
              <w:rPr>
                <w:rFonts w:hint="eastAsia" w:ascii="宋体" w:hAnsi="宋体" w:eastAsia="宋体" w:cs="宋体"/>
                <w:color w:val="auto"/>
                <w:sz w:val="24"/>
                <w:szCs w:val="24"/>
              </w:rPr>
              <w:t>职</w:t>
            </w:r>
            <w:r>
              <w:rPr>
                <w:rFonts w:hint="eastAsia" w:ascii="宋体" w:hAnsi="宋体" w:eastAsia="宋体" w:cs="宋体"/>
                <w:color w:val="auto"/>
                <w:spacing w:val="8"/>
                <w:sz w:val="24"/>
                <w:szCs w:val="24"/>
              </w:rPr>
              <w:t xml:space="preserve">   </w:t>
            </w:r>
            <w:r>
              <w:rPr>
                <w:rFonts w:hint="eastAsia" w:ascii="宋体" w:hAnsi="宋体" w:eastAsia="宋体" w:cs="宋体"/>
                <w:color w:val="auto"/>
                <w:sz w:val="24"/>
                <w:szCs w:val="24"/>
              </w:rPr>
              <w:t>务</w:t>
            </w:r>
          </w:p>
        </w:tc>
        <w:tc>
          <w:tcPr>
            <w:tcW w:w="1058" w:type="dxa"/>
            <w:gridSpan w:val="2"/>
            <w:noWrap w:val="0"/>
            <w:vAlign w:val="top"/>
          </w:tcPr>
          <w:p w14:paraId="647ADDAA">
            <w:pPr>
              <w:pStyle w:val="34"/>
              <w:rPr>
                <w:rFonts w:hint="eastAsia" w:ascii="宋体" w:hAnsi="宋体" w:eastAsia="宋体" w:cs="宋体"/>
                <w:color w:val="auto"/>
                <w:sz w:val="24"/>
                <w:szCs w:val="24"/>
              </w:rPr>
            </w:pPr>
          </w:p>
        </w:tc>
        <w:tc>
          <w:tcPr>
            <w:tcW w:w="1293" w:type="dxa"/>
            <w:noWrap w:val="0"/>
            <w:vAlign w:val="top"/>
          </w:tcPr>
          <w:p w14:paraId="4EFAF500">
            <w:pPr>
              <w:spacing w:before="174" w:line="231" w:lineRule="auto"/>
              <w:ind w:left="337"/>
              <w:rPr>
                <w:rFonts w:hint="eastAsia" w:ascii="宋体" w:hAnsi="宋体" w:eastAsia="宋体" w:cs="宋体"/>
                <w:color w:val="auto"/>
                <w:sz w:val="24"/>
                <w:szCs w:val="24"/>
              </w:rPr>
            </w:pPr>
            <w:r>
              <w:rPr>
                <w:rFonts w:hint="eastAsia" w:ascii="宋体" w:hAnsi="宋体" w:eastAsia="宋体" w:cs="宋体"/>
                <w:color w:val="auto"/>
                <w:sz w:val="24"/>
                <w:szCs w:val="24"/>
              </w:rPr>
              <w:t>职</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称</w:t>
            </w:r>
          </w:p>
        </w:tc>
        <w:tc>
          <w:tcPr>
            <w:tcW w:w="2149" w:type="dxa"/>
            <w:noWrap w:val="0"/>
            <w:vAlign w:val="top"/>
          </w:tcPr>
          <w:p w14:paraId="65E58557">
            <w:pPr>
              <w:pStyle w:val="34"/>
              <w:rPr>
                <w:rFonts w:hint="eastAsia" w:ascii="宋体" w:hAnsi="宋体" w:eastAsia="宋体" w:cs="宋体"/>
                <w:color w:val="auto"/>
                <w:sz w:val="24"/>
                <w:szCs w:val="24"/>
              </w:rPr>
            </w:pPr>
          </w:p>
        </w:tc>
        <w:tc>
          <w:tcPr>
            <w:tcW w:w="1933" w:type="dxa"/>
            <w:noWrap w:val="0"/>
            <w:vAlign w:val="top"/>
          </w:tcPr>
          <w:p w14:paraId="4A9FB8AE">
            <w:pPr>
              <w:spacing w:before="175" w:line="230" w:lineRule="auto"/>
              <w:ind w:left="491"/>
              <w:rPr>
                <w:rFonts w:hint="eastAsia" w:ascii="宋体" w:hAnsi="宋体" w:eastAsia="宋体" w:cs="宋体"/>
                <w:color w:val="auto"/>
                <w:sz w:val="24"/>
                <w:szCs w:val="24"/>
              </w:rPr>
            </w:pPr>
            <w:r>
              <w:rPr>
                <w:rFonts w:hint="eastAsia" w:ascii="宋体" w:hAnsi="宋体" w:eastAsia="宋体" w:cs="宋体"/>
                <w:color w:val="auto"/>
                <w:spacing w:val="-2"/>
                <w:sz w:val="24"/>
                <w:szCs w:val="24"/>
              </w:rPr>
              <w:t>学</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2"/>
                <w:sz w:val="24"/>
                <w:szCs w:val="24"/>
              </w:rPr>
              <w:t>历</w:t>
            </w:r>
          </w:p>
        </w:tc>
        <w:tc>
          <w:tcPr>
            <w:tcW w:w="1350" w:type="dxa"/>
            <w:noWrap w:val="0"/>
            <w:vAlign w:val="top"/>
          </w:tcPr>
          <w:p w14:paraId="17C0DCF5">
            <w:pPr>
              <w:pStyle w:val="34"/>
              <w:rPr>
                <w:rFonts w:hint="eastAsia" w:ascii="宋体" w:hAnsi="宋体" w:eastAsia="宋体" w:cs="宋体"/>
                <w:color w:val="auto"/>
                <w:sz w:val="24"/>
                <w:szCs w:val="24"/>
              </w:rPr>
            </w:pPr>
          </w:p>
        </w:tc>
      </w:tr>
      <w:tr w14:paraId="07533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915" w:type="dxa"/>
            <w:gridSpan w:val="2"/>
            <w:noWrap w:val="0"/>
            <w:vAlign w:val="top"/>
          </w:tcPr>
          <w:p w14:paraId="35AFE6EC">
            <w:pPr>
              <w:spacing w:before="175" w:line="229" w:lineRule="auto"/>
              <w:ind w:left="248"/>
              <w:rPr>
                <w:rFonts w:hint="eastAsia" w:ascii="宋体" w:hAnsi="宋体" w:eastAsia="宋体" w:cs="宋体"/>
                <w:color w:val="auto"/>
                <w:sz w:val="24"/>
                <w:szCs w:val="24"/>
              </w:rPr>
            </w:pPr>
            <w:r>
              <w:rPr>
                <w:rFonts w:hint="eastAsia" w:ascii="宋体" w:hAnsi="宋体" w:eastAsia="宋体" w:cs="宋体"/>
                <w:color w:val="auto"/>
                <w:spacing w:val="7"/>
                <w:sz w:val="24"/>
                <w:szCs w:val="24"/>
              </w:rPr>
              <w:t>参加工作时间</w:t>
            </w:r>
          </w:p>
        </w:tc>
        <w:tc>
          <w:tcPr>
            <w:tcW w:w="2351" w:type="dxa"/>
            <w:gridSpan w:val="3"/>
            <w:noWrap w:val="0"/>
            <w:vAlign w:val="top"/>
          </w:tcPr>
          <w:p w14:paraId="5F7A883F">
            <w:pPr>
              <w:pStyle w:val="34"/>
              <w:rPr>
                <w:rFonts w:hint="eastAsia" w:ascii="宋体" w:hAnsi="宋体" w:eastAsia="宋体" w:cs="宋体"/>
                <w:color w:val="auto"/>
                <w:sz w:val="24"/>
                <w:szCs w:val="24"/>
              </w:rPr>
            </w:pPr>
          </w:p>
        </w:tc>
        <w:tc>
          <w:tcPr>
            <w:tcW w:w="4082" w:type="dxa"/>
            <w:gridSpan w:val="2"/>
            <w:noWrap w:val="0"/>
            <w:vAlign w:val="top"/>
          </w:tcPr>
          <w:p w14:paraId="7C38DA96">
            <w:pPr>
              <w:spacing w:before="176" w:line="228" w:lineRule="auto"/>
              <w:rPr>
                <w:rFonts w:hint="eastAsia" w:ascii="宋体" w:hAnsi="宋体" w:eastAsia="宋体" w:cs="宋体"/>
                <w:color w:val="auto"/>
                <w:sz w:val="24"/>
                <w:szCs w:val="24"/>
              </w:rPr>
            </w:pPr>
            <w:r>
              <w:rPr>
                <w:rFonts w:hint="eastAsia" w:ascii="宋体" w:hAnsi="宋体" w:eastAsia="宋体" w:cs="宋体"/>
                <w:color w:val="auto"/>
                <w:spacing w:val="9"/>
                <w:sz w:val="24"/>
                <w:szCs w:val="24"/>
              </w:rPr>
              <w:t>从事工程建设项目管理工作年限</w:t>
            </w:r>
          </w:p>
        </w:tc>
        <w:tc>
          <w:tcPr>
            <w:tcW w:w="1350" w:type="dxa"/>
            <w:noWrap w:val="0"/>
            <w:vAlign w:val="top"/>
          </w:tcPr>
          <w:p w14:paraId="087F9FDB">
            <w:pPr>
              <w:pStyle w:val="34"/>
              <w:rPr>
                <w:rFonts w:hint="eastAsia" w:ascii="宋体" w:hAnsi="宋体" w:eastAsia="宋体" w:cs="宋体"/>
                <w:color w:val="auto"/>
                <w:sz w:val="24"/>
                <w:szCs w:val="24"/>
              </w:rPr>
            </w:pPr>
          </w:p>
        </w:tc>
      </w:tr>
      <w:tr w14:paraId="25BF9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9698" w:type="dxa"/>
            <w:gridSpan w:val="8"/>
            <w:noWrap w:val="0"/>
            <w:vAlign w:val="top"/>
          </w:tcPr>
          <w:p w14:paraId="2EB49C94">
            <w:pPr>
              <w:spacing w:before="176" w:line="228" w:lineRule="auto"/>
              <w:ind w:left="2356"/>
              <w:rPr>
                <w:rFonts w:hint="eastAsia" w:ascii="宋体" w:hAnsi="宋体" w:eastAsia="宋体" w:cs="宋体"/>
                <w:color w:val="auto"/>
                <w:sz w:val="24"/>
                <w:szCs w:val="24"/>
              </w:rPr>
            </w:pPr>
            <w:r>
              <w:rPr>
                <w:rFonts w:hint="eastAsia" w:ascii="宋体" w:hAnsi="宋体" w:eastAsia="宋体" w:cs="宋体"/>
                <w:color w:val="auto"/>
                <w:spacing w:val="8"/>
                <w:sz w:val="24"/>
                <w:szCs w:val="24"/>
              </w:rPr>
              <w:t>以项目经理身份参与过的主要业绩（已完工项目）</w:t>
            </w:r>
          </w:p>
        </w:tc>
      </w:tr>
      <w:tr w14:paraId="106EC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79" w:type="dxa"/>
            <w:noWrap w:val="0"/>
            <w:vAlign w:val="top"/>
          </w:tcPr>
          <w:p w14:paraId="0F1194BE">
            <w:pPr>
              <w:spacing w:before="176" w:line="230" w:lineRule="auto"/>
              <w:ind w:left="183"/>
              <w:rPr>
                <w:rFonts w:hint="eastAsia" w:ascii="宋体" w:hAnsi="宋体" w:eastAsia="宋体" w:cs="宋体"/>
                <w:color w:val="auto"/>
                <w:sz w:val="24"/>
                <w:szCs w:val="24"/>
              </w:rPr>
            </w:pPr>
            <w:r>
              <w:rPr>
                <w:rFonts w:hint="eastAsia" w:ascii="宋体" w:hAnsi="宋体" w:eastAsia="宋体" w:cs="宋体"/>
                <w:color w:val="auto"/>
                <w:spacing w:val="5"/>
                <w:sz w:val="24"/>
                <w:szCs w:val="24"/>
              </w:rPr>
              <w:t>序号</w:t>
            </w:r>
          </w:p>
        </w:tc>
        <w:tc>
          <w:tcPr>
            <w:tcW w:w="1546" w:type="dxa"/>
            <w:gridSpan w:val="2"/>
            <w:noWrap w:val="0"/>
            <w:vAlign w:val="top"/>
          </w:tcPr>
          <w:p w14:paraId="0425F168">
            <w:pPr>
              <w:spacing w:before="176" w:line="229" w:lineRule="auto"/>
              <w:ind w:left="359"/>
              <w:rPr>
                <w:rFonts w:hint="eastAsia" w:ascii="宋体" w:hAnsi="宋体" w:eastAsia="宋体" w:cs="宋体"/>
                <w:color w:val="auto"/>
                <w:sz w:val="24"/>
                <w:szCs w:val="24"/>
              </w:rPr>
            </w:pPr>
            <w:r>
              <w:rPr>
                <w:rFonts w:hint="eastAsia" w:ascii="宋体" w:hAnsi="宋体" w:eastAsia="宋体" w:cs="宋体"/>
                <w:color w:val="auto"/>
                <w:spacing w:val="6"/>
                <w:sz w:val="24"/>
                <w:szCs w:val="24"/>
              </w:rPr>
              <w:t>项目名称</w:t>
            </w:r>
          </w:p>
        </w:tc>
        <w:tc>
          <w:tcPr>
            <w:tcW w:w="1941" w:type="dxa"/>
            <w:gridSpan w:val="2"/>
            <w:noWrap w:val="0"/>
            <w:vAlign w:val="top"/>
          </w:tcPr>
          <w:p w14:paraId="17A0ECD5">
            <w:pPr>
              <w:spacing w:before="176" w:line="229" w:lineRule="auto"/>
              <w:ind w:left="557"/>
              <w:rPr>
                <w:rFonts w:hint="eastAsia" w:ascii="宋体" w:hAnsi="宋体" w:eastAsia="宋体" w:cs="宋体"/>
                <w:color w:val="auto"/>
                <w:sz w:val="24"/>
                <w:szCs w:val="24"/>
              </w:rPr>
            </w:pPr>
            <w:r>
              <w:rPr>
                <w:rFonts w:hint="eastAsia" w:ascii="宋体" w:hAnsi="宋体" w:eastAsia="宋体" w:cs="宋体"/>
                <w:color w:val="auto"/>
                <w:spacing w:val="6"/>
                <w:sz w:val="24"/>
                <w:szCs w:val="24"/>
              </w:rPr>
              <w:t>建设单位</w:t>
            </w:r>
          </w:p>
        </w:tc>
        <w:tc>
          <w:tcPr>
            <w:tcW w:w="2149" w:type="dxa"/>
            <w:noWrap w:val="0"/>
            <w:vAlign w:val="top"/>
          </w:tcPr>
          <w:p w14:paraId="2CE68BED">
            <w:pPr>
              <w:spacing w:before="176" w:line="228" w:lineRule="auto"/>
              <w:ind w:left="260"/>
              <w:rPr>
                <w:rFonts w:hint="eastAsia" w:ascii="宋体" w:hAnsi="宋体" w:eastAsia="宋体" w:cs="宋体"/>
                <w:color w:val="auto"/>
                <w:sz w:val="24"/>
                <w:szCs w:val="24"/>
              </w:rPr>
            </w:pPr>
            <w:r>
              <w:rPr>
                <w:rFonts w:hint="eastAsia" w:ascii="宋体" w:hAnsi="宋体" w:eastAsia="宋体" w:cs="宋体"/>
                <w:color w:val="auto"/>
                <w:spacing w:val="8"/>
                <w:sz w:val="24"/>
                <w:szCs w:val="24"/>
              </w:rPr>
              <w:t>建设内容和规模</w:t>
            </w:r>
          </w:p>
        </w:tc>
        <w:tc>
          <w:tcPr>
            <w:tcW w:w="1933" w:type="dxa"/>
            <w:noWrap w:val="0"/>
            <w:vAlign w:val="top"/>
          </w:tcPr>
          <w:p w14:paraId="225ED217">
            <w:pPr>
              <w:spacing w:before="176" w:line="228" w:lineRule="auto"/>
              <w:ind w:left="238"/>
              <w:rPr>
                <w:rFonts w:hint="eastAsia" w:ascii="宋体" w:hAnsi="宋体" w:eastAsia="宋体" w:cs="宋体"/>
                <w:color w:val="auto"/>
                <w:sz w:val="24"/>
                <w:szCs w:val="24"/>
              </w:rPr>
            </w:pPr>
            <w:r>
              <w:rPr>
                <w:rFonts w:hint="eastAsia" w:ascii="宋体" w:hAnsi="宋体" w:eastAsia="宋体" w:cs="宋体"/>
                <w:color w:val="auto"/>
                <w:spacing w:val="8"/>
                <w:sz w:val="24"/>
                <w:szCs w:val="24"/>
              </w:rPr>
              <w:t>开、竣工日期</w:t>
            </w:r>
          </w:p>
        </w:tc>
        <w:tc>
          <w:tcPr>
            <w:tcW w:w="1350" w:type="dxa"/>
            <w:noWrap w:val="0"/>
            <w:vAlign w:val="top"/>
          </w:tcPr>
          <w:p w14:paraId="6B419B21">
            <w:pPr>
              <w:spacing w:before="176" w:line="228" w:lineRule="auto"/>
              <w:ind w:left="251"/>
              <w:rPr>
                <w:rFonts w:hint="eastAsia" w:ascii="宋体" w:hAnsi="宋体" w:eastAsia="宋体" w:cs="宋体"/>
                <w:color w:val="auto"/>
                <w:sz w:val="24"/>
                <w:szCs w:val="24"/>
              </w:rPr>
            </w:pPr>
            <w:r>
              <w:rPr>
                <w:rFonts w:hint="eastAsia" w:ascii="宋体" w:hAnsi="宋体" w:eastAsia="宋体" w:cs="宋体"/>
                <w:color w:val="auto"/>
                <w:spacing w:val="7"/>
                <w:sz w:val="24"/>
                <w:szCs w:val="24"/>
              </w:rPr>
              <w:t>质量等级</w:t>
            </w:r>
          </w:p>
        </w:tc>
      </w:tr>
      <w:tr w14:paraId="2C074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79" w:type="dxa"/>
            <w:noWrap w:val="0"/>
            <w:vAlign w:val="top"/>
          </w:tcPr>
          <w:p w14:paraId="0D7BFC89">
            <w:pPr>
              <w:spacing w:before="214" w:line="195" w:lineRule="auto"/>
              <w:ind w:left="35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546" w:type="dxa"/>
            <w:gridSpan w:val="2"/>
            <w:noWrap w:val="0"/>
            <w:vAlign w:val="top"/>
          </w:tcPr>
          <w:p w14:paraId="75E49E34">
            <w:pPr>
              <w:pStyle w:val="34"/>
              <w:rPr>
                <w:rFonts w:hint="eastAsia" w:ascii="宋体" w:hAnsi="宋体" w:eastAsia="宋体" w:cs="宋体"/>
                <w:color w:val="auto"/>
                <w:sz w:val="24"/>
                <w:szCs w:val="24"/>
              </w:rPr>
            </w:pPr>
          </w:p>
        </w:tc>
        <w:tc>
          <w:tcPr>
            <w:tcW w:w="1941" w:type="dxa"/>
            <w:gridSpan w:val="2"/>
            <w:noWrap w:val="0"/>
            <w:vAlign w:val="top"/>
          </w:tcPr>
          <w:p w14:paraId="25B7B578">
            <w:pPr>
              <w:pStyle w:val="34"/>
              <w:rPr>
                <w:rFonts w:hint="eastAsia" w:ascii="宋体" w:hAnsi="宋体" w:eastAsia="宋体" w:cs="宋体"/>
                <w:color w:val="auto"/>
                <w:sz w:val="24"/>
                <w:szCs w:val="24"/>
              </w:rPr>
            </w:pPr>
          </w:p>
        </w:tc>
        <w:tc>
          <w:tcPr>
            <w:tcW w:w="2149" w:type="dxa"/>
            <w:noWrap w:val="0"/>
            <w:vAlign w:val="top"/>
          </w:tcPr>
          <w:p w14:paraId="122B558D">
            <w:pPr>
              <w:pStyle w:val="34"/>
              <w:rPr>
                <w:rFonts w:hint="eastAsia" w:ascii="宋体" w:hAnsi="宋体" w:eastAsia="宋体" w:cs="宋体"/>
                <w:color w:val="auto"/>
                <w:sz w:val="24"/>
                <w:szCs w:val="24"/>
              </w:rPr>
            </w:pPr>
          </w:p>
        </w:tc>
        <w:tc>
          <w:tcPr>
            <w:tcW w:w="1933" w:type="dxa"/>
            <w:noWrap w:val="0"/>
            <w:vAlign w:val="top"/>
          </w:tcPr>
          <w:p w14:paraId="43311C68">
            <w:pPr>
              <w:pStyle w:val="34"/>
              <w:rPr>
                <w:rFonts w:hint="eastAsia" w:ascii="宋体" w:hAnsi="宋体" w:eastAsia="宋体" w:cs="宋体"/>
                <w:color w:val="auto"/>
                <w:sz w:val="24"/>
                <w:szCs w:val="24"/>
              </w:rPr>
            </w:pPr>
          </w:p>
        </w:tc>
        <w:tc>
          <w:tcPr>
            <w:tcW w:w="1350" w:type="dxa"/>
            <w:noWrap w:val="0"/>
            <w:vAlign w:val="top"/>
          </w:tcPr>
          <w:p w14:paraId="75E197B6">
            <w:pPr>
              <w:pStyle w:val="34"/>
              <w:rPr>
                <w:rFonts w:hint="eastAsia" w:ascii="宋体" w:hAnsi="宋体" w:eastAsia="宋体" w:cs="宋体"/>
                <w:color w:val="auto"/>
                <w:sz w:val="24"/>
                <w:szCs w:val="24"/>
              </w:rPr>
            </w:pPr>
          </w:p>
        </w:tc>
      </w:tr>
      <w:tr w14:paraId="70971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79" w:type="dxa"/>
            <w:noWrap w:val="0"/>
            <w:vAlign w:val="top"/>
          </w:tcPr>
          <w:p w14:paraId="7DB5A5A5">
            <w:pPr>
              <w:spacing w:before="213" w:line="195" w:lineRule="auto"/>
              <w:ind w:left="33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546" w:type="dxa"/>
            <w:gridSpan w:val="2"/>
            <w:noWrap w:val="0"/>
            <w:vAlign w:val="top"/>
          </w:tcPr>
          <w:p w14:paraId="4255DEF4">
            <w:pPr>
              <w:pStyle w:val="34"/>
              <w:rPr>
                <w:rFonts w:hint="eastAsia" w:ascii="宋体" w:hAnsi="宋体" w:eastAsia="宋体" w:cs="宋体"/>
                <w:color w:val="auto"/>
                <w:sz w:val="24"/>
                <w:szCs w:val="24"/>
              </w:rPr>
            </w:pPr>
          </w:p>
        </w:tc>
        <w:tc>
          <w:tcPr>
            <w:tcW w:w="1941" w:type="dxa"/>
            <w:gridSpan w:val="2"/>
            <w:noWrap w:val="0"/>
            <w:vAlign w:val="top"/>
          </w:tcPr>
          <w:p w14:paraId="6CA9172F">
            <w:pPr>
              <w:pStyle w:val="34"/>
              <w:rPr>
                <w:rFonts w:hint="eastAsia" w:ascii="宋体" w:hAnsi="宋体" w:eastAsia="宋体" w:cs="宋体"/>
                <w:color w:val="auto"/>
                <w:sz w:val="24"/>
                <w:szCs w:val="24"/>
              </w:rPr>
            </w:pPr>
          </w:p>
        </w:tc>
        <w:tc>
          <w:tcPr>
            <w:tcW w:w="2149" w:type="dxa"/>
            <w:noWrap w:val="0"/>
            <w:vAlign w:val="top"/>
          </w:tcPr>
          <w:p w14:paraId="36986414">
            <w:pPr>
              <w:pStyle w:val="34"/>
              <w:rPr>
                <w:rFonts w:hint="eastAsia" w:ascii="宋体" w:hAnsi="宋体" w:eastAsia="宋体" w:cs="宋体"/>
                <w:color w:val="auto"/>
                <w:sz w:val="24"/>
                <w:szCs w:val="24"/>
              </w:rPr>
            </w:pPr>
          </w:p>
        </w:tc>
        <w:tc>
          <w:tcPr>
            <w:tcW w:w="1933" w:type="dxa"/>
            <w:noWrap w:val="0"/>
            <w:vAlign w:val="top"/>
          </w:tcPr>
          <w:p w14:paraId="33D22252">
            <w:pPr>
              <w:pStyle w:val="34"/>
              <w:rPr>
                <w:rFonts w:hint="eastAsia" w:ascii="宋体" w:hAnsi="宋体" w:eastAsia="宋体" w:cs="宋体"/>
                <w:color w:val="auto"/>
                <w:sz w:val="24"/>
                <w:szCs w:val="24"/>
              </w:rPr>
            </w:pPr>
          </w:p>
        </w:tc>
        <w:tc>
          <w:tcPr>
            <w:tcW w:w="1350" w:type="dxa"/>
            <w:noWrap w:val="0"/>
            <w:vAlign w:val="top"/>
          </w:tcPr>
          <w:p w14:paraId="27E53542">
            <w:pPr>
              <w:pStyle w:val="34"/>
              <w:rPr>
                <w:rFonts w:hint="eastAsia" w:ascii="宋体" w:hAnsi="宋体" w:eastAsia="宋体" w:cs="宋体"/>
                <w:color w:val="auto"/>
                <w:sz w:val="24"/>
                <w:szCs w:val="24"/>
              </w:rPr>
            </w:pPr>
          </w:p>
        </w:tc>
      </w:tr>
      <w:tr w14:paraId="2B98A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79" w:type="dxa"/>
            <w:noWrap w:val="0"/>
            <w:vAlign w:val="top"/>
          </w:tcPr>
          <w:p w14:paraId="31247ECE">
            <w:pPr>
              <w:spacing w:before="213" w:line="195" w:lineRule="auto"/>
              <w:ind w:left="343"/>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546" w:type="dxa"/>
            <w:gridSpan w:val="2"/>
            <w:noWrap w:val="0"/>
            <w:vAlign w:val="top"/>
          </w:tcPr>
          <w:p w14:paraId="6727F1D6">
            <w:pPr>
              <w:pStyle w:val="34"/>
              <w:rPr>
                <w:rFonts w:hint="eastAsia" w:ascii="宋体" w:hAnsi="宋体" w:eastAsia="宋体" w:cs="宋体"/>
                <w:color w:val="auto"/>
                <w:sz w:val="24"/>
                <w:szCs w:val="24"/>
              </w:rPr>
            </w:pPr>
          </w:p>
        </w:tc>
        <w:tc>
          <w:tcPr>
            <w:tcW w:w="1941" w:type="dxa"/>
            <w:gridSpan w:val="2"/>
            <w:noWrap w:val="0"/>
            <w:vAlign w:val="top"/>
          </w:tcPr>
          <w:p w14:paraId="5F345D39">
            <w:pPr>
              <w:pStyle w:val="34"/>
              <w:rPr>
                <w:rFonts w:hint="eastAsia" w:ascii="宋体" w:hAnsi="宋体" w:eastAsia="宋体" w:cs="宋体"/>
                <w:color w:val="auto"/>
                <w:sz w:val="24"/>
                <w:szCs w:val="24"/>
              </w:rPr>
            </w:pPr>
          </w:p>
        </w:tc>
        <w:tc>
          <w:tcPr>
            <w:tcW w:w="2149" w:type="dxa"/>
            <w:noWrap w:val="0"/>
            <w:vAlign w:val="top"/>
          </w:tcPr>
          <w:p w14:paraId="2EBC5812">
            <w:pPr>
              <w:pStyle w:val="34"/>
              <w:rPr>
                <w:rFonts w:hint="eastAsia" w:ascii="宋体" w:hAnsi="宋体" w:eastAsia="宋体" w:cs="宋体"/>
                <w:color w:val="auto"/>
                <w:sz w:val="24"/>
                <w:szCs w:val="24"/>
              </w:rPr>
            </w:pPr>
          </w:p>
        </w:tc>
        <w:tc>
          <w:tcPr>
            <w:tcW w:w="1933" w:type="dxa"/>
            <w:noWrap w:val="0"/>
            <w:vAlign w:val="top"/>
          </w:tcPr>
          <w:p w14:paraId="4A2F9073">
            <w:pPr>
              <w:pStyle w:val="34"/>
              <w:rPr>
                <w:rFonts w:hint="eastAsia" w:ascii="宋体" w:hAnsi="宋体" w:eastAsia="宋体" w:cs="宋体"/>
                <w:color w:val="auto"/>
                <w:sz w:val="24"/>
                <w:szCs w:val="24"/>
              </w:rPr>
            </w:pPr>
          </w:p>
        </w:tc>
        <w:tc>
          <w:tcPr>
            <w:tcW w:w="1350" w:type="dxa"/>
            <w:noWrap w:val="0"/>
            <w:vAlign w:val="top"/>
          </w:tcPr>
          <w:p w14:paraId="01F3526D">
            <w:pPr>
              <w:pStyle w:val="34"/>
              <w:rPr>
                <w:rFonts w:hint="eastAsia" w:ascii="宋体" w:hAnsi="宋体" w:eastAsia="宋体" w:cs="宋体"/>
                <w:color w:val="auto"/>
                <w:sz w:val="24"/>
                <w:szCs w:val="24"/>
              </w:rPr>
            </w:pPr>
          </w:p>
        </w:tc>
      </w:tr>
      <w:tr w14:paraId="1EB3A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79" w:type="dxa"/>
            <w:noWrap w:val="0"/>
            <w:vAlign w:val="top"/>
          </w:tcPr>
          <w:p w14:paraId="62D42028">
            <w:pPr>
              <w:spacing w:before="177" w:line="325" w:lineRule="exact"/>
              <w:ind w:left="197"/>
              <w:rPr>
                <w:rFonts w:hint="eastAsia" w:ascii="宋体" w:hAnsi="宋体" w:eastAsia="宋体" w:cs="宋体"/>
                <w:color w:val="auto"/>
                <w:sz w:val="24"/>
                <w:szCs w:val="24"/>
              </w:rPr>
            </w:pPr>
            <w:r>
              <w:rPr>
                <w:rFonts w:hint="eastAsia" w:ascii="宋体" w:hAnsi="宋体" w:eastAsia="宋体" w:cs="宋体"/>
                <w:color w:val="auto"/>
                <w:spacing w:val="-2"/>
                <w:position w:val="3"/>
                <w:sz w:val="24"/>
                <w:szCs w:val="24"/>
              </w:rPr>
              <w:t>……</w:t>
            </w:r>
          </w:p>
        </w:tc>
        <w:tc>
          <w:tcPr>
            <w:tcW w:w="1546" w:type="dxa"/>
            <w:gridSpan w:val="2"/>
            <w:noWrap w:val="0"/>
            <w:vAlign w:val="top"/>
          </w:tcPr>
          <w:p w14:paraId="5E3AD8C6">
            <w:pPr>
              <w:pStyle w:val="34"/>
              <w:rPr>
                <w:rFonts w:hint="eastAsia" w:ascii="宋体" w:hAnsi="宋体" w:eastAsia="宋体" w:cs="宋体"/>
                <w:color w:val="auto"/>
                <w:sz w:val="24"/>
                <w:szCs w:val="24"/>
              </w:rPr>
            </w:pPr>
          </w:p>
        </w:tc>
        <w:tc>
          <w:tcPr>
            <w:tcW w:w="1941" w:type="dxa"/>
            <w:gridSpan w:val="2"/>
            <w:noWrap w:val="0"/>
            <w:vAlign w:val="top"/>
          </w:tcPr>
          <w:p w14:paraId="341EE3F9">
            <w:pPr>
              <w:pStyle w:val="34"/>
              <w:rPr>
                <w:rFonts w:hint="eastAsia" w:ascii="宋体" w:hAnsi="宋体" w:eastAsia="宋体" w:cs="宋体"/>
                <w:color w:val="auto"/>
                <w:sz w:val="24"/>
                <w:szCs w:val="24"/>
              </w:rPr>
            </w:pPr>
          </w:p>
        </w:tc>
        <w:tc>
          <w:tcPr>
            <w:tcW w:w="2149" w:type="dxa"/>
            <w:noWrap w:val="0"/>
            <w:vAlign w:val="top"/>
          </w:tcPr>
          <w:p w14:paraId="6BC59663">
            <w:pPr>
              <w:pStyle w:val="34"/>
              <w:rPr>
                <w:rFonts w:hint="eastAsia" w:ascii="宋体" w:hAnsi="宋体" w:eastAsia="宋体" w:cs="宋体"/>
                <w:color w:val="auto"/>
                <w:sz w:val="24"/>
                <w:szCs w:val="24"/>
              </w:rPr>
            </w:pPr>
          </w:p>
        </w:tc>
        <w:tc>
          <w:tcPr>
            <w:tcW w:w="1933" w:type="dxa"/>
            <w:noWrap w:val="0"/>
            <w:vAlign w:val="top"/>
          </w:tcPr>
          <w:p w14:paraId="0C0D8A12">
            <w:pPr>
              <w:pStyle w:val="34"/>
              <w:rPr>
                <w:rFonts w:hint="eastAsia" w:ascii="宋体" w:hAnsi="宋体" w:eastAsia="宋体" w:cs="宋体"/>
                <w:color w:val="auto"/>
                <w:sz w:val="24"/>
                <w:szCs w:val="24"/>
              </w:rPr>
            </w:pPr>
          </w:p>
        </w:tc>
        <w:tc>
          <w:tcPr>
            <w:tcW w:w="1350" w:type="dxa"/>
            <w:noWrap w:val="0"/>
            <w:vAlign w:val="top"/>
          </w:tcPr>
          <w:p w14:paraId="3FF0FCE9">
            <w:pPr>
              <w:pStyle w:val="34"/>
              <w:rPr>
                <w:rFonts w:hint="eastAsia" w:ascii="宋体" w:hAnsi="宋体" w:eastAsia="宋体" w:cs="宋体"/>
                <w:color w:val="auto"/>
                <w:sz w:val="24"/>
                <w:szCs w:val="24"/>
              </w:rPr>
            </w:pPr>
          </w:p>
        </w:tc>
      </w:tr>
    </w:tbl>
    <w:p w14:paraId="110266BB">
      <w:pPr>
        <w:rPr>
          <w:rFonts w:hint="eastAsia" w:ascii="宋体" w:hAnsi="宋体" w:eastAsia="宋体" w:cs="宋体"/>
          <w:color w:val="auto"/>
        </w:rPr>
      </w:pPr>
    </w:p>
    <w:p w14:paraId="44E886B8">
      <w:pPr>
        <w:rPr>
          <w:rFonts w:hint="eastAsia" w:ascii="宋体" w:hAnsi="宋体" w:eastAsia="宋体" w:cs="宋体"/>
          <w:color w:val="auto"/>
        </w:rPr>
      </w:pPr>
    </w:p>
    <w:p w14:paraId="7A032D41">
      <w:pPr>
        <w:pStyle w:val="31"/>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782DEF07">
      <w:pPr>
        <w:rPr>
          <w:rFonts w:hint="eastAsia" w:ascii="宋体" w:hAnsi="宋体" w:eastAsia="宋体" w:cs="宋体"/>
          <w:color w:val="auto"/>
        </w:rPr>
      </w:pPr>
    </w:p>
    <w:p w14:paraId="2806058E">
      <w:pPr>
        <w:pStyle w:val="31"/>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7B3BCB95">
      <w:pPr>
        <w:rPr>
          <w:rFonts w:hint="eastAsia" w:ascii="宋体" w:hAnsi="宋体" w:eastAsia="宋体" w:cs="宋体"/>
          <w:color w:val="auto"/>
        </w:rPr>
      </w:pPr>
    </w:p>
    <w:p w14:paraId="4EEFD3F3">
      <w:pPr>
        <w:rPr>
          <w:rFonts w:hint="eastAsia" w:ascii="宋体" w:hAnsi="宋体" w:eastAsia="宋体" w:cs="宋体"/>
          <w:color w:val="auto"/>
        </w:rPr>
      </w:pPr>
    </w:p>
    <w:p w14:paraId="1C106BE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说明：《项目经理简历表》后应附拟派项目经理以下资料：</w:t>
      </w:r>
    </w:p>
    <w:p w14:paraId="75879A4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身份证彩色扫描件；</w:t>
      </w:r>
    </w:p>
    <w:p w14:paraId="68F6CA8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建造师电子注册证书（在使用有效期内的有效电子证书）彩色扫描件；</w:t>
      </w:r>
    </w:p>
    <w:p w14:paraId="7433366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B类安全生产考核合格证书彩色扫描件或广东省建筑施工企业管理人员安全生产考核系统考核合格信息彩色扫描件；</w:t>
      </w:r>
    </w:p>
    <w:p w14:paraId="1AFA5D9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在本单位缴纳社保的证明（至少</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个月，其中必须有</w:t>
      </w:r>
      <w:r>
        <w:rPr>
          <w:rFonts w:hint="eastAsia" w:ascii="宋体" w:hAnsi="宋体" w:eastAsia="宋体" w:cs="宋体"/>
          <w:color w:val="auto"/>
          <w:sz w:val="24"/>
          <w:szCs w:val="24"/>
          <w:lang w:val="en-US" w:eastAsia="zh-CN"/>
        </w:rPr>
        <w:t>2024</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月）复印件或打印件。拟派项目经理为退休返聘人员无法提供社保证明的，提供退休证和劳动合同彩色扫描件。</w:t>
      </w:r>
    </w:p>
    <w:p w14:paraId="33F77E9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5．“进粤企业和人员诚信信息登记平台”个人（项目经理等）信息情况截图。（适用于省外建筑企业）</w:t>
      </w:r>
    </w:p>
    <w:p w14:paraId="4BFDEBD2">
      <w:pPr>
        <w:rPr>
          <w:rFonts w:hint="eastAsia" w:ascii="宋体" w:hAnsi="宋体" w:eastAsia="宋体" w:cs="宋体"/>
          <w:color w:val="auto"/>
        </w:rPr>
      </w:pPr>
    </w:p>
    <w:p w14:paraId="7B8AC4AF">
      <w:pPr>
        <w:rPr>
          <w:rFonts w:hint="eastAsia" w:ascii="宋体" w:hAnsi="宋体" w:eastAsia="宋体" w:cs="宋体"/>
          <w:color w:val="auto"/>
        </w:rPr>
      </w:pPr>
    </w:p>
    <w:p w14:paraId="6C04E4DF">
      <w:pPr>
        <w:rPr>
          <w:rFonts w:hint="eastAsia" w:ascii="宋体" w:hAnsi="宋体" w:eastAsia="宋体" w:cs="宋体"/>
          <w:color w:val="auto"/>
        </w:rPr>
      </w:pPr>
    </w:p>
    <w:p w14:paraId="7F740ADE">
      <w:pPr>
        <w:rPr>
          <w:rFonts w:hint="eastAsia" w:ascii="宋体" w:hAnsi="宋体" w:eastAsia="宋体" w:cs="宋体"/>
          <w:color w:val="auto"/>
        </w:rPr>
      </w:pPr>
    </w:p>
    <w:p w14:paraId="5C40AA8C">
      <w:pPr>
        <w:rPr>
          <w:rFonts w:hint="eastAsia" w:ascii="宋体" w:hAnsi="宋体" w:eastAsia="宋体" w:cs="宋体"/>
          <w:color w:val="auto"/>
        </w:rPr>
      </w:pPr>
    </w:p>
    <w:p w14:paraId="70C71B60">
      <w:pPr>
        <w:rPr>
          <w:rFonts w:hint="eastAsia" w:ascii="宋体" w:hAnsi="宋体" w:eastAsia="宋体" w:cs="宋体"/>
          <w:color w:val="auto"/>
        </w:rPr>
      </w:pPr>
    </w:p>
    <w:p w14:paraId="307743BF">
      <w:pPr>
        <w:rPr>
          <w:rFonts w:hint="eastAsia" w:ascii="宋体" w:hAnsi="宋体" w:eastAsia="宋体" w:cs="宋体"/>
          <w:color w:val="auto"/>
        </w:rPr>
      </w:pPr>
    </w:p>
    <w:p w14:paraId="42CD06FC">
      <w:pPr>
        <w:pStyle w:val="3"/>
        <w:bidi w:val="0"/>
        <w:spacing w:line="360" w:lineRule="auto"/>
        <w:ind w:firstLine="482" w:firstLineChars="200"/>
        <w:rPr>
          <w:rFonts w:hint="eastAsia" w:ascii="宋体" w:hAnsi="宋体" w:eastAsia="宋体" w:cs="宋体"/>
          <w:color w:val="auto"/>
          <w:sz w:val="24"/>
          <w:szCs w:val="24"/>
          <w:lang w:val="en-US" w:eastAsia="zh-CN"/>
        </w:rPr>
      </w:pPr>
      <w:bookmarkStart w:id="141" w:name="_Toc18541"/>
      <w:r>
        <w:rPr>
          <w:rFonts w:hint="eastAsia" w:ascii="宋体" w:hAnsi="宋体" w:eastAsia="宋体" w:cs="宋体"/>
          <w:color w:val="auto"/>
          <w:sz w:val="24"/>
          <w:szCs w:val="24"/>
          <w:lang w:val="en-US" w:eastAsia="zh-CN"/>
        </w:rPr>
        <w:t>格式八   项目经理任职声明</w:t>
      </w:r>
      <w:bookmarkEnd w:id="141"/>
    </w:p>
    <w:p w14:paraId="3064C6E0">
      <w:pPr>
        <w:spacing w:before="98" w:line="220" w:lineRule="auto"/>
        <w:ind w:left="3338"/>
        <w:rPr>
          <w:rFonts w:hint="eastAsia" w:ascii="宋体" w:hAnsi="宋体" w:eastAsia="宋体" w:cs="宋体"/>
          <w:color w:val="auto"/>
        </w:rPr>
      </w:pPr>
      <w:r>
        <w:rPr>
          <w:rFonts w:hint="eastAsia" w:ascii="宋体" w:hAnsi="宋体" w:eastAsia="宋体" w:cs="宋体"/>
          <w:b/>
          <w:bCs/>
          <w:color w:val="auto"/>
          <w:spacing w:val="-5"/>
          <w:sz w:val="30"/>
          <w:szCs w:val="30"/>
        </w:rPr>
        <w:t>项目经理任职声明</w:t>
      </w:r>
    </w:p>
    <w:p w14:paraId="4822DE39">
      <w:pPr>
        <w:spacing w:before="78" w:line="221" w:lineRule="auto"/>
        <w:rPr>
          <w:rFonts w:hint="eastAsia" w:ascii="宋体" w:hAnsi="宋体" w:eastAsia="宋体" w:cs="宋体"/>
          <w:color w:val="auto"/>
          <w:sz w:val="24"/>
          <w:szCs w:val="24"/>
        </w:rPr>
      </w:pPr>
      <w:r>
        <w:rPr>
          <w:rFonts w:hint="eastAsia" w:ascii="宋体" w:hAnsi="宋体" w:eastAsia="宋体" w:cs="宋体"/>
          <w:color w:val="auto"/>
          <w:spacing w:val="9"/>
          <w:sz w:val="24"/>
          <w:szCs w:val="24"/>
        </w:rPr>
        <w:t>致</w:t>
      </w:r>
      <w:r>
        <w:rPr>
          <w:rFonts w:hint="eastAsia" w:ascii="宋体" w:hAnsi="宋体" w:eastAsia="宋体" w:cs="宋体"/>
          <w:color w:val="auto"/>
          <w:spacing w:val="-17"/>
          <w:sz w:val="24"/>
          <w:szCs w:val="24"/>
        </w:rPr>
        <w:t>：</w:t>
      </w:r>
      <w:r>
        <w:rPr>
          <w:rFonts w:hint="eastAsia" w:ascii="宋体" w:hAnsi="宋体" w:eastAsia="宋体" w:cs="宋体"/>
          <w:color w:val="auto"/>
          <w:spacing w:val="-17"/>
          <w:sz w:val="24"/>
          <w:szCs w:val="24"/>
          <w:u w:val="single"/>
          <w:lang w:val="en-US" w:eastAsia="zh-CN"/>
        </w:rPr>
        <w:t xml:space="preserve">                           </w:t>
      </w:r>
      <w:r>
        <w:rPr>
          <w:rFonts w:hint="eastAsia" w:ascii="宋体" w:hAnsi="宋体" w:eastAsia="宋体" w:cs="宋体"/>
          <w:color w:val="auto"/>
          <w:spacing w:val="-17"/>
          <w:sz w:val="24"/>
          <w:szCs w:val="24"/>
        </w:rPr>
        <w:t>（</w:t>
      </w:r>
      <w:r>
        <w:rPr>
          <w:rFonts w:hint="eastAsia" w:ascii="宋体" w:hAnsi="宋体" w:eastAsia="宋体" w:cs="宋体"/>
          <w:color w:val="auto"/>
          <w:spacing w:val="9"/>
          <w:sz w:val="24"/>
          <w:szCs w:val="24"/>
        </w:rPr>
        <w:t>招标人名称</w:t>
      </w:r>
      <w:r>
        <w:rPr>
          <w:rFonts w:hint="eastAsia" w:ascii="宋体" w:hAnsi="宋体" w:eastAsia="宋体" w:cs="宋体"/>
          <w:color w:val="auto"/>
          <w:spacing w:val="-17"/>
          <w:sz w:val="24"/>
          <w:szCs w:val="24"/>
        </w:rPr>
        <w:t>）：</w:t>
      </w:r>
    </w:p>
    <w:p w14:paraId="23F78B68">
      <w:pPr>
        <w:spacing w:before="155" w:line="324" w:lineRule="auto"/>
        <w:ind w:firstLine="480"/>
        <w:rPr>
          <w:rFonts w:hint="eastAsia" w:ascii="宋体" w:hAnsi="宋体" w:eastAsia="宋体" w:cs="宋体"/>
          <w:color w:val="auto"/>
          <w:sz w:val="24"/>
          <w:szCs w:val="24"/>
        </w:rPr>
      </w:pPr>
      <w:r>
        <w:rPr>
          <w:rFonts w:hint="eastAsia" w:ascii="宋体" w:hAnsi="宋体" w:eastAsia="宋体" w:cs="宋体"/>
          <w:color w:val="auto"/>
          <w:spacing w:val="-2"/>
          <w:sz w:val="24"/>
          <w:szCs w:val="24"/>
        </w:rPr>
        <w:t>我方在此声明，我方拟派往</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u w:val="single"/>
          <w:lang w:val="en-US" w:eastAsia="zh-CN"/>
        </w:rPr>
        <w:t xml:space="preserve"> </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color w:val="auto"/>
          <w:spacing w:val="-2"/>
          <w:sz w:val="24"/>
          <w:szCs w:val="24"/>
        </w:rPr>
        <w:t>（项目名称）的项目经理</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color w:val="auto"/>
          <w:spacing w:val="-2"/>
          <w:sz w:val="24"/>
          <w:szCs w:val="24"/>
        </w:rPr>
        <w:t>（项目经理姓名）现阶段没有</w:t>
      </w:r>
      <w:r>
        <w:rPr>
          <w:rFonts w:hint="eastAsia" w:ascii="宋体" w:hAnsi="宋体" w:eastAsia="宋体" w:cs="宋体"/>
          <w:color w:val="auto"/>
          <w:sz w:val="24"/>
          <w:szCs w:val="24"/>
        </w:rPr>
        <w:t>担任任何在施（包括已中标未开工、已开工未竣工）</w:t>
      </w:r>
      <w:r>
        <w:rPr>
          <w:rFonts w:hint="eastAsia" w:ascii="宋体" w:hAnsi="宋体" w:eastAsia="宋体" w:cs="宋体"/>
          <w:color w:val="auto"/>
          <w:spacing w:val="-1"/>
          <w:sz w:val="24"/>
          <w:szCs w:val="24"/>
        </w:rPr>
        <w:t>建设工程项目的项目经理。</w:t>
      </w:r>
    </w:p>
    <w:p w14:paraId="6FDB08F6">
      <w:pPr>
        <w:spacing w:before="35" w:line="326" w:lineRule="auto"/>
        <w:ind w:firstLine="481"/>
        <w:rPr>
          <w:rFonts w:hint="eastAsia" w:ascii="宋体" w:hAnsi="宋体" w:eastAsia="宋体" w:cs="宋体"/>
          <w:color w:val="auto"/>
        </w:rPr>
      </w:pPr>
      <w:r>
        <w:rPr>
          <w:rFonts w:hint="eastAsia" w:ascii="宋体" w:hAnsi="宋体" w:eastAsia="宋体" w:cs="宋体"/>
          <w:color w:val="auto"/>
          <w:spacing w:val="-2"/>
          <w:sz w:val="24"/>
          <w:szCs w:val="24"/>
        </w:rPr>
        <w:t>我方保证上述信息的真实和准确，并愿意承担因我方就此弄虚作假所引起的一切法</w:t>
      </w:r>
      <w:r>
        <w:rPr>
          <w:rFonts w:hint="eastAsia" w:ascii="宋体" w:hAnsi="宋体" w:eastAsia="宋体" w:cs="宋体"/>
          <w:color w:val="auto"/>
          <w:spacing w:val="-3"/>
          <w:sz w:val="24"/>
          <w:szCs w:val="24"/>
        </w:rPr>
        <w:t>律后果。</w:t>
      </w:r>
    </w:p>
    <w:p w14:paraId="4F140DD6">
      <w:pPr>
        <w:spacing w:before="78" w:line="220" w:lineRule="auto"/>
        <w:ind w:left="480"/>
        <w:rPr>
          <w:rFonts w:hint="eastAsia" w:ascii="宋体" w:hAnsi="宋体" w:eastAsia="宋体" w:cs="宋体"/>
          <w:color w:val="auto"/>
          <w:sz w:val="24"/>
          <w:szCs w:val="24"/>
          <w:lang w:eastAsia="zh-CN"/>
        </w:rPr>
      </w:pPr>
      <w:r>
        <w:rPr>
          <w:rFonts w:hint="eastAsia" w:ascii="宋体" w:hAnsi="宋体" w:eastAsia="宋体" w:cs="宋体"/>
          <w:color w:val="auto"/>
          <w:spacing w:val="-3"/>
          <w:sz w:val="24"/>
          <w:szCs w:val="24"/>
        </w:rPr>
        <w:t>特此承诺</w:t>
      </w:r>
      <w:r>
        <w:rPr>
          <w:rFonts w:hint="eastAsia" w:ascii="宋体" w:hAnsi="宋体" w:eastAsia="宋体" w:cs="宋体"/>
          <w:color w:val="auto"/>
          <w:spacing w:val="-3"/>
          <w:sz w:val="24"/>
          <w:szCs w:val="24"/>
          <w:lang w:eastAsia="zh-CN"/>
        </w:rPr>
        <w:t>。</w:t>
      </w:r>
    </w:p>
    <w:p w14:paraId="3075D487">
      <w:pPr>
        <w:rPr>
          <w:rFonts w:hint="eastAsia" w:ascii="宋体" w:hAnsi="宋体" w:eastAsia="宋体" w:cs="宋体"/>
          <w:color w:val="auto"/>
        </w:rPr>
      </w:pPr>
    </w:p>
    <w:p w14:paraId="51A8A485">
      <w:pPr>
        <w:rPr>
          <w:rFonts w:hint="eastAsia" w:ascii="宋体" w:hAnsi="宋体" w:eastAsia="宋体" w:cs="宋体"/>
          <w:color w:val="auto"/>
        </w:rPr>
      </w:pPr>
    </w:p>
    <w:p w14:paraId="0BA3FB50">
      <w:pPr>
        <w:spacing w:before="79" w:line="219" w:lineRule="auto"/>
        <w:ind w:firstLine="3660" w:firstLineChars="1500"/>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投标人</w:t>
      </w:r>
      <w:r>
        <w:rPr>
          <w:rFonts w:hint="eastAsia" w:ascii="宋体" w:hAnsi="宋体" w:eastAsia="宋体" w:cs="宋体"/>
          <w:color w:val="auto"/>
          <w:spacing w:val="-15"/>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z w:val="24"/>
          <w:szCs w:val="24"/>
          <w:u w:val="single" w:color="auto"/>
          <w:lang w:val="en-US" w:eastAsia="zh-CN"/>
        </w:rPr>
        <w:t xml:space="preserve">           </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5"/>
          <w:sz w:val="24"/>
          <w:szCs w:val="24"/>
        </w:rPr>
        <w:t>（</w:t>
      </w:r>
      <w:r>
        <w:rPr>
          <w:rFonts w:hint="eastAsia" w:ascii="宋体" w:hAnsi="宋体" w:eastAsia="宋体" w:cs="宋体"/>
          <w:color w:val="auto"/>
          <w:spacing w:val="2"/>
          <w:sz w:val="24"/>
          <w:szCs w:val="24"/>
        </w:rPr>
        <w:t>盖单位章）</w:t>
      </w:r>
    </w:p>
    <w:p w14:paraId="095B21A3">
      <w:pPr>
        <w:rPr>
          <w:rFonts w:hint="eastAsia" w:ascii="宋体" w:hAnsi="宋体" w:eastAsia="宋体" w:cs="宋体"/>
          <w:color w:val="auto"/>
        </w:rPr>
      </w:pPr>
    </w:p>
    <w:p w14:paraId="112AC78F">
      <w:pPr>
        <w:rPr>
          <w:rFonts w:hint="eastAsia" w:ascii="宋体" w:hAnsi="宋体" w:eastAsia="宋体" w:cs="宋体"/>
          <w:color w:val="auto"/>
        </w:rPr>
      </w:pPr>
    </w:p>
    <w:p w14:paraId="42298477">
      <w:pPr>
        <w:spacing w:before="78" w:line="219" w:lineRule="auto"/>
        <w:ind w:firstLine="3630" w:firstLineChars="1500"/>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法定代表人或其委托代理人</w:t>
      </w:r>
      <w:r>
        <w:rPr>
          <w:rFonts w:hint="eastAsia" w:ascii="宋体" w:hAnsi="宋体" w:eastAsia="宋体" w:cs="宋体"/>
          <w:color w:val="auto"/>
          <w:spacing w:val="-15"/>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z w:val="24"/>
          <w:szCs w:val="24"/>
          <w:u w:val="single" w:color="auto"/>
          <w:lang w:val="en-US" w:eastAsia="zh-CN"/>
        </w:rPr>
        <w:t xml:space="preserve">     </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5"/>
          <w:sz w:val="24"/>
          <w:szCs w:val="24"/>
        </w:rPr>
        <w:t>（</w:t>
      </w:r>
      <w:r>
        <w:rPr>
          <w:rFonts w:hint="eastAsia" w:ascii="宋体" w:hAnsi="宋体" w:eastAsia="宋体" w:cs="宋体"/>
          <w:color w:val="auto"/>
          <w:spacing w:val="1"/>
          <w:sz w:val="24"/>
          <w:szCs w:val="24"/>
        </w:rPr>
        <w:t>签字或盖章）</w:t>
      </w:r>
    </w:p>
    <w:p w14:paraId="17FF2910">
      <w:pPr>
        <w:rPr>
          <w:rFonts w:hint="eastAsia" w:ascii="宋体" w:hAnsi="宋体" w:eastAsia="宋体" w:cs="宋体"/>
          <w:color w:val="auto"/>
          <w:lang w:val="en-US" w:eastAsia="zh-CN"/>
        </w:rPr>
      </w:pPr>
    </w:p>
    <w:p w14:paraId="3B41DA53">
      <w:pPr>
        <w:rPr>
          <w:rFonts w:hint="eastAsia" w:ascii="宋体" w:hAnsi="宋体" w:eastAsia="宋体" w:cs="宋体"/>
          <w:color w:val="auto"/>
        </w:rPr>
      </w:pPr>
    </w:p>
    <w:p w14:paraId="1345DECD">
      <w:pPr>
        <w:ind w:firstLine="5040" w:firstLineChars="2100"/>
        <w:rPr>
          <w:rFonts w:hint="eastAsia" w:ascii="宋体" w:hAnsi="宋体" w:eastAsia="宋体" w:cs="宋体"/>
          <w:color w:val="auto"/>
        </w:rPr>
      </w:pP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年</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月</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日</w:t>
      </w:r>
    </w:p>
    <w:p w14:paraId="5A0CBCC3">
      <w:pPr>
        <w:rPr>
          <w:rFonts w:hint="eastAsia" w:ascii="宋体" w:hAnsi="宋体" w:eastAsia="宋体" w:cs="宋体"/>
          <w:color w:val="auto"/>
          <w:lang w:val="en-US" w:eastAsia="zh-CN"/>
        </w:rPr>
      </w:pPr>
    </w:p>
    <w:p w14:paraId="37AC7D8A">
      <w:pPr>
        <w:rPr>
          <w:rFonts w:hint="eastAsia" w:ascii="宋体" w:hAnsi="宋体" w:eastAsia="宋体" w:cs="宋体"/>
          <w:color w:val="auto"/>
        </w:rPr>
      </w:pPr>
    </w:p>
    <w:p w14:paraId="59D5A4C2">
      <w:pPr>
        <w:rPr>
          <w:rFonts w:hint="eastAsia" w:ascii="宋体" w:hAnsi="宋体" w:eastAsia="宋体" w:cs="宋体"/>
          <w:color w:val="auto"/>
        </w:rPr>
      </w:pPr>
    </w:p>
    <w:p w14:paraId="29A3144D">
      <w:pPr>
        <w:rPr>
          <w:rFonts w:hint="eastAsia" w:ascii="宋体" w:hAnsi="宋体" w:eastAsia="宋体" w:cs="宋体"/>
          <w:color w:val="auto"/>
        </w:rPr>
      </w:pPr>
    </w:p>
    <w:p w14:paraId="54801D34">
      <w:pPr>
        <w:rPr>
          <w:rFonts w:hint="eastAsia" w:ascii="宋体" w:hAnsi="宋体" w:eastAsia="宋体" w:cs="宋体"/>
          <w:color w:val="auto"/>
        </w:rPr>
      </w:pPr>
    </w:p>
    <w:p w14:paraId="02793FCB">
      <w:pPr>
        <w:rPr>
          <w:rFonts w:hint="eastAsia" w:ascii="宋体" w:hAnsi="宋体" w:eastAsia="宋体" w:cs="宋体"/>
          <w:color w:val="auto"/>
        </w:rPr>
      </w:pPr>
    </w:p>
    <w:p w14:paraId="01D7AC56">
      <w:pPr>
        <w:rPr>
          <w:rFonts w:hint="eastAsia" w:ascii="宋体" w:hAnsi="宋体" w:eastAsia="宋体" w:cs="宋体"/>
          <w:color w:val="auto"/>
        </w:rPr>
      </w:pPr>
    </w:p>
    <w:p w14:paraId="6BCD230F">
      <w:pPr>
        <w:rPr>
          <w:rFonts w:hint="eastAsia" w:ascii="宋体" w:hAnsi="宋体" w:eastAsia="宋体" w:cs="宋体"/>
          <w:color w:val="auto"/>
        </w:rPr>
      </w:pPr>
    </w:p>
    <w:p w14:paraId="6C4B5467">
      <w:pPr>
        <w:rPr>
          <w:rFonts w:hint="eastAsia" w:ascii="宋体" w:hAnsi="宋体" w:eastAsia="宋体" w:cs="宋体"/>
          <w:color w:val="auto"/>
        </w:rPr>
      </w:pPr>
    </w:p>
    <w:p w14:paraId="75FF620E">
      <w:pPr>
        <w:rPr>
          <w:rFonts w:hint="eastAsia" w:ascii="宋体" w:hAnsi="宋体" w:eastAsia="宋体" w:cs="宋体"/>
          <w:color w:val="auto"/>
        </w:rPr>
      </w:pPr>
    </w:p>
    <w:p w14:paraId="16BAC201">
      <w:pPr>
        <w:rPr>
          <w:rFonts w:hint="eastAsia" w:ascii="宋体" w:hAnsi="宋体" w:eastAsia="宋体" w:cs="宋体"/>
          <w:color w:val="auto"/>
        </w:rPr>
      </w:pPr>
    </w:p>
    <w:p w14:paraId="43B27850">
      <w:pPr>
        <w:rPr>
          <w:rFonts w:hint="eastAsia" w:ascii="宋体" w:hAnsi="宋体" w:eastAsia="宋体" w:cs="宋体"/>
          <w:color w:val="auto"/>
        </w:rPr>
      </w:pPr>
    </w:p>
    <w:p w14:paraId="61E99A0E">
      <w:pPr>
        <w:rPr>
          <w:rFonts w:hint="eastAsia" w:ascii="宋体" w:hAnsi="宋体" w:eastAsia="宋体" w:cs="宋体"/>
          <w:color w:val="auto"/>
        </w:rPr>
      </w:pPr>
    </w:p>
    <w:p w14:paraId="14CB4409">
      <w:pPr>
        <w:rPr>
          <w:rFonts w:hint="eastAsia" w:ascii="宋体" w:hAnsi="宋体" w:eastAsia="宋体" w:cs="宋体"/>
          <w:color w:val="auto"/>
        </w:rPr>
      </w:pPr>
    </w:p>
    <w:p w14:paraId="383E19F9">
      <w:pPr>
        <w:rPr>
          <w:rFonts w:hint="eastAsia" w:ascii="宋体" w:hAnsi="宋体" w:eastAsia="宋体" w:cs="宋体"/>
          <w:color w:val="auto"/>
        </w:rPr>
      </w:pPr>
    </w:p>
    <w:p w14:paraId="3723970E">
      <w:pPr>
        <w:rPr>
          <w:rFonts w:hint="eastAsia" w:ascii="宋体" w:hAnsi="宋体" w:eastAsia="宋体" w:cs="宋体"/>
          <w:color w:val="auto"/>
        </w:rPr>
      </w:pPr>
    </w:p>
    <w:p w14:paraId="18CC723A">
      <w:pPr>
        <w:rPr>
          <w:rFonts w:hint="eastAsia" w:ascii="宋体" w:hAnsi="宋体" w:eastAsia="宋体" w:cs="宋体"/>
          <w:color w:val="auto"/>
        </w:rPr>
      </w:pPr>
    </w:p>
    <w:p w14:paraId="0B342776">
      <w:pPr>
        <w:rPr>
          <w:rFonts w:hint="eastAsia" w:ascii="宋体" w:hAnsi="宋体" w:eastAsia="宋体" w:cs="宋体"/>
          <w:color w:val="auto"/>
        </w:rPr>
      </w:pPr>
    </w:p>
    <w:p w14:paraId="1093D309">
      <w:pPr>
        <w:rPr>
          <w:rFonts w:hint="eastAsia" w:ascii="宋体" w:hAnsi="宋体" w:eastAsia="宋体" w:cs="宋体"/>
          <w:color w:val="auto"/>
        </w:rPr>
      </w:pPr>
    </w:p>
    <w:p w14:paraId="40ABE4AC">
      <w:pPr>
        <w:rPr>
          <w:rFonts w:hint="eastAsia" w:ascii="宋体" w:hAnsi="宋体" w:eastAsia="宋体" w:cs="宋体"/>
          <w:color w:val="auto"/>
        </w:rPr>
      </w:pPr>
    </w:p>
    <w:p w14:paraId="1A5CF1AB">
      <w:pPr>
        <w:rPr>
          <w:rFonts w:hint="eastAsia" w:ascii="宋体" w:hAnsi="宋体" w:eastAsia="宋体" w:cs="宋体"/>
          <w:color w:val="auto"/>
        </w:rPr>
      </w:pPr>
    </w:p>
    <w:p w14:paraId="7DE0401E">
      <w:pPr>
        <w:rPr>
          <w:rFonts w:hint="eastAsia" w:ascii="宋体" w:hAnsi="宋体" w:eastAsia="宋体" w:cs="宋体"/>
          <w:color w:val="auto"/>
        </w:rPr>
      </w:pPr>
    </w:p>
    <w:p w14:paraId="169F6409">
      <w:pPr>
        <w:rPr>
          <w:rFonts w:hint="eastAsia" w:ascii="宋体" w:hAnsi="宋体" w:eastAsia="宋体" w:cs="宋体"/>
          <w:color w:val="auto"/>
        </w:rPr>
      </w:pPr>
    </w:p>
    <w:p w14:paraId="430E1C73">
      <w:pPr>
        <w:rPr>
          <w:rFonts w:hint="eastAsia" w:ascii="宋体" w:hAnsi="宋体" w:eastAsia="宋体" w:cs="宋体"/>
          <w:color w:val="auto"/>
        </w:rPr>
      </w:pPr>
    </w:p>
    <w:p w14:paraId="354D153A">
      <w:pPr>
        <w:rPr>
          <w:rFonts w:hint="eastAsia" w:ascii="宋体" w:hAnsi="宋体" w:eastAsia="宋体" w:cs="宋体"/>
          <w:color w:val="auto"/>
        </w:rPr>
      </w:pPr>
    </w:p>
    <w:p w14:paraId="5924362A">
      <w:pPr>
        <w:rPr>
          <w:rFonts w:hint="eastAsia" w:ascii="宋体" w:hAnsi="宋体" w:eastAsia="宋体" w:cs="宋体"/>
          <w:color w:val="auto"/>
        </w:rPr>
      </w:pPr>
    </w:p>
    <w:p w14:paraId="6B7534F5">
      <w:pPr>
        <w:rPr>
          <w:rFonts w:hint="eastAsia" w:ascii="宋体" w:hAnsi="宋体" w:eastAsia="宋体" w:cs="宋体"/>
          <w:color w:val="auto"/>
        </w:rPr>
      </w:pPr>
    </w:p>
    <w:p w14:paraId="19E8B3C2">
      <w:pPr>
        <w:rPr>
          <w:rFonts w:hint="eastAsia" w:ascii="宋体" w:hAnsi="宋体" w:eastAsia="宋体" w:cs="宋体"/>
          <w:color w:val="auto"/>
        </w:rPr>
      </w:pPr>
    </w:p>
    <w:p w14:paraId="7AD9F27E">
      <w:pPr>
        <w:rPr>
          <w:rFonts w:hint="eastAsia" w:ascii="宋体" w:hAnsi="宋体" w:eastAsia="宋体" w:cs="宋体"/>
          <w:color w:val="auto"/>
        </w:rPr>
      </w:pPr>
    </w:p>
    <w:p w14:paraId="77C48404">
      <w:pPr>
        <w:rPr>
          <w:rFonts w:hint="eastAsia" w:ascii="宋体" w:hAnsi="宋体" w:eastAsia="宋体" w:cs="宋体"/>
          <w:color w:val="auto"/>
        </w:rPr>
      </w:pPr>
    </w:p>
    <w:p w14:paraId="197330AB">
      <w:pPr>
        <w:rPr>
          <w:rFonts w:hint="eastAsia" w:ascii="宋体" w:hAnsi="宋体" w:eastAsia="宋体" w:cs="宋体"/>
          <w:color w:val="auto"/>
        </w:rPr>
      </w:pPr>
    </w:p>
    <w:p w14:paraId="396BBF45">
      <w:pPr>
        <w:rPr>
          <w:rFonts w:hint="eastAsia" w:ascii="宋体" w:hAnsi="宋体" w:eastAsia="宋体" w:cs="宋体"/>
          <w:color w:val="auto"/>
        </w:rPr>
      </w:pPr>
    </w:p>
    <w:p w14:paraId="7EE34485">
      <w:pPr>
        <w:pStyle w:val="3"/>
        <w:bidi w:val="0"/>
        <w:spacing w:line="360" w:lineRule="auto"/>
        <w:ind w:firstLine="482" w:firstLineChars="200"/>
        <w:rPr>
          <w:rFonts w:hint="eastAsia" w:ascii="宋体" w:hAnsi="宋体" w:eastAsia="宋体" w:cs="宋体"/>
          <w:color w:val="auto"/>
        </w:rPr>
      </w:pPr>
      <w:bookmarkStart w:id="142" w:name="_Toc24130"/>
      <w:r>
        <w:rPr>
          <w:rFonts w:hint="eastAsia" w:ascii="宋体" w:hAnsi="宋体" w:eastAsia="宋体" w:cs="宋体"/>
          <w:color w:val="auto"/>
          <w:sz w:val="24"/>
          <w:szCs w:val="24"/>
          <w:lang w:val="en-US" w:eastAsia="zh-CN"/>
        </w:rPr>
        <w:t>格式九   项目技术负责人简历表</w:t>
      </w:r>
      <w:bookmarkEnd w:id="142"/>
    </w:p>
    <w:p w14:paraId="6BFFD53E">
      <w:pPr>
        <w:spacing w:before="98" w:line="220" w:lineRule="auto"/>
        <w:ind w:left="3338"/>
        <w:rPr>
          <w:rFonts w:hint="eastAsia" w:ascii="宋体" w:hAnsi="宋体" w:eastAsia="宋体" w:cs="宋体"/>
          <w:color w:val="auto"/>
        </w:rPr>
      </w:pPr>
      <w:bookmarkStart w:id="143" w:name="bookmark157"/>
      <w:bookmarkEnd w:id="143"/>
      <w:r>
        <w:rPr>
          <w:rFonts w:hint="eastAsia" w:ascii="宋体" w:hAnsi="宋体" w:eastAsia="宋体" w:cs="宋体"/>
          <w:b/>
          <w:bCs/>
          <w:color w:val="auto"/>
          <w:spacing w:val="-5"/>
          <w:sz w:val="30"/>
          <w:szCs w:val="30"/>
        </w:rPr>
        <w:t>项目技术负责人简历表</w:t>
      </w:r>
    </w:p>
    <w:tbl>
      <w:tblPr>
        <w:tblStyle w:val="33"/>
        <w:tblW w:w="97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9"/>
        <w:gridCol w:w="1069"/>
        <w:gridCol w:w="477"/>
        <w:gridCol w:w="648"/>
        <w:gridCol w:w="1293"/>
        <w:gridCol w:w="2249"/>
        <w:gridCol w:w="1650"/>
        <w:gridCol w:w="1616"/>
      </w:tblGrid>
      <w:tr w14:paraId="1C7A8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848" w:type="dxa"/>
            <w:gridSpan w:val="2"/>
            <w:noWrap w:val="0"/>
            <w:vAlign w:val="top"/>
          </w:tcPr>
          <w:p w14:paraId="75DF932E">
            <w:pPr>
              <w:spacing w:before="177" w:line="228" w:lineRule="auto"/>
              <w:ind w:left="508"/>
              <w:rPr>
                <w:rFonts w:hint="eastAsia" w:ascii="宋体" w:hAnsi="宋体" w:eastAsia="宋体" w:cs="宋体"/>
                <w:color w:val="auto"/>
                <w:sz w:val="24"/>
                <w:szCs w:val="24"/>
              </w:rPr>
            </w:pPr>
            <w:r>
              <w:rPr>
                <w:rFonts w:hint="eastAsia" w:ascii="宋体" w:hAnsi="宋体" w:eastAsia="宋体" w:cs="宋体"/>
                <w:color w:val="auto"/>
                <w:sz w:val="24"/>
                <w:szCs w:val="24"/>
              </w:rPr>
              <w:t>姓</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名</w:t>
            </w:r>
          </w:p>
        </w:tc>
        <w:tc>
          <w:tcPr>
            <w:tcW w:w="1125" w:type="dxa"/>
            <w:gridSpan w:val="2"/>
            <w:noWrap w:val="0"/>
            <w:vAlign w:val="top"/>
          </w:tcPr>
          <w:p w14:paraId="66BAF863">
            <w:pPr>
              <w:pStyle w:val="34"/>
              <w:rPr>
                <w:rFonts w:hint="eastAsia" w:ascii="宋体" w:hAnsi="宋体" w:eastAsia="宋体" w:cs="宋体"/>
                <w:color w:val="auto"/>
                <w:sz w:val="24"/>
                <w:szCs w:val="24"/>
              </w:rPr>
            </w:pPr>
          </w:p>
        </w:tc>
        <w:tc>
          <w:tcPr>
            <w:tcW w:w="1293" w:type="dxa"/>
            <w:noWrap w:val="0"/>
            <w:vAlign w:val="top"/>
          </w:tcPr>
          <w:p w14:paraId="292CA552">
            <w:pPr>
              <w:spacing w:before="177" w:line="229" w:lineRule="auto"/>
              <w:ind w:left="336"/>
              <w:rPr>
                <w:rFonts w:hint="eastAsia" w:ascii="宋体" w:hAnsi="宋体" w:eastAsia="宋体" w:cs="宋体"/>
                <w:color w:val="auto"/>
                <w:sz w:val="24"/>
                <w:szCs w:val="24"/>
              </w:rPr>
            </w:pPr>
            <w:r>
              <w:rPr>
                <w:rFonts w:hint="eastAsia" w:ascii="宋体" w:hAnsi="宋体" w:eastAsia="宋体" w:cs="宋体"/>
                <w:color w:val="auto"/>
                <w:sz w:val="24"/>
                <w:szCs w:val="24"/>
              </w:rPr>
              <w:t>性</w:t>
            </w:r>
            <w:r>
              <w:rPr>
                <w:rFonts w:hint="eastAsia" w:ascii="宋体" w:hAnsi="宋体" w:eastAsia="宋体" w:cs="宋体"/>
                <w:color w:val="auto"/>
                <w:spacing w:val="10"/>
                <w:sz w:val="24"/>
                <w:szCs w:val="24"/>
              </w:rPr>
              <w:t xml:space="preserve">  </w:t>
            </w:r>
            <w:r>
              <w:rPr>
                <w:rFonts w:hint="eastAsia" w:ascii="宋体" w:hAnsi="宋体" w:eastAsia="宋体" w:cs="宋体"/>
                <w:color w:val="auto"/>
                <w:sz w:val="24"/>
                <w:szCs w:val="24"/>
              </w:rPr>
              <w:t>别</w:t>
            </w:r>
          </w:p>
        </w:tc>
        <w:tc>
          <w:tcPr>
            <w:tcW w:w="2249" w:type="dxa"/>
            <w:noWrap w:val="0"/>
            <w:vAlign w:val="top"/>
          </w:tcPr>
          <w:p w14:paraId="397B5621">
            <w:pPr>
              <w:pStyle w:val="34"/>
              <w:rPr>
                <w:rFonts w:hint="eastAsia" w:ascii="宋体" w:hAnsi="宋体" w:eastAsia="宋体" w:cs="宋体"/>
                <w:color w:val="auto"/>
                <w:sz w:val="24"/>
                <w:szCs w:val="24"/>
              </w:rPr>
            </w:pPr>
          </w:p>
        </w:tc>
        <w:tc>
          <w:tcPr>
            <w:tcW w:w="1650" w:type="dxa"/>
            <w:noWrap w:val="0"/>
            <w:vAlign w:val="top"/>
          </w:tcPr>
          <w:p w14:paraId="455E4554">
            <w:pPr>
              <w:spacing w:before="177" w:line="228" w:lineRule="auto"/>
              <w:ind w:left="487"/>
              <w:rPr>
                <w:rFonts w:hint="eastAsia" w:ascii="宋体" w:hAnsi="宋体" w:eastAsia="宋体" w:cs="宋体"/>
                <w:color w:val="auto"/>
                <w:sz w:val="24"/>
                <w:szCs w:val="24"/>
              </w:rPr>
            </w:pPr>
            <w:r>
              <w:rPr>
                <w:rFonts w:hint="eastAsia" w:ascii="宋体" w:hAnsi="宋体" w:eastAsia="宋体" w:cs="宋体"/>
                <w:color w:val="auto"/>
                <w:sz w:val="24"/>
                <w:szCs w:val="24"/>
              </w:rPr>
              <w:t>年</w:t>
            </w:r>
            <w:r>
              <w:rPr>
                <w:rFonts w:hint="eastAsia" w:ascii="宋体" w:hAnsi="宋体" w:eastAsia="宋体" w:cs="宋体"/>
                <w:color w:val="auto"/>
                <w:spacing w:val="8"/>
                <w:sz w:val="24"/>
                <w:szCs w:val="24"/>
              </w:rPr>
              <w:t xml:space="preserve">   </w:t>
            </w:r>
            <w:r>
              <w:rPr>
                <w:rFonts w:hint="eastAsia" w:ascii="宋体" w:hAnsi="宋体" w:eastAsia="宋体" w:cs="宋体"/>
                <w:color w:val="auto"/>
                <w:sz w:val="24"/>
                <w:szCs w:val="24"/>
              </w:rPr>
              <w:t>龄</w:t>
            </w:r>
          </w:p>
        </w:tc>
        <w:tc>
          <w:tcPr>
            <w:tcW w:w="1616" w:type="dxa"/>
            <w:noWrap w:val="0"/>
            <w:vAlign w:val="top"/>
          </w:tcPr>
          <w:p w14:paraId="24D3F49E">
            <w:pPr>
              <w:pStyle w:val="34"/>
              <w:rPr>
                <w:rFonts w:hint="eastAsia" w:ascii="宋体" w:hAnsi="宋体" w:eastAsia="宋体" w:cs="宋体"/>
                <w:color w:val="auto"/>
                <w:sz w:val="24"/>
                <w:szCs w:val="24"/>
              </w:rPr>
            </w:pPr>
          </w:p>
        </w:tc>
      </w:tr>
      <w:tr w14:paraId="158B0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848" w:type="dxa"/>
            <w:gridSpan w:val="2"/>
            <w:noWrap w:val="0"/>
            <w:vAlign w:val="top"/>
          </w:tcPr>
          <w:p w14:paraId="4CCE36DD">
            <w:pPr>
              <w:spacing w:before="175" w:line="228" w:lineRule="auto"/>
              <w:ind w:left="509"/>
              <w:rPr>
                <w:rFonts w:hint="eastAsia" w:ascii="宋体" w:hAnsi="宋体" w:eastAsia="宋体" w:cs="宋体"/>
                <w:color w:val="auto"/>
                <w:sz w:val="24"/>
                <w:szCs w:val="24"/>
              </w:rPr>
            </w:pPr>
            <w:r>
              <w:rPr>
                <w:rFonts w:hint="eastAsia" w:ascii="宋体" w:hAnsi="宋体" w:eastAsia="宋体" w:cs="宋体"/>
                <w:color w:val="auto"/>
                <w:sz w:val="24"/>
                <w:szCs w:val="24"/>
              </w:rPr>
              <w:t>职</w:t>
            </w:r>
            <w:r>
              <w:rPr>
                <w:rFonts w:hint="eastAsia" w:ascii="宋体" w:hAnsi="宋体" w:eastAsia="宋体" w:cs="宋体"/>
                <w:color w:val="auto"/>
                <w:spacing w:val="8"/>
                <w:sz w:val="24"/>
                <w:szCs w:val="24"/>
              </w:rPr>
              <w:t xml:space="preserve">   </w:t>
            </w:r>
            <w:r>
              <w:rPr>
                <w:rFonts w:hint="eastAsia" w:ascii="宋体" w:hAnsi="宋体" w:eastAsia="宋体" w:cs="宋体"/>
                <w:color w:val="auto"/>
                <w:sz w:val="24"/>
                <w:szCs w:val="24"/>
              </w:rPr>
              <w:t>务</w:t>
            </w:r>
          </w:p>
        </w:tc>
        <w:tc>
          <w:tcPr>
            <w:tcW w:w="1125" w:type="dxa"/>
            <w:gridSpan w:val="2"/>
            <w:noWrap w:val="0"/>
            <w:vAlign w:val="top"/>
          </w:tcPr>
          <w:p w14:paraId="10FF3412">
            <w:pPr>
              <w:pStyle w:val="34"/>
              <w:rPr>
                <w:rFonts w:hint="eastAsia" w:ascii="宋体" w:hAnsi="宋体" w:eastAsia="宋体" w:cs="宋体"/>
                <w:color w:val="auto"/>
                <w:sz w:val="24"/>
                <w:szCs w:val="24"/>
              </w:rPr>
            </w:pPr>
          </w:p>
        </w:tc>
        <w:tc>
          <w:tcPr>
            <w:tcW w:w="1293" w:type="dxa"/>
            <w:noWrap w:val="0"/>
            <w:vAlign w:val="top"/>
          </w:tcPr>
          <w:p w14:paraId="393FCB03">
            <w:pPr>
              <w:spacing w:before="174" w:line="231" w:lineRule="auto"/>
              <w:ind w:left="337"/>
              <w:rPr>
                <w:rFonts w:hint="eastAsia" w:ascii="宋体" w:hAnsi="宋体" w:eastAsia="宋体" w:cs="宋体"/>
                <w:color w:val="auto"/>
                <w:sz w:val="24"/>
                <w:szCs w:val="24"/>
              </w:rPr>
            </w:pPr>
            <w:r>
              <w:rPr>
                <w:rFonts w:hint="eastAsia" w:ascii="宋体" w:hAnsi="宋体" w:eastAsia="宋体" w:cs="宋体"/>
                <w:color w:val="auto"/>
                <w:sz w:val="24"/>
                <w:szCs w:val="24"/>
              </w:rPr>
              <w:t>职</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称</w:t>
            </w:r>
          </w:p>
        </w:tc>
        <w:tc>
          <w:tcPr>
            <w:tcW w:w="2249" w:type="dxa"/>
            <w:noWrap w:val="0"/>
            <w:vAlign w:val="top"/>
          </w:tcPr>
          <w:p w14:paraId="401C84F4">
            <w:pPr>
              <w:pStyle w:val="34"/>
              <w:rPr>
                <w:rFonts w:hint="eastAsia" w:ascii="宋体" w:hAnsi="宋体" w:eastAsia="宋体" w:cs="宋体"/>
                <w:color w:val="auto"/>
                <w:sz w:val="24"/>
                <w:szCs w:val="24"/>
              </w:rPr>
            </w:pPr>
          </w:p>
        </w:tc>
        <w:tc>
          <w:tcPr>
            <w:tcW w:w="1650" w:type="dxa"/>
            <w:noWrap w:val="0"/>
            <w:vAlign w:val="top"/>
          </w:tcPr>
          <w:p w14:paraId="7CB60904">
            <w:pPr>
              <w:spacing w:before="175" w:line="230" w:lineRule="auto"/>
              <w:ind w:left="490"/>
              <w:rPr>
                <w:rFonts w:hint="eastAsia" w:ascii="宋体" w:hAnsi="宋体" w:eastAsia="宋体" w:cs="宋体"/>
                <w:color w:val="auto"/>
                <w:sz w:val="24"/>
                <w:szCs w:val="24"/>
              </w:rPr>
            </w:pPr>
            <w:r>
              <w:rPr>
                <w:rFonts w:hint="eastAsia" w:ascii="宋体" w:hAnsi="宋体" w:eastAsia="宋体" w:cs="宋体"/>
                <w:color w:val="auto"/>
                <w:spacing w:val="-2"/>
                <w:sz w:val="24"/>
                <w:szCs w:val="24"/>
              </w:rPr>
              <w:t>学</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2"/>
                <w:sz w:val="24"/>
                <w:szCs w:val="24"/>
              </w:rPr>
              <w:t>历</w:t>
            </w:r>
          </w:p>
        </w:tc>
        <w:tc>
          <w:tcPr>
            <w:tcW w:w="1616" w:type="dxa"/>
            <w:noWrap w:val="0"/>
            <w:vAlign w:val="top"/>
          </w:tcPr>
          <w:p w14:paraId="37725D2D">
            <w:pPr>
              <w:pStyle w:val="34"/>
              <w:rPr>
                <w:rFonts w:hint="eastAsia" w:ascii="宋体" w:hAnsi="宋体" w:eastAsia="宋体" w:cs="宋体"/>
                <w:color w:val="auto"/>
                <w:sz w:val="24"/>
                <w:szCs w:val="24"/>
              </w:rPr>
            </w:pPr>
          </w:p>
        </w:tc>
      </w:tr>
      <w:tr w14:paraId="7E5A9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848" w:type="dxa"/>
            <w:gridSpan w:val="2"/>
            <w:noWrap w:val="0"/>
            <w:vAlign w:val="top"/>
          </w:tcPr>
          <w:p w14:paraId="0B4962B1">
            <w:pPr>
              <w:spacing w:before="175" w:line="229" w:lineRule="auto"/>
              <w:ind w:left="248"/>
              <w:rPr>
                <w:rFonts w:hint="eastAsia" w:ascii="宋体" w:hAnsi="宋体" w:eastAsia="宋体" w:cs="宋体"/>
                <w:color w:val="auto"/>
                <w:sz w:val="24"/>
                <w:szCs w:val="24"/>
              </w:rPr>
            </w:pPr>
            <w:r>
              <w:rPr>
                <w:rFonts w:hint="eastAsia" w:ascii="宋体" w:hAnsi="宋体" w:eastAsia="宋体" w:cs="宋体"/>
                <w:color w:val="auto"/>
                <w:spacing w:val="7"/>
                <w:sz w:val="24"/>
                <w:szCs w:val="24"/>
              </w:rPr>
              <w:t>参加工作时间</w:t>
            </w:r>
          </w:p>
        </w:tc>
        <w:tc>
          <w:tcPr>
            <w:tcW w:w="2418" w:type="dxa"/>
            <w:gridSpan w:val="3"/>
            <w:noWrap w:val="0"/>
            <w:vAlign w:val="top"/>
          </w:tcPr>
          <w:p w14:paraId="3F63444E">
            <w:pPr>
              <w:pStyle w:val="34"/>
              <w:rPr>
                <w:rFonts w:hint="eastAsia" w:ascii="宋体" w:hAnsi="宋体" w:eastAsia="宋体" w:cs="宋体"/>
                <w:color w:val="auto"/>
                <w:sz w:val="24"/>
                <w:szCs w:val="24"/>
              </w:rPr>
            </w:pPr>
          </w:p>
        </w:tc>
        <w:tc>
          <w:tcPr>
            <w:tcW w:w="3899" w:type="dxa"/>
            <w:gridSpan w:val="2"/>
            <w:noWrap w:val="0"/>
            <w:vAlign w:val="top"/>
          </w:tcPr>
          <w:p w14:paraId="49428560">
            <w:pPr>
              <w:spacing w:before="176" w:line="228" w:lineRule="auto"/>
              <w:rPr>
                <w:rFonts w:hint="eastAsia" w:ascii="宋体" w:hAnsi="宋体" w:eastAsia="宋体" w:cs="宋体"/>
                <w:color w:val="auto"/>
                <w:sz w:val="24"/>
                <w:szCs w:val="24"/>
              </w:rPr>
            </w:pPr>
            <w:r>
              <w:rPr>
                <w:rFonts w:hint="eastAsia" w:ascii="宋体" w:hAnsi="宋体" w:eastAsia="宋体" w:cs="宋体"/>
                <w:color w:val="auto"/>
                <w:spacing w:val="9"/>
                <w:sz w:val="24"/>
                <w:szCs w:val="24"/>
              </w:rPr>
              <w:t>从事工程建设项目管理工作年限</w:t>
            </w:r>
          </w:p>
        </w:tc>
        <w:tc>
          <w:tcPr>
            <w:tcW w:w="1616" w:type="dxa"/>
            <w:noWrap w:val="0"/>
            <w:vAlign w:val="top"/>
          </w:tcPr>
          <w:p w14:paraId="1178B632">
            <w:pPr>
              <w:pStyle w:val="34"/>
              <w:rPr>
                <w:rFonts w:hint="eastAsia" w:ascii="宋体" w:hAnsi="宋体" w:eastAsia="宋体" w:cs="宋体"/>
                <w:color w:val="auto"/>
                <w:sz w:val="24"/>
                <w:szCs w:val="24"/>
              </w:rPr>
            </w:pPr>
          </w:p>
        </w:tc>
      </w:tr>
      <w:tr w14:paraId="626E1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9781" w:type="dxa"/>
            <w:gridSpan w:val="8"/>
            <w:noWrap w:val="0"/>
            <w:vAlign w:val="top"/>
          </w:tcPr>
          <w:p w14:paraId="3526AC5A">
            <w:pPr>
              <w:spacing w:before="176" w:line="228" w:lineRule="auto"/>
              <w:ind w:left="2041"/>
              <w:rPr>
                <w:rFonts w:hint="eastAsia" w:ascii="宋体" w:hAnsi="宋体" w:eastAsia="宋体" w:cs="宋体"/>
                <w:color w:val="auto"/>
                <w:sz w:val="24"/>
                <w:szCs w:val="24"/>
              </w:rPr>
            </w:pPr>
            <w:r>
              <w:rPr>
                <w:rFonts w:hint="eastAsia" w:ascii="宋体" w:hAnsi="宋体" w:eastAsia="宋体" w:cs="宋体"/>
                <w:color w:val="auto"/>
                <w:spacing w:val="8"/>
                <w:sz w:val="24"/>
                <w:szCs w:val="24"/>
              </w:rPr>
              <w:t>以项目技术负责人身份参与过的主要业绩（已完工项目）</w:t>
            </w:r>
          </w:p>
        </w:tc>
      </w:tr>
      <w:tr w14:paraId="1EE4A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79" w:type="dxa"/>
            <w:noWrap w:val="0"/>
            <w:vAlign w:val="top"/>
          </w:tcPr>
          <w:p w14:paraId="6EE8C7AA">
            <w:pPr>
              <w:spacing w:before="176" w:line="230" w:lineRule="auto"/>
              <w:ind w:left="183"/>
              <w:rPr>
                <w:rFonts w:hint="eastAsia" w:ascii="宋体" w:hAnsi="宋体" w:eastAsia="宋体" w:cs="宋体"/>
                <w:color w:val="auto"/>
                <w:sz w:val="24"/>
                <w:szCs w:val="24"/>
              </w:rPr>
            </w:pPr>
            <w:r>
              <w:rPr>
                <w:rFonts w:hint="eastAsia" w:ascii="宋体" w:hAnsi="宋体" w:eastAsia="宋体" w:cs="宋体"/>
                <w:color w:val="auto"/>
                <w:spacing w:val="5"/>
                <w:sz w:val="24"/>
                <w:szCs w:val="24"/>
              </w:rPr>
              <w:t>序号</w:t>
            </w:r>
          </w:p>
        </w:tc>
        <w:tc>
          <w:tcPr>
            <w:tcW w:w="1546" w:type="dxa"/>
            <w:gridSpan w:val="2"/>
            <w:noWrap w:val="0"/>
            <w:vAlign w:val="top"/>
          </w:tcPr>
          <w:p w14:paraId="14E0721C">
            <w:pPr>
              <w:spacing w:before="176" w:line="229" w:lineRule="auto"/>
              <w:ind w:left="359"/>
              <w:rPr>
                <w:rFonts w:hint="eastAsia" w:ascii="宋体" w:hAnsi="宋体" w:eastAsia="宋体" w:cs="宋体"/>
                <w:color w:val="auto"/>
                <w:sz w:val="24"/>
                <w:szCs w:val="24"/>
              </w:rPr>
            </w:pPr>
            <w:r>
              <w:rPr>
                <w:rFonts w:hint="eastAsia" w:ascii="宋体" w:hAnsi="宋体" w:eastAsia="宋体" w:cs="宋体"/>
                <w:color w:val="auto"/>
                <w:spacing w:val="6"/>
                <w:sz w:val="24"/>
                <w:szCs w:val="24"/>
              </w:rPr>
              <w:t>项目名称</w:t>
            </w:r>
          </w:p>
        </w:tc>
        <w:tc>
          <w:tcPr>
            <w:tcW w:w="1941" w:type="dxa"/>
            <w:gridSpan w:val="2"/>
            <w:noWrap w:val="0"/>
            <w:vAlign w:val="top"/>
          </w:tcPr>
          <w:p w14:paraId="7117BC2A">
            <w:pPr>
              <w:spacing w:before="176" w:line="229" w:lineRule="auto"/>
              <w:ind w:left="557"/>
              <w:rPr>
                <w:rFonts w:hint="eastAsia" w:ascii="宋体" w:hAnsi="宋体" w:eastAsia="宋体" w:cs="宋体"/>
                <w:color w:val="auto"/>
                <w:sz w:val="24"/>
                <w:szCs w:val="24"/>
              </w:rPr>
            </w:pPr>
            <w:r>
              <w:rPr>
                <w:rFonts w:hint="eastAsia" w:ascii="宋体" w:hAnsi="宋体" w:eastAsia="宋体" w:cs="宋体"/>
                <w:color w:val="auto"/>
                <w:spacing w:val="6"/>
                <w:sz w:val="24"/>
                <w:szCs w:val="24"/>
              </w:rPr>
              <w:t>建设单位</w:t>
            </w:r>
          </w:p>
        </w:tc>
        <w:tc>
          <w:tcPr>
            <w:tcW w:w="2249" w:type="dxa"/>
            <w:noWrap w:val="0"/>
            <w:vAlign w:val="top"/>
          </w:tcPr>
          <w:p w14:paraId="49C9EAA1">
            <w:pPr>
              <w:spacing w:before="176" w:line="228" w:lineRule="auto"/>
              <w:ind w:left="260"/>
              <w:rPr>
                <w:rFonts w:hint="eastAsia" w:ascii="宋体" w:hAnsi="宋体" w:eastAsia="宋体" w:cs="宋体"/>
                <w:color w:val="auto"/>
                <w:sz w:val="24"/>
                <w:szCs w:val="24"/>
              </w:rPr>
            </w:pPr>
            <w:r>
              <w:rPr>
                <w:rFonts w:hint="eastAsia" w:ascii="宋体" w:hAnsi="宋体" w:eastAsia="宋体" w:cs="宋体"/>
                <w:color w:val="auto"/>
                <w:spacing w:val="8"/>
                <w:sz w:val="24"/>
                <w:szCs w:val="24"/>
              </w:rPr>
              <w:t>建设内容和规模</w:t>
            </w:r>
          </w:p>
        </w:tc>
        <w:tc>
          <w:tcPr>
            <w:tcW w:w="1650" w:type="dxa"/>
            <w:noWrap w:val="0"/>
            <w:vAlign w:val="top"/>
          </w:tcPr>
          <w:p w14:paraId="37C18A07">
            <w:pPr>
              <w:spacing w:before="176" w:line="228" w:lineRule="auto"/>
              <w:ind w:left="237"/>
              <w:rPr>
                <w:rFonts w:hint="eastAsia" w:ascii="宋体" w:hAnsi="宋体" w:eastAsia="宋体" w:cs="宋体"/>
                <w:color w:val="auto"/>
                <w:sz w:val="24"/>
                <w:szCs w:val="24"/>
              </w:rPr>
            </w:pPr>
            <w:r>
              <w:rPr>
                <w:rFonts w:hint="eastAsia" w:ascii="宋体" w:hAnsi="宋体" w:eastAsia="宋体" w:cs="宋体"/>
                <w:color w:val="auto"/>
                <w:spacing w:val="8"/>
                <w:sz w:val="24"/>
                <w:szCs w:val="24"/>
              </w:rPr>
              <w:t>开、竣工日期</w:t>
            </w:r>
          </w:p>
        </w:tc>
        <w:tc>
          <w:tcPr>
            <w:tcW w:w="1616" w:type="dxa"/>
            <w:noWrap w:val="0"/>
            <w:vAlign w:val="top"/>
          </w:tcPr>
          <w:p w14:paraId="0EB78EF6">
            <w:pPr>
              <w:spacing w:before="176" w:line="228" w:lineRule="auto"/>
              <w:ind w:left="251"/>
              <w:rPr>
                <w:rFonts w:hint="eastAsia" w:ascii="宋体" w:hAnsi="宋体" w:eastAsia="宋体" w:cs="宋体"/>
                <w:color w:val="auto"/>
                <w:sz w:val="24"/>
                <w:szCs w:val="24"/>
              </w:rPr>
            </w:pPr>
            <w:r>
              <w:rPr>
                <w:rFonts w:hint="eastAsia" w:ascii="宋体" w:hAnsi="宋体" w:eastAsia="宋体" w:cs="宋体"/>
                <w:color w:val="auto"/>
                <w:spacing w:val="7"/>
                <w:sz w:val="24"/>
                <w:szCs w:val="24"/>
              </w:rPr>
              <w:t>质量等级</w:t>
            </w:r>
          </w:p>
        </w:tc>
      </w:tr>
      <w:tr w14:paraId="381FE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79" w:type="dxa"/>
            <w:noWrap w:val="0"/>
            <w:vAlign w:val="top"/>
          </w:tcPr>
          <w:p w14:paraId="09DEBBED">
            <w:pPr>
              <w:spacing w:before="214" w:line="195" w:lineRule="auto"/>
              <w:ind w:left="35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546" w:type="dxa"/>
            <w:gridSpan w:val="2"/>
            <w:noWrap w:val="0"/>
            <w:vAlign w:val="top"/>
          </w:tcPr>
          <w:p w14:paraId="1DBBAA14">
            <w:pPr>
              <w:pStyle w:val="34"/>
              <w:rPr>
                <w:rFonts w:hint="eastAsia" w:ascii="宋体" w:hAnsi="宋体" w:eastAsia="宋体" w:cs="宋体"/>
                <w:color w:val="auto"/>
                <w:sz w:val="24"/>
                <w:szCs w:val="24"/>
              </w:rPr>
            </w:pPr>
          </w:p>
        </w:tc>
        <w:tc>
          <w:tcPr>
            <w:tcW w:w="1941" w:type="dxa"/>
            <w:gridSpan w:val="2"/>
            <w:noWrap w:val="0"/>
            <w:vAlign w:val="top"/>
          </w:tcPr>
          <w:p w14:paraId="1CDDD487">
            <w:pPr>
              <w:pStyle w:val="34"/>
              <w:rPr>
                <w:rFonts w:hint="eastAsia" w:ascii="宋体" w:hAnsi="宋体" w:eastAsia="宋体" w:cs="宋体"/>
                <w:color w:val="auto"/>
                <w:sz w:val="24"/>
                <w:szCs w:val="24"/>
              </w:rPr>
            </w:pPr>
          </w:p>
        </w:tc>
        <w:tc>
          <w:tcPr>
            <w:tcW w:w="2249" w:type="dxa"/>
            <w:noWrap w:val="0"/>
            <w:vAlign w:val="top"/>
          </w:tcPr>
          <w:p w14:paraId="286BE253">
            <w:pPr>
              <w:pStyle w:val="34"/>
              <w:rPr>
                <w:rFonts w:hint="eastAsia" w:ascii="宋体" w:hAnsi="宋体" w:eastAsia="宋体" w:cs="宋体"/>
                <w:color w:val="auto"/>
                <w:sz w:val="24"/>
                <w:szCs w:val="24"/>
              </w:rPr>
            </w:pPr>
          </w:p>
        </w:tc>
        <w:tc>
          <w:tcPr>
            <w:tcW w:w="1650" w:type="dxa"/>
            <w:noWrap w:val="0"/>
            <w:vAlign w:val="top"/>
          </w:tcPr>
          <w:p w14:paraId="4EBB22FD">
            <w:pPr>
              <w:pStyle w:val="34"/>
              <w:rPr>
                <w:rFonts w:hint="eastAsia" w:ascii="宋体" w:hAnsi="宋体" w:eastAsia="宋体" w:cs="宋体"/>
                <w:color w:val="auto"/>
                <w:sz w:val="24"/>
                <w:szCs w:val="24"/>
              </w:rPr>
            </w:pPr>
          </w:p>
        </w:tc>
        <w:tc>
          <w:tcPr>
            <w:tcW w:w="1616" w:type="dxa"/>
            <w:noWrap w:val="0"/>
            <w:vAlign w:val="top"/>
          </w:tcPr>
          <w:p w14:paraId="612E6337">
            <w:pPr>
              <w:pStyle w:val="34"/>
              <w:rPr>
                <w:rFonts w:hint="eastAsia" w:ascii="宋体" w:hAnsi="宋体" w:eastAsia="宋体" w:cs="宋体"/>
                <w:color w:val="auto"/>
                <w:sz w:val="24"/>
                <w:szCs w:val="24"/>
              </w:rPr>
            </w:pPr>
          </w:p>
        </w:tc>
      </w:tr>
      <w:tr w14:paraId="078AC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79" w:type="dxa"/>
            <w:noWrap w:val="0"/>
            <w:vAlign w:val="top"/>
          </w:tcPr>
          <w:p w14:paraId="5ADEACF1">
            <w:pPr>
              <w:spacing w:before="213" w:line="195" w:lineRule="auto"/>
              <w:ind w:left="33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546" w:type="dxa"/>
            <w:gridSpan w:val="2"/>
            <w:noWrap w:val="0"/>
            <w:vAlign w:val="top"/>
          </w:tcPr>
          <w:p w14:paraId="487B654C">
            <w:pPr>
              <w:pStyle w:val="34"/>
              <w:rPr>
                <w:rFonts w:hint="eastAsia" w:ascii="宋体" w:hAnsi="宋体" w:eastAsia="宋体" w:cs="宋体"/>
                <w:color w:val="auto"/>
                <w:sz w:val="24"/>
                <w:szCs w:val="24"/>
              </w:rPr>
            </w:pPr>
          </w:p>
        </w:tc>
        <w:tc>
          <w:tcPr>
            <w:tcW w:w="1941" w:type="dxa"/>
            <w:gridSpan w:val="2"/>
            <w:noWrap w:val="0"/>
            <w:vAlign w:val="top"/>
          </w:tcPr>
          <w:p w14:paraId="4B3B2E65">
            <w:pPr>
              <w:pStyle w:val="34"/>
              <w:rPr>
                <w:rFonts w:hint="eastAsia" w:ascii="宋体" w:hAnsi="宋体" w:eastAsia="宋体" w:cs="宋体"/>
                <w:color w:val="auto"/>
                <w:sz w:val="24"/>
                <w:szCs w:val="24"/>
              </w:rPr>
            </w:pPr>
          </w:p>
        </w:tc>
        <w:tc>
          <w:tcPr>
            <w:tcW w:w="2249" w:type="dxa"/>
            <w:noWrap w:val="0"/>
            <w:vAlign w:val="top"/>
          </w:tcPr>
          <w:p w14:paraId="509B301F">
            <w:pPr>
              <w:pStyle w:val="34"/>
              <w:rPr>
                <w:rFonts w:hint="eastAsia" w:ascii="宋体" w:hAnsi="宋体" w:eastAsia="宋体" w:cs="宋体"/>
                <w:color w:val="auto"/>
                <w:sz w:val="24"/>
                <w:szCs w:val="24"/>
              </w:rPr>
            </w:pPr>
          </w:p>
        </w:tc>
        <w:tc>
          <w:tcPr>
            <w:tcW w:w="1650" w:type="dxa"/>
            <w:noWrap w:val="0"/>
            <w:vAlign w:val="top"/>
          </w:tcPr>
          <w:p w14:paraId="083E5B66">
            <w:pPr>
              <w:pStyle w:val="34"/>
              <w:rPr>
                <w:rFonts w:hint="eastAsia" w:ascii="宋体" w:hAnsi="宋体" w:eastAsia="宋体" w:cs="宋体"/>
                <w:color w:val="auto"/>
                <w:sz w:val="24"/>
                <w:szCs w:val="24"/>
              </w:rPr>
            </w:pPr>
          </w:p>
        </w:tc>
        <w:tc>
          <w:tcPr>
            <w:tcW w:w="1616" w:type="dxa"/>
            <w:noWrap w:val="0"/>
            <w:vAlign w:val="top"/>
          </w:tcPr>
          <w:p w14:paraId="0E48B51D">
            <w:pPr>
              <w:pStyle w:val="34"/>
              <w:rPr>
                <w:rFonts w:hint="eastAsia" w:ascii="宋体" w:hAnsi="宋体" w:eastAsia="宋体" w:cs="宋体"/>
                <w:color w:val="auto"/>
                <w:sz w:val="24"/>
                <w:szCs w:val="24"/>
              </w:rPr>
            </w:pPr>
          </w:p>
        </w:tc>
      </w:tr>
      <w:tr w14:paraId="33E57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79" w:type="dxa"/>
            <w:noWrap w:val="0"/>
            <w:vAlign w:val="top"/>
          </w:tcPr>
          <w:p w14:paraId="175F9E35">
            <w:pPr>
              <w:spacing w:before="178" w:line="324" w:lineRule="exact"/>
              <w:ind w:left="197"/>
              <w:rPr>
                <w:rFonts w:hint="eastAsia" w:ascii="宋体" w:hAnsi="宋体" w:eastAsia="宋体" w:cs="宋体"/>
                <w:color w:val="auto"/>
                <w:sz w:val="24"/>
                <w:szCs w:val="24"/>
              </w:rPr>
            </w:pPr>
            <w:r>
              <w:rPr>
                <w:rFonts w:hint="eastAsia" w:ascii="宋体" w:hAnsi="宋体" w:eastAsia="宋体" w:cs="宋体"/>
                <w:color w:val="auto"/>
                <w:spacing w:val="-2"/>
                <w:position w:val="3"/>
                <w:sz w:val="24"/>
                <w:szCs w:val="24"/>
              </w:rPr>
              <w:t>……</w:t>
            </w:r>
          </w:p>
        </w:tc>
        <w:tc>
          <w:tcPr>
            <w:tcW w:w="1546" w:type="dxa"/>
            <w:gridSpan w:val="2"/>
            <w:noWrap w:val="0"/>
            <w:vAlign w:val="top"/>
          </w:tcPr>
          <w:p w14:paraId="79C4419E">
            <w:pPr>
              <w:pStyle w:val="34"/>
              <w:rPr>
                <w:rFonts w:hint="eastAsia" w:ascii="宋体" w:hAnsi="宋体" w:eastAsia="宋体" w:cs="宋体"/>
                <w:color w:val="auto"/>
                <w:sz w:val="24"/>
                <w:szCs w:val="24"/>
              </w:rPr>
            </w:pPr>
          </w:p>
        </w:tc>
        <w:tc>
          <w:tcPr>
            <w:tcW w:w="1941" w:type="dxa"/>
            <w:gridSpan w:val="2"/>
            <w:noWrap w:val="0"/>
            <w:vAlign w:val="top"/>
          </w:tcPr>
          <w:p w14:paraId="73F22F12">
            <w:pPr>
              <w:pStyle w:val="34"/>
              <w:rPr>
                <w:rFonts w:hint="eastAsia" w:ascii="宋体" w:hAnsi="宋体" w:eastAsia="宋体" w:cs="宋体"/>
                <w:color w:val="auto"/>
                <w:sz w:val="24"/>
                <w:szCs w:val="24"/>
              </w:rPr>
            </w:pPr>
          </w:p>
        </w:tc>
        <w:tc>
          <w:tcPr>
            <w:tcW w:w="2249" w:type="dxa"/>
            <w:noWrap w:val="0"/>
            <w:vAlign w:val="top"/>
          </w:tcPr>
          <w:p w14:paraId="4276F9E5">
            <w:pPr>
              <w:pStyle w:val="34"/>
              <w:rPr>
                <w:rFonts w:hint="eastAsia" w:ascii="宋体" w:hAnsi="宋体" w:eastAsia="宋体" w:cs="宋体"/>
                <w:color w:val="auto"/>
                <w:sz w:val="24"/>
                <w:szCs w:val="24"/>
              </w:rPr>
            </w:pPr>
          </w:p>
        </w:tc>
        <w:tc>
          <w:tcPr>
            <w:tcW w:w="1650" w:type="dxa"/>
            <w:noWrap w:val="0"/>
            <w:vAlign w:val="top"/>
          </w:tcPr>
          <w:p w14:paraId="2B6CE16C">
            <w:pPr>
              <w:pStyle w:val="34"/>
              <w:rPr>
                <w:rFonts w:hint="eastAsia" w:ascii="宋体" w:hAnsi="宋体" w:eastAsia="宋体" w:cs="宋体"/>
                <w:color w:val="auto"/>
                <w:sz w:val="24"/>
                <w:szCs w:val="24"/>
              </w:rPr>
            </w:pPr>
          </w:p>
        </w:tc>
        <w:tc>
          <w:tcPr>
            <w:tcW w:w="1616" w:type="dxa"/>
            <w:noWrap w:val="0"/>
            <w:vAlign w:val="top"/>
          </w:tcPr>
          <w:p w14:paraId="6194DBE1">
            <w:pPr>
              <w:pStyle w:val="34"/>
              <w:rPr>
                <w:rFonts w:hint="eastAsia" w:ascii="宋体" w:hAnsi="宋体" w:eastAsia="宋体" w:cs="宋体"/>
                <w:color w:val="auto"/>
                <w:sz w:val="24"/>
                <w:szCs w:val="24"/>
              </w:rPr>
            </w:pPr>
          </w:p>
        </w:tc>
      </w:tr>
      <w:tr w14:paraId="5A3BE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79" w:type="dxa"/>
            <w:noWrap w:val="0"/>
            <w:vAlign w:val="top"/>
          </w:tcPr>
          <w:p w14:paraId="49443281">
            <w:pPr>
              <w:pStyle w:val="34"/>
              <w:rPr>
                <w:rFonts w:hint="eastAsia" w:ascii="宋体" w:hAnsi="宋体" w:eastAsia="宋体" w:cs="宋体"/>
                <w:color w:val="auto"/>
                <w:sz w:val="24"/>
                <w:szCs w:val="24"/>
              </w:rPr>
            </w:pPr>
          </w:p>
        </w:tc>
        <w:tc>
          <w:tcPr>
            <w:tcW w:w="1546" w:type="dxa"/>
            <w:gridSpan w:val="2"/>
            <w:noWrap w:val="0"/>
            <w:vAlign w:val="top"/>
          </w:tcPr>
          <w:p w14:paraId="1E2621D1">
            <w:pPr>
              <w:pStyle w:val="34"/>
              <w:rPr>
                <w:rFonts w:hint="eastAsia" w:ascii="宋体" w:hAnsi="宋体" w:eastAsia="宋体" w:cs="宋体"/>
                <w:color w:val="auto"/>
                <w:sz w:val="24"/>
                <w:szCs w:val="24"/>
              </w:rPr>
            </w:pPr>
          </w:p>
        </w:tc>
        <w:tc>
          <w:tcPr>
            <w:tcW w:w="1941" w:type="dxa"/>
            <w:gridSpan w:val="2"/>
            <w:noWrap w:val="0"/>
            <w:vAlign w:val="top"/>
          </w:tcPr>
          <w:p w14:paraId="1EE6242A">
            <w:pPr>
              <w:pStyle w:val="34"/>
              <w:rPr>
                <w:rFonts w:hint="eastAsia" w:ascii="宋体" w:hAnsi="宋体" w:eastAsia="宋体" w:cs="宋体"/>
                <w:color w:val="auto"/>
                <w:sz w:val="24"/>
                <w:szCs w:val="24"/>
              </w:rPr>
            </w:pPr>
          </w:p>
        </w:tc>
        <w:tc>
          <w:tcPr>
            <w:tcW w:w="2249" w:type="dxa"/>
            <w:noWrap w:val="0"/>
            <w:vAlign w:val="top"/>
          </w:tcPr>
          <w:p w14:paraId="1FF553AA">
            <w:pPr>
              <w:pStyle w:val="34"/>
              <w:rPr>
                <w:rFonts w:hint="eastAsia" w:ascii="宋体" w:hAnsi="宋体" w:eastAsia="宋体" w:cs="宋体"/>
                <w:color w:val="auto"/>
                <w:sz w:val="24"/>
                <w:szCs w:val="24"/>
              </w:rPr>
            </w:pPr>
          </w:p>
        </w:tc>
        <w:tc>
          <w:tcPr>
            <w:tcW w:w="1650" w:type="dxa"/>
            <w:noWrap w:val="0"/>
            <w:vAlign w:val="top"/>
          </w:tcPr>
          <w:p w14:paraId="0F422C49">
            <w:pPr>
              <w:pStyle w:val="34"/>
              <w:rPr>
                <w:rFonts w:hint="eastAsia" w:ascii="宋体" w:hAnsi="宋体" w:eastAsia="宋体" w:cs="宋体"/>
                <w:color w:val="auto"/>
                <w:sz w:val="24"/>
                <w:szCs w:val="24"/>
              </w:rPr>
            </w:pPr>
          </w:p>
        </w:tc>
        <w:tc>
          <w:tcPr>
            <w:tcW w:w="1616" w:type="dxa"/>
            <w:noWrap w:val="0"/>
            <w:vAlign w:val="top"/>
          </w:tcPr>
          <w:p w14:paraId="7B5E7065">
            <w:pPr>
              <w:pStyle w:val="34"/>
              <w:rPr>
                <w:rFonts w:hint="eastAsia" w:ascii="宋体" w:hAnsi="宋体" w:eastAsia="宋体" w:cs="宋体"/>
                <w:color w:val="auto"/>
                <w:sz w:val="24"/>
                <w:szCs w:val="24"/>
              </w:rPr>
            </w:pPr>
          </w:p>
        </w:tc>
      </w:tr>
      <w:tr w14:paraId="340D2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79" w:type="dxa"/>
            <w:noWrap w:val="0"/>
            <w:vAlign w:val="top"/>
          </w:tcPr>
          <w:p w14:paraId="49B68EFD">
            <w:pPr>
              <w:pStyle w:val="34"/>
              <w:rPr>
                <w:rFonts w:hint="eastAsia" w:ascii="宋体" w:hAnsi="宋体" w:eastAsia="宋体" w:cs="宋体"/>
                <w:color w:val="auto"/>
                <w:sz w:val="24"/>
                <w:szCs w:val="24"/>
              </w:rPr>
            </w:pPr>
          </w:p>
        </w:tc>
        <w:tc>
          <w:tcPr>
            <w:tcW w:w="1546" w:type="dxa"/>
            <w:gridSpan w:val="2"/>
            <w:noWrap w:val="0"/>
            <w:vAlign w:val="top"/>
          </w:tcPr>
          <w:p w14:paraId="6BE9948B">
            <w:pPr>
              <w:pStyle w:val="34"/>
              <w:rPr>
                <w:rFonts w:hint="eastAsia" w:ascii="宋体" w:hAnsi="宋体" w:eastAsia="宋体" w:cs="宋体"/>
                <w:color w:val="auto"/>
                <w:sz w:val="24"/>
                <w:szCs w:val="24"/>
              </w:rPr>
            </w:pPr>
          </w:p>
        </w:tc>
        <w:tc>
          <w:tcPr>
            <w:tcW w:w="1941" w:type="dxa"/>
            <w:gridSpan w:val="2"/>
            <w:noWrap w:val="0"/>
            <w:vAlign w:val="top"/>
          </w:tcPr>
          <w:p w14:paraId="01956808">
            <w:pPr>
              <w:pStyle w:val="34"/>
              <w:rPr>
                <w:rFonts w:hint="eastAsia" w:ascii="宋体" w:hAnsi="宋体" w:eastAsia="宋体" w:cs="宋体"/>
                <w:color w:val="auto"/>
                <w:sz w:val="24"/>
                <w:szCs w:val="24"/>
              </w:rPr>
            </w:pPr>
          </w:p>
        </w:tc>
        <w:tc>
          <w:tcPr>
            <w:tcW w:w="2249" w:type="dxa"/>
            <w:noWrap w:val="0"/>
            <w:vAlign w:val="top"/>
          </w:tcPr>
          <w:p w14:paraId="798BEE30">
            <w:pPr>
              <w:pStyle w:val="34"/>
              <w:rPr>
                <w:rFonts w:hint="eastAsia" w:ascii="宋体" w:hAnsi="宋体" w:eastAsia="宋体" w:cs="宋体"/>
                <w:color w:val="auto"/>
                <w:sz w:val="24"/>
                <w:szCs w:val="24"/>
              </w:rPr>
            </w:pPr>
          </w:p>
        </w:tc>
        <w:tc>
          <w:tcPr>
            <w:tcW w:w="1650" w:type="dxa"/>
            <w:noWrap w:val="0"/>
            <w:vAlign w:val="top"/>
          </w:tcPr>
          <w:p w14:paraId="141D9656">
            <w:pPr>
              <w:pStyle w:val="34"/>
              <w:rPr>
                <w:rFonts w:hint="eastAsia" w:ascii="宋体" w:hAnsi="宋体" w:eastAsia="宋体" w:cs="宋体"/>
                <w:color w:val="auto"/>
                <w:sz w:val="24"/>
                <w:szCs w:val="24"/>
              </w:rPr>
            </w:pPr>
          </w:p>
        </w:tc>
        <w:tc>
          <w:tcPr>
            <w:tcW w:w="1616" w:type="dxa"/>
            <w:noWrap w:val="0"/>
            <w:vAlign w:val="top"/>
          </w:tcPr>
          <w:p w14:paraId="25B48E14">
            <w:pPr>
              <w:pStyle w:val="34"/>
              <w:rPr>
                <w:rFonts w:hint="eastAsia" w:ascii="宋体" w:hAnsi="宋体" w:eastAsia="宋体" w:cs="宋体"/>
                <w:color w:val="auto"/>
                <w:sz w:val="24"/>
                <w:szCs w:val="24"/>
              </w:rPr>
            </w:pPr>
          </w:p>
        </w:tc>
      </w:tr>
    </w:tbl>
    <w:p w14:paraId="0FC81ED5">
      <w:pPr>
        <w:rPr>
          <w:rFonts w:hint="eastAsia" w:ascii="宋体" w:hAnsi="宋体" w:eastAsia="宋体" w:cs="宋体"/>
          <w:color w:val="auto"/>
        </w:rPr>
      </w:pPr>
    </w:p>
    <w:p w14:paraId="783A10C4">
      <w:pPr>
        <w:rPr>
          <w:rFonts w:hint="eastAsia" w:ascii="宋体" w:hAnsi="宋体" w:eastAsia="宋体" w:cs="宋体"/>
          <w:color w:val="auto"/>
        </w:rPr>
      </w:pPr>
    </w:p>
    <w:p w14:paraId="079A76FD">
      <w:pPr>
        <w:rPr>
          <w:rFonts w:hint="eastAsia" w:ascii="宋体" w:hAnsi="宋体" w:eastAsia="宋体" w:cs="宋体"/>
          <w:color w:val="auto"/>
        </w:rPr>
      </w:pPr>
    </w:p>
    <w:p w14:paraId="2679A3F8">
      <w:pPr>
        <w:spacing w:before="78" w:line="220" w:lineRule="auto"/>
        <w:ind w:left="5165"/>
        <w:rPr>
          <w:rFonts w:hint="eastAsia" w:ascii="宋体" w:hAnsi="宋体" w:eastAsia="宋体" w:cs="宋体"/>
          <w:color w:val="auto"/>
          <w:sz w:val="24"/>
          <w:szCs w:val="24"/>
        </w:rPr>
      </w:pPr>
      <w:r>
        <w:rPr>
          <w:rFonts w:hint="eastAsia" w:ascii="宋体" w:hAnsi="宋体" w:eastAsia="宋体" w:cs="宋体"/>
          <w:color w:val="auto"/>
          <w:spacing w:val="2"/>
          <w:sz w:val="24"/>
          <w:szCs w:val="24"/>
        </w:rPr>
        <w:t>项目技术负责人</w:t>
      </w:r>
      <w:r>
        <w:rPr>
          <w:rFonts w:hint="eastAsia" w:ascii="宋体" w:hAnsi="宋体" w:eastAsia="宋体" w:cs="宋体"/>
          <w:color w:val="auto"/>
          <w:spacing w:val="-18"/>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8"/>
          <w:sz w:val="24"/>
          <w:szCs w:val="24"/>
        </w:rPr>
        <w:t>（</w:t>
      </w:r>
      <w:r>
        <w:rPr>
          <w:rFonts w:hint="eastAsia" w:ascii="宋体" w:hAnsi="宋体" w:eastAsia="宋体" w:cs="宋体"/>
          <w:color w:val="auto"/>
          <w:spacing w:val="2"/>
          <w:sz w:val="24"/>
          <w:szCs w:val="24"/>
        </w:rPr>
        <w:t>签字）</w:t>
      </w:r>
    </w:p>
    <w:p w14:paraId="600C020A">
      <w:pPr>
        <w:rPr>
          <w:rFonts w:hint="eastAsia" w:ascii="宋体" w:hAnsi="宋体" w:eastAsia="宋体" w:cs="宋体"/>
          <w:color w:val="auto"/>
        </w:rPr>
      </w:pPr>
    </w:p>
    <w:p w14:paraId="4D3EB92F">
      <w:pPr>
        <w:rPr>
          <w:rFonts w:hint="eastAsia" w:ascii="宋体" w:hAnsi="宋体" w:eastAsia="宋体" w:cs="宋体"/>
          <w:color w:val="auto"/>
        </w:rPr>
      </w:pPr>
    </w:p>
    <w:p w14:paraId="0F201625">
      <w:pPr>
        <w:spacing w:before="78" w:line="220" w:lineRule="auto"/>
        <w:ind w:firstLine="5520" w:firstLineChars="2300"/>
        <w:rPr>
          <w:rFonts w:hint="eastAsia" w:ascii="宋体" w:hAnsi="宋体" w:eastAsia="宋体" w:cs="宋体"/>
          <w:color w:val="auto"/>
          <w:sz w:val="24"/>
          <w:szCs w:val="24"/>
        </w:rPr>
      </w:pP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年</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月</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日</w:t>
      </w:r>
    </w:p>
    <w:p w14:paraId="4574E4A8">
      <w:pPr>
        <w:rPr>
          <w:rFonts w:hint="eastAsia" w:ascii="宋体" w:hAnsi="宋体" w:eastAsia="宋体" w:cs="宋体"/>
          <w:color w:val="auto"/>
        </w:rPr>
      </w:pPr>
    </w:p>
    <w:p w14:paraId="7F95915A">
      <w:pPr>
        <w:rPr>
          <w:rFonts w:hint="eastAsia" w:ascii="宋体" w:hAnsi="宋体" w:eastAsia="宋体" w:cs="宋体"/>
          <w:color w:val="auto"/>
        </w:rPr>
      </w:pPr>
    </w:p>
    <w:p w14:paraId="5054F80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说明：《项目技术负责人简历表》后应附拟派项目技术负责人以下资料：</w:t>
      </w:r>
    </w:p>
    <w:p w14:paraId="41E34F5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身份证彩色扫描件；</w:t>
      </w:r>
    </w:p>
    <w:p w14:paraId="1C257AC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职称证彩色扫描件；</w:t>
      </w:r>
    </w:p>
    <w:p w14:paraId="62A187B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在本单位缴纳社保的证明（至少连续</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个月，其中必须有2024年</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月）彩色扫描件。拟派项目技术负责人为退休返聘人员无法提供社保证明的，提供退休证和劳动合同彩色扫描件。</w:t>
      </w:r>
    </w:p>
    <w:p w14:paraId="69BD29D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4．“进粤企业和人员诚信信息登记平台”个人信息情况截图。（适用于省外建筑企业）</w:t>
      </w:r>
    </w:p>
    <w:p w14:paraId="5F77E422">
      <w:pPr>
        <w:rPr>
          <w:rFonts w:hint="eastAsia" w:ascii="宋体" w:hAnsi="宋体" w:eastAsia="宋体" w:cs="宋体"/>
          <w:color w:val="auto"/>
        </w:rPr>
      </w:pPr>
    </w:p>
    <w:p w14:paraId="2F66EDAA">
      <w:pPr>
        <w:rPr>
          <w:rFonts w:hint="eastAsia" w:ascii="宋体" w:hAnsi="宋体" w:eastAsia="宋体" w:cs="宋体"/>
          <w:color w:val="auto"/>
        </w:rPr>
      </w:pPr>
    </w:p>
    <w:p w14:paraId="6BC7F168">
      <w:pPr>
        <w:rPr>
          <w:rFonts w:hint="eastAsia" w:ascii="宋体" w:hAnsi="宋体" w:eastAsia="宋体" w:cs="宋体"/>
          <w:color w:val="auto"/>
        </w:rPr>
      </w:pPr>
    </w:p>
    <w:p w14:paraId="3D2FD95C">
      <w:pPr>
        <w:rPr>
          <w:rFonts w:hint="eastAsia" w:ascii="宋体" w:hAnsi="宋体" w:eastAsia="宋体" w:cs="宋体"/>
          <w:color w:val="auto"/>
        </w:rPr>
      </w:pPr>
    </w:p>
    <w:p w14:paraId="05E242DC">
      <w:pPr>
        <w:rPr>
          <w:rFonts w:hint="eastAsia" w:ascii="宋体" w:hAnsi="宋体" w:eastAsia="宋体" w:cs="宋体"/>
          <w:color w:val="auto"/>
        </w:rPr>
      </w:pPr>
    </w:p>
    <w:p w14:paraId="18B5F2F9">
      <w:pPr>
        <w:rPr>
          <w:rFonts w:hint="eastAsia" w:ascii="宋体" w:hAnsi="宋体" w:eastAsia="宋体" w:cs="宋体"/>
          <w:color w:val="auto"/>
        </w:rPr>
      </w:pPr>
    </w:p>
    <w:p w14:paraId="1E6D3886">
      <w:pPr>
        <w:rPr>
          <w:rFonts w:hint="eastAsia" w:ascii="宋体" w:hAnsi="宋体" w:eastAsia="宋体" w:cs="宋体"/>
          <w:color w:val="auto"/>
        </w:rPr>
      </w:pPr>
    </w:p>
    <w:p w14:paraId="0F1D4448">
      <w:pPr>
        <w:pStyle w:val="3"/>
        <w:bidi w:val="0"/>
        <w:spacing w:line="360" w:lineRule="auto"/>
        <w:ind w:firstLine="482" w:firstLineChars="200"/>
        <w:rPr>
          <w:rFonts w:hint="eastAsia" w:ascii="宋体" w:hAnsi="宋体" w:eastAsia="宋体" w:cs="宋体"/>
          <w:color w:val="auto"/>
          <w:sz w:val="24"/>
          <w:szCs w:val="24"/>
          <w:lang w:val="en-US" w:eastAsia="zh-CN"/>
        </w:rPr>
      </w:pPr>
      <w:bookmarkStart w:id="144" w:name="bookmark93"/>
      <w:bookmarkEnd w:id="144"/>
      <w:bookmarkStart w:id="145" w:name="_Toc11366"/>
      <w:r>
        <w:rPr>
          <w:rFonts w:hint="eastAsia" w:ascii="宋体" w:hAnsi="宋体" w:eastAsia="宋体" w:cs="宋体"/>
          <w:color w:val="auto"/>
          <w:sz w:val="24"/>
          <w:szCs w:val="24"/>
          <w:lang w:val="en-US" w:eastAsia="zh-CN"/>
        </w:rPr>
        <w:t>格式十   项目管理机构组成表</w:t>
      </w:r>
      <w:bookmarkEnd w:id="145"/>
    </w:p>
    <w:p w14:paraId="59FAA81A">
      <w:pPr>
        <w:spacing w:before="98" w:line="220" w:lineRule="auto"/>
        <w:ind w:left="3338"/>
        <w:rPr>
          <w:rFonts w:hint="eastAsia" w:ascii="宋体" w:hAnsi="宋体" w:eastAsia="宋体" w:cs="宋体"/>
          <w:b/>
          <w:bCs/>
          <w:color w:val="auto"/>
          <w:spacing w:val="-5"/>
          <w:sz w:val="30"/>
          <w:szCs w:val="30"/>
        </w:rPr>
      </w:pPr>
      <w:bookmarkStart w:id="146" w:name="bookmark92"/>
      <w:bookmarkEnd w:id="146"/>
      <w:r>
        <w:rPr>
          <w:rFonts w:hint="eastAsia" w:ascii="宋体" w:hAnsi="宋体" w:eastAsia="宋体" w:cs="宋体"/>
          <w:b/>
          <w:bCs/>
          <w:color w:val="auto"/>
          <w:spacing w:val="-5"/>
          <w:sz w:val="30"/>
          <w:szCs w:val="30"/>
        </w:rPr>
        <w:t>项目管理机构组成表</w:t>
      </w:r>
    </w:p>
    <w:tbl>
      <w:tblPr>
        <w:tblStyle w:val="33"/>
        <w:tblW w:w="89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1816"/>
        <w:gridCol w:w="1272"/>
        <w:gridCol w:w="944"/>
        <w:gridCol w:w="930"/>
        <w:gridCol w:w="1439"/>
        <w:gridCol w:w="1787"/>
      </w:tblGrid>
      <w:tr w14:paraId="1F4B9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754" w:type="dxa"/>
            <w:noWrap w:val="0"/>
            <w:vAlign w:val="top"/>
          </w:tcPr>
          <w:p w14:paraId="2CFE1B9E">
            <w:pPr>
              <w:spacing w:before="229" w:line="231" w:lineRule="auto"/>
              <w:ind w:left="90"/>
              <w:rPr>
                <w:rFonts w:hint="eastAsia" w:ascii="宋体" w:hAnsi="宋体" w:eastAsia="宋体" w:cs="宋体"/>
                <w:color w:val="auto"/>
                <w:sz w:val="24"/>
                <w:szCs w:val="24"/>
              </w:rPr>
            </w:pPr>
            <w:r>
              <w:rPr>
                <w:rFonts w:hint="eastAsia" w:ascii="宋体" w:hAnsi="宋体" w:eastAsia="宋体" w:cs="宋体"/>
                <w:color w:val="auto"/>
                <w:spacing w:val="4"/>
                <w:sz w:val="24"/>
                <w:szCs w:val="24"/>
              </w:rPr>
              <w:t>序号</w:t>
            </w:r>
          </w:p>
        </w:tc>
        <w:tc>
          <w:tcPr>
            <w:tcW w:w="1816" w:type="dxa"/>
            <w:noWrap w:val="0"/>
            <w:vAlign w:val="top"/>
          </w:tcPr>
          <w:p w14:paraId="22A3017C">
            <w:pPr>
              <w:spacing w:before="228" w:line="231" w:lineRule="auto"/>
              <w:ind w:left="707"/>
              <w:rPr>
                <w:rFonts w:hint="eastAsia" w:ascii="宋体" w:hAnsi="宋体" w:eastAsia="宋体" w:cs="宋体"/>
                <w:color w:val="auto"/>
                <w:sz w:val="24"/>
                <w:szCs w:val="24"/>
              </w:rPr>
            </w:pPr>
            <w:r>
              <w:rPr>
                <w:rFonts w:hint="eastAsia" w:ascii="宋体" w:hAnsi="宋体" w:eastAsia="宋体" w:cs="宋体"/>
                <w:color w:val="auto"/>
                <w:spacing w:val="-2"/>
                <w:sz w:val="24"/>
                <w:szCs w:val="24"/>
              </w:rPr>
              <w:t>岗位</w:t>
            </w:r>
          </w:p>
        </w:tc>
        <w:tc>
          <w:tcPr>
            <w:tcW w:w="1272" w:type="dxa"/>
            <w:noWrap w:val="0"/>
            <w:vAlign w:val="top"/>
          </w:tcPr>
          <w:p w14:paraId="5151902E">
            <w:pPr>
              <w:spacing w:before="228" w:line="231" w:lineRule="auto"/>
              <w:ind w:left="522"/>
              <w:rPr>
                <w:rFonts w:hint="eastAsia" w:ascii="宋体" w:hAnsi="宋体" w:eastAsia="宋体" w:cs="宋体"/>
                <w:color w:val="auto"/>
                <w:sz w:val="24"/>
                <w:szCs w:val="24"/>
              </w:rPr>
            </w:pPr>
            <w:r>
              <w:rPr>
                <w:rFonts w:hint="eastAsia" w:ascii="宋体" w:hAnsi="宋体" w:eastAsia="宋体" w:cs="宋体"/>
                <w:color w:val="auto"/>
                <w:spacing w:val="4"/>
                <w:sz w:val="24"/>
                <w:szCs w:val="24"/>
              </w:rPr>
              <w:t>姓名</w:t>
            </w:r>
          </w:p>
        </w:tc>
        <w:tc>
          <w:tcPr>
            <w:tcW w:w="944" w:type="dxa"/>
            <w:noWrap w:val="0"/>
            <w:vAlign w:val="top"/>
          </w:tcPr>
          <w:p w14:paraId="2BE464B2">
            <w:pPr>
              <w:spacing w:before="228" w:line="230" w:lineRule="auto"/>
              <w:ind w:left="268"/>
              <w:rPr>
                <w:rFonts w:hint="eastAsia" w:ascii="宋体" w:hAnsi="宋体" w:eastAsia="宋体" w:cs="宋体"/>
                <w:color w:val="auto"/>
                <w:sz w:val="24"/>
                <w:szCs w:val="24"/>
              </w:rPr>
            </w:pPr>
            <w:r>
              <w:rPr>
                <w:rFonts w:hint="eastAsia" w:ascii="宋体" w:hAnsi="宋体" w:eastAsia="宋体" w:cs="宋体"/>
                <w:color w:val="auto"/>
                <w:spacing w:val="4"/>
                <w:sz w:val="24"/>
                <w:szCs w:val="24"/>
              </w:rPr>
              <w:t>性别</w:t>
            </w:r>
          </w:p>
        </w:tc>
        <w:tc>
          <w:tcPr>
            <w:tcW w:w="930" w:type="dxa"/>
            <w:noWrap w:val="0"/>
            <w:vAlign w:val="top"/>
          </w:tcPr>
          <w:p w14:paraId="33C3FBA4">
            <w:pPr>
              <w:spacing w:before="229" w:line="231" w:lineRule="auto"/>
              <w:ind w:left="261"/>
              <w:rPr>
                <w:rFonts w:hint="eastAsia" w:ascii="宋体" w:hAnsi="宋体" w:eastAsia="宋体" w:cs="宋体"/>
                <w:color w:val="auto"/>
                <w:sz w:val="24"/>
                <w:szCs w:val="24"/>
              </w:rPr>
            </w:pPr>
            <w:r>
              <w:rPr>
                <w:rFonts w:hint="eastAsia" w:ascii="宋体" w:hAnsi="宋体" w:eastAsia="宋体" w:cs="宋体"/>
                <w:color w:val="auto"/>
                <w:spacing w:val="4"/>
                <w:sz w:val="24"/>
                <w:szCs w:val="24"/>
              </w:rPr>
              <w:t>年龄</w:t>
            </w:r>
          </w:p>
        </w:tc>
        <w:tc>
          <w:tcPr>
            <w:tcW w:w="1439" w:type="dxa"/>
            <w:noWrap w:val="0"/>
            <w:vAlign w:val="top"/>
          </w:tcPr>
          <w:p w14:paraId="0A18B22B">
            <w:pPr>
              <w:spacing w:before="228" w:line="230" w:lineRule="auto"/>
              <w:ind w:left="516"/>
              <w:rPr>
                <w:rFonts w:hint="eastAsia" w:ascii="宋体" w:hAnsi="宋体" w:eastAsia="宋体" w:cs="宋体"/>
                <w:color w:val="auto"/>
                <w:sz w:val="24"/>
                <w:szCs w:val="24"/>
              </w:rPr>
            </w:pPr>
            <w:r>
              <w:rPr>
                <w:rFonts w:hint="eastAsia" w:ascii="宋体" w:hAnsi="宋体" w:eastAsia="宋体" w:cs="宋体"/>
                <w:color w:val="auto"/>
                <w:spacing w:val="4"/>
                <w:sz w:val="24"/>
                <w:szCs w:val="24"/>
              </w:rPr>
              <w:t>职称</w:t>
            </w:r>
          </w:p>
        </w:tc>
        <w:tc>
          <w:tcPr>
            <w:tcW w:w="1787" w:type="dxa"/>
            <w:noWrap w:val="0"/>
            <w:vAlign w:val="top"/>
          </w:tcPr>
          <w:p w14:paraId="6CD9F19C">
            <w:pPr>
              <w:spacing w:before="228" w:line="230" w:lineRule="auto"/>
              <w:ind w:left="687"/>
              <w:rPr>
                <w:rFonts w:hint="eastAsia" w:ascii="宋体" w:hAnsi="宋体" w:eastAsia="宋体" w:cs="宋体"/>
                <w:color w:val="auto"/>
                <w:sz w:val="24"/>
                <w:szCs w:val="24"/>
              </w:rPr>
            </w:pPr>
            <w:r>
              <w:rPr>
                <w:rFonts w:hint="eastAsia" w:ascii="宋体" w:hAnsi="宋体" w:eastAsia="宋体" w:cs="宋体"/>
                <w:color w:val="auto"/>
                <w:spacing w:val="4"/>
                <w:sz w:val="24"/>
                <w:szCs w:val="24"/>
              </w:rPr>
              <w:t>备注</w:t>
            </w:r>
          </w:p>
        </w:tc>
      </w:tr>
      <w:tr w14:paraId="49FE6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754" w:type="dxa"/>
            <w:noWrap w:val="0"/>
            <w:vAlign w:val="top"/>
          </w:tcPr>
          <w:p w14:paraId="79EDD5E6">
            <w:pPr>
              <w:spacing w:before="185" w:line="195" w:lineRule="auto"/>
              <w:ind w:left="263"/>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816" w:type="dxa"/>
            <w:noWrap w:val="0"/>
            <w:vAlign w:val="top"/>
          </w:tcPr>
          <w:p w14:paraId="678DB5E3">
            <w:pPr>
              <w:spacing w:before="150" w:line="229" w:lineRule="auto"/>
              <w:ind w:left="486"/>
              <w:rPr>
                <w:rFonts w:hint="eastAsia" w:ascii="宋体" w:hAnsi="宋体" w:eastAsia="宋体" w:cs="宋体"/>
                <w:color w:val="auto"/>
                <w:sz w:val="24"/>
                <w:szCs w:val="24"/>
              </w:rPr>
            </w:pPr>
            <w:r>
              <w:rPr>
                <w:rFonts w:hint="eastAsia" w:ascii="宋体" w:hAnsi="宋体" w:eastAsia="宋体" w:cs="宋体"/>
                <w:color w:val="auto"/>
                <w:spacing w:val="6"/>
                <w:sz w:val="24"/>
                <w:szCs w:val="24"/>
              </w:rPr>
              <w:t>项目经理</w:t>
            </w:r>
          </w:p>
        </w:tc>
        <w:tc>
          <w:tcPr>
            <w:tcW w:w="1272" w:type="dxa"/>
            <w:noWrap w:val="0"/>
            <w:vAlign w:val="top"/>
          </w:tcPr>
          <w:p w14:paraId="30EF3F83">
            <w:pPr>
              <w:pStyle w:val="34"/>
              <w:rPr>
                <w:rFonts w:hint="eastAsia" w:ascii="宋体" w:hAnsi="宋体" w:eastAsia="宋体" w:cs="宋体"/>
                <w:color w:val="auto"/>
                <w:sz w:val="24"/>
                <w:szCs w:val="24"/>
              </w:rPr>
            </w:pPr>
          </w:p>
        </w:tc>
        <w:tc>
          <w:tcPr>
            <w:tcW w:w="944" w:type="dxa"/>
            <w:noWrap w:val="0"/>
            <w:vAlign w:val="top"/>
          </w:tcPr>
          <w:p w14:paraId="0F92E759">
            <w:pPr>
              <w:pStyle w:val="34"/>
              <w:rPr>
                <w:rFonts w:hint="eastAsia" w:ascii="宋体" w:hAnsi="宋体" w:eastAsia="宋体" w:cs="宋体"/>
                <w:color w:val="auto"/>
                <w:sz w:val="24"/>
                <w:szCs w:val="24"/>
              </w:rPr>
            </w:pPr>
          </w:p>
        </w:tc>
        <w:tc>
          <w:tcPr>
            <w:tcW w:w="930" w:type="dxa"/>
            <w:noWrap w:val="0"/>
            <w:vAlign w:val="top"/>
          </w:tcPr>
          <w:p w14:paraId="7E1A2835">
            <w:pPr>
              <w:pStyle w:val="34"/>
              <w:rPr>
                <w:rFonts w:hint="eastAsia" w:ascii="宋体" w:hAnsi="宋体" w:eastAsia="宋体" w:cs="宋体"/>
                <w:color w:val="auto"/>
                <w:sz w:val="24"/>
                <w:szCs w:val="24"/>
              </w:rPr>
            </w:pPr>
          </w:p>
        </w:tc>
        <w:tc>
          <w:tcPr>
            <w:tcW w:w="1439" w:type="dxa"/>
            <w:noWrap w:val="0"/>
            <w:vAlign w:val="top"/>
          </w:tcPr>
          <w:p w14:paraId="52511552">
            <w:pPr>
              <w:pStyle w:val="34"/>
              <w:rPr>
                <w:rFonts w:hint="eastAsia" w:ascii="宋体" w:hAnsi="宋体" w:eastAsia="宋体" w:cs="宋体"/>
                <w:color w:val="auto"/>
                <w:sz w:val="24"/>
                <w:szCs w:val="24"/>
              </w:rPr>
            </w:pPr>
          </w:p>
        </w:tc>
        <w:tc>
          <w:tcPr>
            <w:tcW w:w="1787" w:type="dxa"/>
            <w:noWrap w:val="0"/>
            <w:vAlign w:val="top"/>
          </w:tcPr>
          <w:p w14:paraId="3FEF79D5">
            <w:pPr>
              <w:pStyle w:val="34"/>
              <w:rPr>
                <w:rFonts w:hint="eastAsia" w:ascii="宋体" w:hAnsi="宋体" w:eastAsia="宋体" w:cs="宋体"/>
                <w:color w:val="auto"/>
                <w:sz w:val="24"/>
                <w:szCs w:val="24"/>
              </w:rPr>
            </w:pPr>
          </w:p>
        </w:tc>
      </w:tr>
      <w:tr w14:paraId="78270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754" w:type="dxa"/>
            <w:noWrap w:val="0"/>
            <w:vAlign w:val="top"/>
          </w:tcPr>
          <w:p w14:paraId="49EA5A19">
            <w:pPr>
              <w:spacing w:before="187" w:line="195" w:lineRule="auto"/>
              <w:ind w:left="243"/>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816" w:type="dxa"/>
            <w:noWrap w:val="0"/>
            <w:vAlign w:val="top"/>
          </w:tcPr>
          <w:p w14:paraId="05F7EDC0">
            <w:pPr>
              <w:spacing w:before="152" w:line="228" w:lineRule="auto"/>
              <w:rPr>
                <w:rFonts w:hint="eastAsia" w:ascii="宋体" w:hAnsi="宋体" w:eastAsia="宋体" w:cs="宋体"/>
                <w:color w:val="auto"/>
                <w:sz w:val="24"/>
                <w:szCs w:val="24"/>
              </w:rPr>
            </w:pPr>
            <w:r>
              <w:rPr>
                <w:rFonts w:hint="eastAsia" w:ascii="宋体" w:hAnsi="宋体" w:eastAsia="宋体" w:cs="宋体"/>
                <w:color w:val="auto"/>
                <w:spacing w:val="8"/>
                <w:sz w:val="24"/>
                <w:szCs w:val="24"/>
              </w:rPr>
              <w:t>项目技术负责人</w:t>
            </w:r>
          </w:p>
        </w:tc>
        <w:tc>
          <w:tcPr>
            <w:tcW w:w="1272" w:type="dxa"/>
            <w:noWrap w:val="0"/>
            <w:vAlign w:val="top"/>
          </w:tcPr>
          <w:p w14:paraId="1AC2926B">
            <w:pPr>
              <w:pStyle w:val="34"/>
              <w:rPr>
                <w:rFonts w:hint="eastAsia" w:ascii="宋体" w:hAnsi="宋体" w:eastAsia="宋体" w:cs="宋体"/>
                <w:color w:val="auto"/>
                <w:sz w:val="24"/>
                <w:szCs w:val="24"/>
              </w:rPr>
            </w:pPr>
          </w:p>
        </w:tc>
        <w:tc>
          <w:tcPr>
            <w:tcW w:w="944" w:type="dxa"/>
            <w:noWrap w:val="0"/>
            <w:vAlign w:val="top"/>
          </w:tcPr>
          <w:p w14:paraId="229D388B">
            <w:pPr>
              <w:pStyle w:val="34"/>
              <w:rPr>
                <w:rFonts w:hint="eastAsia" w:ascii="宋体" w:hAnsi="宋体" w:eastAsia="宋体" w:cs="宋体"/>
                <w:color w:val="auto"/>
                <w:sz w:val="24"/>
                <w:szCs w:val="24"/>
              </w:rPr>
            </w:pPr>
          </w:p>
        </w:tc>
        <w:tc>
          <w:tcPr>
            <w:tcW w:w="930" w:type="dxa"/>
            <w:noWrap w:val="0"/>
            <w:vAlign w:val="top"/>
          </w:tcPr>
          <w:p w14:paraId="11AC0AAA">
            <w:pPr>
              <w:pStyle w:val="34"/>
              <w:rPr>
                <w:rFonts w:hint="eastAsia" w:ascii="宋体" w:hAnsi="宋体" w:eastAsia="宋体" w:cs="宋体"/>
                <w:color w:val="auto"/>
                <w:sz w:val="24"/>
                <w:szCs w:val="24"/>
              </w:rPr>
            </w:pPr>
          </w:p>
        </w:tc>
        <w:tc>
          <w:tcPr>
            <w:tcW w:w="1439" w:type="dxa"/>
            <w:noWrap w:val="0"/>
            <w:vAlign w:val="top"/>
          </w:tcPr>
          <w:p w14:paraId="77425D47">
            <w:pPr>
              <w:pStyle w:val="34"/>
              <w:rPr>
                <w:rFonts w:hint="eastAsia" w:ascii="宋体" w:hAnsi="宋体" w:eastAsia="宋体" w:cs="宋体"/>
                <w:color w:val="auto"/>
                <w:sz w:val="24"/>
                <w:szCs w:val="24"/>
              </w:rPr>
            </w:pPr>
          </w:p>
        </w:tc>
        <w:tc>
          <w:tcPr>
            <w:tcW w:w="1787" w:type="dxa"/>
            <w:noWrap w:val="0"/>
            <w:vAlign w:val="top"/>
          </w:tcPr>
          <w:p w14:paraId="0F49F241">
            <w:pPr>
              <w:pStyle w:val="34"/>
              <w:rPr>
                <w:rFonts w:hint="eastAsia" w:ascii="宋体" w:hAnsi="宋体" w:eastAsia="宋体" w:cs="宋体"/>
                <w:color w:val="auto"/>
                <w:sz w:val="24"/>
                <w:szCs w:val="24"/>
              </w:rPr>
            </w:pPr>
          </w:p>
        </w:tc>
      </w:tr>
      <w:tr w14:paraId="43576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754" w:type="dxa"/>
            <w:noWrap w:val="0"/>
            <w:vAlign w:val="top"/>
          </w:tcPr>
          <w:p w14:paraId="2E5E1FCA">
            <w:pPr>
              <w:spacing w:before="189" w:line="195" w:lineRule="auto"/>
              <w:ind w:left="247"/>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816" w:type="dxa"/>
            <w:noWrap w:val="0"/>
            <w:vAlign w:val="top"/>
          </w:tcPr>
          <w:p w14:paraId="3D7AEC4E">
            <w:pPr>
              <w:spacing w:before="153" w:line="229" w:lineRule="auto"/>
              <w:ind w:left="378"/>
              <w:rPr>
                <w:rFonts w:hint="eastAsia" w:ascii="宋体" w:hAnsi="宋体" w:eastAsia="宋体" w:cs="宋体"/>
                <w:color w:val="auto"/>
                <w:sz w:val="24"/>
                <w:szCs w:val="24"/>
              </w:rPr>
            </w:pPr>
            <w:r>
              <w:rPr>
                <w:rFonts w:hint="eastAsia" w:ascii="宋体" w:hAnsi="宋体" w:eastAsia="宋体" w:cs="宋体"/>
                <w:color w:val="auto"/>
                <w:spacing w:val="7"/>
                <w:sz w:val="24"/>
                <w:szCs w:val="24"/>
              </w:rPr>
              <w:t>专职安全员</w:t>
            </w:r>
          </w:p>
        </w:tc>
        <w:tc>
          <w:tcPr>
            <w:tcW w:w="1272" w:type="dxa"/>
            <w:noWrap w:val="0"/>
            <w:vAlign w:val="top"/>
          </w:tcPr>
          <w:p w14:paraId="1106A10C">
            <w:pPr>
              <w:pStyle w:val="34"/>
              <w:rPr>
                <w:rFonts w:hint="eastAsia" w:ascii="宋体" w:hAnsi="宋体" w:eastAsia="宋体" w:cs="宋体"/>
                <w:color w:val="auto"/>
                <w:sz w:val="24"/>
                <w:szCs w:val="24"/>
              </w:rPr>
            </w:pPr>
          </w:p>
        </w:tc>
        <w:tc>
          <w:tcPr>
            <w:tcW w:w="944" w:type="dxa"/>
            <w:noWrap w:val="0"/>
            <w:vAlign w:val="top"/>
          </w:tcPr>
          <w:p w14:paraId="7EA58EE0">
            <w:pPr>
              <w:pStyle w:val="34"/>
              <w:rPr>
                <w:rFonts w:hint="eastAsia" w:ascii="宋体" w:hAnsi="宋体" w:eastAsia="宋体" w:cs="宋体"/>
                <w:color w:val="auto"/>
                <w:sz w:val="24"/>
                <w:szCs w:val="24"/>
              </w:rPr>
            </w:pPr>
          </w:p>
        </w:tc>
        <w:tc>
          <w:tcPr>
            <w:tcW w:w="930" w:type="dxa"/>
            <w:noWrap w:val="0"/>
            <w:vAlign w:val="top"/>
          </w:tcPr>
          <w:p w14:paraId="35A84B54">
            <w:pPr>
              <w:pStyle w:val="34"/>
              <w:rPr>
                <w:rFonts w:hint="eastAsia" w:ascii="宋体" w:hAnsi="宋体" w:eastAsia="宋体" w:cs="宋体"/>
                <w:color w:val="auto"/>
                <w:sz w:val="24"/>
                <w:szCs w:val="24"/>
              </w:rPr>
            </w:pPr>
          </w:p>
        </w:tc>
        <w:tc>
          <w:tcPr>
            <w:tcW w:w="1439" w:type="dxa"/>
            <w:noWrap w:val="0"/>
            <w:vAlign w:val="top"/>
          </w:tcPr>
          <w:p w14:paraId="029670F7">
            <w:pPr>
              <w:pStyle w:val="34"/>
              <w:rPr>
                <w:rFonts w:hint="eastAsia" w:ascii="宋体" w:hAnsi="宋体" w:eastAsia="宋体" w:cs="宋体"/>
                <w:color w:val="auto"/>
                <w:sz w:val="24"/>
                <w:szCs w:val="24"/>
              </w:rPr>
            </w:pPr>
          </w:p>
        </w:tc>
        <w:tc>
          <w:tcPr>
            <w:tcW w:w="1787" w:type="dxa"/>
            <w:noWrap w:val="0"/>
            <w:vAlign w:val="top"/>
          </w:tcPr>
          <w:p w14:paraId="77D1D912">
            <w:pPr>
              <w:pStyle w:val="34"/>
              <w:rPr>
                <w:rFonts w:hint="eastAsia" w:ascii="宋体" w:hAnsi="宋体" w:eastAsia="宋体" w:cs="宋体"/>
                <w:color w:val="auto"/>
                <w:sz w:val="24"/>
                <w:szCs w:val="24"/>
              </w:rPr>
            </w:pPr>
          </w:p>
        </w:tc>
      </w:tr>
      <w:tr w14:paraId="12993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754" w:type="dxa"/>
            <w:noWrap w:val="0"/>
            <w:vAlign w:val="top"/>
          </w:tcPr>
          <w:p w14:paraId="6112E4CD">
            <w:pPr>
              <w:spacing w:before="188" w:line="195" w:lineRule="auto"/>
              <w:ind w:left="242"/>
              <w:rPr>
                <w:rFonts w:hint="eastAsia" w:ascii="宋体" w:hAnsi="宋体" w:eastAsia="宋体" w:cs="宋体"/>
                <w:color w:val="auto"/>
                <w:sz w:val="24"/>
                <w:szCs w:val="24"/>
              </w:rPr>
            </w:pPr>
            <w:r>
              <w:rPr>
                <w:rFonts w:hint="eastAsia" w:ascii="宋体" w:hAnsi="宋体" w:eastAsia="宋体" w:cs="宋体"/>
                <w:color w:val="auto"/>
                <w:spacing w:val="1"/>
                <w:sz w:val="24"/>
                <w:szCs w:val="24"/>
              </w:rPr>
              <w:t>4</w:t>
            </w:r>
          </w:p>
        </w:tc>
        <w:tc>
          <w:tcPr>
            <w:tcW w:w="1816" w:type="dxa"/>
            <w:noWrap w:val="0"/>
            <w:vAlign w:val="top"/>
          </w:tcPr>
          <w:p w14:paraId="3EEE9808">
            <w:pPr>
              <w:spacing w:before="152" w:line="230" w:lineRule="auto"/>
              <w:ind w:left="588"/>
              <w:rPr>
                <w:rFonts w:hint="eastAsia" w:ascii="宋体" w:hAnsi="宋体" w:eastAsia="宋体" w:cs="宋体"/>
                <w:color w:val="auto"/>
                <w:sz w:val="24"/>
                <w:szCs w:val="24"/>
              </w:rPr>
            </w:pPr>
            <w:r>
              <w:rPr>
                <w:rFonts w:hint="eastAsia" w:ascii="宋体" w:hAnsi="宋体" w:eastAsia="宋体" w:cs="宋体"/>
                <w:color w:val="auto"/>
                <w:spacing w:val="7"/>
                <w:sz w:val="24"/>
                <w:szCs w:val="24"/>
              </w:rPr>
              <w:t>施工员</w:t>
            </w:r>
          </w:p>
        </w:tc>
        <w:tc>
          <w:tcPr>
            <w:tcW w:w="1272" w:type="dxa"/>
            <w:noWrap w:val="0"/>
            <w:vAlign w:val="top"/>
          </w:tcPr>
          <w:p w14:paraId="3696FA64">
            <w:pPr>
              <w:pStyle w:val="34"/>
              <w:rPr>
                <w:rFonts w:hint="eastAsia" w:ascii="宋体" w:hAnsi="宋体" w:eastAsia="宋体" w:cs="宋体"/>
                <w:color w:val="auto"/>
                <w:sz w:val="24"/>
                <w:szCs w:val="24"/>
              </w:rPr>
            </w:pPr>
          </w:p>
        </w:tc>
        <w:tc>
          <w:tcPr>
            <w:tcW w:w="944" w:type="dxa"/>
            <w:noWrap w:val="0"/>
            <w:vAlign w:val="top"/>
          </w:tcPr>
          <w:p w14:paraId="1AEFBD46">
            <w:pPr>
              <w:pStyle w:val="34"/>
              <w:rPr>
                <w:rFonts w:hint="eastAsia" w:ascii="宋体" w:hAnsi="宋体" w:eastAsia="宋体" w:cs="宋体"/>
                <w:color w:val="auto"/>
                <w:sz w:val="24"/>
                <w:szCs w:val="24"/>
              </w:rPr>
            </w:pPr>
          </w:p>
        </w:tc>
        <w:tc>
          <w:tcPr>
            <w:tcW w:w="930" w:type="dxa"/>
            <w:noWrap w:val="0"/>
            <w:vAlign w:val="top"/>
          </w:tcPr>
          <w:p w14:paraId="6AD7CB21">
            <w:pPr>
              <w:pStyle w:val="34"/>
              <w:rPr>
                <w:rFonts w:hint="eastAsia" w:ascii="宋体" w:hAnsi="宋体" w:eastAsia="宋体" w:cs="宋体"/>
                <w:color w:val="auto"/>
                <w:sz w:val="24"/>
                <w:szCs w:val="24"/>
              </w:rPr>
            </w:pPr>
          </w:p>
        </w:tc>
        <w:tc>
          <w:tcPr>
            <w:tcW w:w="1439" w:type="dxa"/>
            <w:noWrap w:val="0"/>
            <w:vAlign w:val="top"/>
          </w:tcPr>
          <w:p w14:paraId="188F2045">
            <w:pPr>
              <w:pStyle w:val="34"/>
              <w:rPr>
                <w:rFonts w:hint="eastAsia" w:ascii="宋体" w:hAnsi="宋体" w:eastAsia="宋体" w:cs="宋体"/>
                <w:color w:val="auto"/>
                <w:sz w:val="24"/>
                <w:szCs w:val="24"/>
              </w:rPr>
            </w:pPr>
          </w:p>
        </w:tc>
        <w:tc>
          <w:tcPr>
            <w:tcW w:w="1787" w:type="dxa"/>
            <w:noWrap w:val="0"/>
            <w:vAlign w:val="top"/>
          </w:tcPr>
          <w:p w14:paraId="5CBE3C30">
            <w:pPr>
              <w:pStyle w:val="34"/>
              <w:rPr>
                <w:rFonts w:hint="eastAsia" w:ascii="宋体" w:hAnsi="宋体" w:eastAsia="宋体" w:cs="宋体"/>
                <w:color w:val="auto"/>
                <w:sz w:val="24"/>
                <w:szCs w:val="24"/>
              </w:rPr>
            </w:pPr>
          </w:p>
        </w:tc>
      </w:tr>
      <w:tr w14:paraId="14DFD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54" w:type="dxa"/>
            <w:noWrap w:val="0"/>
            <w:vAlign w:val="top"/>
          </w:tcPr>
          <w:p w14:paraId="32E0D5F3">
            <w:pPr>
              <w:spacing w:before="193" w:line="192" w:lineRule="auto"/>
              <w:ind w:left="248"/>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1816" w:type="dxa"/>
            <w:noWrap w:val="0"/>
            <w:vAlign w:val="top"/>
          </w:tcPr>
          <w:p w14:paraId="098B488D">
            <w:pPr>
              <w:spacing w:before="154" w:line="229" w:lineRule="auto"/>
              <w:ind w:left="589"/>
              <w:rPr>
                <w:rFonts w:hint="eastAsia" w:ascii="宋体" w:hAnsi="宋体" w:eastAsia="宋体" w:cs="宋体"/>
                <w:color w:val="auto"/>
                <w:sz w:val="24"/>
                <w:szCs w:val="24"/>
              </w:rPr>
            </w:pPr>
            <w:r>
              <w:rPr>
                <w:rFonts w:hint="eastAsia" w:ascii="宋体" w:hAnsi="宋体" w:eastAsia="宋体" w:cs="宋体"/>
                <w:color w:val="auto"/>
                <w:spacing w:val="6"/>
                <w:sz w:val="24"/>
                <w:szCs w:val="24"/>
              </w:rPr>
              <w:t>质量员</w:t>
            </w:r>
          </w:p>
        </w:tc>
        <w:tc>
          <w:tcPr>
            <w:tcW w:w="1272" w:type="dxa"/>
            <w:noWrap w:val="0"/>
            <w:vAlign w:val="top"/>
          </w:tcPr>
          <w:p w14:paraId="68A7AF8B">
            <w:pPr>
              <w:pStyle w:val="34"/>
              <w:rPr>
                <w:rFonts w:hint="eastAsia" w:ascii="宋体" w:hAnsi="宋体" w:eastAsia="宋体" w:cs="宋体"/>
                <w:color w:val="auto"/>
                <w:sz w:val="24"/>
                <w:szCs w:val="24"/>
              </w:rPr>
            </w:pPr>
          </w:p>
        </w:tc>
        <w:tc>
          <w:tcPr>
            <w:tcW w:w="944" w:type="dxa"/>
            <w:noWrap w:val="0"/>
            <w:vAlign w:val="top"/>
          </w:tcPr>
          <w:p w14:paraId="61404523">
            <w:pPr>
              <w:pStyle w:val="34"/>
              <w:rPr>
                <w:rFonts w:hint="eastAsia" w:ascii="宋体" w:hAnsi="宋体" w:eastAsia="宋体" w:cs="宋体"/>
                <w:color w:val="auto"/>
                <w:sz w:val="24"/>
                <w:szCs w:val="24"/>
              </w:rPr>
            </w:pPr>
          </w:p>
        </w:tc>
        <w:tc>
          <w:tcPr>
            <w:tcW w:w="930" w:type="dxa"/>
            <w:noWrap w:val="0"/>
            <w:vAlign w:val="top"/>
          </w:tcPr>
          <w:p w14:paraId="5DC0CE86">
            <w:pPr>
              <w:pStyle w:val="34"/>
              <w:rPr>
                <w:rFonts w:hint="eastAsia" w:ascii="宋体" w:hAnsi="宋体" w:eastAsia="宋体" w:cs="宋体"/>
                <w:color w:val="auto"/>
                <w:sz w:val="24"/>
                <w:szCs w:val="24"/>
              </w:rPr>
            </w:pPr>
          </w:p>
        </w:tc>
        <w:tc>
          <w:tcPr>
            <w:tcW w:w="1439" w:type="dxa"/>
            <w:noWrap w:val="0"/>
            <w:vAlign w:val="top"/>
          </w:tcPr>
          <w:p w14:paraId="473EF76A">
            <w:pPr>
              <w:pStyle w:val="34"/>
              <w:rPr>
                <w:rFonts w:hint="eastAsia" w:ascii="宋体" w:hAnsi="宋体" w:eastAsia="宋体" w:cs="宋体"/>
                <w:color w:val="auto"/>
                <w:sz w:val="24"/>
                <w:szCs w:val="24"/>
              </w:rPr>
            </w:pPr>
          </w:p>
        </w:tc>
        <w:tc>
          <w:tcPr>
            <w:tcW w:w="1787" w:type="dxa"/>
            <w:noWrap w:val="0"/>
            <w:vAlign w:val="top"/>
          </w:tcPr>
          <w:p w14:paraId="45E89BBF">
            <w:pPr>
              <w:pStyle w:val="34"/>
              <w:rPr>
                <w:rFonts w:hint="eastAsia" w:ascii="宋体" w:hAnsi="宋体" w:eastAsia="宋体" w:cs="宋体"/>
                <w:color w:val="auto"/>
                <w:sz w:val="24"/>
                <w:szCs w:val="24"/>
              </w:rPr>
            </w:pPr>
          </w:p>
        </w:tc>
      </w:tr>
      <w:tr w14:paraId="780EC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54" w:type="dxa"/>
            <w:noWrap w:val="0"/>
            <w:vAlign w:val="top"/>
          </w:tcPr>
          <w:p w14:paraId="3523B768">
            <w:pPr>
              <w:spacing w:before="191" w:line="195" w:lineRule="auto"/>
              <w:ind w:left="247"/>
              <w:rPr>
                <w:rFonts w:hint="eastAsia" w:ascii="宋体" w:hAnsi="宋体" w:eastAsia="宋体" w:cs="宋体"/>
                <w:color w:val="auto"/>
                <w:sz w:val="24"/>
                <w:szCs w:val="24"/>
              </w:rPr>
            </w:pPr>
            <w:r>
              <w:rPr>
                <w:rFonts w:hint="eastAsia" w:ascii="宋体" w:hAnsi="宋体" w:eastAsia="宋体" w:cs="宋体"/>
                <w:color w:val="auto"/>
                <w:sz w:val="24"/>
                <w:szCs w:val="24"/>
              </w:rPr>
              <w:t>6</w:t>
            </w:r>
          </w:p>
        </w:tc>
        <w:tc>
          <w:tcPr>
            <w:tcW w:w="1816" w:type="dxa"/>
            <w:noWrap w:val="0"/>
            <w:vAlign w:val="top"/>
          </w:tcPr>
          <w:p w14:paraId="5A2C8BB1">
            <w:pPr>
              <w:spacing w:before="155" w:line="228" w:lineRule="auto"/>
              <w:ind w:left="589"/>
              <w:rPr>
                <w:rFonts w:hint="eastAsia" w:ascii="宋体" w:hAnsi="宋体" w:eastAsia="宋体" w:cs="宋体"/>
                <w:color w:val="auto"/>
                <w:sz w:val="24"/>
                <w:szCs w:val="24"/>
              </w:rPr>
            </w:pPr>
            <w:r>
              <w:rPr>
                <w:rFonts w:hint="eastAsia" w:ascii="宋体" w:hAnsi="宋体" w:eastAsia="宋体" w:cs="宋体"/>
                <w:color w:val="auto"/>
                <w:spacing w:val="6"/>
                <w:sz w:val="24"/>
                <w:szCs w:val="24"/>
              </w:rPr>
              <w:t>材料员</w:t>
            </w:r>
          </w:p>
        </w:tc>
        <w:tc>
          <w:tcPr>
            <w:tcW w:w="1272" w:type="dxa"/>
            <w:noWrap w:val="0"/>
            <w:vAlign w:val="top"/>
          </w:tcPr>
          <w:p w14:paraId="7B2E6D35">
            <w:pPr>
              <w:pStyle w:val="34"/>
              <w:rPr>
                <w:rFonts w:hint="eastAsia" w:ascii="宋体" w:hAnsi="宋体" w:eastAsia="宋体" w:cs="宋体"/>
                <w:color w:val="auto"/>
                <w:sz w:val="24"/>
                <w:szCs w:val="24"/>
              </w:rPr>
            </w:pPr>
          </w:p>
        </w:tc>
        <w:tc>
          <w:tcPr>
            <w:tcW w:w="944" w:type="dxa"/>
            <w:noWrap w:val="0"/>
            <w:vAlign w:val="top"/>
          </w:tcPr>
          <w:p w14:paraId="154C1F0E">
            <w:pPr>
              <w:pStyle w:val="34"/>
              <w:rPr>
                <w:rFonts w:hint="eastAsia" w:ascii="宋体" w:hAnsi="宋体" w:eastAsia="宋体" w:cs="宋体"/>
                <w:color w:val="auto"/>
                <w:sz w:val="24"/>
                <w:szCs w:val="24"/>
              </w:rPr>
            </w:pPr>
          </w:p>
        </w:tc>
        <w:tc>
          <w:tcPr>
            <w:tcW w:w="930" w:type="dxa"/>
            <w:noWrap w:val="0"/>
            <w:vAlign w:val="top"/>
          </w:tcPr>
          <w:p w14:paraId="257641F6">
            <w:pPr>
              <w:pStyle w:val="34"/>
              <w:rPr>
                <w:rFonts w:hint="eastAsia" w:ascii="宋体" w:hAnsi="宋体" w:eastAsia="宋体" w:cs="宋体"/>
                <w:color w:val="auto"/>
                <w:sz w:val="24"/>
                <w:szCs w:val="24"/>
              </w:rPr>
            </w:pPr>
          </w:p>
        </w:tc>
        <w:tc>
          <w:tcPr>
            <w:tcW w:w="1439" w:type="dxa"/>
            <w:noWrap w:val="0"/>
            <w:vAlign w:val="top"/>
          </w:tcPr>
          <w:p w14:paraId="2FA56174">
            <w:pPr>
              <w:pStyle w:val="34"/>
              <w:rPr>
                <w:rFonts w:hint="eastAsia" w:ascii="宋体" w:hAnsi="宋体" w:eastAsia="宋体" w:cs="宋体"/>
                <w:color w:val="auto"/>
                <w:sz w:val="24"/>
                <w:szCs w:val="24"/>
              </w:rPr>
            </w:pPr>
          </w:p>
        </w:tc>
        <w:tc>
          <w:tcPr>
            <w:tcW w:w="1787" w:type="dxa"/>
            <w:noWrap w:val="0"/>
            <w:vAlign w:val="top"/>
          </w:tcPr>
          <w:p w14:paraId="624A7EC3">
            <w:pPr>
              <w:pStyle w:val="34"/>
              <w:rPr>
                <w:rFonts w:hint="eastAsia" w:ascii="宋体" w:hAnsi="宋体" w:eastAsia="宋体" w:cs="宋体"/>
                <w:color w:val="auto"/>
                <w:sz w:val="24"/>
                <w:szCs w:val="24"/>
              </w:rPr>
            </w:pPr>
          </w:p>
        </w:tc>
      </w:tr>
      <w:tr w14:paraId="68E56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54" w:type="dxa"/>
            <w:noWrap w:val="0"/>
            <w:vAlign w:val="top"/>
          </w:tcPr>
          <w:p w14:paraId="52E84D78">
            <w:pPr>
              <w:spacing w:before="192" w:line="192" w:lineRule="auto"/>
              <w:ind w:left="246"/>
              <w:rPr>
                <w:rFonts w:hint="eastAsia" w:ascii="宋体" w:hAnsi="宋体" w:eastAsia="宋体" w:cs="宋体"/>
                <w:color w:val="auto"/>
                <w:sz w:val="24"/>
                <w:szCs w:val="24"/>
              </w:rPr>
            </w:pPr>
            <w:r>
              <w:rPr>
                <w:rFonts w:hint="eastAsia" w:ascii="宋体" w:hAnsi="宋体" w:eastAsia="宋体" w:cs="宋体"/>
                <w:color w:val="auto"/>
                <w:sz w:val="24"/>
                <w:szCs w:val="24"/>
              </w:rPr>
              <w:t>7</w:t>
            </w:r>
          </w:p>
        </w:tc>
        <w:tc>
          <w:tcPr>
            <w:tcW w:w="1816" w:type="dxa"/>
            <w:noWrap w:val="0"/>
            <w:vAlign w:val="top"/>
          </w:tcPr>
          <w:p w14:paraId="4DEFF984">
            <w:pPr>
              <w:spacing w:before="154" w:line="229" w:lineRule="auto"/>
              <w:ind w:left="598"/>
              <w:rPr>
                <w:rFonts w:hint="eastAsia" w:ascii="宋体" w:hAnsi="宋体" w:eastAsia="宋体" w:cs="宋体"/>
                <w:color w:val="auto"/>
                <w:sz w:val="24"/>
                <w:szCs w:val="24"/>
              </w:rPr>
            </w:pPr>
            <w:r>
              <w:rPr>
                <w:rFonts w:hint="eastAsia" w:ascii="宋体" w:hAnsi="宋体" w:eastAsia="宋体" w:cs="宋体"/>
                <w:color w:val="auto"/>
                <w:spacing w:val="3"/>
                <w:sz w:val="24"/>
                <w:szCs w:val="24"/>
              </w:rPr>
              <w:t>资料员</w:t>
            </w:r>
          </w:p>
        </w:tc>
        <w:tc>
          <w:tcPr>
            <w:tcW w:w="1272" w:type="dxa"/>
            <w:noWrap w:val="0"/>
            <w:vAlign w:val="top"/>
          </w:tcPr>
          <w:p w14:paraId="57430CA8">
            <w:pPr>
              <w:pStyle w:val="34"/>
              <w:rPr>
                <w:rFonts w:hint="eastAsia" w:ascii="宋体" w:hAnsi="宋体" w:eastAsia="宋体" w:cs="宋体"/>
                <w:color w:val="auto"/>
                <w:sz w:val="24"/>
                <w:szCs w:val="24"/>
              </w:rPr>
            </w:pPr>
          </w:p>
        </w:tc>
        <w:tc>
          <w:tcPr>
            <w:tcW w:w="944" w:type="dxa"/>
            <w:noWrap w:val="0"/>
            <w:vAlign w:val="top"/>
          </w:tcPr>
          <w:p w14:paraId="0C7BECE0">
            <w:pPr>
              <w:pStyle w:val="34"/>
              <w:rPr>
                <w:rFonts w:hint="eastAsia" w:ascii="宋体" w:hAnsi="宋体" w:eastAsia="宋体" w:cs="宋体"/>
                <w:color w:val="auto"/>
                <w:sz w:val="24"/>
                <w:szCs w:val="24"/>
              </w:rPr>
            </w:pPr>
          </w:p>
        </w:tc>
        <w:tc>
          <w:tcPr>
            <w:tcW w:w="930" w:type="dxa"/>
            <w:noWrap w:val="0"/>
            <w:vAlign w:val="top"/>
          </w:tcPr>
          <w:p w14:paraId="11BBFCDB">
            <w:pPr>
              <w:pStyle w:val="34"/>
              <w:rPr>
                <w:rFonts w:hint="eastAsia" w:ascii="宋体" w:hAnsi="宋体" w:eastAsia="宋体" w:cs="宋体"/>
                <w:color w:val="auto"/>
                <w:sz w:val="24"/>
                <w:szCs w:val="24"/>
              </w:rPr>
            </w:pPr>
          </w:p>
        </w:tc>
        <w:tc>
          <w:tcPr>
            <w:tcW w:w="1439" w:type="dxa"/>
            <w:noWrap w:val="0"/>
            <w:vAlign w:val="top"/>
          </w:tcPr>
          <w:p w14:paraId="4EC23DB8">
            <w:pPr>
              <w:pStyle w:val="34"/>
              <w:rPr>
                <w:rFonts w:hint="eastAsia" w:ascii="宋体" w:hAnsi="宋体" w:eastAsia="宋体" w:cs="宋体"/>
                <w:color w:val="auto"/>
                <w:sz w:val="24"/>
                <w:szCs w:val="24"/>
              </w:rPr>
            </w:pPr>
          </w:p>
        </w:tc>
        <w:tc>
          <w:tcPr>
            <w:tcW w:w="1787" w:type="dxa"/>
            <w:noWrap w:val="0"/>
            <w:vAlign w:val="top"/>
          </w:tcPr>
          <w:p w14:paraId="071515D0">
            <w:pPr>
              <w:pStyle w:val="34"/>
              <w:rPr>
                <w:rFonts w:hint="eastAsia" w:ascii="宋体" w:hAnsi="宋体" w:eastAsia="宋体" w:cs="宋体"/>
                <w:color w:val="auto"/>
                <w:sz w:val="24"/>
                <w:szCs w:val="24"/>
              </w:rPr>
            </w:pPr>
          </w:p>
        </w:tc>
      </w:tr>
      <w:tr w14:paraId="2CF16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754" w:type="dxa"/>
            <w:noWrap w:val="0"/>
            <w:vAlign w:val="top"/>
          </w:tcPr>
          <w:p w14:paraId="75D1CEEE">
            <w:pPr>
              <w:spacing w:before="154" w:line="325" w:lineRule="exact"/>
              <w:ind w:left="104"/>
              <w:rPr>
                <w:rFonts w:hint="eastAsia" w:ascii="宋体" w:hAnsi="宋体" w:eastAsia="宋体" w:cs="宋体"/>
                <w:color w:val="auto"/>
                <w:sz w:val="24"/>
                <w:szCs w:val="24"/>
              </w:rPr>
            </w:pPr>
            <w:r>
              <w:rPr>
                <w:rFonts w:hint="eastAsia" w:ascii="宋体" w:hAnsi="宋体" w:eastAsia="宋体" w:cs="宋体"/>
                <w:color w:val="auto"/>
                <w:spacing w:val="-2"/>
                <w:position w:val="3"/>
                <w:sz w:val="24"/>
                <w:szCs w:val="24"/>
              </w:rPr>
              <w:t>……</w:t>
            </w:r>
          </w:p>
        </w:tc>
        <w:tc>
          <w:tcPr>
            <w:tcW w:w="1816" w:type="dxa"/>
            <w:noWrap w:val="0"/>
            <w:vAlign w:val="top"/>
          </w:tcPr>
          <w:p w14:paraId="13F8ACEF">
            <w:pPr>
              <w:pStyle w:val="34"/>
              <w:rPr>
                <w:rFonts w:hint="eastAsia" w:ascii="宋体" w:hAnsi="宋体" w:eastAsia="宋体" w:cs="宋体"/>
                <w:color w:val="auto"/>
                <w:sz w:val="24"/>
                <w:szCs w:val="24"/>
              </w:rPr>
            </w:pPr>
          </w:p>
        </w:tc>
        <w:tc>
          <w:tcPr>
            <w:tcW w:w="1272" w:type="dxa"/>
            <w:noWrap w:val="0"/>
            <w:vAlign w:val="top"/>
          </w:tcPr>
          <w:p w14:paraId="5686125B">
            <w:pPr>
              <w:pStyle w:val="34"/>
              <w:rPr>
                <w:rFonts w:hint="eastAsia" w:ascii="宋体" w:hAnsi="宋体" w:eastAsia="宋体" w:cs="宋体"/>
                <w:color w:val="auto"/>
                <w:sz w:val="24"/>
                <w:szCs w:val="24"/>
              </w:rPr>
            </w:pPr>
          </w:p>
        </w:tc>
        <w:tc>
          <w:tcPr>
            <w:tcW w:w="944" w:type="dxa"/>
            <w:noWrap w:val="0"/>
            <w:vAlign w:val="top"/>
          </w:tcPr>
          <w:p w14:paraId="73662019">
            <w:pPr>
              <w:pStyle w:val="34"/>
              <w:rPr>
                <w:rFonts w:hint="eastAsia" w:ascii="宋体" w:hAnsi="宋体" w:eastAsia="宋体" w:cs="宋体"/>
                <w:color w:val="auto"/>
                <w:sz w:val="24"/>
                <w:szCs w:val="24"/>
              </w:rPr>
            </w:pPr>
          </w:p>
        </w:tc>
        <w:tc>
          <w:tcPr>
            <w:tcW w:w="930" w:type="dxa"/>
            <w:noWrap w:val="0"/>
            <w:vAlign w:val="top"/>
          </w:tcPr>
          <w:p w14:paraId="7D59EB0E">
            <w:pPr>
              <w:pStyle w:val="34"/>
              <w:rPr>
                <w:rFonts w:hint="eastAsia" w:ascii="宋体" w:hAnsi="宋体" w:eastAsia="宋体" w:cs="宋体"/>
                <w:color w:val="auto"/>
                <w:sz w:val="24"/>
                <w:szCs w:val="24"/>
              </w:rPr>
            </w:pPr>
          </w:p>
        </w:tc>
        <w:tc>
          <w:tcPr>
            <w:tcW w:w="1439" w:type="dxa"/>
            <w:noWrap w:val="0"/>
            <w:vAlign w:val="top"/>
          </w:tcPr>
          <w:p w14:paraId="0A46FDD6">
            <w:pPr>
              <w:pStyle w:val="34"/>
              <w:rPr>
                <w:rFonts w:hint="eastAsia" w:ascii="宋体" w:hAnsi="宋体" w:eastAsia="宋体" w:cs="宋体"/>
                <w:color w:val="auto"/>
                <w:sz w:val="24"/>
                <w:szCs w:val="24"/>
              </w:rPr>
            </w:pPr>
          </w:p>
        </w:tc>
        <w:tc>
          <w:tcPr>
            <w:tcW w:w="1787" w:type="dxa"/>
            <w:noWrap w:val="0"/>
            <w:vAlign w:val="top"/>
          </w:tcPr>
          <w:p w14:paraId="52E8B5F5">
            <w:pPr>
              <w:pStyle w:val="34"/>
              <w:rPr>
                <w:rFonts w:hint="eastAsia" w:ascii="宋体" w:hAnsi="宋体" w:eastAsia="宋体" w:cs="宋体"/>
                <w:color w:val="auto"/>
                <w:sz w:val="24"/>
                <w:szCs w:val="24"/>
              </w:rPr>
            </w:pPr>
          </w:p>
        </w:tc>
      </w:tr>
    </w:tbl>
    <w:p w14:paraId="235A93B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说明：</w:t>
      </w:r>
    </w:p>
    <w:p w14:paraId="77CE9DE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《项目管理机构组成表》后应附表中拟派人员（项目经理、项目技术负责人除外）以下资料：</w:t>
      </w:r>
    </w:p>
    <w:p w14:paraId="2BD1EEA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身份证彩色扫描件；</w:t>
      </w:r>
    </w:p>
    <w:p w14:paraId="4F0AAA6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职称证彩色扫描件；</w:t>
      </w:r>
    </w:p>
    <w:p w14:paraId="27E7D15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在本单位缴纳社保的证明（至少连续</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个月，其中必须有2024年</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月）彩色扫描件。拟派项目技术负责人为退休返聘人员无法提供社保证明的，提供退休证和劳动合同彩色扫描件。</w:t>
      </w:r>
    </w:p>
    <w:p w14:paraId="37E548E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“进粤企业和人员诚信信息登记平台”个人信息情况截图。（适用于省外建筑企业）</w:t>
      </w:r>
    </w:p>
    <w:p w14:paraId="448CE0D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2．联合体投标的，《项目管理机构组成表》应包括联合体成员单位参与项目管理机构的人员，并提供以上所需资料。</w:t>
      </w:r>
    </w:p>
    <w:p w14:paraId="2E6094FD">
      <w:pPr>
        <w:rPr>
          <w:rFonts w:hint="eastAsia" w:ascii="宋体" w:hAnsi="宋体" w:eastAsia="宋体" w:cs="宋体"/>
          <w:color w:val="auto"/>
        </w:rPr>
      </w:pPr>
    </w:p>
    <w:p w14:paraId="7572DC94">
      <w:pPr>
        <w:rPr>
          <w:rFonts w:hint="eastAsia" w:ascii="宋体" w:hAnsi="宋体" w:eastAsia="宋体" w:cs="宋体"/>
          <w:color w:val="auto"/>
        </w:rPr>
      </w:pPr>
    </w:p>
    <w:p w14:paraId="7F908364">
      <w:pPr>
        <w:rPr>
          <w:rFonts w:hint="eastAsia" w:ascii="宋体" w:hAnsi="宋体" w:eastAsia="宋体" w:cs="宋体"/>
          <w:color w:val="auto"/>
        </w:rPr>
      </w:pPr>
    </w:p>
    <w:p w14:paraId="5B085377">
      <w:pPr>
        <w:rPr>
          <w:rFonts w:hint="eastAsia" w:ascii="宋体" w:hAnsi="宋体" w:eastAsia="宋体" w:cs="宋体"/>
          <w:color w:val="auto"/>
        </w:rPr>
      </w:pPr>
    </w:p>
    <w:p w14:paraId="6662166A">
      <w:pPr>
        <w:rPr>
          <w:rFonts w:hint="eastAsia" w:ascii="宋体" w:hAnsi="宋体" w:eastAsia="宋体" w:cs="宋体"/>
          <w:color w:val="auto"/>
        </w:rPr>
      </w:pPr>
      <w:bookmarkStart w:id="147" w:name="bookmark94"/>
      <w:bookmarkEnd w:id="147"/>
      <w:bookmarkStart w:id="148" w:name="bookmark158"/>
      <w:bookmarkEnd w:id="148"/>
    </w:p>
    <w:p w14:paraId="0E78B8FF">
      <w:pPr>
        <w:rPr>
          <w:rFonts w:hint="eastAsia" w:ascii="宋体" w:hAnsi="宋体" w:eastAsia="宋体" w:cs="宋体"/>
          <w:color w:val="auto"/>
        </w:rPr>
      </w:pPr>
    </w:p>
    <w:p w14:paraId="669E1330">
      <w:pPr>
        <w:rPr>
          <w:rFonts w:hint="eastAsia" w:ascii="宋体" w:hAnsi="宋体" w:eastAsia="宋体" w:cs="宋体"/>
          <w:color w:val="auto"/>
        </w:rPr>
      </w:pPr>
    </w:p>
    <w:p w14:paraId="23BAE37E">
      <w:pPr>
        <w:rPr>
          <w:rFonts w:hint="eastAsia" w:ascii="宋体" w:hAnsi="宋体" w:eastAsia="宋体" w:cs="宋体"/>
          <w:color w:val="auto"/>
        </w:rPr>
      </w:pPr>
    </w:p>
    <w:p w14:paraId="1E806952">
      <w:pPr>
        <w:rPr>
          <w:rFonts w:hint="eastAsia" w:ascii="宋体" w:hAnsi="宋体" w:eastAsia="宋体" w:cs="宋体"/>
          <w:color w:val="auto"/>
        </w:rPr>
      </w:pPr>
    </w:p>
    <w:p w14:paraId="19D00B94">
      <w:pPr>
        <w:rPr>
          <w:rFonts w:hint="eastAsia" w:ascii="宋体" w:hAnsi="宋体" w:eastAsia="宋体" w:cs="宋体"/>
          <w:color w:val="auto"/>
        </w:rPr>
      </w:pPr>
    </w:p>
    <w:p w14:paraId="40736A9D">
      <w:pPr>
        <w:rPr>
          <w:rFonts w:hint="eastAsia" w:ascii="宋体" w:hAnsi="宋体" w:eastAsia="宋体" w:cs="宋体"/>
          <w:color w:val="auto"/>
        </w:rPr>
      </w:pPr>
    </w:p>
    <w:p w14:paraId="6672D9FA">
      <w:pPr>
        <w:rPr>
          <w:rFonts w:hint="eastAsia" w:ascii="宋体" w:hAnsi="宋体" w:eastAsia="宋体" w:cs="宋体"/>
          <w:color w:val="auto"/>
        </w:rPr>
      </w:pPr>
    </w:p>
    <w:p w14:paraId="09D02D9D">
      <w:pPr>
        <w:rPr>
          <w:rFonts w:hint="eastAsia" w:ascii="宋体" w:hAnsi="宋体" w:eastAsia="宋体" w:cs="宋体"/>
          <w:color w:val="auto"/>
        </w:rPr>
      </w:pPr>
    </w:p>
    <w:p w14:paraId="34DC4D29">
      <w:pPr>
        <w:pStyle w:val="3"/>
        <w:bidi w:val="0"/>
        <w:spacing w:line="360" w:lineRule="auto"/>
        <w:ind w:firstLine="482" w:firstLineChars="200"/>
        <w:rPr>
          <w:rFonts w:hint="eastAsia" w:ascii="宋体" w:hAnsi="宋体" w:eastAsia="宋体" w:cs="宋体"/>
          <w:color w:val="auto"/>
          <w:sz w:val="24"/>
          <w:szCs w:val="24"/>
          <w:lang w:val="en-US" w:eastAsia="zh-CN"/>
        </w:rPr>
      </w:pPr>
      <w:bookmarkStart w:id="149" w:name="_Toc16963"/>
      <w:r>
        <w:rPr>
          <w:rFonts w:hint="eastAsia" w:ascii="宋体" w:hAnsi="宋体" w:eastAsia="宋体" w:cs="宋体"/>
          <w:color w:val="auto"/>
          <w:sz w:val="24"/>
          <w:szCs w:val="24"/>
          <w:lang w:val="en-US" w:eastAsia="zh-CN"/>
        </w:rPr>
        <w:t>格式十一   建造师查询页（有效期+建造师签字）</w:t>
      </w:r>
      <w:bookmarkEnd w:id="149"/>
    </w:p>
    <w:p w14:paraId="2A41224C">
      <w:pPr>
        <w:jc w:val="center"/>
        <w:rPr>
          <w:rFonts w:hint="eastAsia" w:ascii="宋体" w:hAnsi="宋体" w:eastAsia="宋体" w:cs="宋体"/>
          <w:color w:val="auto"/>
        </w:rPr>
      </w:pPr>
      <w:r>
        <w:rPr>
          <w:rFonts w:hint="eastAsia" w:ascii="宋体" w:hAnsi="宋体" w:eastAsia="宋体" w:cs="宋体"/>
          <w:color w:val="auto"/>
        </w:rPr>
        <w:drawing>
          <wp:inline distT="0" distB="0" distL="114300" distR="114300">
            <wp:extent cx="5342890" cy="7470140"/>
            <wp:effectExtent l="0" t="0" r="10160" b="16510"/>
            <wp:docPr id="10" name="图片 13"/>
            <wp:cNvGraphicFramePr/>
            <a:graphic xmlns:a="http://schemas.openxmlformats.org/drawingml/2006/main">
              <a:graphicData uri="http://schemas.openxmlformats.org/drawingml/2006/picture">
                <pic:pic xmlns:pic="http://schemas.openxmlformats.org/drawingml/2006/picture">
                  <pic:nvPicPr>
                    <pic:cNvPr id="10" name="图片 13"/>
                    <pic:cNvPicPr/>
                  </pic:nvPicPr>
                  <pic:blipFill>
                    <a:blip r:embed="rId34"/>
                    <a:stretch>
                      <a:fillRect/>
                    </a:stretch>
                  </pic:blipFill>
                  <pic:spPr>
                    <a:xfrm>
                      <a:off x="0" y="0"/>
                      <a:ext cx="5342890" cy="7470140"/>
                    </a:xfrm>
                    <a:prstGeom prst="rect">
                      <a:avLst/>
                    </a:prstGeom>
                    <a:noFill/>
                    <a:ln>
                      <a:noFill/>
                    </a:ln>
                  </pic:spPr>
                </pic:pic>
              </a:graphicData>
            </a:graphic>
          </wp:inline>
        </w:drawing>
      </w:r>
    </w:p>
    <w:p w14:paraId="04D478D7">
      <w:pPr>
        <w:rPr>
          <w:rFonts w:hint="eastAsia" w:ascii="宋体" w:hAnsi="宋体" w:eastAsia="宋体" w:cs="宋体"/>
          <w:color w:val="auto"/>
        </w:rPr>
      </w:pPr>
    </w:p>
    <w:p w14:paraId="4CDAE2B5">
      <w:pPr>
        <w:rPr>
          <w:rFonts w:hint="eastAsia" w:ascii="宋体" w:hAnsi="宋体" w:eastAsia="宋体" w:cs="宋体"/>
          <w:color w:val="auto"/>
        </w:rPr>
      </w:pPr>
    </w:p>
    <w:p w14:paraId="617AB310">
      <w:pPr>
        <w:rPr>
          <w:rFonts w:hint="eastAsia" w:ascii="宋体" w:hAnsi="宋体" w:eastAsia="宋体" w:cs="宋体"/>
          <w:color w:val="auto"/>
        </w:rPr>
      </w:pPr>
    </w:p>
    <w:p w14:paraId="4BC9FC0A">
      <w:pPr>
        <w:rPr>
          <w:rFonts w:hint="eastAsia" w:ascii="宋体" w:hAnsi="宋体" w:eastAsia="宋体" w:cs="宋体"/>
          <w:color w:val="auto"/>
        </w:rPr>
      </w:pPr>
    </w:p>
    <w:p w14:paraId="3801C7DD">
      <w:pPr>
        <w:rPr>
          <w:rFonts w:hint="eastAsia" w:ascii="宋体" w:hAnsi="宋体" w:eastAsia="宋体" w:cs="宋体"/>
          <w:color w:val="auto"/>
        </w:rPr>
      </w:pPr>
    </w:p>
    <w:p w14:paraId="645BB951">
      <w:pPr>
        <w:rPr>
          <w:rFonts w:hint="eastAsia" w:ascii="宋体" w:hAnsi="宋体" w:eastAsia="宋体" w:cs="宋体"/>
          <w:color w:val="auto"/>
        </w:rPr>
      </w:pPr>
    </w:p>
    <w:p w14:paraId="55CAFFA8">
      <w:pPr>
        <w:rPr>
          <w:rFonts w:hint="eastAsia" w:ascii="宋体" w:hAnsi="宋体" w:eastAsia="宋体" w:cs="宋体"/>
          <w:color w:val="auto"/>
        </w:rPr>
      </w:pPr>
    </w:p>
    <w:p w14:paraId="00AB3E05">
      <w:pPr>
        <w:rPr>
          <w:rFonts w:hint="eastAsia" w:ascii="宋体" w:hAnsi="宋体" w:eastAsia="宋体" w:cs="宋体"/>
          <w:color w:val="auto"/>
        </w:rPr>
      </w:pPr>
    </w:p>
    <w:p w14:paraId="70D6AB30">
      <w:pPr>
        <w:jc w:val="center"/>
        <w:rPr>
          <w:rFonts w:hint="eastAsia" w:ascii="宋体" w:hAnsi="宋体" w:eastAsia="宋体" w:cs="宋体"/>
          <w:color w:val="auto"/>
        </w:rPr>
      </w:pPr>
      <w:r>
        <w:rPr>
          <w:rFonts w:hint="eastAsia" w:ascii="宋体" w:hAnsi="宋体" w:eastAsia="宋体" w:cs="宋体"/>
          <w:color w:val="auto"/>
          <w:position w:val="-214"/>
        </w:rPr>
        <w:drawing>
          <wp:inline distT="0" distB="0" distL="114300" distR="114300">
            <wp:extent cx="5353050" cy="6821805"/>
            <wp:effectExtent l="0" t="0" r="0" b="17145"/>
            <wp:docPr id="3" name="图片 14"/>
            <wp:cNvGraphicFramePr/>
            <a:graphic xmlns:a="http://schemas.openxmlformats.org/drawingml/2006/main">
              <a:graphicData uri="http://schemas.openxmlformats.org/drawingml/2006/picture">
                <pic:pic xmlns:pic="http://schemas.openxmlformats.org/drawingml/2006/picture">
                  <pic:nvPicPr>
                    <pic:cNvPr id="3" name="图片 14"/>
                    <pic:cNvPicPr/>
                  </pic:nvPicPr>
                  <pic:blipFill>
                    <a:blip r:embed="rId35"/>
                    <a:stretch>
                      <a:fillRect/>
                    </a:stretch>
                  </pic:blipFill>
                  <pic:spPr>
                    <a:xfrm>
                      <a:off x="0" y="0"/>
                      <a:ext cx="5353050" cy="6821805"/>
                    </a:xfrm>
                    <a:prstGeom prst="rect">
                      <a:avLst/>
                    </a:prstGeom>
                    <a:noFill/>
                    <a:ln>
                      <a:noFill/>
                    </a:ln>
                  </pic:spPr>
                </pic:pic>
              </a:graphicData>
            </a:graphic>
          </wp:inline>
        </w:drawing>
      </w:r>
    </w:p>
    <w:p w14:paraId="6DA81EA7">
      <w:pPr>
        <w:rPr>
          <w:rFonts w:hint="eastAsia" w:ascii="宋体" w:hAnsi="宋体" w:eastAsia="宋体" w:cs="宋体"/>
          <w:color w:val="auto"/>
        </w:rPr>
      </w:pPr>
    </w:p>
    <w:p w14:paraId="6D8B383E">
      <w:pPr>
        <w:rPr>
          <w:rFonts w:hint="eastAsia" w:ascii="宋体" w:hAnsi="宋体" w:eastAsia="宋体" w:cs="宋体"/>
          <w:color w:val="auto"/>
        </w:rPr>
      </w:pPr>
    </w:p>
    <w:p w14:paraId="1BA02235">
      <w:pPr>
        <w:rPr>
          <w:rFonts w:hint="eastAsia" w:ascii="宋体" w:hAnsi="宋体" w:eastAsia="宋体" w:cs="宋体"/>
          <w:color w:val="auto"/>
        </w:rPr>
      </w:pPr>
    </w:p>
    <w:p w14:paraId="1621922A">
      <w:pPr>
        <w:rPr>
          <w:rFonts w:hint="eastAsia" w:ascii="宋体" w:hAnsi="宋体" w:eastAsia="宋体" w:cs="宋体"/>
          <w:color w:val="auto"/>
        </w:rPr>
      </w:pPr>
    </w:p>
    <w:p w14:paraId="614510F8">
      <w:pPr>
        <w:rPr>
          <w:rFonts w:hint="eastAsia" w:ascii="宋体" w:hAnsi="宋体" w:eastAsia="宋体" w:cs="宋体"/>
          <w:color w:val="auto"/>
        </w:rPr>
      </w:pPr>
    </w:p>
    <w:p w14:paraId="010C2276">
      <w:pPr>
        <w:rPr>
          <w:rFonts w:hint="eastAsia" w:ascii="宋体" w:hAnsi="宋体" w:eastAsia="宋体" w:cs="宋体"/>
          <w:color w:val="auto"/>
        </w:rPr>
      </w:pPr>
    </w:p>
    <w:p w14:paraId="7771495A">
      <w:pPr>
        <w:rPr>
          <w:rFonts w:hint="eastAsia" w:ascii="宋体" w:hAnsi="宋体" w:eastAsia="宋体" w:cs="宋体"/>
          <w:color w:val="auto"/>
        </w:rPr>
      </w:pPr>
    </w:p>
    <w:p w14:paraId="3138E364">
      <w:pPr>
        <w:rPr>
          <w:rFonts w:hint="eastAsia" w:ascii="宋体" w:hAnsi="宋体" w:eastAsia="宋体" w:cs="宋体"/>
          <w:color w:val="auto"/>
        </w:rPr>
      </w:pPr>
    </w:p>
    <w:p w14:paraId="76FC726A">
      <w:pPr>
        <w:rPr>
          <w:rFonts w:hint="eastAsia" w:ascii="宋体" w:hAnsi="宋体" w:eastAsia="宋体" w:cs="宋体"/>
          <w:color w:val="auto"/>
        </w:rPr>
      </w:pPr>
    </w:p>
    <w:p w14:paraId="4C99B6F1">
      <w:pPr>
        <w:rPr>
          <w:rFonts w:hint="eastAsia" w:ascii="宋体" w:hAnsi="宋体" w:eastAsia="宋体" w:cs="宋体"/>
          <w:color w:val="auto"/>
        </w:rPr>
      </w:pPr>
    </w:p>
    <w:p w14:paraId="75833C02">
      <w:pPr>
        <w:rPr>
          <w:rFonts w:hint="eastAsia" w:ascii="宋体" w:hAnsi="宋体" w:eastAsia="宋体" w:cs="宋体"/>
          <w:color w:val="auto"/>
        </w:rPr>
      </w:pPr>
    </w:p>
    <w:p w14:paraId="0B1B1104">
      <w:pPr>
        <w:rPr>
          <w:rFonts w:hint="eastAsia" w:ascii="宋体" w:hAnsi="宋体" w:eastAsia="宋体" w:cs="宋体"/>
          <w:color w:val="auto"/>
        </w:rPr>
      </w:pPr>
    </w:p>
    <w:p w14:paraId="46BEA483">
      <w:pPr>
        <w:rPr>
          <w:rFonts w:hint="eastAsia" w:ascii="宋体" w:hAnsi="宋体" w:eastAsia="宋体" w:cs="宋体"/>
          <w:color w:val="auto"/>
        </w:rPr>
      </w:pPr>
    </w:p>
    <w:p w14:paraId="2D8A69AE">
      <w:pPr>
        <w:pStyle w:val="3"/>
        <w:bidi w:val="0"/>
        <w:spacing w:line="360" w:lineRule="auto"/>
        <w:ind w:firstLine="482" w:firstLineChars="200"/>
        <w:rPr>
          <w:rFonts w:hint="eastAsia" w:ascii="宋体" w:hAnsi="宋体" w:eastAsia="宋体" w:cs="宋体"/>
          <w:color w:val="auto"/>
          <w:lang w:val="en-US" w:eastAsia="zh-CN"/>
        </w:rPr>
      </w:pPr>
      <w:bookmarkStart w:id="150" w:name="_Toc12864"/>
      <w:r>
        <w:rPr>
          <w:rFonts w:hint="eastAsia" w:ascii="宋体" w:hAnsi="宋体" w:eastAsia="宋体" w:cs="宋体"/>
          <w:color w:val="auto"/>
          <w:sz w:val="24"/>
          <w:szCs w:val="24"/>
          <w:lang w:val="en-US" w:eastAsia="zh-CN"/>
        </w:rPr>
        <w:t>格式十二   危险性较大的分部分项工程清单及超过一定规模的危险性较大的分部分项工程清单</w:t>
      </w:r>
      <w:bookmarkEnd w:id="150"/>
    </w:p>
    <w:p w14:paraId="448777C7">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1、根据中华人民共和国住房和城乡建设部令第37号《危险性较大的分部分项工程安全管理规定》（以下简称“37号文”），投标人在投标时须补充完善危大工程清单并明确相应的安全管理措施。</w:t>
      </w:r>
    </w:p>
    <w:p w14:paraId="6DF53E98">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招标人根据设计文件的要求及37号文、粤建规范〔2019〕2号文的规定列出“危险性较大的分部分项工程清单及超过一定规模的危险性较大的分部分项工程清单”中与本招标项目相关的清单项，具体详见第5点“打√”标识。</w:t>
      </w:r>
    </w:p>
    <w:p w14:paraId="60AE0F1D">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（1）投标单位同意建设单位在清单中标识的该项请在对应项打“√”标识，并与投标文件中提供相应的安全管理措施。</w:t>
      </w:r>
    </w:p>
    <w:p w14:paraId="34AD4826">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（2）投标单位对清单中认为需要补充的该项请在对应项打“√”标识，并与投标文件中提供相应的安全管理措施。</w:t>
      </w:r>
    </w:p>
    <w:p w14:paraId="3A07902D">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（3）投标单位不同意建设单位在清单中标识的该项请在对应项打“×”标识，并在备注栏填上相关说明。</w:t>
      </w:r>
    </w:p>
    <w:p w14:paraId="1E56877D">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投标单位应当在投标时根据招标人提供的下述第5点清单，在投标施工组织中回应建设单位提供的危大工程清单，补充相应的安全管理措施。（为减轻标书编制的工作量，投标单位回应的危大工程清单该部分的页数应控制在3页内）</w:t>
      </w:r>
    </w:p>
    <w:p w14:paraId="12841BAA">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对于超过一定规模的危大工程，中标单位应当组织召开专家论证会对专项施工方案进行论证。实行施工总承包的，由施工总承包单位组织召开专家论证会。专家论证前专项施工方案应当通过施工总承包单位审核和总监理工程师审查。</w:t>
      </w:r>
    </w:p>
    <w:p w14:paraId="2C5071A8">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5、危险性较大的分部分项工程清单及超过一定规模的危险性较大的分部分项工程清单：</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7"/>
        <w:gridCol w:w="1167"/>
        <w:gridCol w:w="1183"/>
        <w:gridCol w:w="757"/>
      </w:tblGrid>
      <w:tr w14:paraId="09D11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5DC5E18F">
            <w:pPr>
              <w:spacing w:before="132" w:line="220" w:lineRule="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pacing w:val="-3"/>
                <w:sz w:val="24"/>
                <w:szCs w:val="24"/>
              </w:rPr>
              <w:t>一、危险性较大的分部分项工程清单</w:t>
            </w:r>
          </w:p>
        </w:tc>
        <w:tc>
          <w:tcPr>
            <w:tcW w:w="1167" w:type="dxa"/>
            <w:shd w:val="clear" w:color="auto" w:fill="auto"/>
            <w:vAlign w:val="top"/>
          </w:tcPr>
          <w:p w14:paraId="0CE3A5BC">
            <w:pPr>
              <w:spacing w:before="132" w:line="221" w:lineRule="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4"/>
                <w:sz w:val="24"/>
                <w:szCs w:val="24"/>
              </w:rPr>
              <w:t>建设单位</w:t>
            </w:r>
          </w:p>
        </w:tc>
        <w:tc>
          <w:tcPr>
            <w:tcW w:w="1183" w:type="dxa"/>
            <w:shd w:val="clear" w:color="auto" w:fill="auto"/>
            <w:vAlign w:val="top"/>
          </w:tcPr>
          <w:p w14:paraId="6BB67D14">
            <w:pPr>
              <w:spacing w:before="132" w:line="221" w:lineRule="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pacing w:val="-5"/>
                <w:sz w:val="24"/>
                <w:szCs w:val="24"/>
              </w:rPr>
              <w:t>投标单位</w:t>
            </w:r>
          </w:p>
        </w:tc>
        <w:tc>
          <w:tcPr>
            <w:tcW w:w="757" w:type="dxa"/>
            <w:shd w:val="clear" w:color="auto" w:fill="auto"/>
            <w:vAlign w:val="top"/>
          </w:tcPr>
          <w:p w14:paraId="40D47AFD">
            <w:pPr>
              <w:spacing w:before="131" w:line="222" w:lineRule="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7"/>
                <w:sz w:val="24"/>
                <w:szCs w:val="24"/>
              </w:rPr>
              <w:t>备注</w:t>
            </w:r>
          </w:p>
        </w:tc>
      </w:tr>
      <w:tr w14:paraId="575C6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03CFDCB5">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一、基坑支护</w:t>
            </w:r>
          </w:p>
        </w:tc>
        <w:tc>
          <w:tcPr>
            <w:tcW w:w="1167" w:type="dxa"/>
            <w:shd w:val="clear" w:color="auto" w:fill="auto"/>
            <w:vAlign w:val="center"/>
          </w:tcPr>
          <w:p w14:paraId="021CB380">
            <w:pPr>
              <w:jc w:val="center"/>
              <w:rPr>
                <w:rFonts w:hint="eastAsia" w:ascii="宋体" w:hAnsi="宋体" w:eastAsia="宋体" w:cs="宋体"/>
                <w:color w:val="auto"/>
                <w:lang w:val="en-US" w:eastAsia="zh-CN"/>
              </w:rPr>
            </w:pPr>
            <w:r>
              <w:rPr>
                <w:rFonts w:hint="eastAsia" w:ascii="宋体" w:hAnsi="宋体" w:eastAsia="宋体" w:cs="宋体"/>
                <w:color w:val="auto"/>
              </w:rPr>
              <w:t xml:space="preserve">( </w:t>
            </w:r>
            <w:r>
              <w:rPr>
                <w:rFonts w:hint="eastAsia" w:ascii="宋体" w:hAnsi="宋体" w:eastAsia="宋体" w:cs="宋体"/>
                <w:color w:val="auto"/>
                <w:lang w:val="en-US" w:eastAsia="zh-CN"/>
              </w:rPr>
              <w:t xml:space="preserve">  </w:t>
            </w:r>
            <w:r>
              <w:rPr>
                <w:rFonts w:hint="eastAsia" w:ascii="宋体" w:hAnsi="宋体" w:eastAsia="宋体" w:cs="宋体"/>
                <w:color w:val="auto"/>
              </w:rPr>
              <w:t xml:space="preserve"> )</w:t>
            </w:r>
          </w:p>
        </w:tc>
        <w:tc>
          <w:tcPr>
            <w:tcW w:w="1183" w:type="dxa"/>
            <w:shd w:val="clear" w:color="auto" w:fill="auto"/>
            <w:vAlign w:val="center"/>
          </w:tcPr>
          <w:p w14:paraId="7776A6A0">
            <w:pPr>
              <w:jc w:val="center"/>
              <w:rPr>
                <w:rFonts w:hint="eastAsia" w:ascii="宋体" w:hAnsi="宋体" w:eastAsia="宋体" w:cs="宋体"/>
                <w:color w:val="auto"/>
                <w:lang w:val="en-US" w:eastAsia="zh-CN"/>
              </w:rPr>
            </w:pPr>
            <w:r>
              <w:rPr>
                <w:rFonts w:hint="eastAsia" w:ascii="宋体" w:hAnsi="宋体" w:eastAsia="宋体" w:cs="宋体"/>
                <w:color w:val="auto"/>
              </w:rPr>
              <w:t xml:space="preserve">(  </w:t>
            </w:r>
            <w:r>
              <w:rPr>
                <w:rFonts w:hint="eastAsia" w:ascii="宋体" w:hAnsi="宋体" w:eastAsia="宋体" w:cs="宋体"/>
                <w:color w:val="auto"/>
                <w:lang w:val="en-US" w:eastAsia="zh-CN"/>
              </w:rPr>
              <w:t xml:space="preserve">  </w:t>
            </w:r>
            <w:r>
              <w:rPr>
                <w:rFonts w:hint="eastAsia" w:ascii="宋体" w:hAnsi="宋体" w:eastAsia="宋体" w:cs="宋体"/>
                <w:color w:val="auto"/>
              </w:rPr>
              <w:t>)</w:t>
            </w:r>
          </w:p>
        </w:tc>
        <w:tc>
          <w:tcPr>
            <w:tcW w:w="757" w:type="dxa"/>
            <w:shd w:val="clear" w:color="auto" w:fill="auto"/>
            <w:vAlign w:val="center"/>
          </w:tcPr>
          <w:p w14:paraId="0A803491">
            <w:pPr>
              <w:jc w:val="center"/>
              <w:rPr>
                <w:rFonts w:hint="eastAsia" w:ascii="宋体" w:hAnsi="宋体" w:eastAsia="宋体" w:cs="宋体"/>
                <w:color w:val="auto"/>
                <w:lang w:val="en-US" w:eastAsia="zh-CN"/>
              </w:rPr>
            </w:pPr>
          </w:p>
        </w:tc>
      </w:tr>
      <w:tr w14:paraId="1C5D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2DF44BA6">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（一）开挖深度超过3m（含3m）的基坑（槽）的土方开挖、支护、降水工程。</w:t>
            </w:r>
          </w:p>
        </w:tc>
        <w:tc>
          <w:tcPr>
            <w:tcW w:w="1167" w:type="dxa"/>
            <w:shd w:val="clear" w:color="auto" w:fill="auto"/>
            <w:vAlign w:val="center"/>
          </w:tcPr>
          <w:p w14:paraId="7893F190">
            <w:pPr>
              <w:jc w:val="center"/>
              <w:rPr>
                <w:rFonts w:hint="eastAsia" w:ascii="宋体" w:hAnsi="宋体" w:eastAsia="宋体" w:cs="宋体"/>
                <w:color w:val="auto"/>
                <w:lang w:val="en-US" w:eastAsia="zh-CN"/>
              </w:rPr>
            </w:pPr>
            <w:r>
              <w:rPr>
                <w:rFonts w:hint="eastAsia" w:ascii="宋体" w:hAnsi="宋体" w:eastAsia="宋体" w:cs="宋体"/>
                <w:color w:val="auto"/>
              </w:rPr>
              <w:t xml:space="preserve">( </w:t>
            </w:r>
            <w:r>
              <w:rPr>
                <w:rFonts w:hint="eastAsia" w:ascii="宋体" w:hAnsi="宋体" w:eastAsia="宋体" w:cs="宋体"/>
                <w:color w:val="auto"/>
                <w:lang w:eastAsia="zh-CN"/>
              </w:rPr>
              <w:t>√</w:t>
            </w:r>
            <w:r>
              <w:rPr>
                <w:rFonts w:hint="eastAsia" w:ascii="宋体" w:hAnsi="宋体" w:eastAsia="宋体" w:cs="宋体"/>
                <w:color w:val="auto"/>
              </w:rPr>
              <w:t xml:space="preserve"> )</w:t>
            </w:r>
          </w:p>
        </w:tc>
        <w:tc>
          <w:tcPr>
            <w:tcW w:w="1183" w:type="dxa"/>
            <w:shd w:val="clear" w:color="auto" w:fill="auto"/>
            <w:vAlign w:val="center"/>
          </w:tcPr>
          <w:p w14:paraId="40AB7480">
            <w:pPr>
              <w:jc w:val="center"/>
              <w:rPr>
                <w:rFonts w:hint="eastAsia" w:ascii="宋体" w:hAnsi="宋体" w:eastAsia="宋体" w:cs="宋体"/>
                <w:color w:val="auto"/>
                <w:lang w:val="en-US" w:eastAsia="zh-CN"/>
              </w:rPr>
            </w:pPr>
            <w:r>
              <w:rPr>
                <w:rFonts w:hint="eastAsia" w:ascii="宋体" w:hAnsi="宋体" w:eastAsia="宋体" w:cs="宋体"/>
                <w:color w:val="auto"/>
              </w:rPr>
              <w:t xml:space="preserve">( </w:t>
            </w:r>
            <w:r>
              <w:rPr>
                <w:rFonts w:hint="eastAsia" w:ascii="宋体" w:hAnsi="宋体" w:eastAsia="宋体" w:cs="宋体"/>
                <w:color w:val="auto"/>
                <w:lang w:val="en-US" w:eastAsia="zh-CN"/>
              </w:rPr>
              <w:t xml:space="preserve">  </w:t>
            </w:r>
            <w:r>
              <w:rPr>
                <w:rFonts w:hint="eastAsia" w:ascii="宋体" w:hAnsi="宋体" w:eastAsia="宋体" w:cs="宋体"/>
                <w:color w:val="auto"/>
              </w:rPr>
              <w:t xml:space="preserve"> )</w:t>
            </w:r>
          </w:p>
        </w:tc>
        <w:tc>
          <w:tcPr>
            <w:tcW w:w="757" w:type="dxa"/>
            <w:shd w:val="clear" w:color="auto" w:fill="auto"/>
            <w:vAlign w:val="center"/>
          </w:tcPr>
          <w:p w14:paraId="07A221DB">
            <w:pPr>
              <w:jc w:val="center"/>
              <w:rPr>
                <w:rFonts w:hint="eastAsia" w:ascii="宋体" w:hAnsi="宋体" w:eastAsia="宋体" w:cs="宋体"/>
                <w:color w:val="auto"/>
                <w:lang w:val="en-US" w:eastAsia="zh-CN"/>
              </w:rPr>
            </w:pPr>
          </w:p>
        </w:tc>
      </w:tr>
      <w:tr w14:paraId="09656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133154EF">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开挖深度虽未超过3m，但地质条件、周围环境和地下管线复杂，或影响毗邻建、构筑 物安全的基坑（槽）的土方开挖、支护、降水工程。</w:t>
            </w:r>
          </w:p>
        </w:tc>
        <w:tc>
          <w:tcPr>
            <w:tcW w:w="1167" w:type="dxa"/>
            <w:shd w:val="clear" w:color="auto" w:fill="auto"/>
            <w:vAlign w:val="center"/>
          </w:tcPr>
          <w:p w14:paraId="56692330">
            <w:pPr>
              <w:jc w:val="center"/>
              <w:rPr>
                <w:rFonts w:hint="eastAsia" w:ascii="宋体" w:hAnsi="宋体" w:eastAsia="宋体" w:cs="宋体"/>
                <w:color w:val="auto"/>
                <w:lang w:val="en-US" w:eastAsia="zh-CN"/>
              </w:rPr>
            </w:pPr>
            <w:r>
              <w:rPr>
                <w:rFonts w:hint="eastAsia" w:ascii="宋体" w:hAnsi="宋体" w:eastAsia="宋体" w:cs="宋体"/>
                <w:color w:val="auto"/>
              </w:rPr>
              <w:t xml:space="preserve">( </w:t>
            </w:r>
            <w:r>
              <w:rPr>
                <w:rFonts w:hint="eastAsia" w:ascii="宋体" w:hAnsi="宋体" w:eastAsia="宋体" w:cs="宋体"/>
                <w:color w:val="auto"/>
                <w:lang w:eastAsia="zh-CN"/>
              </w:rPr>
              <w:t>√</w:t>
            </w:r>
            <w:r>
              <w:rPr>
                <w:rFonts w:hint="eastAsia" w:ascii="宋体" w:hAnsi="宋体" w:eastAsia="宋体" w:cs="宋体"/>
                <w:color w:val="auto"/>
              </w:rPr>
              <w:t xml:space="preserve"> )</w:t>
            </w:r>
          </w:p>
        </w:tc>
        <w:tc>
          <w:tcPr>
            <w:tcW w:w="1183" w:type="dxa"/>
            <w:shd w:val="clear" w:color="auto" w:fill="auto"/>
            <w:vAlign w:val="center"/>
          </w:tcPr>
          <w:p w14:paraId="1A77464C">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2063E134">
            <w:pPr>
              <w:jc w:val="center"/>
              <w:rPr>
                <w:rFonts w:hint="eastAsia" w:ascii="宋体" w:hAnsi="宋体" w:eastAsia="宋体" w:cs="宋体"/>
                <w:color w:val="auto"/>
                <w:lang w:val="en-US" w:eastAsia="zh-CN"/>
              </w:rPr>
            </w:pPr>
          </w:p>
        </w:tc>
      </w:tr>
      <w:tr w14:paraId="4BFF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1741D0D1">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二、模板工程及支撑体系</w:t>
            </w:r>
          </w:p>
        </w:tc>
        <w:tc>
          <w:tcPr>
            <w:tcW w:w="1167" w:type="dxa"/>
            <w:shd w:val="clear" w:color="auto" w:fill="auto"/>
            <w:vAlign w:val="center"/>
          </w:tcPr>
          <w:p w14:paraId="595BD9EC">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1183" w:type="dxa"/>
            <w:shd w:val="clear" w:color="auto" w:fill="auto"/>
            <w:vAlign w:val="center"/>
          </w:tcPr>
          <w:p w14:paraId="2B41D6D9">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62337DB8">
            <w:pPr>
              <w:jc w:val="center"/>
              <w:rPr>
                <w:rFonts w:hint="eastAsia" w:ascii="宋体" w:hAnsi="宋体" w:eastAsia="宋体" w:cs="宋体"/>
                <w:color w:val="auto"/>
                <w:lang w:val="en-US" w:eastAsia="zh-CN"/>
              </w:rPr>
            </w:pPr>
          </w:p>
        </w:tc>
      </w:tr>
      <w:tr w14:paraId="37A6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4801BBD2">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（一）各类工具式模板工程：包括滑模、爬模、飞模、隧道模等工程。</w:t>
            </w:r>
          </w:p>
        </w:tc>
        <w:tc>
          <w:tcPr>
            <w:tcW w:w="1167" w:type="dxa"/>
            <w:shd w:val="clear" w:color="auto" w:fill="auto"/>
            <w:vAlign w:val="center"/>
          </w:tcPr>
          <w:p w14:paraId="6F98CFF8">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1183" w:type="dxa"/>
            <w:shd w:val="clear" w:color="auto" w:fill="auto"/>
            <w:vAlign w:val="center"/>
          </w:tcPr>
          <w:p w14:paraId="6D7DBC7B">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01052656">
            <w:pPr>
              <w:jc w:val="center"/>
              <w:rPr>
                <w:rFonts w:hint="eastAsia" w:ascii="宋体" w:hAnsi="宋体" w:eastAsia="宋体" w:cs="宋体"/>
                <w:color w:val="auto"/>
                <w:lang w:val="en-US" w:eastAsia="zh-CN"/>
              </w:rPr>
            </w:pPr>
          </w:p>
        </w:tc>
      </w:tr>
      <w:tr w14:paraId="1492B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2F37A806">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二）混凝土模板支撑工程：搭设高度5m及以上，或搭设跨度10m及以上，或施工总荷载（荷载效应基本组合的设计值，以下简称设计值）10kN/m2及以上，或集中线荷载（设计值）15kN/m及以上，或高度大于支撑水平投影宽度且相对独立无联系构件的混凝土模板支撑工程。</w:t>
            </w:r>
          </w:p>
        </w:tc>
        <w:tc>
          <w:tcPr>
            <w:tcW w:w="1167" w:type="dxa"/>
            <w:shd w:val="clear" w:color="auto" w:fill="auto"/>
            <w:vAlign w:val="center"/>
          </w:tcPr>
          <w:p w14:paraId="3B3D4E83">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1183" w:type="dxa"/>
            <w:shd w:val="clear" w:color="auto" w:fill="auto"/>
            <w:vAlign w:val="center"/>
          </w:tcPr>
          <w:p w14:paraId="6DF857EF">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7EF8C924">
            <w:pPr>
              <w:jc w:val="center"/>
              <w:rPr>
                <w:rFonts w:hint="eastAsia" w:ascii="宋体" w:hAnsi="宋体" w:eastAsia="宋体" w:cs="宋体"/>
                <w:color w:val="auto"/>
                <w:lang w:val="en-US" w:eastAsia="zh-CN"/>
              </w:rPr>
            </w:pPr>
          </w:p>
        </w:tc>
      </w:tr>
      <w:tr w14:paraId="3C24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4D784C7D">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（三）承重支撑体系：用于钢结构安装等满堂支撑体系。</w:t>
            </w:r>
          </w:p>
        </w:tc>
        <w:tc>
          <w:tcPr>
            <w:tcW w:w="1167" w:type="dxa"/>
            <w:shd w:val="clear" w:color="auto" w:fill="auto"/>
            <w:vAlign w:val="center"/>
          </w:tcPr>
          <w:p w14:paraId="45F67D87">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1183" w:type="dxa"/>
            <w:shd w:val="clear" w:color="auto" w:fill="auto"/>
            <w:vAlign w:val="center"/>
          </w:tcPr>
          <w:p w14:paraId="532F874C">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7A9F48B4">
            <w:pPr>
              <w:jc w:val="center"/>
              <w:rPr>
                <w:rFonts w:hint="eastAsia" w:ascii="宋体" w:hAnsi="宋体" w:eastAsia="宋体" w:cs="宋体"/>
                <w:color w:val="auto"/>
                <w:lang w:val="en-US" w:eastAsia="zh-CN"/>
              </w:rPr>
            </w:pPr>
          </w:p>
        </w:tc>
      </w:tr>
      <w:tr w14:paraId="759B8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00E866A3">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三、起重吊装及起重机械安装拆卸工程</w:t>
            </w:r>
          </w:p>
        </w:tc>
        <w:tc>
          <w:tcPr>
            <w:tcW w:w="1167" w:type="dxa"/>
            <w:shd w:val="clear" w:color="auto" w:fill="auto"/>
            <w:vAlign w:val="center"/>
          </w:tcPr>
          <w:p w14:paraId="16A5DB8E">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1183" w:type="dxa"/>
            <w:shd w:val="clear" w:color="auto" w:fill="auto"/>
            <w:vAlign w:val="center"/>
          </w:tcPr>
          <w:p w14:paraId="0CE17EF6">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712B4EF9">
            <w:pPr>
              <w:jc w:val="center"/>
              <w:rPr>
                <w:rFonts w:hint="eastAsia" w:ascii="宋体" w:hAnsi="宋体" w:eastAsia="宋体" w:cs="宋体"/>
                <w:color w:val="auto"/>
                <w:lang w:val="en-US" w:eastAsia="zh-CN"/>
              </w:rPr>
            </w:pPr>
          </w:p>
        </w:tc>
      </w:tr>
      <w:tr w14:paraId="15E2C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2291199A">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（一）采用非常规起重设备、方法，且单件起吊重量在10kN及以上的起重吊装工程。</w:t>
            </w:r>
          </w:p>
        </w:tc>
        <w:tc>
          <w:tcPr>
            <w:tcW w:w="1167" w:type="dxa"/>
            <w:shd w:val="clear" w:color="auto" w:fill="auto"/>
            <w:vAlign w:val="center"/>
          </w:tcPr>
          <w:p w14:paraId="6D2955FD">
            <w:pPr>
              <w:jc w:val="center"/>
              <w:rPr>
                <w:rFonts w:hint="eastAsia" w:ascii="宋体" w:hAnsi="宋体" w:eastAsia="宋体" w:cs="宋体"/>
                <w:color w:val="auto"/>
                <w:lang w:val="en-US" w:eastAsia="zh-CN"/>
              </w:rPr>
            </w:pPr>
            <w:r>
              <w:rPr>
                <w:rFonts w:hint="eastAsia" w:ascii="宋体" w:hAnsi="宋体" w:eastAsia="宋体" w:cs="宋体"/>
                <w:color w:val="auto"/>
              </w:rPr>
              <w:t xml:space="preserve">( </w:t>
            </w:r>
            <w:r>
              <w:rPr>
                <w:rFonts w:hint="eastAsia" w:ascii="宋体" w:hAnsi="宋体" w:eastAsia="宋体" w:cs="宋体"/>
                <w:color w:val="auto"/>
                <w:lang w:eastAsia="zh-CN"/>
              </w:rPr>
              <w:t>√</w:t>
            </w:r>
            <w:r>
              <w:rPr>
                <w:rFonts w:hint="eastAsia" w:ascii="宋体" w:hAnsi="宋体" w:eastAsia="宋体" w:cs="宋体"/>
                <w:color w:val="auto"/>
              </w:rPr>
              <w:t xml:space="preserve"> )</w:t>
            </w:r>
          </w:p>
        </w:tc>
        <w:tc>
          <w:tcPr>
            <w:tcW w:w="1183" w:type="dxa"/>
            <w:shd w:val="clear" w:color="auto" w:fill="auto"/>
            <w:vAlign w:val="center"/>
          </w:tcPr>
          <w:p w14:paraId="3030A6D3">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7320E69C">
            <w:pPr>
              <w:jc w:val="center"/>
              <w:rPr>
                <w:rFonts w:hint="eastAsia" w:ascii="宋体" w:hAnsi="宋体" w:eastAsia="宋体" w:cs="宋体"/>
                <w:color w:val="auto"/>
                <w:lang w:val="en-US" w:eastAsia="zh-CN"/>
              </w:rPr>
            </w:pPr>
          </w:p>
        </w:tc>
      </w:tr>
      <w:tr w14:paraId="603EA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1A5D3975">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（二）采用起重机械进行安装的工程。</w:t>
            </w:r>
          </w:p>
        </w:tc>
        <w:tc>
          <w:tcPr>
            <w:tcW w:w="1167" w:type="dxa"/>
            <w:shd w:val="clear" w:color="auto" w:fill="auto"/>
            <w:vAlign w:val="center"/>
          </w:tcPr>
          <w:p w14:paraId="4BE9E927">
            <w:pPr>
              <w:jc w:val="center"/>
              <w:rPr>
                <w:rFonts w:hint="eastAsia" w:ascii="宋体" w:hAnsi="宋体" w:eastAsia="宋体" w:cs="宋体"/>
                <w:color w:val="auto"/>
                <w:lang w:val="en-US" w:eastAsia="zh-CN"/>
              </w:rPr>
            </w:pPr>
            <w:r>
              <w:rPr>
                <w:rFonts w:hint="eastAsia" w:ascii="宋体" w:hAnsi="宋体" w:eastAsia="宋体" w:cs="宋体"/>
                <w:color w:val="auto"/>
              </w:rPr>
              <w:t xml:space="preserve">( </w:t>
            </w:r>
            <w:r>
              <w:rPr>
                <w:rFonts w:hint="eastAsia" w:ascii="宋体" w:hAnsi="宋体" w:eastAsia="宋体" w:cs="宋体"/>
                <w:color w:val="auto"/>
                <w:lang w:eastAsia="zh-CN"/>
              </w:rPr>
              <w:t>√</w:t>
            </w:r>
            <w:r>
              <w:rPr>
                <w:rFonts w:hint="eastAsia" w:ascii="宋体" w:hAnsi="宋体" w:eastAsia="宋体" w:cs="宋体"/>
                <w:color w:val="auto"/>
              </w:rPr>
              <w:t xml:space="preserve"> )</w:t>
            </w:r>
          </w:p>
        </w:tc>
        <w:tc>
          <w:tcPr>
            <w:tcW w:w="1183" w:type="dxa"/>
            <w:shd w:val="clear" w:color="auto" w:fill="auto"/>
            <w:vAlign w:val="center"/>
          </w:tcPr>
          <w:p w14:paraId="41470261">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7B28BD21">
            <w:pPr>
              <w:jc w:val="center"/>
              <w:rPr>
                <w:rFonts w:hint="eastAsia" w:ascii="宋体" w:hAnsi="宋体" w:eastAsia="宋体" w:cs="宋体"/>
                <w:color w:val="auto"/>
                <w:lang w:val="en-US" w:eastAsia="zh-CN"/>
              </w:rPr>
            </w:pPr>
          </w:p>
        </w:tc>
      </w:tr>
      <w:tr w14:paraId="473A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00DC607B">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（三）起重机械安装和拆卸工程。</w:t>
            </w:r>
          </w:p>
        </w:tc>
        <w:tc>
          <w:tcPr>
            <w:tcW w:w="1167" w:type="dxa"/>
            <w:shd w:val="clear" w:color="auto" w:fill="auto"/>
            <w:vAlign w:val="center"/>
          </w:tcPr>
          <w:p w14:paraId="4793A560">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1183" w:type="dxa"/>
            <w:shd w:val="clear" w:color="auto" w:fill="auto"/>
            <w:vAlign w:val="center"/>
          </w:tcPr>
          <w:p w14:paraId="7985F24C">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2D03FAAD">
            <w:pPr>
              <w:jc w:val="center"/>
              <w:rPr>
                <w:rFonts w:hint="eastAsia" w:ascii="宋体" w:hAnsi="宋体" w:eastAsia="宋体" w:cs="宋体"/>
                <w:color w:val="auto"/>
                <w:lang w:val="en-US" w:eastAsia="zh-CN"/>
              </w:rPr>
            </w:pPr>
          </w:p>
        </w:tc>
      </w:tr>
      <w:tr w14:paraId="4A88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52C8FFA0">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四、脚手架工程</w:t>
            </w:r>
          </w:p>
        </w:tc>
        <w:tc>
          <w:tcPr>
            <w:tcW w:w="1167" w:type="dxa"/>
            <w:shd w:val="clear" w:color="auto" w:fill="auto"/>
            <w:vAlign w:val="center"/>
          </w:tcPr>
          <w:p w14:paraId="432A8B67">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1183" w:type="dxa"/>
            <w:shd w:val="clear" w:color="auto" w:fill="auto"/>
            <w:vAlign w:val="center"/>
          </w:tcPr>
          <w:p w14:paraId="64C2B0F6">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2CA404F0">
            <w:pPr>
              <w:jc w:val="center"/>
              <w:rPr>
                <w:rFonts w:hint="eastAsia" w:ascii="宋体" w:hAnsi="宋体" w:eastAsia="宋体" w:cs="宋体"/>
                <w:color w:val="auto"/>
                <w:lang w:val="en-US" w:eastAsia="zh-CN"/>
              </w:rPr>
            </w:pPr>
          </w:p>
        </w:tc>
      </w:tr>
      <w:tr w14:paraId="6497F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35BEC21B">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（一）搭设高度24m及以上的落地式钢管脚手架工程（包括采光井、电梯井脚手架）。</w:t>
            </w:r>
          </w:p>
        </w:tc>
        <w:tc>
          <w:tcPr>
            <w:tcW w:w="1167" w:type="dxa"/>
            <w:shd w:val="clear" w:color="auto" w:fill="auto"/>
            <w:vAlign w:val="center"/>
          </w:tcPr>
          <w:p w14:paraId="12DAC8F7">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1183" w:type="dxa"/>
            <w:shd w:val="clear" w:color="auto" w:fill="auto"/>
            <w:vAlign w:val="center"/>
          </w:tcPr>
          <w:p w14:paraId="76D995BB">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781C23F7">
            <w:pPr>
              <w:jc w:val="center"/>
              <w:rPr>
                <w:rFonts w:hint="eastAsia" w:ascii="宋体" w:hAnsi="宋体" w:eastAsia="宋体" w:cs="宋体"/>
                <w:color w:val="auto"/>
                <w:lang w:val="en-US" w:eastAsia="zh-CN"/>
              </w:rPr>
            </w:pPr>
          </w:p>
        </w:tc>
      </w:tr>
      <w:tr w14:paraId="2848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00E8A2F4">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（二）附着式升降脚手架工程。</w:t>
            </w:r>
          </w:p>
        </w:tc>
        <w:tc>
          <w:tcPr>
            <w:tcW w:w="1167" w:type="dxa"/>
            <w:shd w:val="clear" w:color="auto" w:fill="auto"/>
            <w:vAlign w:val="center"/>
          </w:tcPr>
          <w:p w14:paraId="3780A491">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1183" w:type="dxa"/>
            <w:shd w:val="clear" w:color="auto" w:fill="auto"/>
            <w:vAlign w:val="center"/>
          </w:tcPr>
          <w:p w14:paraId="1F79CD19">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7D48EBCE">
            <w:pPr>
              <w:jc w:val="center"/>
              <w:rPr>
                <w:rFonts w:hint="eastAsia" w:ascii="宋体" w:hAnsi="宋体" w:eastAsia="宋体" w:cs="宋体"/>
                <w:color w:val="auto"/>
                <w:lang w:val="en-US" w:eastAsia="zh-CN"/>
              </w:rPr>
            </w:pPr>
          </w:p>
        </w:tc>
      </w:tr>
      <w:tr w14:paraId="34AE4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52737F09">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（三）悬挑式脚手架工程。</w:t>
            </w:r>
          </w:p>
        </w:tc>
        <w:tc>
          <w:tcPr>
            <w:tcW w:w="1167" w:type="dxa"/>
            <w:shd w:val="clear" w:color="auto" w:fill="auto"/>
            <w:vAlign w:val="center"/>
          </w:tcPr>
          <w:p w14:paraId="4F0A14AB">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1183" w:type="dxa"/>
            <w:shd w:val="clear" w:color="auto" w:fill="auto"/>
            <w:vAlign w:val="center"/>
          </w:tcPr>
          <w:p w14:paraId="7C4B3992">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279DD875">
            <w:pPr>
              <w:jc w:val="center"/>
              <w:rPr>
                <w:rFonts w:hint="eastAsia" w:ascii="宋体" w:hAnsi="宋体" w:eastAsia="宋体" w:cs="宋体"/>
                <w:color w:val="auto"/>
                <w:lang w:val="en-US" w:eastAsia="zh-CN"/>
              </w:rPr>
            </w:pPr>
          </w:p>
        </w:tc>
      </w:tr>
      <w:tr w14:paraId="21F8C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27A69E8C">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（四）高处作业吊篮。</w:t>
            </w:r>
          </w:p>
        </w:tc>
        <w:tc>
          <w:tcPr>
            <w:tcW w:w="1167" w:type="dxa"/>
            <w:shd w:val="clear" w:color="auto" w:fill="auto"/>
            <w:vAlign w:val="center"/>
          </w:tcPr>
          <w:p w14:paraId="674D3520">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1183" w:type="dxa"/>
            <w:shd w:val="clear" w:color="auto" w:fill="auto"/>
            <w:vAlign w:val="center"/>
          </w:tcPr>
          <w:p w14:paraId="05099EAC">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0B399199">
            <w:pPr>
              <w:jc w:val="center"/>
              <w:rPr>
                <w:rFonts w:hint="eastAsia" w:ascii="宋体" w:hAnsi="宋体" w:eastAsia="宋体" w:cs="宋体"/>
                <w:color w:val="auto"/>
                <w:lang w:val="en-US" w:eastAsia="zh-CN"/>
              </w:rPr>
            </w:pPr>
          </w:p>
        </w:tc>
      </w:tr>
      <w:tr w14:paraId="31811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7EDFD4ED">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（五）卸料平台、操作平台工程。</w:t>
            </w:r>
          </w:p>
        </w:tc>
        <w:tc>
          <w:tcPr>
            <w:tcW w:w="1167" w:type="dxa"/>
            <w:shd w:val="clear" w:color="auto" w:fill="auto"/>
            <w:vAlign w:val="center"/>
          </w:tcPr>
          <w:p w14:paraId="319ECD83">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1183" w:type="dxa"/>
            <w:shd w:val="clear" w:color="auto" w:fill="auto"/>
            <w:vAlign w:val="center"/>
          </w:tcPr>
          <w:p w14:paraId="08F11D09">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6F822F88">
            <w:pPr>
              <w:jc w:val="center"/>
              <w:rPr>
                <w:rFonts w:hint="eastAsia" w:ascii="宋体" w:hAnsi="宋体" w:eastAsia="宋体" w:cs="宋体"/>
                <w:color w:val="auto"/>
                <w:lang w:val="en-US" w:eastAsia="zh-CN"/>
              </w:rPr>
            </w:pPr>
          </w:p>
        </w:tc>
      </w:tr>
      <w:tr w14:paraId="15FE8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59DCED7E">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（六）异型脚手架工程。</w:t>
            </w:r>
          </w:p>
        </w:tc>
        <w:tc>
          <w:tcPr>
            <w:tcW w:w="1167" w:type="dxa"/>
            <w:shd w:val="clear" w:color="auto" w:fill="auto"/>
            <w:vAlign w:val="center"/>
          </w:tcPr>
          <w:p w14:paraId="4854BB83">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1183" w:type="dxa"/>
            <w:shd w:val="clear" w:color="auto" w:fill="auto"/>
            <w:vAlign w:val="center"/>
          </w:tcPr>
          <w:p w14:paraId="77953381">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00EF2C59">
            <w:pPr>
              <w:jc w:val="center"/>
              <w:rPr>
                <w:rFonts w:hint="eastAsia" w:ascii="宋体" w:hAnsi="宋体" w:eastAsia="宋体" w:cs="宋体"/>
                <w:color w:val="auto"/>
                <w:lang w:val="en-US" w:eastAsia="zh-CN"/>
              </w:rPr>
            </w:pPr>
          </w:p>
        </w:tc>
      </w:tr>
      <w:tr w14:paraId="3C4A9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67106069">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五、拆除工程</w:t>
            </w:r>
          </w:p>
        </w:tc>
        <w:tc>
          <w:tcPr>
            <w:tcW w:w="1167" w:type="dxa"/>
            <w:shd w:val="clear" w:color="auto" w:fill="auto"/>
            <w:vAlign w:val="center"/>
          </w:tcPr>
          <w:p w14:paraId="3033C11D">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1183" w:type="dxa"/>
            <w:shd w:val="clear" w:color="auto" w:fill="auto"/>
            <w:vAlign w:val="center"/>
          </w:tcPr>
          <w:p w14:paraId="13191EB3">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43E2D8C7">
            <w:pPr>
              <w:jc w:val="center"/>
              <w:rPr>
                <w:rFonts w:hint="eastAsia" w:ascii="宋体" w:hAnsi="宋体" w:eastAsia="宋体" w:cs="宋体"/>
                <w:color w:val="auto"/>
                <w:lang w:val="en-US" w:eastAsia="zh-CN"/>
              </w:rPr>
            </w:pPr>
          </w:p>
        </w:tc>
      </w:tr>
      <w:tr w14:paraId="1FE7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69FC973F">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可能影响行人、交通、电力设施、通讯设施或 其它建、构筑物安全的拆除工程。</w:t>
            </w:r>
          </w:p>
        </w:tc>
        <w:tc>
          <w:tcPr>
            <w:tcW w:w="1167" w:type="dxa"/>
            <w:shd w:val="clear" w:color="auto" w:fill="auto"/>
            <w:vAlign w:val="center"/>
          </w:tcPr>
          <w:p w14:paraId="4A420D89">
            <w:pPr>
              <w:jc w:val="center"/>
              <w:rPr>
                <w:rFonts w:hint="eastAsia" w:ascii="宋体" w:hAnsi="宋体" w:eastAsia="宋体" w:cs="宋体"/>
                <w:color w:val="auto"/>
                <w:lang w:val="en-US" w:eastAsia="zh-CN"/>
              </w:rPr>
            </w:pPr>
            <w:r>
              <w:rPr>
                <w:rFonts w:hint="eastAsia" w:ascii="宋体" w:hAnsi="宋体" w:eastAsia="宋体" w:cs="宋体"/>
                <w:color w:val="auto"/>
              </w:rPr>
              <w:t xml:space="preserve">( </w:t>
            </w:r>
            <w:r>
              <w:rPr>
                <w:rFonts w:hint="eastAsia" w:ascii="宋体" w:hAnsi="宋体" w:eastAsia="宋体" w:cs="宋体"/>
                <w:color w:val="auto"/>
                <w:lang w:eastAsia="zh-CN"/>
              </w:rPr>
              <w:t>√</w:t>
            </w:r>
            <w:r>
              <w:rPr>
                <w:rFonts w:hint="eastAsia" w:ascii="宋体" w:hAnsi="宋体" w:eastAsia="宋体" w:cs="宋体"/>
                <w:color w:val="auto"/>
              </w:rPr>
              <w:t xml:space="preserve"> )</w:t>
            </w:r>
          </w:p>
        </w:tc>
        <w:tc>
          <w:tcPr>
            <w:tcW w:w="1183" w:type="dxa"/>
            <w:shd w:val="clear" w:color="auto" w:fill="auto"/>
            <w:vAlign w:val="center"/>
          </w:tcPr>
          <w:p w14:paraId="75E58440">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06751B8B">
            <w:pPr>
              <w:jc w:val="center"/>
              <w:rPr>
                <w:rFonts w:hint="eastAsia" w:ascii="宋体" w:hAnsi="宋体" w:eastAsia="宋体" w:cs="宋体"/>
                <w:color w:val="auto"/>
                <w:lang w:val="en-US" w:eastAsia="zh-CN"/>
              </w:rPr>
            </w:pPr>
          </w:p>
        </w:tc>
      </w:tr>
      <w:tr w14:paraId="6B4F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2FFCE230">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六、暗挖工程</w:t>
            </w:r>
          </w:p>
        </w:tc>
        <w:tc>
          <w:tcPr>
            <w:tcW w:w="1167" w:type="dxa"/>
            <w:shd w:val="clear" w:color="auto" w:fill="auto"/>
            <w:vAlign w:val="center"/>
          </w:tcPr>
          <w:p w14:paraId="25411F49">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1183" w:type="dxa"/>
            <w:shd w:val="clear" w:color="auto" w:fill="auto"/>
            <w:vAlign w:val="center"/>
          </w:tcPr>
          <w:p w14:paraId="52933AD1">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3784B0CD">
            <w:pPr>
              <w:jc w:val="center"/>
              <w:rPr>
                <w:rFonts w:hint="eastAsia" w:ascii="宋体" w:hAnsi="宋体" w:eastAsia="宋体" w:cs="宋体"/>
                <w:color w:val="auto"/>
                <w:lang w:val="en-US" w:eastAsia="zh-CN"/>
              </w:rPr>
            </w:pPr>
          </w:p>
        </w:tc>
      </w:tr>
      <w:tr w14:paraId="6FCD4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2A07DF88">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采用矿山法、盾构法、顶管法施工的隧道、洞室工程。</w:t>
            </w:r>
          </w:p>
        </w:tc>
        <w:tc>
          <w:tcPr>
            <w:tcW w:w="1167" w:type="dxa"/>
            <w:shd w:val="clear" w:color="auto" w:fill="auto"/>
            <w:vAlign w:val="center"/>
          </w:tcPr>
          <w:p w14:paraId="32F0E2CD">
            <w:pPr>
              <w:jc w:val="center"/>
              <w:rPr>
                <w:rFonts w:hint="eastAsia" w:ascii="宋体" w:hAnsi="宋体" w:eastAsia="宋体" w:cs="宋体"/>
                <w:color w:val="auto"/>
                <w:lang w:val="en-US" w:eastAsia="zh-CN"/>
              </w:rPr>
            </w:pPr>
            <w:r>
              <w:rPr>
                <w:rFonts w:hint="eastAsia" w:ascii="宋体" w:hAnsi="宋体" w:eastAsia="宋体" w:cs="宋体"/>
                <w:color w:val="auto"/>
              </w:rPr>
              <w:t xml:space="preserve">( </w:t>
            </w:r>
            <w:r>
              <w:rPr>
                <w:rFonts w:hint="eastAsia" w:ascii="宋体" w:hAnsi="宋体" w:eastAsia="宋体" w:cs="宋体"/>
                <w:color w:val="auto"/>
                <w:lang w:eastAsia="zh-CN"/>
              </w:rPr>
              <w:t>√</w:t>
            </w:r>
            <w:r>
              <w:rPr>
                <w:rFonts w:hint="eastAsia" w:ascii="宋体" w:hAnsi="宋体" w:eastAsia="宋体" w:cs="宋体"/>
                <w:color w:val="auto"/>
              </w:rPr>
              <w:t xml:space="preserve"> )</w:t>
            </w:r>
          </w:p>
        </w:tc>
        <w:tc>
          <w:tcPr>
            <w:tcW w:w="1183" w:type="dxa"/>
            <w:shd w:val="clear" w:color="auto" w:fill="auto"/>
            <w:vAlign w:val="center"/>
          </w:tcPr>
          <w:p w14:paraId="3DBE2625">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2E3F4FEA">
            <w:pPr>
              <w:jc w:val="center"/>
              <w:rPr>
                <w:rFonts w:hint="eastAsia" w:ascii="宋体" w:hAnsi="宋体" w:eastAsia="宋体" w:cs="宋体"/>
                <w:color w:val="auto"/>
                <w:lang w:val="en-US" w:eastAsia="zh-CN"/>
              </w:rPr>
            </w:pPr>
          </w:p>
        </w:tc>
      </w:tr>
      <w:tr w14:paraId="42F25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652CBADA">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七、其它</w:t>
            </w:r>
          </w:p>
        </w:tc>
        <w:tc>
          <w:tcPr>
            <w:tcW w:w="1167" w:type="dxa"/>
            <w:shd w:val="clear" w:color="auto" w:fill="auto"/>
            <w:vAlign w:val="center"/>
          </w:tcPr>
          <w:p w14:paraId="577F1FBE">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1183" w:type="dxa"/>
            <w:shd w:val="clear" w:color="auto" w:fill="auto"/>
            <w:vAlign w:val="center"/>
          </w:tcPr>
          <w:p w14:paraId="1A0EBBD6">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082A2EF7">
            <w:pPr>
              <w:jc w:val="center"/>
              <w:rPr>
                <w:rFonts w:hint="eastAsia" w:ascii="宋体" w:hAnsi="宋体" w:eastAsia="宋体" w:cs="宋体"/>
                <w:color w:val="auto"/>
                <w:lang w:val="en-US" w:eastAsia="zh-CN"/>
              </w:rPr>
            </w:pPr>
          </w:p>
        </w:tc>
      </w:tr>
      <w:tr w14:paraId="5806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37C33BDC">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（一）建筑幕墙安装工程。</w:t>
            </w:r>
          </w:p>
        </w:tc>
        <w:tc>
          <w:tcPr>
            <w:tcW w:w="1167" w:type="dxa"/>
            <w:shd w:val="clear" w:color="auto" w:fill="auto"/>
            <w:vAlign w:val="center"/>
          </w:tcPr>
          <w:p w14:paraId="6059C8D1">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1183" w:type="dxa"/>
            <w:shd w:val="clear" w:color="auto" w:fill="auto"/>
            <w:vAlign w:val="center"/>
          </w:tcPr>
          <w:p w14:paraId="642A088D">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4E16506C">
            <w:pPr>
              <w:jc w:val="center"/>
              <w:rPr>
                <w:rFonts w:hint="eastAsia" w:ascii="宋体" w:hAnsi="宋体" w:eastAsia="宋体" w:cs="宋体"/>
                <w:color w:val="auto"/>
                <w:lang w:val="en-US" w:eastAsia="zh-CN"/>
              </w:rPr>
            </w:pPr>
          </w:p>
        </w:tc>
      </w:tr>
      <w:tr w14:paraId="0C1F0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296DC54B">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（二）钢结构、网架和索膜结构安装工程。</w:t>
            </w:r>
          </w:p>
        </w:tc>
        <w:tc>
          <w:tcPr>
            <w:tcW w:w="1167" w:type="dxa"/>
            <w:shd w:val="clear" w:color="auto" w:fill="auto"/>
            <w:vAlign w:val="center"/>
          </w:tcPr>
          <w:p w14:paraId="1B209182">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1183" w:type="dxa"/>
            <w:shd w:val="clear" w:color="auto" w:fill="auto"/>
            <w:vAlign w:val="center"/>
          </w:tcPr>
          <w:p w14:paraId="3961097B">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4C631D65">
            <w:pPr>
              <w:jc w:val="center"/>
              <w:rPr>
                <w:rFonts w:hint="eastAsia" w:ascii="宋体" w:hAnsi="宋体" w:eastAsia="宋体" w:cs="宋体"/>
                <w:color w:val="auto"/>
                <w:lang w:val="en-US" w:eastAsia="zh-CN"/>
              </w:rPr>
            </w:pPr>
          </w:p>
        </w:tc>
      </w:tr>
      <w:tr w14:paraId="6DBD7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4E72355C">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（三）人工挖孔桩工程。</w:t>
            </w:r>
          </w:p>
        </w:tc>
        <w:tc>
          <w:tcPr>
            <w:tcW w:w="1167" w:type="dxa"/>
            <w:shd w:val="clear" w:color="auto" w:fill="auto"/>
            <w:vAlign w:val="center"/>
          </w:tcPr>
          <w:p w14:paraId="36703706">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1183" w:type="dxa"/>
            <w:shd w:val="clear" w:color="auto" w:fill="auto"/>
            <w:vAlign w:val="center"/>
          </w:tcPr>
          <w:p w14:paraId="54DCD913">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0626195C">
            <w:pPr>
              <w:jc w:val="center"/>
              <w:rPr>
                <w:rFonts w:hint="eastAsia" w:ascii="宋体" w:hAnsi="宋体" w:eastAsia="宋体" w:cs="宋体"/>
                <w:color w:val="auto"/>
                <w:lang w:val="en-US" w:eastAsia="zh-CN"/>
              </w:rPr>
            </w:pPr>
          </w:p>
        </w:tc>
      </w:tr>
      <w:tr w14:paraId="6E24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7680CEDD">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（四）水下作业工程。</w:t>
            </w:r>
          </w:p>
        </w:tc>
        <w:tc>
          <w:tcPr>
            <w:tcW w:w="1167" w:type="dxa"/>
            <w:shd w:val="clear" w:color="auto" w:fill="auto"/>
            <w:vAlign w:val="center"/>
          </w:tcPr>
          <w:p w14:paraId="4B359056">
            <w:pPr>
              <w:jc w:val="center"/>
              <w:rPr>
                <w:rFonts w:hint="eastAsia" w:ascii="宋体" w:hAnsi="宋体" w:eastAsia="宋体" w:cs="宋体"/>
                <w:color w:val="auto"/>
                <w:lang w:val="en-US" w:eastAsia="zh-CN"/>
              </w:rPr>
            </w:pPr>
            <w:r>
              <w:rPr>
                <w:rFonts w:hint="eastAsia" w:ascii="宋体" w:hAnsi="宋体" w:eastAsia="宋体" w:cs="宋体"/>
                <w:color w:val="auto"/>
              </w:rPr>
              <w:t xml:space="preserve">( </w:t>
            </w:r>
            <w:r>
              <w:rPr>
                <w:rFonts w:hint="eastAsia" w:ascii="宋体" w:hAnsi="宋体" w:eastAsia="宋体" w:cs="宋体"/>
                <w:color w:val="auto"/>
                <w:lang w:eastAsia="zh-CN"/>
              </w:rPr>
              <w:t>√</w:t>
            </w:r>
            <w:r>
              <w:rPr>
                <w:rFonts w:hint="eastAsia" w:ascii="宋体" w:hAnsi="宋体" w:eastAsia="宋体" w:cs="宋体"/>
                <w:color w:val="auto"/>
              </w:rPr>
              <w:t xml:space="preserve"> )</w:t>
            </w:r>
          </w:p>
        </w:tc>
        <w:tc>
          <w:tcPr>
            <w:tcW w:w="1183" w:type="dxa"/>
            <w:shd w:val="clear" w:color="auto" w:fill="auto"/>
            <w:vAlign w:val="center"/>
          </w:tcPr>
          <w:p w14:paraId="3B751A48">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0FA96670">
            <w:pPr>
              <w:jc w:val="center"/>
              <w:rPr>
                <w:rFonts w:hint="eastAsia" w:ascii="宋体" w:hAnsi="宋体" w:eastAsia="宋体" w:cs="宋体"/>
                <w:color w:val="auto"/>
                <w:lang w:val="en-US" w:eastAsia="zh-CN"/>
              </w:rPr>
            </w:pPr>
          </w:p>
        </w:tc>
      </w:tr>
      <w:tr w14:paraId="38940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260F0475">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（五）装配式建筑混凝土预制构件安装工程。</w:t>
            </w:r>
          </w:p>
        </w:tc>
        <w:tc>
          <w:tcPr>
            <w:tcW w:w="1167" w:type="dxa"/>
            <w:shd w:val="clear" w:color="auto" w:fill="auto"/>
            <w:vAlign w:val="center"/>
          </w:tcPr>
          <w:p w14:paraId="3D0E605F">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1183" w:type="dxa"/>
            <w:shd w:val="clear" w:color="auto" w:fill="auto"/>
            <w:vAlign w:val="center"/>
          </w:tcPr>
          <w:p w14:paraId="41134B90">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27D8CBE5">
            <w:pPr>
              <w:jc w:val="center"/>
              <w:rPr>
                <w:rFonts w:hint="eastAsia" w:ascii="宋体" w:hAnsi="宋体" w:eastAsia="宋体" w:cs="宋体"/>
                <w:color w:val="auto"/>
                <w:lang w:val="en-US" w:eastAsia="zh-CN"/>
              </w:rPr>
            </w:pPr>
          </w:p>
        </w:tc>
      </w:tr>
      <w:tr w14:paraId="0DD0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64FB401B">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（六）采用新技术、新工艺、新材料、新设备可能影响工程施工安全，尚无国家、行业及地方技术标准的分部分项工程。</w:t>
            </w:r>
          </w:p>
        </w:tc>
        <w:tc>
          <w:tcPr>
            <w:tcW w:w="1167" w:type="dxa"/>
            <w:shd w:val="clear" w:color="auto" w:fill="auto"/>
            <w:vAlign w:val="center"/>
          </w:tcPr>
          <w:p w14:paraId="6B946272">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1183" w:type="dxa"/>
            <w:shd w:val="clear" w:color="auto" w:fill="auto"/>
            <w:vAlign w:val="center"/>
          </w:tcPr>
          <w:p w14:paraId="46ECF3BA">
            <w:pPr>
              <w:jc w:val="center"/>
              <w:rPr>
                <w:rFonts w:hint="eastAsia" w:ascii="宋体" w:hAnsi="宋体" w:eastAsia="宋体" w:cs="宋体"/>
                <w:color w:val="auto"/>
                <w:lang w:val="en-US" w:eastAsia="zh-CN"/>
              </w:rPr>
            </w:pPr>
            <w:r>
              <w:rPr>
                <w:rFonts w:hint="eastAsia" w:ascii="宋体" w:hAnsi="宋体" w:eastAsia="宋体" w:cs="宋体"/>
                <w:color w:val="auto"/>
              </w:rPr>
              <w:t>(    )</w:t>
            </w:r>
          </w:p>
        </w:tc>
        <w:tc>
          <w:tcPr>
            <w:tcW w:w="757" w:type="dxa"/>
            <w:shd w:val="clear" w:color="auto" w:fill="auto"/>
            <w:vAlign w:val="center"/>
          </w:tcPr>
          <w:p w14:paraId="09CC5569">
            <w:pPr>
              <w:jc w:val="center"/>
              <w:rPr>
                <w:rFonts w:hint="eastAsia" w:ascii="宋体" w:hAnsi="宋体" w:eastAsia="宋体" w:cs="宋体"/>
                <w:color w:val="auto"/>
                <w:lang w:val="en-US" w:eastAsia="zh-CN"/>
              </w:rPr>
            </w:pPr>
          </w:p>
        </w:tc>
      </w:tr>
      <w:tr w14:paraId="7FB33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3D0F6BF2">
            <w:pPr>
              <w:spacing w:before="130" w:line="327" w:lineRule="auto"/>
              <w:ind w:left="115" w:leftChars="0" w:right="108" w:rightChars="0" w:firstLine="4"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pacing w:val="-1"/>
                <w:sz w:val="24"/>
                <w:szCs w:val="24"/>
              </w:rPr>
              <w:t>二、超过一定规模的危险性较大的分部分项工</w:t>
            </w:r>
            <w:r>
              <w:rPr>
                <w:rFonts w:hint="eastAsia" w:ascii="宋体" w:hAnsi="宋体" w:eastAsia="宋体" w:cs="宋体"/>
                <w:color w:val="auto"/>
                <w:spacing w:val="15"/>
                <w:sz w:val="24"/>
                <w:szCs w:val="24"/>
              </w:rPr>
              <w:t xml:space="preserve"> </w:t>
            </w:r>
            <w:r>
              <w:rPr>
                <w:rFonts w:hint="eastAsia" w:ascii="宋体" w:hAnsi="宋体" w:eastAsia="宋体" w:cs="宋体"/>
                <w:b/>
                <w:bCs/>
                <w:color w:val="auto"/>
                <w:spacing w:val="-5"/>
                <w:sz w:val="24"/>
                <w:szCs w:val="24"/>
              </w:rPr>
              <w:t>程清单</w:t>
            </w:r>
          </w:p>
        </w:tc>
        <w:tc>
          <w:tcPr>
            <w:tcW w:w="1167" w:type="dxa"/>
            <w:shd w:val="clear" w:color="auto" w:fill="auto"/>
            <w:vAlign w:val="top"/>
          </w:tcPr>
          <w:p w14:paraId="49DB3C4A">
            <w:pPr>
              <w:spacing w:before="78" w:line="221" w:lineRule="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4"/>
                <w:sz w:val="24"/>
                <w:szCs w:val="24"/>
              </w:rPr>
              <w:t>建设单位</w:t>
            </w:r>
          </w:p>
        </w:tc>
        <w:tc>
          <w:tcPr>
            <w:tcW w:w="1183" w:type="dxa"/>
            <w:shd w:val="clear" w:color="auto" w:fill="auto"/>
            <w:vAlign w:val="top"/>
          </w:tcPr>
          <w:p w14:paraId="7389E8C4">
            <w:pPr>
              <w:spacing w:before="78" w:line="221" w:lineRule="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pacing w:val="-5"/>
                <w:sz w:val="24"/>
                <w:szCs w:val="24"/>
              </w:rPr>
              <w:t>投标单位</w:t>
            </w:r>
          </w:p>
        </w:tc>
        <w:tc>
          <w:tcPr>
            <w:tcW w:w="757" w:type="dxa"/>
            <w:shd w:val="clear" w:color="auto" w:fill="auto"/>
            <w:vAlign w:val="top"/>
          </w:tcPr>
          <w:p w14:paraId="365CF5DB">
            <w:pPr>
              <w:spacing w:before="78" w:line="222" w:lineRule="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7"/>
                <w:sz w:val="24"/>
                <w:szCs w:val="24"/>
              </w:rPr>
              <w:t>备注</w:t>
            </w:r>
          </w:p>
        </w:tc>
      </w:tr>
      <w:tr w14:paraId="17D4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6614B460">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一、深基坑工程</w:t>
            </w:r>
          </w:p>
        </w:tc>
        <w:tc>
          <w:tcPr>
            <w:tcW w:w="1167" w:type="dxa"/>
            <w:shd w:val="clear" w:color="auto" w:fill="auto"/>
            <w:vAlign w:val="top"/>
          </w:tcPr>
          <w:p w14:paraId="257F63BB">
            <w:pPr>
              <w:spacing w:before="130" w:line="223" w:lineRule="auto"/>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top"/>
          </w:tcPr>
          <w:p w14:paraId="30E143C9">
            <w:pPr>
              <w:spacing w:before="130" w:line="223" w:lineRule="auto"/>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3A6C83FB">
            <w:pPr>
              <w:pStyle w:val="34"/>
              <w:rPr>
                <w:rFonts w:hint="eastAsia" w:ascii="宋体" w:hAnsi="宋体" w:eastAsia="宋体" w:cs="宋体"/>
                <w:color w:val="auto"/>
                <w:kern w:val="2"/>
                <w:sz w:val="21"/>
                <w:szCs w:val="21"/>
                <w:lang w:val="en-US" w:eastAsia="zh-CN" w:bidi="ar-SA"/>
              </w:rPr>
            </w:pPr>
          </w:p>
        </w:tc>
      </w:tr>
      <w:tr w14:paraId="34C1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17072857">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开挖深度超过5m（含5m）的基坑（槽）的土方 开挖、支护、降水工程。</w:t>
            </w:r>
          </w:p>
        </w:tc>
        <w:tc>
          <w:tcPr>
            <w:tcW w:w="1167" w:type="dxa"/>
            <w:shd w:val="clear" w:color="auto" w:fill="auto"/>
            <w:vAlign w:val="top"/>
          </w:tcPr>
          <w:p w14:paraId="7D0A1C4D">
            <w:pPr>
              <w:spacing w:before="78" w:line="223" w:lineRule="auto"/>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2"/>
                <w:sz w:val="24"/>
                <w:szCs w:val="24"/>
                <w:lang w:eastAsia="zh-CN"/>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top"/>
          </w:tcPr>
          <w:p w14:paraId="19E1B6E4">
            <w:pPr>
              <w:spacing w:before="78" w:line="223" w:lineRule="auto"/>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3A9AF894">
            <w:pPr>
              <w:pStyle w:val="34"/>
              <w:rPr>
                <w:rFonts w:hint="eastAsia" w:ascii="宋体" w:hAnsi="宋体" w:eastAsia="宋体" w:cs="宋体"/>
                <w:color w:val="auto"/>
                <w:kern w:val="2"/>
                <w:sz w:val="21"/>
                <w:szCs w:val="21"/>
                <w:lang w:val="en-US" w:eastAsia="zh-CN" w:bidi="ar-SA"/>
              </w:rPr>
            </w:pPr>
          </w:p>
        </w:tc>
      </w:tr>
      <w:tr w14:paraId="1B02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556BFBC8">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二、模板工程及支撑体系</w:t>
            </w:r>
          </w:p>
        </w:tc>
        <w:tc>
          <w:tcPr>
            <w:tcW w:w="1167" w:type="dxa"/>
            <w:shd w:val="clear" w:color="auto" w:fill="auto"/>
            <w:vAlign w:val="top"/>
          </w:tcPr>
          <w:p w14:paraId="5D18E67D">
            <w:pPr>
              <w:spacing w:before="129" w:line="223" w:lineRule="auto"/>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top"/>
          </w:tcPr>
          <w:p w14:paraId="56F42464">
            <w:pPr>
              <w:spacing w:before="129" w:line="223" w:lineRule="auto"/>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2B905366">
            <w:pPr>
              <w:pStyle w:val="34"/>
              <w:rPr>
                <w:rFonts w:hint="eastAsia" w:ascii="宋体" w:hAnsi="宋体" w:eastAsia="宋体" w:cs="宋体"/>
                <w:color w:val="auto"/>
                <w:kern w:val="2"/>
                <w:sz w:val="21"/>
                <w:szCs w:val="21"/>
                <w:lang w:val="en-US" w:eastAsia="zh-CN" w:bidi="ar-SA"/>
              </w:rPr>
            </w:pPr>
          </w:p>
        </w:tc>
      </w:tr>
      <w:tr w14:paraId="22B4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35556B8F">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（一）各类工具式模板工程：包括滑模、爬模、 飞模、隧道模等工程。</w:t>
            </w:r>
          </w:p>
        </w:tc>
        <w:tc>
          <w:tcPr>
            <w:tcW w:w="1167" w:type="dxa"/>
            <w:shd w:val="clear" w:color="auto" w:fill="auto"/>
            <w:vAlign w:val="top"/>
          </w:tcPr>
          <w:p w14:paraId="5527B187">
            <w:pPr>
              <w:spacing w:before="78" w:line="223" w:lineRule="auto"/>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top"/>
          </w:tcPr>
          <w:p w14:paraId="5FD63539">
            <w:pPr>
              <w:spacing w:before="78" w:line="223" w:lineRule="auto"/>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6CB2CAB4">
            <w:pPr>
              <w:pStyle w:val="34"/>
              <w:rPr>
                <w:rFonts w:hint="eastAsia" w:ascii="宋体" w:hAnsi="宋体" w:eastAsia="宋体" w:cs="宋体"/>
                <w:color w:val="auto"/>
                <w:kern w:val="2"/>
                <w:sz w:val="21"/>
                <w:szCs w:val="21"/>
                <w:lang w:val="en-US" w:eastAsia="zh-CN" w:bidi="ar-SA"/>
              </w:rPr>
            </w:pPr>
          </w:p>
        </w:tc>
      </w:tr>
      <w:tr w14:paraId="2716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584B6FAC">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（二）混凝土模板支撑工程：搭设高度8m及以上，或搭设跨度18m及以上，或施工总荷载（设 计值）15kN/m2及以上，或集中线荷载（设计值）20kN/m及以上。</w:t>
            </w:r>
          </w:p>
        </w:tc>
        <w:tc>
          <w:tcPr>
            <w:tcW w:w="1167" w:type="dxa"/>
            <w:shd w:val="clear" w:color="auto" w:fill="auto"/>
            <w:vAlign w:val="top"/>
          </w:tcPr>
          <w:p w14:paraId="08D16F15">
            <w:pPr>
              <w:spacing w:before="78" w:line="223" w:lineRule="auto"/>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top"/>
          </w:tcPr>
          <w:p w14:paraId="593AC893">
            <w:pPr>
              <w:spacing w:before="78" w:line="223" w:lineRule="auto"/>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06800DCC">
            <w:pPr>
              <w:pStyle w:val="34"/>
              <w:rPr>
                <w:rFonts w:hint="eastAsia" w:ascii="宋体" w:hAnsi="宋体" w:eastAsia="宋体" w:cs="宋体"/>
                <w:color w:val="auto"/>
                <w:kern w:val="2"/>
                <w:sz w:val="21"/>
                <w:szCs w:val="21"/>
                <w:lang w:val="en-US" w:eastAsia="zh-CN" w:bidi="ar-SA"/>
              </w:rPr>
            </w:pPr>
          </w:p>
        </w:tc>
      </w:tr>
      <w:tr w14:paraId="4B51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62767FC6">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（三）承重支撑体系：用于钢结构安装等满堂 支撑体系，承受单点集中荷载7kN及以上。</w:t>
            </w:r>
          </w:p>
        </w:tc>
        <w:tc>
          <w:tcPr>
            <w:tcW w:w="1167" w:type="dxa"/>
            <w:shd w:val="clear" w:color="auto" w:fill="auto"/>
            <w:vAlign w:val="top"/>
          </w:tcPr>
          <w:p w14:paraId="3985C1EC">
            <w:pPr>
              <w:spacing w:before="78" w:line="223" w:lineRule="auto"/>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top"/>
          </w:tcPr>
          <w:p w14:paraId="2D8F3C67">
            <w:pPr>
              <w:spacing w:before="78" w:line="223" w:lineRule="auto"/>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28544E9B">
            <w:pPr>
              <w:rPr>
                <w:rFonts w:hint="eastAsia" w:ascii="宋体" w:hAnsi="宋体" w:eastAsia="宋体" w:cs="宋体"/>
                <w:color w:val="auto"/>
                <w:kern w:val="2"/>
                <w:sz w:val="21"/>
                <w:lang w:val="en-US" w:eastAsia="zh-CN" w:bidi="ar-SA"/>
              </w:rPr>
            </w:pPr>
          </w:p>
        </w:tc>
      </w:tr>
      <w:tr w14:paraId="04482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22BD3548">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三、起重吊装及起重机械安装拆卸工程</w:t>
            </w:r>
          </w:p>
        </w:tc>
        <w:tc>
          <w:tcPr>
            <w:tcW w:w="1167" w:type="dxa"/>
            <w:shd w:val="clear" w:color="auto" w:fill="auto"/>
            <w:vAlign w:val="center"/>
          </w:tcPr>
          <w:p w14:paraId="3C569851">
            <w:pPr>
              <w:spacing w:before="131" w:line="223" w:lineRule="auto"/>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center"/>
          </w:tcPr>
          <w:p w14:paraId="5B7ED686">
            <w:pPr>
              <w:spacing w:before="131" w:line="223" w:lineRule="auto"/>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64B50CB1">
            <w:pPr>
              <w:pStyle w:val="34"/>
              <w:rPr>
                <w:rFonts w:hint="eastAsia" w:ascii="宋体" w:hAnsi="宋体" w:eastAsia="宋体" w:cs="宋体"/>
                <w:color w:val="auto"/>
                <w:kern w:val="2"/>
                <w:sz w:val="21"/>
                <w:szCs w:val="21"/>
                <w:lang w:val="en-US" w:eastAsia="zh-CN" w:bidi="ar-SA"/>
              </w:rPr>
            </w:pPr>
          </w:p>
        </w:tc>
      </w:tr>
      <w:tr w14:paraId="152C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1AA3541A">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（一）采用非常规起重设备、方法，且单件起 吊重量在100kN 及以上的起重吊装工程。</w:t>
            </w:r>
          </w:p>
        </w:tc>
        <w:tc>
          <w:tcPr>
            <w:tcW w:w="1167" w:type="dxa"/>
            <w:shd w:val="clear" w:color="auto" w:fill="auto"/>
            <w:vAlign w:val="center"/>
          </w:tcPr>
          <w:p w14:paraId="20444A4B">
            <w:pPr>
              <w:spacing w:before="78" w:line="223" w:lineRule="auto"/>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center"/>
          </w:tcPr>
          <w:p w14:paraId="28FEF967">
            <w:pPr>
              <w:spacing w:before="78" w:line="223" w:lineRule="auto"/>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658A84F7">
            <w:pPr>
              <w:pStyle w:val="34"/>
              <w:rPr>
                <w:rFonts w:hint="eastAsia" w:ascii="宋体" w:hAnsi="宋体" w:eastAsia="宋体" w:cs="宋体"/>
                <w:color w:val="auto"/>
                <w:kern w:val="2"/>
                <w:sz w:val="21"/>
                <w:szCs w:val="21"/>
                <w:lang w:val="en-US" w:eastAsia="zh-CN" w:bidi="ar-SA"/>
              </w:rPr>
            </w:pPr>
          </w:p>
        </w:tc>
      </w:tr>
      <w:tr w14:paraId="74438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5DB8E1C2">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（二）起重量300kN及以上，或搭设总高度200m及以上，或搭设基础标高在200m及以上的起重 机械安装和拆卸工程。</w:t>
            </w:r>
          </w:p>
        </w:tc>
        <w:tc>
          <w:tcPr>
            <w:tcW w:w="1167" w:type="dxa"/>
            <w:shd w:val="clear" w:color="auto" w:fill="auto"/>
            <w:vAlign w:val="center"/>
          </w:tcPr>
          <w:p w14:paraId="2A2BEE85">
            <w:pPr>
              <w:spacing w:before="78" w:line="223" w:lineRule="auto"/>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2"/>
                <w:sz w:val="24"/>
                <w:szCs w:val="24"/>
                <w:lang w:eastAsia="zh-CN"/>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center"/>
          </w:tcPr>
          <w:p w14:paraId="7BEE8AF7">
            <w:pPr>
              <w:spacing w:before="78" w:line="223" w:lineRule="auto"/>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6DF8C86F">
            <w:pPr>
              <w:pStyle w:val="34"/>
              <w:rPr>
                <w:rFonts w:hint="eastAsia" w:ascii="宋体" w:hAnsi="宋体" w:eastAsia="宋体" w:cs="宋体"/>
                <w:color w:val="auto"/>
                <w:kern w:val="2"/>
                <w:sz w:val="21"/>
                <w:szCs w:val="21"/>
                <w:lang w:val="en-US" w:eastAsia="zh-CN" w:bidi="ar-SA"/>
              </w:rPr>
            </w:pPr>
          </w:p>
        </w:tc>
      </w:tr>
      <w:tr w14:paraId="1E8B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3D85793C">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四、脚手架工程</w:t>
            </w:r>
          </w:p>
        </w:tc>
        <w:tc>
          <w:tcPr>
            <w:tcW w:w="1167" w:type="dxa"/>
            <w:shd w:val="clear" w:color="auto" w:fill="auto"/>
            <w:vAlign w:val="center"/>
          </w:tcPr>
          <w:p w14:paraId="3CAD91AA">
            <w:pPr>
              <w:spacing w:before="130" w:line="223" w:lineRule="auto"/>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center"/>
          </w:tcPr>
          <w:p w14:paraId="20A89651">
            <w:pPr>
              <w:spacing w:before="130" w:line="223" w:lineRule="auto"/>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15D6D745">
            <w:pPr>
              <w:pStyle w:val="34"/>
              <w:rPr>
                <w:rFonts w:hint="eastAsia" w:ascii="宋体" w:hAnsi="宋体" w:eastAsia="宋体" w:cs="宋体"/>
                <w:color w:val="auto"/>
                <w:kern w:val="2"/>
                <w:sz w:val="21"/>
                <w:szCs w:val="21"/>
                <w:lang w:val="en-US" w:eastAsia="zh-CN" w:bidi="ar-SA"/>
              </w:rPr>
            </w:pPr>
          </w:p>
        </w:tc>
      </w:tr>
      <w:tr w14:paraId="530C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4983E363">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（一）搭设高度50m及以上的落地式钢管脚手架工程。</w:t>
            </w:r>
          </w:p>
        </w:tc>
        <w:tc>
          <w:tcPr>
            <w:tcW w:w="1167" w:type="dxa"/>
            <w:shd w:val="clear" w:color="auto" w:fill="auto"/>
            <w:vAlign w:val="center"/>
          </w:tcPr>
          <w:p w14:paraId="55B8C9AF">
            <w:pPr>
              <w:spacing w:before="78" w:line="223" w:lineRule="auto"/>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center"/>
          </w:tcPr>
          <w:p w14:paraId="0A892AB4">
            <w:pPr>
              <w:spacing w:before="78" w:line="223" w:lineRule="auto"/>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61414F6F">
            <w:pPr>
              <w:pStyle w:val="34"/>
              <w:rPr>
                <w:rFonts w:hint="eastAsia" w:ascii="宋体" w:hAnsi="宋体" w:eastAsia="宋体" w:cs="宋体"/>
                <w:color w:val="auto"/>
                <w:kern w:val="2"/>
                <w:sz w:val="21"/>
                <w:szCs w:val="21"/>
                <w:lang w:val="en-US" w:eastAsia="zh-CN" w:bidi="ar-SA"/>
              </w:rPr>
            </w:pPr>
          </w:p>
        </w:tc>
      </w:tr>
      <w:tr w14:paraId="06FE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14D350AB">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（二）提升高度在150m及以上的附着式升降脚手架工程或附着式升降操作平台工程。</w:t>
            </w:r>
          </w:p>
        </w:tc>
        <w:tc>
          <w:tcPr>
            <w:tcW w:w="1167" w:type="dxa"/>
            <w:shd w:val="clear" w:color="auto" w:fill="auto"/>
            <w:vAlign w:val="center"/>
          </w:tcPr>
          <w:p w14:paraId="54153E24">
            <w:pPr>
              <w:spacing w:before="78"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center"/>
          </w:tcPr>
          <w:p w14:paraId="1D3F4FD4">
            <w:pPr>
              <w:spacing w:before="78"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65137B99">
            <w:pPr>
              <w:pStyle w:val="34"/>
              <w:rPr>
                <w:rFonts w:hint="eastAsia" w:ascii="宋体" w:hAnsi="宋体" w:eastAsia="宋体" w:cs="宋体"/>
                <w:color w:val="auto"/>
                <w:kern w:val="2"/>
                <w:sz w:val="21"/>
                <w:szCs w:val="21"/>
                <w:lang w:val="en-US" w:eastAsia="zh-CN" w:bidi="ar-SA"/>
              </w:rPr>
            </w:pPr>
          </w:p>
        </w:tc>
      </w:tr>
      <w:tr w14:paraId="3C561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51379735">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（三）分段架体搭设高度20m及以上的悬挑式脚手架工程。</w:t>
            </w:r>
          </w:p>
        </w:tc>
        <w:tc>
          <w:tcPr>
            <w:tcW w:w="1167" w:type="dxa"/>
            <w:shd w:val="clear" w:color="auto" w:fill="auto"/>
            <w:vAlign w:val="center"/>
          </w:tcPr>
          <w:p w14:paraId="0AC3273E">
            <w:pPr>
              <w:spacing w:before="78"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center"/>
          </w:tcPr>
          <w:p w14:paraId="413F6D01">
            <w:pPr>
              <w:spacing w:before="78"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10B1FCBF">
            <w:pPr>
              <w:pStyle w:val="34"/>
              <w:rPr>
                <w:rFonts w:hint="eastAsia" w:ascii="宋体" w:hAnsi="宋体" w:eastAsia="宋体" w:cs="宋体"/>
                <w:color w:val="auto"/>
                <w:kern w:val="2"/>
                <w:sz w:val="21"/>
                <w:szCs w:val="21"/>
                <w:lang w:val="en-US" w:eastAsia="zh-CN" w:bidi="ar-SA"/>
              </w:rPr>
            </w:pPr>
          </w:p>
        </w:tc>
      </w:tr>
      <w:tr w14:paraId="3D3F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7BA49E2D">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五、拆除工程</w:t>
            </w:r>
          </w:p>
        </w:tc>
        <w:tc>
          <w:tcPr>
            <w:tcW w:w="1167" w:type="dxa"/>
            <w:shd w:val="clear" w:color="auto" w:fill="auto"/>
            <w:vAlign w:val="center"/>
          </w:tcPr>
          <w:p w14:paraId="3A3B24FA">
            <w:pPr>
              <w:spacing w:before="156" w:line="223" w:lineRule="auto"/>
              <w:ind w:left="19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center"/>
          </w:tcPr>
          <w:p w14:paraId="082A6E72">
            <w:pPr>
              <w:spacing w:before="156"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0331D9D6">
            <w:pPr>
              <w:pStyle w:val="34"/>
              <w:rPr>
                <w:rFonts w:hint="eastAsia" w:ascii="宋体" w:hAnsi="宋体" w:eastAsia="宋体" w:cs="宋体"/>
                <w:color w:val="auto"/>
                <w:kern w:val="2"/>
                <w:sz w:val="21"/>
                <w:szCs w:val="21"/>
                <w:lang w:val="en-US" w:eastAsia="zh-CN" w:bidi="ar-SA"/>
              </w:rPr>
            </w:pPr>
          </w:p>
        </w:tc>
      </w:tr>
      <w:tr w14:paraId="0A27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73F13C37">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（一）码头、桥梁、高架、烟囱、水塔或拆除中容易引起有毒有害气（液）体或粉尘扩散、 易燃易爆事故发生的特殊建、构筑物的拆除工程。</w:t>
            </w:r>
          </w:p>
        </w:tc>
        <w:tc>
          <w:tcPr>
            <w:tcW w:w="1167" w:type="dxa"/>
            <w:shd w:val="clear" w:color="auto" w:fill="auto"/>
            <w:vAlign w:val="center"/>
          </w:tcPr>
          <w:p w14:paraId="5903214E">
            <w:pPr>
              <w:spacing w:before="78"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2"/>
                <w:sz w:val="24"/>
                <w:szCs w:val="24"/>
                <w:lang w:eastAsia="zh-CN"/>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center"/>
          </w:tcPr>
          <w:p w14:paraId="7A72F067">
            <w:pPr>
              <w:spacing w:before="78"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049BD61B">
            <w:pPr>
              <w:pStyle w:val="34"/>
              <w:rPr>
                <w:rFonts w:hint="eastAsia" w:ascii="宋体" w:hAnsi="宋体" w:eastAsia="宋体" w:cs="宋体"/>
                <w:color w:val="auto"/>
                <w:kern w:val="2"/>
                <w:sz w:val="21"/>
                <w:szCs w:val="21"/>
                <w:lang w:val="en-US" w:eastAsia="zh-CN" w:bidi="ar-SA"/>
              </w:rPr>
            </w:pPr>
          </w:p>
        </w:tc>
      </w:tr>
      <w:tr w14:paraId="7EA24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2578B788">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（二）文物保护建筑、优秀历史建筑或历史文化风貌区影响范围内的拆除工程。</w:t>
            </w:r>
          </w:p>
        </w:tc>
        <w:tc>
          <w:tcPr>
            <w:tcW w:w="1167" w:type="dxa"/>
            <w:shd w:val="clear" w:color="auto" w:fill="auto"/>
            <w:vAlign w:val="center"/>
          </w:tcPr>
          <w:p w14:paraId="776A825F">
            <w:pPr>
              <w:spacing w:before="78"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center"/>
          </w:tcPr>
          <w:p w14:paraId="48CF7147">
            <w:pPr>
              <w:spacing w:before="78"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6D1FD94F">
            <w:pPr>
              <w:pStyle w:val="34"/>
              <w:rPr>
                <w:rFonts w:hint="eastAsia" w:ascii="宋体" w:hAnsi="宋体" w:eastAsia="宋体" w:cs="宋体"/>
                <w:color w:val="auto"/>
                <w:kern w:val="2"/>
                <w:sz w:val="21"/>
                <w:szCs w:val="21"/>
                <w:lang w:val="en-US" w:eastAsia="zh-CN" w:bidi="ar-SA"/>
              </w:rPr>
            </w:pPr>
          </w:p>
        </w:tc>
      </w:tr>
      <w:tr w14:paraId="74FE2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0F5A0E45">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六、暗挖工程</w:t>
            </w:r>
          </w:p>
        </w:tc>
        <w:tc>
          <w:tcPr>
            <w:tcW w:w="1167" w:type="dxa"/>
            <w:shd w:val="clear" w:color="auto" w:fill="auto"/>
            <w:vAlign w:val="center"/>
          </w:tcPr>
          <w:p w14:paraId="6F496CB2">
            <w:pPr>
              <w:spacing w:before="139"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center"/>
          </w:tcPr>
          <w:p w14:paraId="0949B2D3">
            <w:pPr>
              <w:spacing w:before="139"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1DC88363">
            <w:pPr>
              <w:pStyle w:val="34"/>
              <w:rPr>
                <w:rFonts w:hint="eastAsia" w:ascii="宋体" w:hAnsi="宋体" w:eastAsia="宋体" w:cs="宋体"/>
                <w:color w:val="auto"/>
                <w:kern w:val="2"/>
                <w:sz w:val="21"/>
                <w:szCs w:val="21"/>
                <w:lang w:val="en-US" w:eastAsia="zh-CN" w:bidi="ar-SA"/>
              </w:rPr>
            </w:pPr>
          </w:p>
        </w:tc>
      </w:tr>
      <w:tr w14:paraId="6225B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74EDCE2D">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采用矿山法、盾构法、顶管法施工的隧道、洞室工程。</w:t>
            </w:r>
          </w:p>
        </w:tc>
        <w:tc>
          <w:tcPr>
            <w:tcW w:w="1167" w:type="dxa"/>
            <w:shd w:val="clear" w:color="auto" w:fill="auto"/>
            <w:vAlign w:val="center"/>
          </w:tcPr>
          <w:p w14:paraId="7E6E3F52">
            <w:pPr>
              <w:spacing w:before="78"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2"/>
                <w:sz w:val="24"/>
                <w:szCs w:val="24"/>
                <w:lang w:eastAsia="zh-CN"/>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center"/>
          </w:tcPr>
          <w:p w14:paraId="6DFE1585">
            <w:pPr>
              <w:spacing w:before="78"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607EEC93">
            <w:pPr>
              <w:pStyle w:val="34"/>
              <w:rPr>
                <w:rFonts w:hint="eastAsia" w:ascii="宋体" w:hAnsi="宋体" w:eastAsia="宋体" w:cs="宋体"/>
                <w:color w:val="auto"/>
                <w:kern w:val="2"/>
                <w:sz w:val="21"/>
                <w:szCs w:val="21"/>
                <w:lang w:val="en-US" w:eastAsia="zh-CN" w:bidi="ar-SA"/>
              </w:rPr>
            </w:pPr>
          </w:p>
        </w:tc>
      </w:tr>
      <w:tr w14:paraId="6BCEB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42B61473">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七、其它</w:t>
            </w:r>
          </w:p>
        </w:tc>
        <w:tc>
          <w:tcPr>
            <w:tcW w:w="1167" w:type="dxa"/>
            <w:shd w:val="clear" w:color="auto" w:fill="auto"/>
            <w:vAlign w:val="center"/>
          </w:tcPr>
          <w:p w14:paraId="40706682">
            <w:pPr>
              <w:spacing w:before="130"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center"/>
          </w:tcPr>
          <w:p w14:paraId="385E40B3">
            <w:pPr>
              <w:spacing w:before="130"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135ADEE2">
            <w:pPr>
              <w:pStyle w:val="34"/>
              <w:rPr>
                <w:rFonts w:hint="eastAsia" w:ascii="宋体" w:hAnsi="宋体" w:eastAsia="宋体" w:cs="宋体"/>
                <w:color w:val="auto"/>
                <w:kern w:val="2"/>
                <w:sz w:val="21"/>
                <w:szCs w:val="21"/>
                <w:lang w:val="en-US" w:eastAsia="zh-CN" w:bidi="ar-SA"/>
              </w:rPr>
            </w:pPr>
          </w:p>
        </w:tc>
      </w:tr>
      <w:tr w14:paraId="78582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2B7521BD">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（一）施工高度50m及以上的建筑幕墙安装工程。</w:t>
            </w:r>
          </w:p>
        </w:tc>
        <w:tc>
          <w:tcPr>
            <w:tcW w:w="1167" w:type="dxa"/>
            <w:shd w:val="clear" w:color="auto" w:fill="auto"/>
            <w:vAlign w:val="center"/>
          </w:tcPr>
          <w:p w14:paraId="31D0EA64">
            <w:pPr>
              <w:spacing w:before="78"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center"/>
          </w:tcPr>
          <w:p w14:paraId="488B88CA">
            <w:pPr>
              <w:spacing w:before="78"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2691306C">
            <w:pPr>
              <w:pStyle w:val="34"/>
              <w:rPr>
                <w:rFonts w:hint="eastAsia" w:ascii="宋体" w:hAnsi="宋体" w:eastAsia="宋体" w:cs="宋体"/>
                <w:color w:val="auto"/>
                <w:kern w:val="2"/>
                <w:sz w:val="21"/>
                <w:szCs w:val="21"/>
                <w:lang w:val="en-US" w:eastAsia="zh-CN" w:bidi="ar-SA"/>
              </w:rPr>
            </w:pPr>
          </w:p>
        </w:tc>
      </w:tr>
      <w:tr w14:paraId="5E03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33B929E1">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（二）跨度36m及以上的钢结构安装工程，或 跨度60m及以上的网架和索膜结构安装工程。</w:t>
            </w:r>
          </w:p>
        </w:tc>
        <w:tc>
          <w:tcPr>
            <w:tcW w:w="1167" w:type="dxa"/>
            <w:shd w:val="clear" w:color="auto" w:fill="auto"/>
            <w:vAlign w:val="center"/>
          </w:tcPr>
          <w:p w14:paraId="3582DF57">
            <w:pPr>
              <w:spacing w:before="78"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center"/>
          </w:tcPr>
          <w:p w14:paraId="20147961">
            <w:pPr>
              <w:spacing w:before="78"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1A46904E">
            <w:pPr>
              <w:pStyle w:val="34"/>
              <w:rPr>
                <w:rFonts w:hint="eastAsia" w:ascii="宋体" w:hAnsi="宋体" w:eastAsia="宋体" w:cs="宋体"/>
                <w:color w:val="auto"/>
                <w:kern w:val="2"/>
                <w:sz w:val="21"/>
                <w:szCs w:val="21"/>
                <w:lang w:val="en-US" w:eastAsia="zh-CN" w:bidi="ar-SA"/>
              </w:rPr>
            </w:pPr>
          </w:p>
        </w:tc>
      </w:tr>
      <w:tr w14:paraId="2FEF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70BA3BD3">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（三）开挖深度16m及以上的人工挖孔桩工程。</w:t>
            </w:r>
          </w:p>
        </w:tc>
        <w:tc>
          <w:tcPr>
            <w:tcW w:w="1167" w:type="dxa"/>
            <w:shd w:val="clear" w:color="auto" w:fill="auto"/>
            <w:vAlign w:val="center"/>
          </w:tcPr>
          <w:p w14:paraId="51F74449">
            <w:pPr>
              <w:spacing w:before="131"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center"/>
          </w:tcPr>
          <w:p w14:paraId="31B8EAB6">
            <w:pPr>
              <w:spacing w:before="131"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3A74707C">
            <w:pPr>
              <w:pStyle w:val="34"/>
              <w:rPr>
                <w:rFonts w:hint="eastAsia" w:ascii="宋体" w:hAnsi="宋体" w:eastAsia="宋体" w:cs="宋体"/>
                <w:color w:val="auto"/>
                <w:kern w:val="2"/>
                <w:sz w:val="21"/>
                <w:szCs w:val="21"/>
                <w:lang w:val="en-US" w:eastAsia="zh-CN" w:bidi="ar-SA"/>
              </w:rPr>
            </w:pPr>
          </w:p>
        </w:tc>
      </w:tr>
      <w:tr w14:paraId="3425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5EF5E084">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（四）水下作业工程。</w:t>
            </w:r>
          </w:p>
        </w:tc>
        <w:tc>
          <w:tcPr>
            <w:tcW w:w="1167" w:type="dxa"/>
            <w:shd w:val="clear" w:color="auto" w:fill="auto"/>
            <w:vAlign w:val="center"/>
          </w:tcPr>
          <w:p w14:paraId="50EEDA23">
            <w:pPr>
              <w:spacing w:before="161"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center"/>
          </w:tcPr>
          <w:p w14:paraId="35C6CB25">
            <w:pPr>
              <w:spacing w:before="161"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2402B991">
            <w:pPr>
              <w:pStyle w:val="34"/>
              <w:rPr>
                <w:rFonts w:hint="eastAsia" w:ascii="宋体" w:hAnsi="宋体" w:eastAsia="宋体" w:cs="宋体"/>
                <w:color w:val="auto"/>
                <w:kern w:val="2"/>
                <w:sz w:val="21"/>
                <w:szCs w:val="21"/>
                <w:lang w:val="en-US" w:eastAsia="zh-CN" w:bidi="ar-SA"/>
              </w:rPr>
            </w:pPr>
          </w:p>
        </w:tc>
      </w:tr>
      <w:tr w14:paraId="0ABD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4A6A2809">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（五）重量1000kN及以上的大型结构整体顶升、平移、转体等施工工艺。</w:t>
            </w:r>
          </w:p>
        </w:tc>
        <w:tc>
          <w:tcPr>
            <w:tcW w:w="1167" w:type="dxa"/>
            <w:shd w:val="clear" w:color="auto" w:fill="auto"/>
            <w:vAlign w:val="center"/>
          </w:tcPr>
          <w:p w14:paraId="672CA0AC">
            <w:pPr>
              <w:spacing w:before="78"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2"/>
                <w:sz w:val="24"/>
                <w:szCs w:val="24"/>
                <w:lang w:val="en-US" w:eastAsia="zh-CN"/>
              </w:rPr>
              <w:t xml:space="preserve">  </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center"/>
          </w:tcPr>
          <w:p w14:paraId="60712659">
            <w:pPr>
              <w:spacing w:before="78"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70B8BFB5">
            <w:pPr>
              <w:pStyle w:val="34"/>
              <w:rPr>
                <w:rFonts w:hint="eastAsia" w:ascii="宋体" w:hAnsi="宋体" w:eastAsia="宋体" w:cs="宋体"/>
                <w:color w:val="auto"/>
                <w:kern w:val="2"/>
                <w:sz w:val="21"/>
                <w:szCs w:val="21"/>
                <w:lang w:val="en-US" w:eastAsia="zh-CN" w:bidi="ar-SA"/>
              </w:rPr>
            </w:pPr>
          </w:p>
        </w:tc>
      </w:tr>
      <w:tr w14:paraId="4E67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7" w:type="dxa"/>
            <w:shd w:val="clear" w:color="auto" w:fill="auto"/>
            <w:vAlign w:val="top"/>
          </w:tcPr>
          <w:p w14:paraId="002DC0F5">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（六）采用新技术、新工艺、新材料、新设备 可能影响工程施工安全，尚无国家、行业及地 方技术标准的分部分项工程。</w:t>
            </w:r>
          </w:p>
        </w:tc>
        <w:tc>
          <w:tcPr>
            <w:tcW w:w="1167" w:type="dxa"/>
            <w:shd w:val="clear" w:color="auto" w:fill="auto"/>
            <w:vAlign w:val="center"/>
          </w:tcPr>
          <w:p w14:paraId="1FCAE517">
            <w:pPr>
              <w:spacing w:before="78"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1183" w:type="dxa"/>
            <w:shd w:val="clear" w:color="auto" w:fill="auto"/>
            <w:vAlign w:val="center"/>
          </w:tcPr>
          <w:p w14:paraId="46DC869D">
            <w:pPr>
              <w:spacing w:before="78" w:line="223" w:lineRule="auto"/>
              <w:ind w:left="252" w:left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auto"/>
                <w:spacing w:val="-19"/>
                <w:w w:val="94"/>
                <w:sz w:val="24"/>
                <w:szCs w:val="24"/>
              </w:rPr>
              <w:t>(</w:t>
            </w:r>
            <w:r>
              <w:rPr>
                <w:rFonts w:hint="eastAsia" w:ascii="宋体" w:hAnsi="宋体" w:eastAsia="宋体" w:cs="宋体"/>
                <w:i w:val="0"/>
                <w:iCs w:val="0"/>
                <w:color w:val="auto"/>
                <w:spacing w:val="2"/>
                <w:sz w:val="24"/>
                <w:szCs w:val="24"/>
              </w:rPr>
              <w:t xml:space="preserve">    </w:t>
            </w:r>
            <w:r>
              <w:rPr>
                <w:rFonts w:hint="eastAsia" w:ascii="宋体" w:hAnsi="宋体" w:eastAsia="宋体" w:cs="宋体"/>
                <w:i w:val="0"/>
                <w:iCs w:val="0"/>
                <w:color w:val="auto"/>
                <w:spacing w:val="-19"/>
                <w:w w:val="94"/>
                <w:sz w:val="24"/>
                <w:szCs w:val="24"/>
              </w:rPr>
              <w:t>)</w:t>
            </w:r>
          </w:p>
        </w:tc>
        <w:tc>
          <w:tcPr>
            <w:tcW w:w="757" w:type="dxa"/>
            <w:shd w:val="clear" w:color="auto" w:fill="auto"/>
            <w:vAlign w:val="top"/>
          </w:tcPr>
          <w:p w14:paraId="5B9CC997">
            <w:pPr>
              <w:pStyle w:val="34"/>
              <w:rPr>
                <w:rFonts w:hint="eastAsia" w:ascii="宋体" w:hAnsi="宋体" w:eastAsia="宋体" w:cs="宋体"/>
                <w:color w:val="auto"/>
                <w:kern w:val="2"/>
                <w:sz w:val="21"/>
                <w:szCs w:val="21"/>
                <w:lang w:val="en-US" w:eastAsia="zh-CN" w:bidi="ar-SA"/>
              </w:rPr>
            </w:pPr>
          </w:p>
        </w:tc>
      </w:tr>
    </w:tbl>
    <w:p w14:paraId="68E99EA0">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备注：</w:t>
      </w:r>
    </w:p>
    <w:p w14:paraId="11894DA4">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根据《危险性较大的分部分项工程安全管理规定》，该《危险性较大的分部分项工程清单及超过一定规模的危险性较大的分部分项工程清单》应由建设单位组织勘察、设计等单位在招标文件中先行“勾选（对应项打“√”标识）”危险性较大的分部分项工程。</w:t>
      </w:r>
    </w:p>
    <w:p w14:paraId="71DFE088">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该《危险性较大的分部分项工程清单及超过一定规模的危险性较大的分部分项工程清单》在办理建设项目施工许可时必须提供，且各地建设行政主管部门可按照《广东省建设工程项目招标中标后监督检查办法》相关规定开展检查。</w:t>
      </w:r>
    </w:p>
    <w:p w14:paraId="682529F2">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3.如果需要（如需要通过计算编制专项方案，或者需要专家论证），可中标后提供详细版。</w:t>
      </w:r>
    </w:p>
    <w:p w14:paraId="7F8236EA">
      <w:pPr>
        <w:rPr>
          <w:rFonts w:hint="eastAsia" w:ascii="宋体" w:hAnsi="宋体" w:eastAsia="宋体" w:cs="宋体"/>
          <w:color w:val="auto"/>
        </w:rPr>
      </w:pPr>
    </w:p>
    <w:p w14:paraId="4B0E6AA7">
      <w:pPr>
        <w:rPr>
          <w:rFonts w:hint="eastAsia" w:ascii="宋体" w:hAnsi="宋体" w:eastAsia="宋体" w:cs="宋体"/>
          <w:color w:val="auto"/>
        </w:rPr>
      </w:pPr>
    </w:p>
    <w:p w14:paraId="72848C2D">
      <w:pPr>
        <w:rPr>
          <w:rFonts w:hint="eastAsia" w:ascii="宋体" w:hAnsi="宋体" w:eastAsia="宋体" w:cs="宋体"/>
          <w:color w:val="auto"/>
        </w:rPr>
      </w:pPr>
    </w:p>
    <w:p w14:paraId="1FCA6283">
      <w:pPr>
        <w:rPr>
          <w:rFonts w:hint="eastAsia" w:ascii="宋体" w:hAnsi="宋体" w:eastAsia="宋体" w:cs="宋体"/>
          <w:color w:val="auto"/>
        </w:rPr>
      </w:pPr>
    </w:p>
    <w:p w14:paraId="300444F3">
      <w:pPr>
        <w:rPr>
          <w:rFonts w:hint="eastAsia" w:ascii="宋体" w:hAnsi="宋体" w:eastAsia="宋体" w:cs="宋体"/>
          <w:color w:val="auto"/>
        </w:rPr>
      </w:pPr>
    </w:p>
    <w:p w14:paraId="791157F8">
      <w:pPr>
        <w:rPr>
          <w:rFonts w:hint="eastAsia" w:ascii="宋体" w:hAnsi="宋体" w:eastAsia="宋体" w:cs="宋体"/>
          <w:color w:val="auto"/>
        </w:rPr>
      </w:pPr>
    </w:p>
    <w:p w14:paraId="23FF359D">
      <w:pPr>
        <w:rPr>
          <w:rFonts w:hint="eastAsia" w:ascii="宋体" w:hAnsi="宋体" w:eastAsia="宋体" w:cs="宋体"/>
          <w:color w:val="auto"/>
        </w:rPr>
      </w:pPr>
    </w:p>
    <w:p w14:paraId="56A14305">
      <w:pPr>
        <w:rPr>
          <w:rFonts w:hint="eastAsia" w:ascii="宋体" w:hAnsi="宋体" w:eastAsia="宋体" w:cs="宋体"/>
          <w:color w:val="auto"/>
        </w:rPr>
      </w:pPr>
    </w:p>
    <w:p w14:paraId="267A7AEA">
      <w:pPr>
        <w:rPr>
          <w:rFonts w:hint="eastAsia" w:ascii="宋体" w:hAnsi="宋体" w:eastAsia="宋体" w:cs="宋体"/>
          <w:color w:val="auto"/>
        </w:rPr>
      </w:pPr>
    </w:p>
    <w:p w14:paraId="679BC10A">
      <w:pPr>
        <w:rPr>
          <w:rFonts w:hint="eastAsia" w:ascii="宋体" w:hAnsi="宋体" w:eastAsia="宋体" w:cs="宋体"/>
          <w:color w:val="auto"/>
        </w:rPr>
      </w:pPr>
    </w:p>
    <w:p w14:paraId="6D6AAE3A">
      <w:pPr>
        <w:rPr>
          <w:rFonts w:hint="eastAsia" w:ascii="宋体" w:hAnsi="宋体" w:eastAsia="宋体" w:cs="宋体"/>
          <w:color w:val="auto"/>
        </w:rPr>
      </w:pPr>
    </w:p>
    <w:p w14:paraId="7FD59595">
      <w:pPr>
        <w:rPr>
          <w:rFonts w:hint="eastAsia" w:ascii="宋体" w:hAnsi="宋体" w:eastAsia="宋体" w:cs="宋体"/>
          <w:color w:val="auto"/>
        </w:rPr>
      </w:pPr>
    </w:p>
    <w:p w14:paraId="71D3FFA5">
      <w:pPr>
        <w:rPr>
          <w:rFonts w:hint="eastAsia" w:ascii="宋体" w:hAnsi="宋体" w:eastAsia="宋体" w:cs="宋体"/>
          <w:color w:val="auto"/>
        </w:rPr>
      </w:pPr>
    </w:p>
    <w:p w14:paraId="240D1747">
      <w:pPr>
        <w:rPr>
          <w:rFonts w:hint="eastAsia" w:ascii="宋体" w:hAnsi="宋体" w:eastAsia="宋体" w:cs="宋体"/>
          <w:color w:val="auto"/>
        </w:rPr>
      </w:pPr>
    </w:p>
    <w:p w14:paraId="356212CD">
      <w:pPr>
        <w:rPr>
          <w:rFonts w:hint="eastAsia" w:ascii="宋体" w:hAnsi="宋体" w:eastAsia="宋体" w:cs="宋体"/>
          <w:color w:val="auto"/>
        </w:rPr>
      </w:pPr>
    </w:p>
    <w:p w14:paraId="5D48AE5E">
      <w:pPr>
        <w:rPr>
          <w:rFonts w:hint="eastAsia" w:ascii="宋体" w:hAnsi="宋体" w:eastAsia="宋体" w:cs="宋体"/>
          <w:color w:val="auto"/>
        </w:rPr>
      </w:pPr>
    </w:p>
    <w:p w14:paraId="6002FF28">
      <w:pPr>
        <w:rPr>
          <w:rFonts w:hint="eastAsia" w:ascii="宋体" w:hAnsi="宋体" w:eastAsia="宋体" w:cs="宋体"/>
          <w:color w:val="auto"/>
        </w:rPr>
      </w:pPr>
    </w:p>
    <w:p w14:paraId="5B64B085">
      <w:pPr>
        <w:rPr>
          <w:rFonts w:hint="eastAsia" w:ascii="宋体" w:hAnsi="宋体" w:eastAsia="宋体" w:cs="宋体"/>
          <w:color w:val="auto"/>
        </w:rPr>
      </w:pPr>
    </w:p>
    <w:p w14:paraId="3AEEF550">
      <w:pPr>
        <w:pStyle w:val="3"/>
        <w:bidi w:val="0"/>
        <w:spacing w:line="360" w:lineRule="auto"/>
        <w:ind w:firstLine="482" w:firstLineChars="200"/>
        <w:rPr>
          <w:rFonts w:hint="eastAsia" w:ascii="宋体" w:hAnsi="宋体" w:eastAsia="宋体" w:cs="宋体"/>
          <w:color w:val="auto"/>
          <w:sz w:val="24"/>
          <w:szCs w:val="24"/>
          <w:lang w:val="en-US" w:eastAsia="zh-CN"/>
        </w:rPr>
      </w:pPr>
      <w:bookmarkStart w:id="151" w:name="_Toc30274"/>
      <w:r>
        <w:rPr>
          <w:rFonts w:hint="eastAsia" w:ascii="宋体" w:hAnsi="宋体" w:eastAsia="宋体" w:cs="宋体"/>
          <w:color w:val="auto"/>
          <w:sz w:val="24"/>
          <w:szCs w:val="24"/>
          <w:lang w:val="en-US" w:eastAsia="zh-CN"/>
        </w:rPr>
        <w:t>格式十三   投标保证金信用承诺函</w:t>
      </w:r>
      <w:bookmarkEnd w:id="151"/>
    </w:p>
    <w:p w14:paraId="07F53C62">
      <w:pPr>
        <w:spacing w:before="98" w:line="220" w:lineRule="auto"/>
        <w:ind w:left="3338"/>
        <w:rPr>
          <w:rFonts w:hint="eastAsia" w:ascii="宋体" w:hAnsi="宋体" w:eastAsia="宋体" w:cs="宋体"/>
          <w:color w:val="auto"/>
        </w:rPr>
      </w:pPr>
      <w:r>
        <w:rPr>
          <w:rFonts w:hint="eastAsia" w:ascii="宋体" w:hAnsi="宋体" w:eastAsia="宋体" w:cs="宋体"/>
          <w:b/>
          <w:bCs/>
          <w:color w:val="auto"/>
          <w:spacing w:val="-5"/>
          <w:sz w:val="30"/>
          <w:szCs w:val="30"/>
        </w:rPr>
        <w:t>投标保证金信用承诺函</w:t>
      </w:r>
    </w:p>
    <w:p w14:paraId="7D0D8B4F">
      <w:pPr>
        <w:keepNext w:val="0"/>
        <w:keepLines w:val="0"/>
        <w:pageBreakBefore w:val="0"/>
        <w:widowControl w:val="0"/>
        <w:kinsoku/>
        <w:wordWrap/>
        <w:overflowPunct/>
        <w:topLinePunct w:val="0"/>
        <w:autoSpaceDE/>
        <w:autoSpaceDN/>
        <w:bidi w:val="0"/>
        <w:adjustRightInd/>
        <w:snapToGrid/>
        <w:spacing w:line="360" w:lineRule="auto"/>
        <w:ind w:firstLine="510" w:firstLineChars="200"/>
        <w:jc w:val="both"/>
        <w:textAlignment w:val="auto"/>
        <w:rPr>
          <w:rFonts w:hint="eastAsia" w:ascii="宋体" w:hAnsi="宋体" w:eastAsia="宋体" w:cs="宋体"/>
          <w:color w:val="auto"/>
          <w:spacing w:val="7"/>
          <w:sz w:val="24"/>
          <w:szCs w:val="24"/>
        </w:rPr>
      </w:pPr>
      <w:r>
        <w:rPr>
          <w:rFonts w:hint="eastAsia" w:ascii="宋体" w:hAnsi="宋体" w:eastAsia="宋体" w:cs="宋体"/>
          <w:b/>
          <w:bCs/>
          <w:color w:val="auto"/>
          <w:spacing w:val="7"/>
          <w:sz w:val="24"/>
          <w:szCs w:val="24"/>
        </w:rPr>
        <w:t>一、</w:t>
      </w:r>
      <w:r>
        <w:rPr>
          <w:rFonts w:hint="eastAsia" w:ascii="宋体" w:hAnsi="宋体" w:eastAsia="宋体" w:cs="宋体"/>
          <w:color w:val="auto"/>
          <w:spacing w:val="7"/>
          <w:sz w:val="24"/>
          <w:szCs w:val="24"/>
        </w:rPr>
        <w:t>我单位参加</w:t>
      </w:r>
      <w:r>
        <w:rPr>
          <w:rFonts w:hint="eastAsia" w:ascii="宋体" w:hAnsi="宋体" w:eastAsia="宋体" w:cs="宋体"/>
          <w:color w:val="auto"/>
          <w:sz w:val="24"/>
          <w:szCs w:val="24"/>
          <w:u w:val="single"/>
        </w:rPr>
        <w:t>（工程项目名称）</w:t>
      </w:r>
      <w:r>
        <w:rPr>
          <w:rFonts w:hint="eastAsia" w:ascii="宋体" w:hAnsi="宋体" w:eastAsia="宋体" w:cs="宋体"/>
          <w:color w:val="auto"/>
          <w:spacing w:val="7"/>
          <w:sz w:val="24"/>
          <w:szCs w:val="24"/>
        </w:rPr>
        <w:t>的投标活动，</w:t>
      </w:r>
      <w:r>
        <w:rPr>
          <w:rFonts w:hint="eastAsia" w:ascii="宋体" w:hAnsi="宋体" w:eastAsia="宋体" w:cs="宋体"/>
          <w:color w:val="auto"/>
          <w:spacing w:val="6"/>
          <w:sz w:val="24"/>
          <w:szCs w:val="24"/>
        </w:rPr>
        <w:t>现承</w:t>
      </w:r>
      <w:r>
        <w:rPr>
          <w:rFonts w:hint="eastAsia" w:ascii="宋体" w:hAnsi="宋体" w:eastAsia="宋体" w:cs="宋体"/>
          <w:color w:val="auto"/>
          <w:spacing w:val="9"/>
          <w:sz w:val="24"/>
          <w:szCs w:val="24"/>
        </w:rPr>
        <w:t>诺：将严格按照法律法规规定参与交易活动，按照招标文件要求依法履行投标人义务；我方若出现违反《中华人民共和国招标投标法》、《中华人民共和国招标投标法实施条例》、《电子招标投标办法》等有关法律法规的行为，将于投标有效期内全额付清</w:t>
      </w:r>
      <w:r>
        <w:rPr>
          <w:rFonts w:hint="eastAsia" w:ascii="宋体" w:hAnsi="宋体" w:eastAsia="宋体" w:cs="宋体"/>
          <w:color w:val="auto"/>
          <w:spacing w:val="7"/>
          <w:sz w:val="24"/>
          <w:szCs w:val="24"/>
        </w:rPr>
        <w:t>招标文件规定的投标保证金</w:t>
      </w:r>
    </w:p>
    <w:p w14:paraId="66DED3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rPr>
      </w:pPr>
      <w:r>
        <w:rPr>
          <w:rFonts w:hint="eastAsia" w:ascii="宋体" w:hAnsi="宋体" w:eastAsia="宋体" w:cs="宋体"/>
          <w:color w:val="auto"/>
          <w:spacing w:val="7"/>
          <w:sz w:val="24"/>
          <w:szCs w:val="24"/>
          <w:u w:val="single"/>
          <w:lang w:val="en-US" w:eastAsia="zh-CN"/>
        </w:rPr>
        <w:t xml:space="preserve">     </w:t>
      </w:r>
      <w:r>
        <w:rPr>
          <w:rFonts w:hint="eastAsia" w:ascii="宋体" w:hAnsi="宋体" w:eastAsia="宋体" w:cs="宋体"/>
          <w:color w:val="auto"/>
          <w:spacing w:val="5"/>
          <w:sz w:val="24"/>
          <w:szCs w:val="24"/>
          <w:u w:val="single" w:color="auto"/>
        </w:rPr>
        <w:t xml:space="preserve"> </w:t>
      </w:r>
      <w:r>
        <w:rPr>
          <w:rFonts w:hint="eastAsia" w:ascii="宋体" w:hAnsi="宋体" w:eastAsia="宋体" w:cs="宋体"/>
          <w:color w:val="auto"/>
          <w:spacing w:val="-138"/>
          <w:sz w:val="24"/>
          <w:szCs w:val="24"/>
          <w:u w:val="single" w:color="auto"/>
        </w:rPr>
        <w:t xml:space="preserve"> </w:t>
      </w:r>
      <w:r>
        <w:rPr>
          <w:rFonts w:hint="eastAsia" w:ascii="宋体" w:hAnsi="宋体" w:eastAsia="宋体" w:cs="宋体"/>
          <w:color w:val="auto"/>
          <w:spacing w:val="7"/>
          <w:sz w:val="24"/>
          <w:szCs w:val="24"/>
        </w:rPr>
        <w:t>元。</w:t>
      </w:r>
    </w:p>
    <w:p w14:paraId="1D2E7BCD">
      <w:pPr>
        <w:keepNext w:val="0"/>
        <w:keepLines w:val="0"/>
        <w:pageBreakBefore w:val="0"/>
        <w:widowControl w:val="0"/>
        <w:kinsoku/>
        <w:wordWrap/>
        <w:overflowPunct/>
        <w:topLinePunct w:val="0"/>
        <w:autoSpaceDE/>
        <w:autoSpaceDN/>
        <w:bidi w:val="0"/>
        <w:adjustRightInd/>
        <w:snapToGrid/>
        <w:spacing w:line="360" w:lineRule="auto"/>
        <w:ind w:firstLine="516"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9"/>
          <w:sz w:val="24"/>
          <w:szCs w:val="24"/>
        </w:rPr>
        <w:t>二、至投标文件提交当天，本公司无严重不良信用记录或存在曾作出虚假承诺的情形，且不属于韶关市建筑市场信用管理平</w:t>
      </w:r>
      <w:r>
        <w:rPr>
          <w:rFonts w:hint="eastAsia" w:ascii="宋体" w:hAnsi="宋体" w:eastAsia="宋体" w:cs="宋体"/>
          <w:color w:val="auto"/>
          <w:spacing w:val="5"/>
          <w:sz w:val="24"/>
          <w:szCs w:val="24"/>
        </w:rPr>
        <w:t>台公布的信用等级为</w:t>
      </w:r>
      <w:r>
        <w:rPr>
          <w:rFonts w:hint="eastAsia" w:ascii="宋体" w:hAnsi="宋体" w:eastAsia="宋体" w:cs="宋体"/>
          <w:color w:val="auto"/>
          <w:spacing w:val="-62"/>
          <w:sz w:val="24"/>
          <w:szCs w:val="24"/>
        </w:rPr>
        <w:t xml:space="preserve"> </w:t>
      </w:r>
      <w:r>
        <w:rPr>
          <w:rFonts w:hint="eastAsia" w:ascii="宋体" w:hAnsi="宋体" w:eastAsia="宋体" w:cs="宋体"/>
          <w:color w:val="auto"/>
          <w:spacing w:val="5"/>
          <w:sz w:val="24"/>
          <w:szCs w:val="24"/>
        </w:rPr>
        <w:t>B</w:t>
      </w:r>
      <w:r>
        <w:rPr>
          <w:rFonts w:hint="eastAsia" w:ascii="宋体" w:hAnsi="宋体" w:eastAsia="宋体" w:cs="宋体"/>
          <w:color w:val="auto"/>
          <w:spacing w:val="-57"/>
          <w:sz w:val="24"/>
          <w:szCs w:val="24"/>
        </w:rPr>
        <w:t xml:space="preserve"> </w:t>
      </w:r>
      <w:r>
        <w:rPr>
          <w:rFonts w:hint="eastAsia" w:ascii="宋体" w:hAnsi="宋体" w:eastAsia="宋体" w:cs="宋体"/>
          <w:color w:val="auto"/>
          <w:spacing w:val="5"/>
          <w:sz w:val="24"/>
          <w:szCs w:val="24"/>
        </w:rPr>
        <w:t>级、C</w:t>
      </w:r>
      <w:r>
        <w:rPr>
          <w:rFonts w:hint="eastAsia" w:ascii="宋体" w:hAnsi="宋体" w:eastAsia="宋体" w:cs="宋体"/>
          <w:color w:val="auto"/>
          <w:spacing w:val="-57"/>
          <w:sz w:val="24"/>
          <w:szCs w:val="24"/>
        </w:rPr>
        <w:t xml:space="preserve"> </w:t>
      </w:r>
      <w:r>
        <w:rPr>
          <w:rFonts w:hint="eastAsia" w:ascii="宋体" w:hAnsi="宋体" w:eastAsia="宋体" w:cs="宋体"/>
          <w:color w:val="auto"/>
          <w:spacing w:val="5"/>
          <w:sz w:val="24"/>
          <w:szCs w:val="24"/>
        </w:rPr>
        <w:t>级、D</w:t>
      </w:r>
      <w:r>
        <w:rPr>
          <w:rFonts w:hint="eastAsia" w:ascii="宋体" w:hAnsi="宋体" w:eastAsia="宋体" w:cs="宋体"/>
          <w:color w:val="auto"/>
          <w:spacing w:val="-57"/>
          <w:sz w:val="24"/>
          <w:szCs w:val="24"/>
        </w:rPr>
        <w:t xml:space="preserve"> </w:t>
      </w:r>
      <w:r>
        <w:rPr>
          <w:rFonts w:hint="eastAsia" w:ascii="宋体" w:hAnsi="宋体" w:eastAsia="宋体" w:cs="宋体"/>
          <w:color w:val="auto"/>
          <w:spacing w:val="5"/>
          <w:sz w:val="24"/>
          <w:szCs w:val="24"/>
        </w:rPr>
        <w:t>级的企业。</w:t>
      </w:r>
    </w:p>
    <w:p w14:paraId="58BD4463">
      <w:pPr>
        <w:keepNext w:val="0"/>
        <w:keepLines w:val="0"/>
        <w:pageBreakBefore w:val="0"/>
        <w:widowControl w:val="0"/>
        <w:kinsoku/>
        <w:wordWrap/>
        <w:overflowPunct/>
        <w:topLinePunct w:val="0"/>
        <w:autoSpaceDE/>
        <w:autoSpaceDN/>
        <w:bidi w:val="0"/>
        <w:adjustRightInd/>
        <w:snapToGrid/>
        <w:spacing w:line="360" w:lineRule="auto"/>
        <w:ind w:right="2" w:firstLine="516" w:firstLineChars="200"/>
        <w:textAlignment w:val="auto"/>
        <w:rPr>
          <w:rFonts w:hint="eastAsia" w:ascii="宋体" w:hAnsi="宋体" w:eastAsia="宋体" w:cs="宋体"/>
          <w:color w:val="auto"/>
          <w:sz w:val="24"/>
          <w:szCs w:val="24"/>
        </w:rPr>
      </w:pPr>
      <w:r>
        <w:rPr>
          <w:rFonts w:hint="eastAsia" w:ascii="宋体" w:hAnsi="宋体" w:eastAsia="宋体" w:cs="宋体"/>
          <w:color w:val="auto"/>
          <w:spacing w:val="9"/>
          <w:sz w:val="24"/>
          <w:szCs w:val="24"/>
        </w:rPr>
        <w:t>本企业对以上承诺和声明负责。如有虚假，愿接受行政主管</w:t>
      </w:r>
      <w:r>
        <w:rPr>
          <w:rFonts w:hint="eastAsia" w:ascii="宋体" w:hAnsi="宋体" w:eastAsia="宋体" w:cs="宋体"/>
          <w:color w:val="auto"/>
          <w:spacing w:val="8"/>
          <w:sz w:val="24"/>
          <w:szCs w:val="24"/>
        </w:rPr>
        <w:t>部门作出的处罚，并承担以下后果：</w:t>
      </w:r>
    </w:p>
    <w:p w14:paraId="184B41CD">
      <w:pPr>
        <w:keepNext w:val="0"/>
        <w:keepLines w:val="0"/>
        <w:pageBreakBefore w:val="0"/>
        <w:widowControl w:val="0"/>
        <w:kinsoku/>
        <w:wordWrap/>
        <w:overflowPunct/>
        <w:topLinePunct w:val="0"/>
        <w:autoSpaceDE/>
        <w:autoSpaceDN/>
        <w:bidi w:val="0"/>
        <w:adjustRightInd/>
        <w:snapToGrid/>
        <w:spacing w:line="360" w:lineRule="auto"/>
        <w:ind w:left="656"/>
        <w:textAlignment w:val="auto"/>
        <w:rPr>
          <w:rFonts w:hint="eastAsia" w:ascii="宋体" w:hAnsi="宋体" w:eastAsia="宋体" w:cs="宋体"/>
          <w:color w:val="auto"/>
          <w:sz w:val="24"/>
          <w:szCs w:val="24"/>
        </w:rPr>
      </w:pPr>
      <w:r>
        <w:rPr>
          <w:rFonts w:hint="eastAsia" w:ascii="宋体" w:hAnsi="宋体" w:eastAsia="宋体" w:cs="宋体"/>
          <w:color w:val="auto"/>
          <w:spacing w:val="8"/>
          <w:sz w:val="24"/>
          <w:szCs w:val="24"/>
        </w:rPr>
        <w:t>（一）取消本单位在本项目中的投标资格或中标资格；</w:t>
      </w:r>
    </w:p>
    <w:p w14:paraId="0B5C46C5">
      <w:pPr>
        <w:keepNext w:val="0"/>
        <w:keepLines w:val="0"/>
        <w:pageBreakBefore w:val="0"/>
        <w:widowControl w:val="0"/>
        <w:kinsoku/>
        <w:wordWrap/>
        <w:overflowPunct/>
        <w:topLinePunct w:val="0"/>
        <w:autoSpaceDE/>
        <w:autoSpaceDN/>
        <w:bidi w:val="0"/>
        <w:adjustRightInd/>
        <w:snapToGrid/>
        <w:spacing w:line="360" w:lineRule="auto"/>
        <w:ind w:left="656"/>
        <w:textAlignment w:val="auto"/>
        <w:rPr>
          <w:rFonts w:hint="eastAsia" w:ascii="宋体" w:hAnsi="宋体" w:eastAsia="宋体" w:cs="宋体"/>
          <w:color w:val="auto"/>
          <w:sz w:val="24"/>
          <w:szCs w:val="24"/>
        </w:rPr>
      </w:pPr>
      <w:r>
        <w:rPr>
          <w:rFonts w:hint="eastAsia" w:ascii="宋体" w:hAnsi="宋体" w:eastAsia="宋体" w:cs="宋体"/>
          <w:color w:val="auto"/>
          <w:spacing w:val="8"/>
          <w:sz w:val="24"/>
          <w:szCs w:val="24"/>
        </w:rPr>
        <w:t>（二）将本单位不良行为纳入信用信息管理系统；</w:t>
      </w:r>
    </w:p>
    <w:p w14:paraId="217B1C65">
      <w:pPr>
        <w:keepNext w:val="0"/>
        <w:keepLines w:val="0"/>
        <w:pageBreakBefore w:val="0"/>
        <w:widowControl w:val="0"/>
        <w:kinsoku/>
        <w:wordWrap/>
        <w:overflowPunct/>
        <w:topLinePunct w:val="0"/>
        <w:autoSpaceDE/>
        <w:autoSpaceDN/>
        <w:bidi w:val="0"/>
        <w:adjustRightInd/>
        <w:snapToGrid/>
        <w:spacing w:line="360" w:lineRule="auto"/>
        <w:ind w:left="41" w:right="2" w:firstLine="615"/>
        <w:textAlignment w:val="auto"/>
        <w:rPr>
          <w:rFonts w:hint="eastAsia" w:ascii="宋体" w:hAnsi="宋体" w:eastAsia="宋体" w:cs="宋体"/>
          <w:color w:val="auto"/>
          <w:sz w:val="24"/>
          <w:szCs w:val="24"/>
        </w:rPr>
      </w:pPr>
      <w:r>
        <w:rPr>
          <w:rFonts w:hint="eastAsia" w:ascii="宋体" w:hAnsi="宋体" w:eastAsia="宋体" w:cs="宋体"/>
          <w:color w:val="auto"/>
          <w:spacing w:val="9"/>
          <w:sz w:val="24"/>
          <w:szCs w:val="24"/>
        </w:rPr>
        <w:t>（三）主动在产生不良行为所在的各县（市、区）行</w:t>
      </w:r>
      <w:r>
        <w:rPr>
          <w:rFonts w:hint="eastAsia" w:ascii="宋体" w:hAnsi="宋体" w:eastAsia="宋体" w:cs="宋体"/>
          <w:color w:val="auto"/>
          <w:spacing w:val="8"/>
          <w:sz w:val="24"/>
          <w:szCs w:val="24"/>
        </w:rPr>
        <w:t>政区域</w:t>
      </w:r>
      <w:r>
        <w:rPr>
          <w:rFonts w:hint="eastAsia" w:ascii="宋体" w:hAnsi="宋体" w:eastAsia="宋体" w:cs="宋体"/>
          <w:color w:val="auto"/>
          <w:spacing w:val="6"/>
          <w:sz w:val="24"/>
          <w:szCs w:val="24"/>
        </w:rPr>
        <w:t>内不参加房建市政工程项目的投标活动一年；</w:t>
      </w:r>
    </w:p>
    <w:p w14:paraId="00767BC8">
      <w:pPr>
        <w:keepNext w:val="0"/>
        <w:keepLines w:val="0"/>
        <w:pageBreakBefore w:val="0"/>
        <w:widowControl w:val="0"/>
        <w:kinsoku/>
        <w:wordWrap/>
        <w:overflowPunct/>
        <w:topLinePunct w:val="0"/>
        <w:autoSpaceDE/>
        <w:autoSpaceDN/>
        <w:bidi w:val="0"/>
        <w:adjustRightInd/>
        <w:snapToGrid/>
        <w:spacing w:line="360" w:lineRule="auto"/>
        <w:ind w:left="656"/>
        <w:textAlignment w:val="auto"/>
        <w:rPr>
          <w:rFonts w:hint="eastAsia" w:ascii="宋体" w:hAnsi="宋体" w:eastAsia="宋体" w:cs="宋体"/>
          <w:color w:val="auto"/>
          <w:sz w:val="24"/>
          <w:szCs w:val="24"/>
        </w:rPr>
      </w:pPr>
      <w:r>
        <w:rPr>
          <w:rFonts w:hint="eastAsia" w:ascii="宋体" w:hAnsi="宋体" w:eastAsia="宋体" w:cs="宋体"/>
          <w:color w:val="auto"/>
          <w:spacing w:val="7"/>
          <w:sz w:val="24"/>
          <w:szCs w:val="24"/>
        </w:rPr>
        <w:t>（四）应付的赔偿责任和相应法律责任。</w:t>
      </w:r>
    </w:p>
    <w:p w14:paraId="67FDAAA8">
      <w:pPr>
        <w:rPr>
          <w:rFonts w:hint="eastAsia" w:ascii="宋体" w:hAnsi="宋体" w:eastAsia="宋体" w:cs="宋体"/>
          <w:color w:val="auto"/>
        </w:rPr>
      </w:pPr>
    </w:p>
    <w:p w14:paraId="128380E7">
      <w:pPr>
        <w:keepNext w:val="0"/>
        <w:keepLines w:val="0"/>
        <w:pageBreakBefore w:val="0"/>
        <w:widowControl w:val="0"/>
        <w:kinsoku/>
        <w:wordWrap/>
        <w:overflowPunct/>
        <w:topLinePunct w:val="0"/>
        <w:autoSpaceDE/>
        <w:autoSpaceDN/>
        <w:bidi w:val="0"/>
        <w:adjustRightInd/>
        <w:snapToGrid/>
        <w:spacing w:line="360" w:lineRule="auto"/>
        <w:ind w:left="845"/>
        <w:textAlignment w:val="auto"/>
        <w:rPr>
          <w:rFonts w:hint="eastAsia" w:ascii="宋体" w:hAnsi="宋体" w:eastAsia="宋体" w:cs="宋体"/>
          <w:color w:val="auto"/>
          <w:sz w:val="24"/>
          <w:szCs w:val="24"/>
        </w:rPr>
      </w:pPr>
      <w:r>
        <w:rPr>
          <w:rFonts w:hint="eastAsia" w:ascii="宋体" w:hAnsi="宋体" w:eastAsia="宋体" w:cs="宋体"/>
          <w:color w:val="auto"/>
          <w:spacing w:val="7"/>
          <w:sz w:val="24"/>
          <w:szCs w:val="24"/>
        </w:rPr>
        <w:t>单位名称（公章</w:t>
      </w:r>
      <w:r>
        <w:rPr>
          <w:rFonts w:hint="eastAsia" w:ascii="宋体" w:hAnsi="宋体" w:eastAsia="宋体" w:cs="宋体"/>
          <w:color w:val="auto"/>
          <w:spacing w:val="1"/>
          <w:sz w:val="24"/>
          <w:szCs w:val="24"/>
        </w:rPr>
        <w:t>）：</w:t>
      </w:r>
    </w:p>
    <w:p w14:paraId="29079F95">
      <w:pPr>
        <w:rPr>
          <w:rFonts w:hint="eastAsia" w:ascii="宋体" w:hAnsi="宋体" w:eastAsia="宋体" w:cs="宋体"/>
          <w:color w:val="auto"/>
        </w:rPr>
      </w:pPr>
    </w:p>
    <w:p w14:paraId="01C59E0E">
      <w:pPr>
        <w:keepNext w:val="0"/>
        <w:keepLines w:val="0"/>
        <w:pageBreakBefore w:val="0"/>
        <w:widowControl w:val="0"/>
        <w:kinsoku/>
        <w:wordWrap/>
        <w:overflowPunct/>
        <w:topLinePunct w:val="0"/>
        <w:autoSpaceDE/>
        <w:autoSpaceDN/>
        <w:bidi w:val="0"/>
        <w:adjustRightInd/>
        <w:snapToGrid/>
        <w:spacing w:line="360" w:lineRule="auto"/>
        <w:ind w:left="850"/>
        <w:textAlignment w:val="auto"/>
        <w:rPr>
          <w:rFonts w:hint="eastAsia" w:ascii="宋体" w:hAnsi="宋体" w:eastAsia="宋体" w:cs="宋体"/>
          <w:color w:val="auto"/>
          <w:sz w:val="24"/>
          <w:szCs w:val="24"/>
        </w:rPr>
      </w:pPr>
      <w:r>
        <w:rPr>
          <w:rFonts w:hint="eastAsia" w:ascii="宋体" w:hAnsi="宋体" w:eastAsia="宋体" w:cs="宋体"/>
          <w:color w:val="auto"/>
          <w:spacing w:val="6"/>
          <w:sz w:val="24"/>
          <w:szCs w:val="24"/>
        </w:rPr>
        <w:t>统一社会信用代码：</w:t>
      </w:r>
    </w:p>
    <w:p w14:paraId="7C4F56EB">
      <w:pPr>
        <w:rPr>
          <w:rFonts w:hint="eastAsia" w:ascii="宋体" w:hAnsi="宋体" w:eastAsia="宋体" w:cs="宋体"/>
          <w:color w:val="auto"/>
        </w:rPr>
      </w:pPr>
    </w:p>
    <w:p w14:paraId="7DFDBC6F">
      <w:pPr>
        <w:keepNext w:val="0"/>
        <w:keepLines w:val="0"/>
        <w:pageBreakBefore w:val="0"/>
        <w:widowControl w:val="0"/>
        <w:kinsoku/>
        <w:wordWrap/>
        <w:overflowPunct/>
        <w:topLinePunct w:val="0"/>
        <w:autoSpaceDE/>
        <w:autoSpaceDN/>
        <w:bidi w:val="0"/>
        <w:adjustRightInd/>
        <w:snapToGrid/>
        <w:spacing w:line="240" w:lineRule="auto"/>
        <w:ind w:left="0" w:right="0" w:firstLine="768" w:firstLineChars="300"/>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pacing w:val="8"/>
          <w:sz w:val="24"/>
          <w:szCs w:val="24"/>
          <w:u w:val="none"/>
        </w:rPr>
        <w:t>法定代表人（签字</w:t>
      </w:r>
      <w:r>
        <w:rPr>
          <w:rFonts w:hint="eastAsia" w:ascii="宋体" w:hAnsi="宋体" w:eastAsia="宋体" w:cs="宋体"/>
          <w:color w:val="auto"/>
          <w:spacing w:val="-29"/>
          <w:sz w:val="24"/>
          <w:szCs w:val="24"/>
          <w:u w:val="none"/>
        </w:rPr>
        <w:t>）：</w:t>
      </w:r>
      <w:r>
        <w:rPr>
          <w:rFonts w:hint="eastAsia" w:ascii="宋体" w:hAnsi="宋体" w:eastAsia="宋体" w:cs="宋体"/>
          <w:color w:val="auto"/>
          <w:spacing w:val="9"/>
          <w:sz w:val="24"/>
          <w:szCs w:val="24"/>
        </w:rPr>
        <w:t xml:space="preserve"> </w:t>
      </w:r>
      <w:r>
        <w:rPr>
          <w:rFonts w:hint="eastAsia" w:ascii="宋体" w:hAnsi="宋体" w:eastAsia="宋体" w:cs="宋体"/>
          <w:snapToGrid w:val="0"/>
          <w:color w:val="auto"/>
          <w:kern w:val="0"/>
          <w:sz w:val="24"/>
          <w:szCs w:val="24"/>
          <w:highlight w:val="none"/>
          <w:lang w:val="en-US" w:eastAsia="zh-CN" w:bidi="ar-SA"/>
        </w:rPr>
        <w:t>年  月  日</w:t>
      </w:r>
    </w:p>
    <w:p w14:paraId="5909DC57">
      <w:pPr>
        <w:rPr>
          <w:rFonts w:hint="eastAsia" w:ascii="宋体" w:hAnsi="宋体" w:eastAsia="宋体" w:cs="宋体"/>
          <w:color w:val="auto"/>
        </w:rPr>
      </w:pPr>
    </w:p>
    <w:p w14:paraId="75EB678C">
      <w:pPr>
        <w:rPr>
          <w:rFonts w:hint="eastAsia" w:ascii="宋体" w:hAnsi="宋体" w:eastAsia="宋体" w:cs="宋体"/>
          <w:color w:val="auto"/>
        </w:rPr>
      </w:pPr>
    </w:p>
    <w:p w14:paraId="484385BD">
      <w:pPr>
        <w:rPr>
          <w:rFonts w:hint="eastAsia" w:ascii="宋体" w:hAnsi="宋体" w:eastAsia="宋体" w:cs="宋体"/>
          <w:color w:val="auto"/>
        </w:rPr>
      </w:pPr>
    </w:p>
    <w:p w14:paraId="4C598193">
      <w:pPr>
        <w:rPr>
          <w:rFonts w:hint="eastAsia" w:ascii="宋体" w:hAnsi="宋体" w:eastAsia="宋体" w:cs="宋体"/>
          <w:color w:val="auto"/>
        </w:rPr>
      </w:pPr>
    </w:p>
    <w:p w14:paraId="4D169D6B">
      <w:pPr>
        <w:rPr>
          <w:rFonts w:hint="eastAsia" w:ascii="宋体" w:hAnsi="宋体" w:eastAsia="宋体" w:cs="宋体"/>
          <w:color w:val="auto"/>
        </w:rPr>
      </w:pPr>
    </w:p>
    <w:p w14:paraId="412C18EA">
      <w:pPr>
        <w:rPr>
          <w:rFonts w:hint="eastAsia" w:ascii="宋体" w:hAnsi="宋体" w:eastAsia="宋体" w:cs="宋体"/>
          <w:color w:val="auto"/>
        </w:rPr>
      </w:pPr>
    </w:p>
    <w:p w14:paraId="68130931">
      <w:pPr>
        <w:rPr>
          <w:rFonts w:hint="eastAsia" w:ascii="宋体" w:hAnsi="宋体" w:eastAsia="宋体" w:cs="宋体"/>
          <w:color w:val="auto"/>
        </w:rPr>
      </w:pPr>
    </w:p>
    <w:p w14:paraId="198C7104">
      <w:pPr>
        <w:rPr>
          <w:rFonts w:hint="eastAsia" w:ascii="宋体" w:hAnsi="宋体" w:eastAsia="宋体" w:cs="宋体"/>
          <w:color w:val="auto"/>
        </w:rPr>
      </w:pPr>
    </w:p>
    <w:p w14:paraId="7C1B275F">
      <w:pPr>
        <w:rPr>
          <w:rFonts w:hint="eastAsia" w:ascii="宋体" w:hAnsi="宋体" w:eastAsia="宋体" w:cs="宋体"/>
          <w:color w:val="auto"/>
        </w:rPr>
      </w:pPr>
    </w:p>
    <w:p w14:paraId="3C721B45">
      <w:pPr>
        <w:rPr>
          <w:rFonts w:hint="eastAsia" w:ascii="宋体" w:hAnsi="宋体" w:eastAsia="宋体" w:cs="宋体"/>
          <w:color w:val="auto"/>
        </w:rPr>
      </w:pPr>
    </w:p>
    <w:p w14:paraId="7811C3DD">
      <w:pPr>
        <w:rPr>
          <w:rFonts w:hint="eastAsia" w:ascii="宋体" w:hAnsi="宋体" w:eastAsia="宋体" w:cs="宋体"/>
          <w:color w:val="auto"/>
        </w:rPr>
      </w:pPr>
    </w:p>
    <w:p w14:paraId="7B3FFDFC">
      <w:pPr>
        <w:rPr>
          <w:rFonts w:hint="eastAsia" w:ascii="宋体" w:hAnsi="宋体" w:eastAsia="宋体" w:cs="宋体"/>
          <w:color w:val="auto"/>
        </w:rPr>
      </w:pPr>
    </w:p>
    <w:p w14:paraId="186E4A18">
      <w:pPr>
        <w:rPr>
          <w:rFonts w:hint="eastAsia" w:ascii="宋体" w:hAnsi="宋体" w:eastAsia="宋体" w:cs="宋体"/>
          <w:color w:val="auto"/>
        </w:rPr>
      </w:pPr>
    </w:p>
    <w:p w14:paraId="3EB8E09F">
      <w:pPr>
        <w:rPr>
          <w:rFonts w:hint="eastAsia" w:ascii="宋体" w:hAnsi="宋体" w:eastAsia="宋体" w:cs="宋体"/>
          <w:color w:val="auto"/>
        </w:rPr>
      </w:pPr>
    </w:p>
    <w:p w14:paraId="39247AD8">
      <w:pPr>
        <w:rPr>
          <w:rFonts w:hint="eastAsia" w:ascii="宋体" w:hAnsi="宋体" w:eastAsia="宋体" w:cs="宋体"/>
          <w:color w:val="auto"/>
        </w:rPr>
      </w:pPr>
    </w:p>
    <w:p w14:paraId="749D680B">
      <w:pPr>
        <w:rPr>
          <w:rFonts w:hint="eastAsia" w:ascii="宋体" w:hAnsi="宋体" w:eastAsia="宋体" w:cs="宋体"/>
          <w:color w:val="auto"/>
        </w:rPr>
      </w:pPr>
    </w:p>
    <w:p w14:paraId="48FAA4D8">
      <w:pPr>
        <w:rPr>
          <w:rFonts w:hint="eastAsia" w:ascii="宋体" w:hAnsi="宋体" w:eastAsia="宋体" w:cs="宋体"/>
          <w:color w:val="auto"/>
        </w:rPr>
      </w:pPr>
    </w:p>
    <w:p w14:paraId="52BE6446">
      <w:pPr>
        <w:rPr>
          <w:rFonts w:hint="eastAsia" w:ascii="宋体" w:hAnsi="宋体" w:eastAsia="宋体" w:cs="宋体"/>
          <w:color w:val="auto"/>
        </w:rPr>
      </w:pPr>
    </w:p>
    <w:p w14:paraId="0B5548EC">
      <w:pPr>
        <w:pStyle w:val="3"/>
        <w:bidi w:val="0"/>
        <w:spacing w:line="360" w:lineRule="auto"/>
        <w:ind w:firstLine="482" w:firstLineChars="200"/>
        <w:rPr>
          <w:rFonts w:hint="eastAsia" w:ascii="宋体" w:hAnsi="宋体" w:eastAsia="宋体" w:cs="宋体"/>
          <w:color w:val="auto"/>
          <w:sz w:val="24"/>
          <w:szCs w:val="24"/>
          <w:lang w:val="en-US" w:eastAsia="zh-CN"/>
        </w:rPr>
      </w:pPr>
      <w:bookmarkStart w:id="152" w:name="_Toc13377"/>
      <w:r>
        <w:rPr>
          <w:rFonts w:hint="eastAsia" w:ascii="宋体" w:hAnsi="宋体" w:eastAsia="宋体" w:cs="宋体"/>
          <w:color w:val="auto"/>
          <w:sz w:val="24"/>
          <w:szCs w:val="24"/>
          <w:lang w:val="en-US" w:eastAsia="zh-CN"/>
        </w:rPr>
        <w:t>格式十四   原件一览表</w:t>
      </w:r>
      <w:bookmarkEnd w:id="152"/>
    </w:p>
    <w:tbl>
      <w:tblPr>
        <w:tblStyle w:val="19"/>
        <w:tblW w:w="99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607"/>
        <w:gridCol w:w="1387"/>
        <w:gridCol w:w="1625"/>
        <w:gridCol w:w="754"/>
        <w:gridCol w:w="958"/>
        <w:gridCol w:w="2376"/>
      </w:tblGrid>
      <w:tr w14:paraId="350B3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914" w:type="dxa"/>
            <w:gridSpan w:val="8"/>
            <w:shd w:val="clear" w:color="000000" w:fill="FFFFFF"/>
            <w:noWrap w:val="0"/>
            <w:tcMar>
              <w:left w:w="108" w:type="dxa"/>
              <w:right w:w="108" w:type="dxa"/>
            </w:tcMar>
            <w:vAlign w:val="center"/>
          </w:tcPr>
          <w:p w14:paraId="5B7E17B5">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原件一览表</w:t>
            </w:r>
          </w:p>
        </w:tc>
      </w:tr>
      <w:tr w14:paraId="11569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814" w:type="dxa"/>
            <w:gridSpan w:val="3"/>
            <w:shd w:val="clear" w:color="000000" w:fill="FFFFFF"/>
            <w:noWrap w:val="0"/>
            <w:tcMar>
              <w:left w:w="108" w:type="dxa"/>
              <w:right w:w="108" w:type="dxa"/>
            </w:tcMar>
            <w:vAlign w:val="center"/>
          </w:tcPr>
          <w:p w14:paraId="325E8038">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工程名称</w:t>
            </w:r>
          </w:p>
        </w:tc>
        <w:tc>
          <w:tcPr>
            <w:tcW w:w="7100" w:type="dxa"/>
            <w:gridSpan w:val="5"/>
            <w:shd w:val="clear" w:color="000000" w:fill="FFFFFF"/>
            <w:noWrap w:val="0"/>
            <w:tcMar>
              <w:left w:w="108" w:type="dxa"/>
              <w:right w:w="108" w:type="dxa"/>
            </w:tcMar>
            <w:vAlign w:val="center"/>
          </w:tcPr>
          <w:p w14:paraId="75A89A19">
            <w:pPr>
              <w:jc w:val="center"/>
              <w:rPr>
                <w:rFonts w:hint="eastAsia" w:ascii="宋体" w:hAnsi="宋体" w:eastAsia="宋体" w:cs="宋体"/>
                <w:color w:val="auto"/>
              </w:rPr>
            </w:pPr>
          </w:p>
        </w:tc>
      </w:tr>
      <w:tr w14:paraId="2D4D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814" w:type="dxa"/>
            <w:gridSpan w:val="3"/>
            <w:shd w:val="clear" w:color="000000" w:fill="FFFFFF"/>
            <w:noWrap w:val="0"/>
            <w:tcMar>
              <w:left w:w="108" w:type="dxa"/>
              <w:right w:w="108" w:type="dxa"/>
            </w:tcMar>
            <w:vAlign w:val="center"/>
          </w:tcPr>
          <w:p w14:paraId="506415CC">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p>
          <w:p w14:paraId="66FF4A3B">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(请务必填写单位全称)</w:t>
            </w:r>
          </w:p>
        </w:tc>
        <w:tc>
          <w:tcPr>
            <w:tcW w:w="7100" w:type="dxa"/>
            <w:gridSpan w:val="5"/>
            <w:shd w:val="clear" w:color="000000" w:fill="FFFFFF"/>
            <w:noWrap w:val="0"/>
            <w:tcMar>
              <w:left w:w="108" w:type="dxa"/>
              <w:right w:w="108" w:type="dxa"/>
            </w:tcMar>
            <w:vAlign w:val="center"/>
          </w:tcPr>
          <w:p w14:paraId="4749F493">
            <w:pPr>
              <w:jc w:val="center"/>
              <w:rPr>
                <w:rFonts w:hint="eastAsia" w:ascii="宋体" w:hAnsi="宋体" w:eastAsia="宋体" w:cs="宋体"/>
                <w:color w:val="auto"/>
              </w:rPr>
            </w:pPr>
          </w:p>
        </w:tc>
      </w:tr>
      <w:tr w14:paraId="5972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814" w:type="dxa"/>
            <w:gridSpan w:val="3"/>
            <w:shd w:val="clear" w:color="000000" w:fill="FFFFFF"/>
            <w:noWrap w:val="0"/>
            <w:tcMar>
              <w:left w:w="108" w:type="dxa"/>
              <w:right w:w="108" w:type="dxa"/>
            </w:tcMar>
            <w:vAlign w:val="center"/>
          </w:tcPr>
          <w:p w14:paraId="082E233B">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投标人法定代表人或其委托代理人签名</w:t>
            </w:r>
          </w:p>
        </w:tc>
        <w:tc>
          <w:tcPr>
            <w:tcW w:w="3012" w:type="dxa"/>
            <w:gridSpan w:val="2"/>
            <w:shd w:val="clear" w:color="000000" w:fill="FFFFFF"/>
            <w:noWrap w:val="0"/>
            <w:tcMar>
              <w:left w:w="108" w:type="dxa"/>
              <w:right w:w="108" w:type="dxa"/>
            </w:tcMar>
            <w:vAlign w:val="center"/>
          </w:tcPr>
          <w:p w14:paraId="204C823A">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54" w:type="dxa"/>
            <w:shd w:val="clear" w:color="000000" w:fill="FFFFFF"/>
            <w:noWrap w:val="0"/>
            <w:tcMar>
              <w:left w:w="108" w:type="dxa"/>
              <w:right w:w="108" w:type="dxa"/>
            </w:tcMar>
            <w:vAlign w:val="center"/>
          </w:tcPr>
          <w:p w14:paraId="54923A62">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手机号码</w:t>
            </w:r>
          </w:p>
        </w:tc>
        <w:tc>
          <w:tcPr>
            <w:tcW w:w="3334" w:type="dxa"/>
            <w:gridSpan w:val="2"/>
            <w:shd w:val="clear" w:color="000000" w:fill="FFFFFF"/>
            <w:noWrap w:val="0"/>
            <w:tcMar>
              <w:left w:w="108" w:type="dxa"/>
              <w:right w:w="108" w:type="dxa"/>
            </w:tcMar>
            <w:vAlign w:val="center"/>
          </w:tcPr>
          <w:p w14:paraId="28144AA2">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5F16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914" w:type="dxa"/>
            <w:gridSpan w:val="8"/>
            <w:shd w:val="clear" w:color="000000" w:fill="FFFFFF"/>
            <w:noWrap w:val="0"/>
            <w:tcMar>
              <w:left w:w="108" w:type="dxa"/>
              <w:right w:w="108" w:type="dxa"/>
            </w:tcMar>
            <w:vAlign w:val="center"/>
          </w:tcPr>
          <w:p w14:paraId="7313DA67">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递交的证明材料原件如下：</w:t>
            </w:r>
          </w:p>
        </w:tc>
      </w:tr>
      <w:tr w14:paraId="6A8B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3E63A3DC">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5125" w:type="dxa"/>
            <w:gridSpan w:val="4"/>
            <w:shd w:val="clear" w:color="auto" w:fill="FFFFFF"/>
            <w:noWrap w:val="0"/>
            <w:tcMar>
              <w:left w:w="108" w:type="dxa"/>
              <w:right w:w="108" w:type="dxa"/>
            </w:tcMar>
            <w:vAlign w:val="center"/>
          </w:tcPr>
          <w:p w14:paraId="0D9E7F23">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证明材料原件名称</w:t>
            </w:r>
          </w:p>
        </w:tc>
        <w:tc>
          <w:tcPr>
            <w:tcW w:w="1712" w:type="dxa"/>
            <w:gridSpan w:val="2"/>
            <w:shd w:val="clear" w:color="auto" w:fill="FFFFFF"/>
            <w:noWrap w:val="0"/>
            <w:tcMar>
              <w:left w:w="108" w:type="dxa"/>
              <w:right w:w="108" w:type="dxa"/>
            </w:tcMar>
            <w:vAlign w:val="center"/>
          </w:tcPr>
          <w:p w14:paraId="5A8BDD5D">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2376" w:type="dxa"/>
            <w:shd w:val="clear" w:color="auto" w:fill="FFFFFF"/>
            <w:noWrap w:val="0"/>
            <w:tcMar>
              <w:left w:w="108" w:type="dxa"/>
              <w:right w:w="108" w:type="dxa"/>
            </w:tcMar>
            <w:vAlign w:val="center"/>
          </w:tcPr>
          <w:p w14:paraId="10BB046D">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r>
      <w:tr w14:paraId="3BAB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215A95C0">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125" w:type="dxa"/>
            <w:gridSpan w:val="4"/>
            <w:shd w:val="clear" w:color="000000" w:fill="FFFFFF"/>
            <w:noWrap w:val="0"/>
            <w:tcMar>
              <w:left w:w="108" w:type="dxa"/>
              <w:right w:w="108" w:type="dxa"/>
            </w:tcMar>
            <w:vAlign w:val="center"/>
          </w:tcPr>
          <w:p w14:paraId="2ED2EB14">
            <w:pPr>
              <w:spacing w:line="360" w:lineRule="auto"/>
              <w:jc w:val="center"/>
              <w:rPr>
                <w:rFonts w:hint="eastAsia" w:ascii="宋体" w:hAnsi="宋体" w:eastAsia="宋体" w:cs="宋体"/>
                <w:color w:val="auto"/>
                <w:sz w:val="24"/>
                <w:szCs w:val="24"/>
                <w:highlight w:val="none"/>
              </w:rPr>
            </w:pPr>
          </w:p>
        </w:tc>
        <w:tc>
          <w:tcPr>
            <w:tcW w:w="1712" w:type="dxa"/>
            <w:gridSpan w:val="2"/>
            <w:shd w:val="clear" w:color="000000" w:fill="FFFFFF"/>
            <w:noWrap w:val="0"/>
            <w:tcMar>
              <w:left w:w="108" w:type="dxa"/>
              <w:right w:w="108" w:type="dxa"/>
            </w:tcMar>
            <w:vAlign w:val="center"/>
          </w:tcPr>
          <w:p w14:paraId="593B6E79">
            <w:pPr>
              <w:spacing w:line="360" w:lineRule="auto"/>
              <w:jc w:val="center"/>
              <w:rPr>
                <w:rFonts w:hint="eastAsia" w:ascii="宋体" w:hAnsi="宋体" w:eastAsia="宋体" w:cs="宋体"/>
                <w:color w:val="auto"/>
                <w:sz w:val="24"/>
                <w:szCs w:val="24"/>
                <w:highlight w:val="none"/>
              </w:rPr>
            </w:pPr>
          </w:p>
        </w:tc>
        <w:tc>
          <w:tcPr>
            <w:tcW w:w="2376" w:type="dxa"/>
            <w:shd w:val="clear" w:color="000000" w:fill="FFFFFF"/>
            <w:noWrap w:val="0"/>
            <w:tcMar>
              <w:left w:w="108" w:type="dxa"/>
              <w:right w:w="108" w:type="dxa"/>
            </w:tcMar>
            <w:vAlign w:val="center"/>
          </w:tcPr>
          <w:p w14:paraId="292EC07F">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3BCA8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4017FA1D">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5125" w:type="dxa"/>
            <w:gridSpan w:val="4"/>
            <w:shd w:val="clear" w:color="000000" w:fill="FFFFFF"/>
            <w:noWrap w:val="0"/>
            <w:tcMar>
              <w:left w:w="108" w:type="dxa"/>
              <w:right w:w="108" w:type="dxa"/>
            </w:tcMar>
            <w:vAlign w:val="center"/>
          </w:tcPr>
          <w:p w14:paraId="0000C9C8">
            <w:pPr>
              <w:spacing w:line="360" w:lineRule="auto"/>
              <w:jc w:val="center"/>
              <w:rPr>
                <w:rFonts w:hint="eastAsia" w:ascii="宋体" w:hAnsi="宋体" w:eastAsia="宋体" w:cs="宋体"/>
                <w:color w:val="auto"/>
                <w:sz w:val="24"/>
                <w:szCs w:val="24"/>
                <w:highlight w:val="none"/>
              </w:rPr>
            </w:pPr>
          </w:p>
        </w:tc>
        <w:tc>
          <w:tcPr>
            <w:tcW w:w="1712" w:type="dxa"/>
            <w:gridSpan w:val="2"/>
            <w:shd w:val="clear" w:color="000000" w:fill="FFFFFF"/>
            <w:noWrap w:val="0"/>
            <w:tcMar>
              <w:left w:w="108" w:type="dxa"/>
              <w:right w:w="108" w:type="dxa"/>
            </w:tcMar>
            <w:vAlign w:val="center"/>
          </w:tcPr>
          <w:p w14:paraId="366BC37C">
            <w:pPr>
              <w:spacing w:line="360" w:lineRule="auto"/>
              <w:jc w:val="center"/>
              <w:rPr>
                <w:rFonts w:hint="eastAsia" w:ascii="宋体" w:hAnsi="宋体" w:eastAsia="宋体" w:cs="宋体"/>
                <w:color w:val="auto"/>
                <w:sz w:val="24"/>
                <w:szCs w:val="24"/>
                <w:highlight w:val="none"/>
              </w:rPr>
            </w:pPr>
          </w:p>
        </w:tc>
        <w:tc>
          <w:tcPr>
            <w:tcW w:w="2376" w:type="dxa"/>
            <w:shd w:val="clear" w:color="000000" w:fill="FFFFFF"/>
            <w:noWrap w:val="0"/>
            <w:tcMar>
              <w:left w:w="108" w:type="dxa"/>
              <w:right w:w="108" w:type="dxa"/>
            </w:tcMar>
            <w:vAlign w:val="center"/>
          </w:tcPr>
          <w:p w14:paraId="115E15BF">
            <w:pPr>
              <w:spacing w:line="360" w:lineRule="auto"/>
              <w:jc w:val="center"/>
              <w:rPr>
                <w:rFonts w:hint="eastAsia" w:ascii="宋体" w:hAnsi="宋体" w:eastAsia="宋体" w:cs="宋体"/>
                <w:color w:val="auto"/>
                <w:sz w:val="24"/>
                <w:szCs w:val="24"/>
                <w:highlight w:val="none"/>
              </w:rPr>
            </w:pPr>
          </w:p>
        </w:tc>
      </w:tr>
      <w:tr w14:paraId="484B2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072C3141">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5125" w:type="dxa"/>
            <w:gridSpan w:val="4"/>
            <w:shd w:val="clear" w:color="000000" w:fill="FFFFFF"/>
            <w:noWrap w:val="0"/>
            <w:tcMar>
              <w:left w:w="108" w:type="dxa"/>
              <w:right w:w="108" w:type="dxa"/>
            </w:tcMar>
            <w:vAlign w:val="center"/>
          </w:tcPr>
          <w:p w14:paraId="34AE42CD">
            <w:pPr>
              <w:spacing w:line="360" w:lineRule="auto"/>
              <w:jc w:val="center"/>
              <w:rPr>
                <w:rFonts w:hint="eastAsia" w:ascii="宋体" w:hAnsi="宋体" w:eastAsia="宋体" w:cs="宋体"/>
                <w:color w:val="auto"/>
                <w:sz w:val="24"/>
                <w:szCs w:val="24"/>
                <w:highlight w:val="none"/>
              </w:rPr>
            </w:pPr>
          </w:p>
        </w:tc>
        <w:tc>
          <w:tcPr>
            <w:tcW w:w="1712" w:type="dxa"/>
            <w:gridSpan w:val="2"/>
            <w:shd w:val="clear" w:color="000000" w:fill="FFFFFF"/>
            <w:noWrap w:val="0"/>
            <w:tcMar>
              <w:left w:w="108" w:type="dxa"/>
              <w:right w:w="108" w:type="dxa"/>
            </w:tcMar>
            <w:vAlign w:val="center"/>
          </w:tcPr>
          <w:p w14:paraId="7CB639A6">
            <w:pPr>
              <w:spacing w:line="360" w:lineRule="auto"/>
              <w:jc w:val="center"/>
              <w:rPr>
                <w:rFonts w:hint="eastAsia" w:ascii="宋体" w:hAnsi="宋体" w:eastAsia="宋体" w:cs="宋体"/>
                <w:color w:val="auto"/>
                <w:sz w:val="24"/>
                <w:szCs w:val="24"/>
                <w:highlight w:val="none"/>
              </w:rPr>
            </w:pPr>
          </w:p>
        </w:tc>
        <w:tc>
          <w:tcPr>
            <w:tcW w:w="2376" w:type="dxa"/>
            <w:shd w:val="clear" w:color="000000" w:fill="FFFFFF"/>
            <w:noWrap w:val="0"/>
            <w:tcMar>
              <w:left w:w="108" w:type="dxa"/>
              <w:right w:w="108" w:type="dxa"/>
            </w:tcMar>
            <w:vAlign w:val="center"/>
          </w:tcPr>
          <w:p w14:paraId="3DA744C3">
            <w:pPr>
              <w:spacing w:line="360" w:lineRule="auto"/>
              <w:jc w:val="center"/>
              <w:rPr>
                <w:rFonts w:hint="eastAsia" w:ascii="宋体" w:hAnsi="宋体" w:eastAsia="宋体" w:cs="宋体"/>
                <w:color w:val="auto"/>
                <w:sz w:val="24"/>
                <w:szCs w:val="24"/>
                <w:highlight w:val="none"/>
              </w:rPr>
            </w:pPr>
          </w:p>
        </w:tc>
      </w:tr>
      <w:tr w14:paraId="23534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068D6A6D">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5125" w:type="dxa"/>
            <w:gridSpan w:val="4"/>
            <w:shd w:val="clear" w:color="000000" w:fill="FFFFFF"/>
            <w:noWrap w:val="0"/>
            <w:tcMar>
              <w:left w:w="108" w:type="dxa"/>
              <w:right w:w="108" w:type="dxa"/>
            </w:tcMar>
            <w:vAlign w:val="center"/>
          </w:tcPr>
          <w:p w14:paraId="27C3290D">
            <w:pPr>
              <w:spacing w:line="360" w:lineRule="auto"/>
              <w:jc w:val="center"/>
              <w:rPr>
                <w:rFonts w:hint="eastAsia" w:ascii="宋体" w:hAnsi="宋体" w:eastAsia="宋体" w:cs="宋体"/>
                <w:color w:val="auto"/>
                <w:sz w:val="24"/>
                <w:szCs w:val="24"/>
                <w:highlight w:val="none"/>
              </w:rPr>
            </w:pPr>
          </w:p>
        </w:tc>
        <w:tc>
          <w:tcPr>
            <w:tcW w:w="1712" w:type="dxa"/>
            <w:gridSpan w:val="2"/>
            <w:shd w:val="clear" w:color="000000" w:fill="FFFFFF"/>
            <w:noWrap w:val="0"/>
            <w:tcMar>
              <w:left w:w="108" w:type="dxa"/>
              <w:right w:w="108" w:type="dxa"/>
            </w:tcMar>
            <w:vAlign w:val="center"/>
          </w:tcPr>
          <w:p w14:paraId="60B63E3B">
            <w:pPr>
              <w:spacing w:line="360" w:lineRule="auto"/>
              <w:jc w:val="center"/>
              <w:rPr>
                <w:rFonts w:hint="eastAsia" w:ascii="宋体" w:hAnsi="宋体" w:eastAsia="宋体" w:cs="宋体"/>
                <w:color w:val="auto"/>
                <w:sz w:val="24"/>
                <w:szCs w:val="24"/>
                <w:highlight w:val="none"/>
              </w:rPr>
            </w:pPr>
          </w:p>
        </w:tc>
        <w:tc>
          <w:tcPr>
            <w:tcW w:w="2376" w:type="dxa"/>
            <w:shd w:val="clear" w:color="000000" w:fill="FFFFFF"/>
            <w:noWrap w:val="0"/>
            <w:tcMar>
              <w:left w:w="108" w:type="dxa"/>
              <w:right w:w="108" w:type="dxa"/>
            </w:tcMar>
            <w:vAlign w:val="center"/>
          </w:tcPr>
          <w:p w14:paraId="2F510707">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7BFE2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14:paraId="5529F1AA">
            <w:pPr>
              <w:spacing w:line="360" w:lineRule="auto"/>
              <w:ind w:left="8" w:hanging="9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注意：</w:t>
            </w:r>
          </w:p>
        </w:tc>
        <w:tc>
          <w:tcPr>
            <w:tcW w:w="9213" w:type="dxa"/>
            <w:gridSpan w:val="7"/>
            <w:shd w:val="clear" w:color="auto" w:fill="FFFFFF"/>
            <w:noWrap w:val="0"/>
            <w:tcMar>
              <w:left w:w="108" w:type="dxa"/>
              <w:right w:w="108" w:type="dxa"/>
            </w:tcMar>
            <w:vAlign w:val="center"/>
          </w:tcPr>
          <w:p w14:paraId="02418C85">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该表一式两份，两份表格投标人均需如实填写各项内容，两份表格的填写内容应一致。一份贴于装纳原件的文件袋（箱），一份在递交文件袋（箱）时由招标代理人、投标人签字后交招标代理机构。招标代理机构仅代签收装纳原件的文件袋（箱），而不对文件袋（箱）中资料的数量、内容及真实性负责。由招标代理人、投标人签字的本表请投标人妥善保管，法人授权委托人需凭此表办理退还原件手续。</w:t>
            </w:r>
          </w:p>
        </w:tc>
      </w:tr>
      <w:tr w14:paraId="5EB4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14:paraId="0856967C">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接收原件经办人(招标代理)：</w:t>
            </w:r>
          </w:p>
        </w:tc>
        <w:tc>
          <w:tcPr>
            <w:tcW w:w="1994" w:type="dxa"/>
            <w:gridSpan w:val="2"/>
            <w:shd w:val="clear" w:color="000000" w:fill="FFFFFF"/>
            <w:noWrap w:val="0"/>
            <w:tcMar>
              <w:left w:w="108" w:type="dxa"/>
              <w:right w:w="108" w:type="dxa"/>
            </w:tcMar>
            <w:vAlign w:val="center"/>
          </w:tcPr>
          <w:p w14:paraId="15D2D361">
            <w:pPr>
              <w:spacing w:line="360" w:lineRule="auto"/>
              <w:jc w:val="center"/>
              <w:rPr>
                <w:rFonts w:hint="eastAsia" w:ascii="宋体" w:hAnsi="宋体" w:eastAsia="宋体" w:cs="宋体"/>
                <w:color w:val="auto"/>
                <w:sz w:val="24"/>
                <w:szCs w:val="24"/>
                <w:highlight w:val="none"/>
              </w:rPr>
            </w:pPr>
          </w:p>
        </w:tc>
        <w:tc>
          <w:tcPr>
            <w:tcW w:w="1625" w:type="dxa"/>
            <w:shd w:val="clear" w:color="000000" w:fill="FFFFFF"/>
            <w:noWrap w:val="0"/>
            <w:tcMar>
              <w:left w:w="108" w:type="dxa"/>
              <w:right w:w="108" w:type="dxa"/>
            </w:tcMar>
            <w:vAlign w:val="center"/>
          </w:tcPr>
          <w:p w14:paraId="6939CAC5">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接收时间：</w:t>
            </w:r>
          </w:p>
        </w:tc>
        <w:tc>
          <w:tcPr>
            <w:tcW w:w="4088" w:type="dxa"/>
            <w:gridSpan w:val="3"/>
            <w:shd w:val="clear" w:color="000000" w:fill="FFFFFF"/>
            <w:noWrap w:val="0"/>
            <w:tcMar>
              <w:left w:w="108" w:type="dxa"/>
              <w:right w:w="108" w:type="dxa"/>
            </w:tcMar>
            <w:vAlign w:val="center"/>
          </w:tcPr>
          <w:p w14:paraId="38FE82A5">
            <w:pPr>
              <w:spacing w:line="360" w:lineRule="auto"/>
              <w:ind w:firstLine="720" w:firstLineChars="3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   时  分</w:t>
            </w:r>
          </w:p>
        </w:tc>
      </w:tr>
      <w:tr w14:paraId="0217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3E5A4ACF">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退还原件接收人(投标人)：</w:t>
            </w:r>
          </w:p>
        </w:tc>
        <w:tc>
          <w:tcPr>
            <w:tcW w:w="1994" w:type="dxa"/>
            <w:gridSpan w:val="2"/>
            <w:shd w:val="clear" w:color="000000" w:fill="FFFFFF"/>
            <w:noWrap w:val="0"/>
            <w:tcMar>
              <w:left w:w="108" w:type="dxa"/>
              <w:right w:w="108" w:type="dxa"/>
            </w:tcMar>
            <w:vAlign w:val="center"/>
          </w:tcPr>
          <w:p w14:paraId="235388FF">
            <w:pPr>
              <w:spacing w:line="360" w:lineRule="auto"/>
              <w:jc w:val="center"/>
              <w:rPr>
                <w:rFonts w:hint="eastAsia" w:ascii="宋体" w:hAnsi="宋体" w:eastAsia="宋体" w:cs="宋体"/>
                <w:color w:val="auto"/>
                <w:sz w:val="24"/>
                <w:szCs w:val="24"/>
                <w:highlight w:val="none"/>
              </w:rPr>
            </w:pPr>
          </w:p>
        </w:tc>
        <w:tc>
          <w:tcPr>
            <w:tcW w:w="1625" w:type="dxa"/>
            <w:shd w:val="clear" w:color="000000" w:fill="FFFFFF"/>
            <w:noWrap w:val="0"/>
            <w:tcMar>
              <w:left w:w="108" w:type="dxa"/>
              <w:right w:w="108" w:type="dxa"/>
            </w:tcMar>
            <w:vAlign w:val="center"/>
          </w:tcPr>
          <w:p w14:paraId="63D8B00E">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退还时间：</w:t>
            </w:r>
          </w:p>
        </w:tc>
        <w:tc>
          <w:tcPr>
            <w:tcW w:w="4088" w:type="dxa"/>
            <w:gridSpan w:val="3"/>
            <w:shd w:val="clear" w:color="000000" w:fill="FFFFFF"/>
            <w:noWrap w:val="0"/>
            <w:tcMar>
              <w:left w:w="108" w:type="dxa"/>
              <w:right w:w="108" w:type="dxa"/>
            </w:tcMar>
            <w:vAlign w:val="center"/>
          </w:tcPr>
          <w:p w14:paraId="46DDF4CC">
            <w:pPr>
              <w:spacing w:line="360" w:lineRule="auto"/>
              <w:ind w:firstLine="720" w:firstLineChars="3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   时   分</w:t>
            </w:r>
          </w:p>
        </w:tc>
      </w:tr>
    </w:tbl>
    <w:p w14:paraId="0C747D7F">
      <w:pPr>
        <w:rPr>
          <w:rFonts w:hint="eastAsia" w:ascii="宋体" w:hAnsi="宋体" w:eastAsia="宋体" w:cs="宋体"/>
          <w:color w:val="auto"/>
        </w:rPr>
      </w:pPr>
    </w:p>
    <w:p w14:paraId="6BE854FC">
      <w:pPr>
        <w:rPr>
          <w:rFonts w:hint="eastAsia" w:ascii="宋体" w:hAnsi="宋体" w:eastAsia="宋体" w:cs="宋体"/>
          <w:color w:val="auto"/>
        </w:rPr>
      </w:pPr>
    </w:p>
    <w:p w14:paraId="0F4E1D96">
      <w:pPr>
        <w:rPr>
          <w:rFonts w:hint="eastAsia" w:ascii="宋体" w:hAnsi="宋体" w:eastAsia="宋体" w:cs="宋体"/>
          <w:color w:val="auto"/>
        </w:rPr>
      </w:pPr>
    </w:p>
    <w:p w14:paraId="314BC137">
      <w:pPr>
        <w:rPr>
          <w:rFonts w:hint="eastAsia" w:ascii="宋体" w:hAnsi="宋体" w:eastAsia="宋体" w:cs="宋体"/>
          <w:color w:val="auto"/>
        </w:rPr>
      </w:pPr>
    </w:p>
    <w:p w14:paraId="00495A41">
      <w:pPr>
        <w:rPr>
          <w:rFonts w:hint="eastAsia" w:ascii="宋体" w:hAnsi="宋体" w:eastAsia="宋体" w:cs="宋体"/>
          <w:color w:val="auto"/>
        </w:rPr>
      </w:pPr>
    </w:p>
    <w:p w14:paraId="7E6889DA">
      <w:pPr>
        <w:rPr>
          <w:rFonts w:hint="eastAsia" w:ascii="宋体" w:hAnsi="宋体" w:eastAsia="宋体" w:cs="宋体"/>
          <w:color w:val="auto"/>
        </w:rPr>
      </w:pPr>
    </w:p>
    <w:p w14:paraId="098F6BA1">
      <w:pPr>
        <w:rPr>
          <w:rFonts w:hint="eastAsia" w:ascii="宋体" w:hAnsi="宋体" w:eastAsia="宋体" w:cs="宋体"/>
          <w:color w:val="auto"/>
        </w:rPr>
      </w:pPr>
    </w:p>
    <w:p w14:paraId="7ABBA46A">
      <w:pPr>
        <w:rPr>
          <w:rFonts w:hint="eastAsia" w:ascii="宋体" w:hAnsi="宋体" w:eastAsia="宋体" w:cs="宋体"/>
          <w:color w:val="auto"/>
        </w:rPr>
      </w:pPr>
    </w:p>
    <w:p w14:paraId="04FEBF49">
      <w:pPr>
        <w:pStyle w:val="2"/>
        <w:keepNext w:val="0"/>
        <w:keepLines w:val="0"/>
        <w:pageBreakBefore w:val="0"/>
        <w:widowControl w:val="0"/>
        <w:tabs>
          <w:tab w:val="left" w:pos="885"/>
        </w:tabs>
        <w:kinsoku/>
        <w:wordWrap w:val="0"/>
        <w:overflowPunct/>
        <w:topLinePunct w:val="0"/>
        <w:autoSpaceDE/>
        <w:autoSpaceDN/>
        <w:bidi w:val="0"/>
        <w:adjustRightInd w:val="0"/>
        <w:snapToGrid w:val="0"/>
        <w:spacing w:before="0" w:beforeLines="300" w:line="440" w:lineRule="exact"/>
        <w:jc w:val="center"/>
        <w:textAlignment w:val="auto"/>
        <w:rPr>
          <w:rFonts w:hint="eastAsia" w:ascii="宋体" w:hAnsi="宋体" w:eastAsia="宋体" w:cs="宋体"/>
          <w:b/>
          <w:snapToGrid w:val="0"/>
          <w:color w:val="auto"/>
          <w:sz w:val="28"/>
          <w:szCs w:val="28"/>
          <w:highlight w:val="none"/>
        </w:rPr>
      </w:pPr>
      <w:bookmarkStart w:id="153" w:name="_Toc19043"/>
      <w:r>
        <w:rPr>
          <w:rFonts w:hint="eastAsia" w:ascii="宋体" w:hAnsi="宋体" w:eastAsia="宋体" w:cs="宋体"/>
          <w:b/>
          <w:snapToGrid w:val="0"/>
          <w:color w:val="auto"/>
          <w:sz w:val="28"/>
          <w:szCs w:val="28"/>
          <w:highlight w:val="none"/>
        </w:rPr>
        <w:t>第</w:t>
      </w:r>
      <w:r>
        <w:rPr>
          <w:rFonts w:hint="eastAsia" w:ascii="宋体" w:hAnsi="宋体" w:eastAsia="宋体" w:cs="宋体"/>
          <w:b/>
          <w:snapToGrid w:val="0"/>
          <w:color w:val="auto"/>
          <w:sz w:val="28"/>
          <w:szCs w:val="28"/>
          <w:highlight w:val="none"/>
          <w:lang w:eastAsia="zh-CN"/>
        </w:rPr>
        <w:t>六</w:t>
      </w:r>
      <w:r>
        <w:rPr>
          <w:rFonts w:hint="eastAsia" w:ascii="宋体" w:hAnsi="宋体" w:eastAsia="宋体" w:cs="宋体"/>
          <w:b/>
          <w:snapToGrid w:val="0"/>
          <w:color w:val="auto"/>
          <w:sz w:val="28"/>
          <w:szCs w:val="28"/>
          <w:highlight w:val="none"/>
        </w:rPr>
        <w:t>章</w:t>
      </w:r>
      <w:r>
        <w:rPr>
          <w:rFonts w:hint="eastAsia" w:ascii="宋体" w:hAnsi="宋体" w:eastAsia="宋体" w:cs="宋体"/>
          <w:b/>
          <w:snapToGrid w:val="0"/>
          <w:color w:val="auto"/>
          <w:sz w:val="28"/>
          <w:szCs w:val="28"/>
          <w:highlight w:val="none"/>
          <w:lang w:val="en-US" w:eastAsia="zh-CN"/>
        </w:rPr>
        <w:t xml:space="preserve">   </w:t>
      </w:r>
      <w:r>
        <w:rPr>
          <w:rFonts w:hint="eastAsia" w:ascii="宋体" w:hAnsi="宋体" w:eastAsia="宋体" w:cs="宋体"/>
          <w:b/>
          <w:snapToGrid w:val="0"/>
          <w:color w:val="auto"/>
          <w:sz w:val="28"/>
          <w:szCs w:val="28"/>
          <w:highlight w:val="none"/>
        </w:rPr>
        <w:t>建设工程施工合同</w:t>
      </w:r>
      <w:bookmarkEnd w:id="153"/>
    </w:p>
    <w:p w14:paraId="67E33D71">
      <w:pPr>
        <w:wordWrap w:val="0"/>
        <w:adjustRightInd w:val="0"/>
        <w:snapToGrid w:val="0"/>
        <w:spacing w:line="360" w:lineRule="auto"/>
        <w:ind w:firstLine="468" w:firstLineChars="200"/>
        <w:rPr>
          <w:rFonts w:hint="eastAsia" w:ascii="宋体" w:hAnsi="宋体" w:eastAsia="宋体" w:cs="宋体"/>
          <w:color w:val="auto"/>
          <w:lang w:eastAsia="zh-CN"/>
        </w:rPr>
      </w:pPr>
      <w:r>
        <w:rPr>
          <w:rFonts w:hint="eastAsia" w:ascii="宋体" w:hAnsi="宋体" w:eastAsia="宋体" w:cs="宋体"/>
          <w:color w:val="auto"/>
          <w:spacing w:val="-3"/>
          <w:sz w:val="24"/>
          <w:szCs w:val="24"/>
        </w:rPr>
        <w:t>（略</w:t>
      </w:r>
      <w:r>
        <w:rPr>
          <w:rFonts w:hint="eastAsia" w:ascii="宋体" w:hAnsi="宋体" w:eastAsia="宋体" w:cs="宋体"/>
          <w:color w:val="auto"/>
          <w:spacing w:val="-10"/>
          <w:sz w:val="24"/>
          <w:szCs w:val="24"/>
        </w:rPr>
        <w:t>），</w:t>
      </w:r>
      <w:r>
        <w:rPr>
          <w:rFonts w:hint="eastAsia" w:ascii="宋体" w:hAnsi="宋体" w:eastAsia="宋体" w:cs="宋体"/>
          <w:color w:val="auto"/>
          <w:spacing w:val="-3"/>
          <w:sz w:val="24"/>
          <w:szCs w:val="24"/>
        </w:rPr>
        <w:t>按《广东省建设工程标准施工合同》（2009年版）或《建设工程施工合同</w:t>
      </w:r>
      <w:r>
        <w:rPr>
          <w:rFonts w:hint="eastAsia" w:ascii="宋体" w:hAnsi="宋体" w:eastAsia="宋体" w:cs="宋体"/>
          <w:color w:val="auto"/>
          <w:spacing w:val="-1"/>
          <w:sz w:val="24"/>
          <w:szCs w:val="24"/>
        </w:rPr>
        <w:t>（指导文本）》（GF—2017—0201）执行</w:t>
      </w:r>
      <w:r>
        <w:rPr>
          <w:rFonts w:hint="eastAsia" w:ascii="宋体" w:hAnsi="宋体" w:eastAsia="宋体" w:cs="宋体"/>
          <w:color w:val="auto"/>
          <w:spacing w:val="-1"/>
          <w:sz w:val="24"/>
          <w:szCs w:val="24"/>
          <w:lang w:eastAsia="zh-CN"/>
        </w:rPr>
        <w:t>。</w:t>
      </w:r>
    </w:p>
    <w:sectPr>
      <w:footerReference r:id="rId7" w:type="default"/>
      <w:endnotePr>
        <w:numFmt w:val="decimal"/>
      </w:endnotePr>
      <w:pgSz w:w="11906" w:h="16838"/>
      <w:pgMar w:top="1134" w:right="1134" w:bottom="1134" w:left="1134" w:header="850" w:footer="850" w:gutter="0"/>
      <w:pgNumType w:fmt="numberInDash" w:start="1"/>
      <w:cols w:space="0" w:num="1"/>
      <w:rtlGutter w:val="0"/>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Wingdings 2">
    <w:altName w:val="Wingdings"/>
    <w:panose1 w:val="05020102010507070707"/>
    <w:charset w:val="02"/>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5272A">
    <w:pPr>
      <w:spacing w:line="173" w:lineRule="auto"/>
      <w:rPr>
        <w:rFonts w:ascii="宋体" w:hAnsi="宋体" w:eastAsia="宋体" w:cs="宋体"/>
        <w:sz w:val="18"/>
        <w:szCs w:val="18"/>
      </w:rPr>
    </w:pPr>
    <w:bookmarkStart w:id="154" w:name="bookmark159"/>
    <w:bookmarkEnd w:id="15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1998D">
    <w:pPr>
      <w:spacing w:line="173" w:lineRule="auto"/>
      <w:rPr>
        <w:rFonts w:ascii="宋体" w:hAnsi="宋体" w:eastAsia="宋体" w:cs="宋体"/>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87F06E">
                          <w:pPr>
                            <w:pStyle w:val="14"/>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87F06E">
                    <w:pPr>
                      <w:pStyle w:val="14"/>
                    </w:pPr>
                    <w:r>
                      <w:fldChar w:fldCharType="begin"/>
                    </w:r>
                    <w:r>
                      <w:instrText xml:space="preserve"> PAGE  \* MERGEFORMAT </w:instrText>
                    </w:r>
                    <w:r>
                      <w:fldChar w:fldCharType="separate"/>
                    </w:r>
                    <w:r>
                      <w:t>83</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53C7B3">
                          <w:pPr>
                            <w:pStyle w:val="14"/>
                          </w:pPr>
                          <w:r>
                            <w:t>—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6753C7B3">
                    <w:pPr>
                      <w:pStyle w:val="14"/>
                    </w:pPr>
                    <w:r>
                      <w:t>—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B275F">
    <w:pPr>
      <w:pStyle w:val="7"/>
      <w:spacing w:line="50"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1MjcyNTlkNzdiMzEwMTJiNjdiZWZkMzY3YmQxMWEifQ=="/>
  </w:docVars>
  <w:rsids>
    <w:rsidRoot w:val="35EE2AEA"/>
    <w:rsid w:val="0115541D"/>
    <w:rsid w:val="012C0A96"/>
    <w:rsid w:val="0C912BA2"/>
    <w:rsid w:val="0D7E0656"/>
    <w:rsid w:val="0E8319FC"/>
    <w:rsid w:val="143960F2"/>
    <w:rsid w:val="17704343"/>
    <w:rsid w:val="19A757E8"/>
    <w:rsid w:val="1B8A70F6"/>
    <w:rsid w:val="20816EA7"/>
    <w:rsid w:val="25A269AA"/>
    <w:rsid w:val="29CB7EB9"/>
    <w:rsid w:val="2B330337"/>
    <w:rsid w:val="2B6A36A4"/>
    <w:rsid w:val="2BCB33E0"/>
    <w:rsid w:val="2BE75544"/>
    <w:rsid w:val="301A5EE8"/>
    <w:rsid w:val="316928E3"/>
    <w:rsid w:val="327A2C6E"/>
    <w:rsid w:val="32BB1662"/>
    <w:rsid w:val="33DE14D0"/>
    <w:rsid w:val="35EE2AEA"/>
    <w:rsid w:val="365F2882"/>
    <w:rsid w:val="37D26811"/>
    <w:rsid w:val="381C201E"/>
    <w:rsid w:val="3CD656DB"/>
    <w:rsid w:val="3D376817"/>
    <w:rsid w:val="3F0E6845"/>
    <w:rsid w:val="40427571"/>
    <w:rsid w:val="4215392C"/>
    <w:rsid w:val="46D80C22"/>
    <w:rsid w:val="473D3110"/>
    <w:rsid w:val="47F918E1"/>
    <w:rsid w:val="482B2357"/>
    <w:rsid w:val="4F7C2427"/>
    <w:rsid w:val="504A4014"/>
    <w:rsid w:val="505413B6"/>
    <w:rsid w:val="50E00A2E"/>
    <w:rsid w:val="51594984"/>
    <w:rsid w:val="52BB6EBD"/>
    <w:rsid w:val="52E37F64"/>
    <w:rsid w:val="53111D04"/>
    <w:rsid w:val="53FA5B38"/>
    <w:rsid w:val="55827F94"/>
    <w:rsid w:val="55A56348"/>
    <w:rsid w:val="5BCD355F"/>
    <w:rsid w:val="5E6B2692"/>
    <w:rsid w:val="600734E4"/>
    <w:rsid w:val="60C80B1B"/>
    <w:rsid w:val="63E268E8"/>
    <w:rsid w:val="6489785C"/>
    <w:rsid w:val="64AE16B3"/>
    <w:rsid w:val="65D6601A"/>
    <w:rsid w:val="687F3E33"/>
    <w:rsid w:val="69C20BDE"/>
    <w:rsid w:val="6A3C711A"/>
    <w:rsid w:val="6A3D0E30"/>
    <w:rsid w:val="6AB9238A"/>
    <w:rsid w:val="70D34D1C"/>
    <w:rsid w:val="732460CA"/>
    <w:rsid w:val="772D5EEB"/>
    <w:rsid w:val="776112D4"/>
    <w:rsid w:val="7C4B65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uto"/>
      <w:jc w:val="both"/>
    </w:pPr>
    <w:rPr>
      <w:rFonts w:ascii="宋体" w:hAnsi="宋体" w:eastAsia="宋体" w:cs="Times New Roman"/>
      <w:kern w:val="2"/>
      <w:sz w:val="21"/>
      <w:lang w:val="en-US" w:eastAsia="zh-CN" w:bidi="ar-SA"/>
    </w:rPr>
  </w:style>
  <w:style w:type="paragraph" w:styleId="2">
    <w:name w:val="heading 1"/>
    <w:basedOn w:val="1"/>
    <w:next w:val="1"/>
    <w:qFormat/>
    <w:uiPriority w:val="0"/>
    <w:pPr>
      <w:autoSpaceDE w:val="0"/>
      <w:autoSpaceDN w:val="0"/>
      <w:adjustRightInd w:val="0"/>
      <w:jc w:val="left"/>
      <w:outlineLvl w:val="0"/>
    </w:pPr>
    <w:rPr>
      <w:kern w:val="0"/>
      <w:sz w:val="30"/>
    </w:rPr>
  </w:style>
  <w:style w:type="paragraph" w:styleId="3">
    <w:name w:val="heading 2"/>
    <w:basedOn w:val="1"/>
    <w:next w:val="1"/>
    <w:link w:val="29"/>
    <w:qFormat/>
    <w:uiPriority w:val="0"/>
    <w:pPr>
      <w:autoSpaceDE w:val="0"/>
      <w:autoSpaceDN w:val="0"/>
      <w:adjustRightInd w:val="0"/>
      <w:jc w:val="left"/>
      <w:outlineLvl w:val="1"/>
    </w:pPr>
    <w:rPr>
      <w:b/>
      <w:kern w:val="0"/>
    </w:rPr>
  </w:style>
  <w:style w:type="paragraph" w:styleId="4">
    <w:name w:val="heading 3"/>
    <w:basedOn w:val="5"/>
    <w:next w:val="5"/>
    <w:qFormat/>
    <w:uiPriority w:val="0"/>
    <w:pPr>
      <w:keepNext/>
      <w:keepLines/>
      <w:spacing w:before="120" w:beforeLines="0" w:beforeAutospacing="0" w:after="120" w:afterLines="0" w:afterAutospacing="0"/>
      <w:jc w:val="center"/>
      <w:outlineLvl w:val="2"/>
    </w:pPr>
    <w:rPr>
      <w:sz w:val="24"/>
    </w:rPr>
  </w:style>
  <w:style w:type="paragraph" w:styleId="6">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widowControl/>
      <w:ind w:firstLine="420"/>
      <w:jc w:val="left"/>
    </w:pPr>
    <w:rPr>
      <w:kern w:val="0"/>
      <w:sz w:val="20"/>
    </w:rPr>
  </w:style>
  <w:style w:type="paragraph" w:styleId="7">
    <w:name w:val="Body Text"/>
    <w:basedOn w:val="1"/>
    <w:link w:val="27"/>
    <w:qFormat/>
    <w:uiPriority w:val="0"/>
    <w:pPr>
      <w:spacing w:after="120" w:afterLines="0" w:afterAutospacing="0"/>
    </w:pPr>
  </w:style>
  <w:style w:type="paragraph" w:styleId="8">
    <w:name w:val="Body Text Indent"/>
    <w:basedOn w:val="1"/>
    <w:next w:val="9"/>
    <w:qFormat/>
    <w:uiPriority w:val="0"/>
    <w:pPr>
      <w:ind w:firstLine="560" w:firstLineChars="200"/>
    </w:pPr>
    <w:rPr>
      <w:rFonts w:ascii="宋体"/>
      <w:kern w:val="2"/>
      <w:sz w:val="24"/>
    </w:rPr>
  </w:style>
  <w:style w:type="paragraph" w:styleId="9">
    <w:name w:val="envelope return"/>
    <w:basedOn w:val="1"/>
    <w:qFormat/>
    <w:uiPriority w:val="0"/>
    <w:pPr>
      <w:snapToGrid w:val="0"/>
    </w:pPr>
    <w:rPr>
      <w:rFonts w:ascii="Arial" w:hAnsi="Arial" w:eastAsia="宋体" w:cs="Times New Roman"/>
    </w:rPr>
  </w:style>
  <w:style w:type="paragraph" w:styleId="10">
    <w:name w:val="toc 3"/>
    <w:basedOn w:val="1"/>
    <w:next w:val="1"/>
    <w:qFormat/>
    <w:uiPriority w:val="0"/>
    <w:pPr>
      <w:ind w:left="561"/>
      <w:jc w:val="left"/>
    </w:pPr>
    <w:rPr>
      <w:sz w:val="24"/>
    </w:rPr>
  </w:style>
  <w:style w:type="paragraph" w:styleId="11">
    <w:name w:val="Plain Text"/>
    <w:basedOn w:val="1"/>
    <w:next w:val="12"/>
    <w:qFormat/>
    <w:uiPriority w:val="0"/>
    <w:pPr>
      <w:ind w:firstLine="200" w:firstLineChars="200"/>
    </w:pPr>
    <w:rPr>
      <w:rFonts w:ascii="宋体" w:hAnsi="Courier New"/>
      <w:szCs w:val="21"/>
    </w:rPr>
  </w:style>
  <w:style w:type="paragraph" w:customStyle="1" w:styleId="12">
    <w:name w:val="Default"/>
    <w:unhideWhenUsed/>
    <w:qFormat/>
    <w:uiPriority w:val="99"/>
    <w:pPr>
      <w:widowControl w:val="0"/>
      <w:autoSpaceDE w:val="0"/>
      <w:autoSpaceDN w:val="0"/>
      <w:adjustRightInd w:val="0"/>
    </w:pPr>
    <w:rPr>
      <w:rFonts w:hint="eastAsia" w:ascii="Arial Unicode MS" w:hAnsi="Arial Unicode MS" w:eastAsia="Arial Unicode MS" w:cs="Times New Roman"/>
      <w:color w:val="000000"/>
      <w:sz w:val="24"/>
      <w:lang w:val="en-US" w:eastAsia="zh-CN" w:bidi="ar-SA"/>
    </w:rPr>
  </w:style>
  <w:style w:type="paragraph" w:styleId="13">
    <w:name w:val="Body Text Indent 2"/>
    <w:basedOn w:val="1"/>
    <w:qFormat/>
    <w:uiPriority w:val="0"/>
    <w:pPr>
      <w:spacing w:line="480" w:lineRule="auto"/>
      <w:ind w:firstLine="561"/>
    </w:pPr>
    <w:rPr>
      <w:rFonts w:ascii="宋体"/>
    </w:rPr>
  </w:style>
  <w:style w:type="paragraph" w:styleId="14">
    <w:name w:val="footer"/>
    <w:basedOn w:val="1"/>
    <w:qFormat/>
    <w:uiPriority w:val="0"/>
    <w:pPr>
      <w:widowControl/>
      <w:tabs>
        <w:tab w:val="center" w:pos="4153"/>
        <w:tab w:val="right" w:pos="8306"/>
      </w:tabs>
      <w:snapToGrid w:val="0"/>
      <w:jc w:val="left"/>
    </w:pPr>
    <w:rPr>
      <w:kern w:val="0"/>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pPr>
      <w:spacing w:before="120" w:beforeLines="0" w:beforeAutospacing="0" w:after="120" w:afterLines="0" w:afterAutospacing="0"/>
      <w:jc w:val="left"/>
    </w:pPr>
    <w:rPr>
      <w:caps/>
      <w:sz w:val="24"/>
    </w:rPr>
  </w:style>
  <w:style w:type="paragraph" w:styleId="17">
    <w:name w:val="toc 2"/>
    <w:basedOn w:val="1"/>
    <w:next w:val="1"/>
    <w:qFormat/>
    <w:uiPriority w:val="0"/>
    <w:pPr>
      <w:ind w:left="278"/>
      <w:jc w:val="left"/>
    </w:pPr>
    <w:rPr>
      <w:smallCaps/>
      <w:sz w:val="24"/>
    </w:rPr>
  </w:style>
  <w:style w:type="paragraph" w:styleId="18">
    <w:name w:val="Body Text 2"/>
    <w:basedOn w:val="1"/>
    <w:next w:val="7"/>
    <w:qFormat/>
    <w:uiPriority w:val="0"/>
    <w:pPr>
      <w:spacing w:line="500" w:lineRule="exact"/>
    </w:pPr>
    <w:rPr>
      <w:rFonts w:ascii="宋体"/>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3">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2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5">
    <w:name w:val="NormalCharacter"/>
    <w:semiHidden/>
    <w:qFormat/>
    <w:uiPriority w:val="0"/>
    <w:rPr>
      <w:rFonts w:ascii="宋体"/>
      <w:kern w:val="2"/>
      <w:sz w:val="24"/>
      <w:lang w:val="en-US" w:eastAsia="zh-CN" w:bidi="ar-SA"/>
    </w:rPr>
  </w:style>
  <w:style w:type="paragraph" w:customStyle="1" w:styleId="26">
    <w:name w:val="正文文本 New"/>
    <w:basedOn w:val="1"/>
    <w:qFormat/>
    <w:uiPriority w:val="0"/>
    <w:pPr>
      <w:spacing w:after="120"/>
    </w:pPr>
  </w:style>
  <w:style w:type="character" w:customStyle="1" w:styleId="27">
    <w:name w:val="正文文本 Char"/>
    <w:link w:val="7"/>
    <w:qFormat/>
    <w:uiPriority w:val="0"/>
  </w:style>
  <w:style w:type="paragraph" w:customStyle="1" w:styleId="28">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character" w:customStyle="1" w:styleId="29">
    <w:name w:val="标题 2 Char"/>
    <w:link w:val="3"/>
    <w:qFormat/>
    <w:uiPriority w:val="0"/>
    <w:rPr>
      <w:b/>
      <w:kern w:val="0"/>
    </w:rPr>
  </w:style>
  <w:style w:type="paragraph" w:customStyle="1" w:styleId="30">
    <w:name w:val="正文缩进 New"/>
    <w:basedOn w:val="31"/>
    <w:qFormat/>
    <w:uiPriority w:val="0"/>
    <w:pPr>
      <w:widowControl/>
      <w:ind w:firstLine="420"/>
      <w:jc w:val="left"/>
    </w:pPr>
    <w:rPr>
      <w:kern w:val="0"/>
      <w:sz w:val="20"/>
    </w:rPr>
  </w:style>
  <w:style w:type="paragraph" w:customStyle="1" w:styleId="31">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32">
    <w:name w:val="正文文本缩进 New"/>
    <w:basedOn w:val="31"/>
    <w:qFormat/>
    <w:uiPriority w:val="0"/>
    <w:pPr>
      <w:ind w:firstLine="560" w:firstLineChars="200"/>
    </w:pPr>
    <w:rPr>
      <w:rFonts w:ascii="宋体"/>
      <w:kern w:val="2"/>
      <w:sz w:val="24"/>
    </w:rPr>
  </w:style>
  <w:style w:type="table" w:customStyle="1" w:styleId="33">
    <w:name w:val="Table Normal"/>
    <w:unhideWhenUsed/>
    <w:qFormat/>
    <w:uiPriority w:val="0"/>
    <w:tblPr>
      <w:tblCellMar>
        <w:top w:w="0" w:type="dxa"/>
        <w:left w:w="0" w:type="dxa"/>
        <w:bottom w:w="0" w:type="dxa"/>
        <w:right w:w="0" w:type="dxa"/>
      </w:tblCellMar>
    </w:tblPr>
  </w:style>
  <w:style w:type="paragraph" w:customStyle="1" w:styleId="34">
    <w:name w:val="Table Text"/>
    <w:basedOn w:val="1"/>
    <w:semiHidden/>
    <w:qFormat/>
    <w:uiPriority w:val="0"/>
    <w:rPr>
      <w:rFonts w:ascii="Arial" w:hAnsi="Arial" w:eastAsia="Arial" w:cs="Arial"/>
      <w:sz w:val="21"/>
      <w:szCs w:val="21"/>
      <w:lang w:val="en-US" w:eastAsia="en-US" w:bidi="ar-SA"/>
    </w:rPr>
  </w:style>
  <w:style w:type="paragraph" w:customStyle="1" w:styleId="35">
    <w:name w:val="正文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15.png"/><Relationship Id="rId34" Type="http://schemas.openxmlformats.org/officeDocument/2006/relationships/image" Target="media/image14.jpeg"/><Relationship Id="rId33" Type="http://schemas.openxmlformats.org/officeDocument/2006/relationships/image" Target="media/image13.wmf"/><Relationship Id="rId32" Type="http://schemas.openxmlformats.org/officeDocument/2006/relationships/oleObject" Target="embeddings/oleObject12.bin"/><Relationship Id="rId31" Type="http://schemas.openxmlformats.org/officeDocument/2006/relationships/image" Target="media/image12.wmf"/><Relationship Id="rId30" Type="http://schemas.openxmlformats.org/officeDocument/2006/relationships/oleObject" Target="embeddings/oleObject11.bin"/><Relationship Id="rId3" Type="http://schemas.openxmlformats.org/officeDocument/2006/relationships/footnotes" Target="footnotes.xml"/><Relationship Id="rId29" Type="http://schemas.openxmlformats.org/officeDocument/2006/relationships/image" Target="media/image11.wmf"/><Relationship Id="rId28" Type="http://schemas.openxmlformats.org/officeDocument/2006/relationships/oleObject" Target="embeddings/oleObject10.bin"/><Relationship Id="rId27" Type="http://schemas.openxmlformats.org/officeDocument/2006/relationships/image" Target="media/image10.wmf"/><Relationship Id="rId26" Type="http://schemas.openxmlformats.org/officeDocument/2006/relationships/oleObject" Target="embeddings/oleObject9.bin"/><Relationship Id="rId25" Type="http://schemas.openxmlformats.org/officeDocument/2006/relationships/image" Target="media/image9.wmf"/><Relationship Id="rId24" Type="http://schemas.openxmlformats.org/officeDocument/2006/relationships/oleObject" Target="embeddings/oleObject8.bin"/><Relationship Id="rId23" Type="http://schemas.openxmlformats.org/officeDocument/2006/relationships/image" Target="media/image8.wmf"/><Relationship Id="rId22" Type="http://schemas.openxmlformats.org/officeDocument/2006/relationships/oleObject" Target="embeddings/oleObject7.bin"/><Relationship Id="rId21" Type="http://schemas.openxmlformats.org/officeDocument/2006/relationships/image" Target="media/image7.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5.bin"/><Relationship Id="rId17" Type="http://schemas.openxmlformats.org/officeDocument/2006/relationships/image" Target="media/image5.wmf"/><Relationship Id="rId16" Type="http://schemas.openxmlformats.org/officeDocument/2006/relationships/oleObject" Target="embeddings/oleObject4.bin"/><Relationship Id="rId15" Type="http://schemas.openxmlformats.org/officeDocument/2006/relationships/image" Target="media/image4.wmf"/><Relationship Id="rId14" Type="http://schemas.openxmlformats.org/officeDocument/2006/relationships/oleObject" Target="embeddings/oleObject3.bin"/><Relationship Id="rId13" Type="http://schemas.openxmlformats.org/officeDocument/2006/relationships/image" Target="media/image3.wmf"/><Relationship Id="rId12" Type="http://schemas.openxmlformats.org/officeDocument/2006/relationships/oleObject" Target="embeddings/oleObject2.bin"/><Relationship Id="rId11" Type="http://schemas.openxmlformats.org/officeDocument/2006/relationships/image" Target="media/image2.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931</Words>
  <Characters>992</Characters>
  <Lines>0</Lines>
  <Paragraphs>0</Paragraphs>
  <TotalTime>6</TotalTime>
  <ScaleCrop>false</ScaleCrop>
  <LinksUpToDate>false</LinksUpToDate>
  <CharactersWithSpaces>1266</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2024-10-28T03:44:00Z</dcterms:created>
  <dc:creator>明正</dc:creator>
  <cp:lastModifiedBy>A</cp:lastModifiedBy>
  <dcterms:modified xsi:type="dcterms:W3CDTF">2024-11-19T08:47:32Z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564070012D0A4539A7554477A34D67FC_11</vt:lpwstr>
  </property>
</Properties>
</file>