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6AF89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E65C80C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9DAA0E4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838B19B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57C7AD8B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466F97B9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4E0AE03A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340711AE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5A5FFD8E">
      <w:pPr>
        <w:jc w:val="center"/>
        <w:outlineLvl w:val="0"/>
        <w:rPr>
          <w:rFonts w:hint="default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9 综合布线</w:t>
      </w:r>
    </w:p>
    <w:p w14:paraId="22419FAC"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主要技术要求书</w:t>
      </w:r>
    </w:p>
    <w:p w14:paraId="2D932DD2">
      <w:pPr>
        <w:rPr>
          <w:rFonts w:ascii="楷体_GB2312" w:hAnsi="Calibri" w:eastAsia="楷体_GB2312" w:cs="Times New Roman"/>
        </w:rPr>
      </w:pPr>
    </w:p>
    <w:p w14:paraId="0645F993">
      <w:pPr>
        <w:rPr>
          <w:rFonts w:ascii="楷体_GB2312" w:hAnsi="Calibri" w:eastAsia="楷体_GB2312" w:cs="Times New Roman"/>
        </w:rPr>
      </w:pPr>
    </w:p>
    <w:p w14:paraId="743D5363">
      <w:pPr>
        <w:rPr>
          <w:rFonts w:ascii="楷体_GB2312" w:eastAsia="楷体_GB2312"/>
        </w:rPr>
      </w:pPr>
    </w:p>
    <w:p w14:paraId="7A5610E0">
      <w:pPr>
        <w:rPr>
          <w:rFonts w:ascii="楷体_GB2312" w:eastAsia="楷体_GB2312"/>
        </w:rPr>
      </w:pPr>
    </w:p>
    <w:p w14:paraId="3DDAB16F">
      <w:pPr>
        <w:rPr>
          <w:rFonts w:ascii="楷体_GB2312" w:eastAsia="楷体_GB2312"/>
        </w:rPr>
      </w:pPr>
    </w:p>
    <w:p w14:paraId="3B9EC965">
      <w:pPr>
        <w:rPr>
          <w:rFonts w:ascii="楷体_GB2312" w:eastAsia="楷体_GB2312"/>
        </w:rPr>
      </w:pPr>
    </w:p>
    <w:p w14:paraId="6CD0F863">
      <w:pPr>
        <w:rPr>
          <w:rFonts w:ascii="楷体_GB2312" w:eastAsia="楷体_GB2312"/>
        </w:rPr>
      </w:pPr>
    </w:p>
    <w:p w14:paraId="7A8C810D">
      <w:pPr>
        <w:rPr>
          <w:rFonts w:ascii="楷体_GB2312" w:eastAsia="楷体_GB2312"/>
        </w:rPr>
      </w:pPr>
    </w:p>
    <w:p w14:paraId="3B56446A">
      <w:pPr>
        <w:rPr>
          <w:rFonts w:ascii="楷体_GB2312" w:eastAsia="楷体_GB2312"/>
        </w:rPr>
      </w:pPr>
    </w:p>
    <w:p w14:paraId="01971312">
      <w:pPr>
        <w:rPr>
          <w:rFonts w:ascii="楷体_GB2312" w:eastAsia="楷体_GB2312"/>
        </w:rPr>
      </w:pPr>
    </w:p>
    <w:p w14:paraId="67FA8624">
      <w:pPr>
        <w:rPr>
          <w:rFonts w:ascii="楷体_GB2312" w:eastAsia="楷体_GB2312"/>
        </w:rPr>
      </w:pPr>
    </w:p>
    <w:p w14:paraId="05989CD8">
      <w:pPr>
        <w:rPr>
          <w:rFonts w:ascii="楷体_GB2312" w:eastAsia="楷体_GB2312"/>
        </w:rPr>
      </w:pPr>
    </w:p>
    <w:p w14:paraId="5DA598D1">
      <w:pPr>
        <w:rPr>
          <w:rFonts w:ascii="楷体_GB2312" w:eastAsia="楷体_GB2312"/>
        </w:rPr>
      </w:pPr>
    </w:p>
    <w:p w14:paraId="13B0C095">
      <w:pPr>
        <w:pStyle w:val="50"/>
        <w:widowControl w:val="0"/>
        <w:spacing w:before="0" w:beforeAutospacing="0" w:after="0" w:afterAutospacing="0"/>
        <w:jc w:val="both"/>
        <w:rPr>
          <w:rFonts w:ascii="楷体" w:hAnsi="楷体" w:eastAsia="楷体" w:cs="Times New Roman"/>
          <w:b w:val="0"/>
          <w:kern w:val="2"/>
          <w:sz w:val="36"/>
          <w:szCs w:val="36"/>
        </w:rPr>
      </w:pPr>
    </w:p>
    <w:p w14:paraId="3767E4E6">
      <w:pPr>
        <w:spacing w:line="360" w:lineRule="auto"/>
        <w:ind w:left="0" w:firstLine="0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2024年12月</w:t>
      </w:r>
    </w:p>
    <w:p w14:paraId="667D08EF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5B4B936D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277C050A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D9B0C84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5CA61437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00958E1E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B433AFB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4FB40EA0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8831F16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8EE77C8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542CC8FB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275069C6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9137809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B88D704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03E3DC6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38B2E7B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43C6E369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6843CED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14F0FE6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0148F846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42BFE93">
      <w:pPr>
        <w:numPr>
          <w:ilvl w:val="0"/>
          <w:numId w:val="0"/>
        </w:numPr>
        <w:jc w:val="center"/>
        <w:outlineLvl w:val="9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160020D7">
      <w:pPr>
        <w:numPr>
          <w:ilvl w:val="0"/>
          <w:numId w:val="0"/>
        </w:numPr>
        <w:jc w:val="center"/>
        <w:outlineLvl w:val="0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  <w:t>目录</w:t>
      </w:r>
    </w:p>
    <w:p w14:paraId="32A6762A">
      <w:pPr>
        <w:numPr>
          <w:ilvl w:val="0"/>
          <w:numId w:val="0"/>
        </w:numPr>
        <w:jc w:val="center"/>
        <w:outlineLvl w:val="0"/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0722CFD8">
      <w:pPr>
        <w:pStyle w:val="13"/>
        <w:tabs>
          <w:tab w:val="right" w:leader="dot" w:pos="8306"/>
        </w:tabs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_Toc27590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lang w:val="en-US" w:eastAsia="zh-CN"/>
        </w:rPr>
        <w:t>概述</w:t>
      </w:r>
      <w:r>
        <w:tab/>
      </w:r>
      <w:r>
        <w:rPr>
          <w:rFonts w:hint="eastAsia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</w:p>
    <w:p w14:paraId="2384998D">
      <w:pPr>
        <w:pStyle w:val="13"/>
        <w:tabs>
          <w:tab w:val="right" w:leader="dot" w:pos="8306"/>
        </w:tabs>
      </w:pPr>
      <w:r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  <w:instrText xml:space="preserve">TOC \o "1-3" \h \u </w:instrText>
      </w:r>
      <w:r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  <w:fldChar w:fldCharType="separate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_Toc27590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lang w:val="en-US" w:eastAsia="zh-CN"/>
        </w:rPr>
        <w:t>机电设备</w:t>
      </w:r>
      <w:r>
        <w:tab/>
      </w:r>
      <w:r>
        <w:rPr>
          <w:rFonts w:hint="eastAsia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</w:p>
    <w:p w14:paraId="105AEB5A">
      <w:pPr>
        <w:pStyle w:val="13"/>
        <w:tabs>
          <w:tab w:val="right" w:leader="dot" w:pos="8306"/>
        </w:tabs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_Toc30676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bCs w:val="0"/>
          <w:szCs w:val="21"/>
          <w:highlight w:val="none"/>
          <w:lang w:val="zh-TW" w:eastAsia="zh-CN"/>
        </w:rPr>
        <w:t>机柜及</w:t>
      </w:r>
      <w:r>
        <w:rPr>
          <w:rFonts w:hint="eastAsia" w:ascii="仿宋_GB2312" w:hAnsi="仿宋_GB2312" w:eastAsia="仿宋_GB2312" w:cs="仿宋_GB2312"/>
          <w:bCs w:val="0"/>
          <w:szCs w:val="21"/>
          <w:highlight w:val="none"/>
          <w:lang w:val="en-US" w:eastAsia="zh-CN"/>
        </w:rPr>
        <w:t>封闭冷通道</w:t>
      </w:r>
      <w:r>
        <w:tab/>
      </w:r>
      <w:r>
        <w:rPr>
          <w:rFonts w:hint="eastAsia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</w:p>
    <w:p w14:paraId="27BC1136">
      <w:pPr>
        <w:pStyle w:val="14"/>
        <w:tabs>
          <w:tab w:val="right" w:leader="dot" w:pos="8306"/>
        </w:tabs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_Toc2238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2.1.1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服务器机柜</w:t>
      </w:r>
      <w:r>
        <w:tab/>
      </w:r>
      <w:r>
        <w:rPr>
          <w:rFonts w:hint="eastAsia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</w:p>
    <w:p w14:paraId="3E740503">
      <w:pPr>
        <w:pStyle w:val="14"/>
        <w:tabs>
          <w:tab w:val="right" w:leader="dot" w:pos="8306"/>
        </w:tabs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_Toc5747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 xml:space="preserve">2.1.2 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封闭冷通道</w:t>
      </w:r>
      <w:r>
        <w:tab/>
      </w:r>
      <w:r>
        <w:rPr>
          <w:rFonts w:hint="eastAsia"/>
          <w:lang w:val="en-US" w:eastAsia="zh-CN"/>
        </w:rPr>
        <w:t>8</w: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</w:p>
    <w:p w14:paraId="553399E2">
      <w:pPr>
        <w:pStyle w:val="13"/>
        <w:tabs>
          <w:tab w:val="right" w:leader="dot" w:pos="8306"/>
        </w:tabs>
        <w:ind w:firstLine="420" w:firstLineChars="200"/>
        <w:rPr>
          <w:rFonts w:hint="default"/>
          <w:lang w:val="en-US"/>
        </w:rPr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_Toc19690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 xml:space="preserve">2.2 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综合布线</w:t>
      </w:r>
      <w:r>
        <w:tab/>
      </w:r>
      <w:r>
        <w:rPr>
          <w:rFonts w:hint="eastAsia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</w:t>
      </w:r>
    </w:p>
    <w:p w14:paraId="2109F4CD">
      <w:pPr>
        <w:pStyle w:val="13"/>
        <w:tabs>
          <w:tab w:val="right" w:leader="dot" w:pos="8306"/>
        </w:tabs>
        <w:rPr>
          <w:rFonts w:hint="default"/>
          <w:lang w:val="en-US"/>
        </w:rPr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_Toc26613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走线架及光纤槽</w:t>
      </w:r>
      <w:r>
        <w:tab/>
      </w:r>
      <w:r>
        <w:fldChar w:fldCharType="begin"/>
      </w:r>
      <w:r>
        <w:instrText xml:space="preserve"> PAGEREF _Toc26613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</w:t>
      </w:r>
    </w:p>
    <w:p w14:paraId="290A684D">
      <w:pPr>
        <w:pStyle w:val="14"/>
        <w:tabs>
          <w:tab w:val="right" w:leader="dot" w:pos="8306"/>
        </w:tabs>
        <w:rPr>
          <w:rFonts w:hint="default"/>
          <w:lang w:val="en-US"/>
        </w:rPr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_Toc1013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3.1走线架(铝合金)</w:t>
      </w:r>
      <w:r>
        <w:tab/>
      </w:r>
      <w:r>
        <w:fldChar w:fldCharType="begin"/>
      </w:r>
      <w:r>
        <w:instrText xml:space="preserve"> PAGEREF _Toc1013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</w:t>
      </w:r>
    </w:p>
    <w:p w14:paraId="6B718528">
      <w:pPr>
        <w:pStyle w:val="14"/>
        <w:tabs>
          <w:tab w:val="right" w:leader="dot" w:pos="8306"/>
        </w:tabs>
        <w:rPr>
          <w:rFonts w:hint="default"/>
          <w:lang w:val="en-US"/>
        </w:rPr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_Toc12094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3.2走线架（网格）</w:t>
      </w:r>
      <w:r>
        <w:tab/>
      </w:r>
      <w:r>
        <w:fldChar w:fldCharType="begin"/>
      </w:r>
      <w:r>
        <w:instrText xml:space="preserve"> PAGEREF _Toc12094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3</w:t>
      </w:r>
    </w:p>
    <w:p w14:paraId="44977E19">
      <w:pPr>
        <w:pStyle w:val="14"/>
        <w:tabs>
          <w:tab w:val="right" w:leader="dot" w:pos="8306"/>
        </w:tabs>
        <w:rPr>
          <w:rFonts w:hint="default"/>
          <w:lang w:val="en-US"/>
        </w:rPr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instrText xml:space="preserve"> HYPERLINK \l _Toc7029 </w:instrText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Cs w:val="21"/>
          <w:highlight w:val="none"/>
          <w:lang w:val="en-US" w:eastAsia="zh-CN"/>
        </w:rPr>
        <w:t>3.3光纤槽道</w:t>
      </w:r>
      <w:r>
        <w:tab/>
      </w:r>
      <w:r>
        <w:fldChar w:fldCharType="begin"/>
      </w:r>
      <w:r>
        <w:instrText xml:space="preserve"> PAGEREF _Toc7029 \h </w:instrText>
      </w:r>
      <w:r>
        <w:fldChar w:fldCharType="separate"/>
      </w:r>
      <w:r>
        <w:t>1</w:t>
      </w:r>
      <w:r>
        <w:fldChar w:fldCharType="end"/>
      </w: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4</w:t>
      </w:r>
    </w:p>
    <w:p w14:paraId="356B943A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Cs/>
          <w:szCs w:val="32"/>
          <w:lang w:val="en-US" w:eastAsia="zh-CN"/>
        </w:rPr>
        <w:fldChar w:fldCharType="end"/>
      </w:r>
    </w:p>
    <w:p w14:paraId="20387BE3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0EE8F913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43BE2D8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4CBA6B07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199D84BE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2380B0B0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1453895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DDC91C2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104D4FE2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66FD79C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4403A8F4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95F2F78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12928284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3273AFDC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2C84ECFA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E2C7C1B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39F3B211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139B8785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0170A912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04EDB901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36219DD4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4D420F1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493A9AAF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F8C1FAD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15BA0C2C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3FEFE648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DFD7172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6C39D56E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2645F8D6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7D88D8A0">
      <w:pPr>
        <w:widowControl w:val="0"/>
        <w:numPr>
          <w:ilvl w:val="0"/>
          <w:numId w:val="6"/>
        </w:numPr>
        <w:tabs>
          <w:tab w:val="left" w:pos="720"/>
        </w:tabs>
        <w:snapToGrid w:val="0"/>
        <w:spacing w:line="360" w:lineRule="auto"/>
        <w:ind w:firstLine="282" w:firstLineChars="117"/>
        <w:jc w:val="both"/>
        <w:outlineLvl w:val="0"/>
        <w:rPr>
          <w:rFonts w:ascii="Times" w:hAnsi="Times"/>
          <w:b/>
          <w:kern w:val="28"/>
          <w:sz w:val="24"/>
          <w:lang w:eastAsia="zh-CN"/>
        </w:rPr>
      </w:pPr>
      <w:r>
        <w:rPr>
          <w:rFonts w:hint="eastAsia" w:ascii="Times" w:hAnsi="Times"/>
          <w:b/>
          <w:kern w:val="28"/>
          <w:sz w:val="24"/>
          <w:lang w:val="en-US" w:eastAsia="zh-CN"/>
        </w:rPr>
        <w:t>概述</w:t>
      </w:r>
    </w:p>
    <w:p w14:paraId="3A972BB9">
      <w:pPr>
        <w:widowControl w:val="0"/>
        <w:numPr>
          <w:ilvl w:val="0"/>
          <w:numId w:val="0"/>
        </w:numPr>
        <w:tabs>
          <w:tab w:val="left" w:pos="284"/>
          <w:tab w:val="left" w:pos="1080"/>
        </w:tabs>
        <w:snapToGrid w:val="0"/>
        <w:spacing w:line="360" w:lineRule="auto"/>
        <w:ind w:leftChars="135"/>
        <w:jc w:val="both"/>
        <w:outlineLvl w:val="2"/>
        <w:rPr>
          <w:rFonts w:hint="eastAsia" w:ascii="宋体" w:hAnsi="宋体" w:eastAsia="宋体" w:cs="宋体"/>
          <w:sz w:val="24"/>
          <w:lang w:eastAsia="zh-CN"/>
        </w:rPr>
      </w:pPr>
      <w:bookmarkStart w:id="0" w:name="_Toc480973462"/>
      <w:bookmarkStart w:id="1" w:name="_Toc477348509"/>
      <w:r>
        <w:rPr>
          <w:rFonts w:hint="eastAsia" w:ascii="宋体" w:hAnsi="宋体" w:eastAsia="宋体" w:cs="宋体"/>
          <w:sz w:val="24"/>
          <w:lang w:eastAsia="zh-CN"/>
        </w:rPr>
        <w:t>1.1</w:t>
      </w:r>
      <w:bookmarkEnd w:id="0"/>
      <w:bookmarkEnd w:id="1"/>
      <w:r>
        <w:rPr>
          <w:rFonts w:hint="eastAsia" w:ascii="宋体" w:hAnsi="宋体" w:eastAsia="宋体" w:cs="宋体"/>
          <w:sz w:val="24"/>
          <w:lang w:eastAsia="zh-CN"/>
        </w:rPr>
        <w:t>本技术要求书为</w:t>
      </w:r>
      <w:r>
        <w:rPr>
          <w:rFonts w:hint="eastAsia" w:ascii="宋体" w:hAnsi="宋体" w:eastAsia="宋体" w:cs="宋体"/>
          <w:sz w:val="24"/>
          <w:lang w:val="en-US" w:eastAsia="zh-CN"/>
        </w:rPr>
        <w:t>综合布线</w:t>
      </w:r>
      <w:r>
        <w:rPr>
          <w:rFonts w:hint="eastAsia" w:ascii="宋体" w:hAnsi="宋体" w:eastAsia="宋体" w:cs="宋体"/>
          <w:sz w:val="24"/>
          <w:lang w:eastAsia="zh-CN"/>
        </w:rPr>
        <w:t>的技术要求和供货要求，供应商进行技术应答和报价之用，要求提供的技术资料以中文文本为准。</w:t>
      </w:r>
    </w:p>
    <w:p w14:paraId="6BF4BB11">
      <w:pPr>
        <w:widowControl w:val="0"/>
        <w:numPr>
          <w:ilvl w:val="0"/>
          <w:numId w:val="0"/>
        </w:numPr>
        <w:tabs>
          <w:tab w:val="left" w:pos="284"/>
          <w:tab w:val="left" w:pos="1080"/>
        </w:tabs>
        <w:snapToGrid w:val="0"/>
        <w:spacing w:line="360" w:lineRule="auto"/>
        <w:ind w:leftChars="135"/>
        <w:jc w:val="both"/>
        <w:outlineLvl w:val="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1.3本技术</w:t>
      </w:r>
      <w:r>
        <w:rPr>
          <w:rFonts w:hint="eastAsia" w:ascii="宋体" w:hAnsi="宋体" w:eastAsia="宋体" w:cs="宋体"/>
          <w:sz w:val="24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lang w:eastAsia="zh-CN"/>
        </w:rPr>
        <w:t>书应视为保证本项目正常运行所需的最低要求。</w:t>
      </w:r>
      <w:r>
        <w:rPr>
          <w:rFonts w:hint="eastAsia" w:ascii="宋体" w:hAnsi="宋体" w:eastAsia="宋体" w:cs="宋体"/>
          <w:sz w:val="24"/>
          <w:lang w:val="en-US" w:eastAsia="zh-CN"/>
        </w:rPr>
        <w:t>参考相关设计图纸，</w:t>
      </w:r>
      <w:r>
        <w:rPr>
          <w:rFonts w:hint="eastAsia" w:ascii="宋体" w:hAnsi="宋体" w:eastAsia="宋体" w:cs="宋体"/>
          <w:sz w:val="24"/>
          <w:lang w:eastAsia="zh-CN"/>
        </w:rPr>
        <w:t>如有遗漏，供货商应予以补充，否则一旦中标将认为供货商认同遗漏部分并免费提供。</w:t>
      </w:r>
    </w:p>
    <w:p w14:paraId="6CDF66BC">
      <w:pPr>
        <w:widowControl w:val="0"/>
        <w:numPr>
          <w:ilvl w:val="0"/>
          <w:numId w:val="0"/>
        </w:numPr>
        <w:tabs>
          <w:tab w:val="left" w:pos="284"/>
          <w:tab w:val="left" w:pos="1080"/>
        </w:tabs>
        <w:snapToGrid w:val="0"/>
        <w:spacing w:line="360" w:lineRule="auto"/>
        <w:ind w:leftChars="135"/>
        <w:jc w:val="both"/>
        <w:outlineLvl w:val="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1.4根据本</w:t>
      </w:r>
      <w:r>
        <w:rPr>
          <w:rFonts w:hint="eastAsia" w:ascii="宋体" w:hAnsi="宋体" w:eastAsia="宋体" w:cs="宋体"/>
          <w:sz w:val="24"/>
          <w:lang w:val="en-US" w:eastAsia="zh-CN"/>
        </w:rPr>
        <w:t>技术</w:t>
      </w:r>
      <w:bookmarkStart w:id="19" w:name="_GoBack"/>
      <w:bookmarkEnd w:id="19"/>
      <w:r>
        <w:rPr>
          <w:rFonts w:hint="eastAsia" w:ascii="宋体" w:hAnsi="宋体" w:eastAsia="宋体" w:cs="宋体"/>
          <w:sz w:val="24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lang w:eastAsia="zh-CN"/>
        </w:rPr>
        <w:t>书，供货商应在应答中说明给招标人提供的技术文件、技术支持、人员培训等的范围和程度。</w:t>
      </w:r>
    </w:p>
    <w:p w14:paraId="5D5E1174">
      <w:pPr>
        <w:widowControl w:val="0"/>
        <w:numPr>
          <w:ilvl w:val="0"/>
          <w:numId w:val="0"/>
        </w:numPr>
        <w:tabs>
          <w:tab w:val="left" w:pos="284"/>
          <w:tab w:val="left" w:pos="1080"/>
        </w:tabs>
        <w:snapToGrid w:val="0"/>
        <w:spacing w:line="360" w:lineRule="auto"/>
        <w:ind w:leftChars="135"/>
        <w:jc w:val="both"/>
        <w:outlineLvl w:val="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1.5招标人在任何时候都保留和拥有对本文件的解释权。</w:t>
      </w:r>
    </w:p>
    <w:p w14:paraId="1A996D49">
      <w:pPr>
        <w:widowControl w:val="0"/>
        <w:numPr>
          <w:ilvl w:val="0"/>
          <w:numId w:val="0"/>
        </w:numPr>
        <w:tabs>
          <w:tab w:val="left" w:pos="284"/>
          <w:tab w:val="left" w:pos="1080"/>
        </w:tabs>
        <w:snapToGrid w:val="0"/>
        <w:spacing w:line="360" w:lineRule="auto"/>
        <w:ind w:leftChars="135"/>
        <w:jc w:val="both"/>
        <w:outlineLvl w:val="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1.6供货商在参与本项目中，对于招标人披露和提供的所有信息应作为商业秘密对待并予以保护，未经招标人授权不得将任何信息泄漏给第三方，否则招标人有权追究供货商的责任。</w:t>
      </w:r>
    </w:p>
    <w:p w14:paraId="5D74947B">
      <w:pPr>
        <w:widowControl w:val="0"/>
        <w:numPr>
          <w:ilvl w:val="0"/>
          <w:numId w:val="0"/>
        </w:numPr>
        <w:tabs>
          <w:tab w:val="left" w:pos="284"/>
          <w:tab w:val="left" w:pos="1080"/>
        </w:tabs>
        <w:snapToGrid w:val="0"/>
        <w:spacing w:line="360" w:lineRule="auto"/>
        <w:ind w:leftChars="135"/>
        <w:jc w:val="both"/>
        <w:outlineLvl w:val="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1.</w:t>
      </w:r>
      <w:bookmarkStart w:id="2" w:name="_Hlk523043111"/>
      <w:r>
        <w:rPr>
          <w:rFonts w:hint="eastAsia" w:ascii="宋体" w:hAnsi="宋体" w:eastAsia="宋体" w:cs="宋体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lang w:eastAsia="zh-CN"/>
        </w:rPr>
        <w:t>技术要求中</w:t>
      </w:r>
      <w:r>
        <w:rPr>
          <w:rFonts w:hint="eastAsia" w:ascii="宋体" w:hAnsi="宋体" w:eastAsia="宋体" w:cs="宋体"/>
          <w:sz w:val="24"/>
          <w:lang w:val="en-US" w:eastAsia="zh-CN"/>
        </w:rPr>
        <w:t>带</w:t>
      </w:r>
      <w:r>
        <w:rPr>
          <w:rFonts w:hint="eastAsia" w:ascii="宋体" w:hAnsi="宋体" w:eastAsia="宋体" w:cs="宋体"/>
          <w:sz w:val="24"/>
          <w:lang w:eastAsia="zh-CN"/>
        </w:rPr>
        <w:t>★条款为不可偏离项。</w:t>
      </w:r>
      <w:bookmarkEnd w:id="2"/>
    </w:p>
    <w:p w14:paraId="245FBEA1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22DBB5C9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23C7E9BD">
      <w:pPr>
        <w:numPr>
          <w:ilvl w:val="0"/>
          <w:numId w:val="0"/>
        </w:numPr>
        <w:jc w:val="center"/>
        <w:outlineLvl w:val="9"/>
        <w:rPr>
          <w:rFonts w:hint="default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</w:p>
    <w:p w14:paraId="5BA6BA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3" w:name="_Toc2759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2、机电设备</w:t>
      </w:r>
      <w:bookmarkEnd w:id="3"/>
    </w:p>
    <w:p w14:paraId="3DDEF1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210" w:rightChars="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TW" w:eastAsia="zh-TW"/>
        </w:rPr>
      </w:pPr>
      <w:bookmarkStart w:id="4" w:name="_Toc89260181"/>
      <w:bookmarkStart w:id="5" w:name="_Toc30676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2.1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TW" w:eastAsia="zh-CN"/>
        </w:rPr>
        <w:t>机柜及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封闭</w:t>
      </w:r>
      <w:bookmarkEnd w:id="4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冷通道</w:t>
      </w:r>
      <w:bookmarkEnd w:id="5"/>
    </w:p>
    <w:p w14:paraId="2CD7F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6" w:name="_Toc2238"/>
      <w:bookmarkStart w:id="7" w:name="_Toc8926018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2.1.1 服务器机柜</w:t>
      </w:r>
      <w:bookmarkEnd w:id="6"/>
      <w:bookmarkEnd w:id="7"/>
    </w:p>
    <w:p w14:paraId="73E8F86F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机柜应采用大型企业的高强度A级优质碳素冷轧钢板和镀锌板，表面喷涂厚度应不小于60μm ,采用黑色砂纹工艺，满足防腐、防锈、光洁、色泽均匀、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无流挂、不露底、无起泡、无裂纹、金属件无毛刺锈蚀要求。</w:t>
      </w:r>
    </w:p>
    <w:p w14:paraId="5A222151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外形尺寸：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风冷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服务器机柜与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冷板液冷机柜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均为前进风、后出风机柜。规格参数以图纸、清单为准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柜尺寸要求不大于：高2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00mm×宽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00mm×深1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00mm。</w:t>
      </w:r>
    </w:p>
    <w:p w14:paraId="60E5C1F7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外观及外部结构要求</w:t>
      </w:r>
    </w:p>
    <w:p w14:paraId="694F097A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满足标准19”IT和网络设备的放置，其设计符合IEC 60297-2，ANSI/EIA RS-310-D标准。</w:t>
      </w:r>
    </w:p>
    <w:p w14:paraId="182B8AFA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机柜颜色与机房环境协调、美观，支持提供多种颜色机柜色板及外观深化设计方案，最终机柜方案可选。</w:t>
      </w:r>
    </w:p>
    <w:p w14:paraId="597F63BF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整体防护等级应不小于IP20。</w:t>
      </w:r>
    </w:p>
    <w:p w14:paraId="072288CE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门和侧板为可拆卸式结构，无需工具即可拆卸和安装，门的开合转动灵活、锁定可靠、施工安装和维护方便。前后门应采用外开门方式，前门单开，后门双开，开启角度应不小于110°，以满足设备的安装要求。机柜门采用三铰链固定以保证机柜门的牢固程度。</w:t>
      </w:r>
    </w:p>
    <w:p w14:paraId="52E70853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机柜和列头柜支持并柜安装，要求外观协调统一。</w:t>
      </w:r>
    </w:p>
    <w:p w14:paraId="0437288E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机柜前后门应采用不小于1.0mm厚度的优质板材加工，以保证机房设备的有效散热，网孔门通孔率需不小于70%。</w:t>
      </w:r>
    </w:p>
    <w:p w14:paraId="531B7F3D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机柜门锁，为机械锁（仅通过钥匙解锁/上锁）。。</w:t>
      </w:r>
    </w:p>
    <w:p w14:paraId="071A2C04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按照YD5083-2005《电信设备抗地震性能检测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》要求，带载500kg测试通过8级烈度结构抗地震考核，中标方需提供第三方权威机构测试报告。</w:t>
      </w:r>
    </w:p>
    <w:p w14:paraId="12175093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机柜可以并列安装，随机应配有并柜连接件，并柜连接件可在无需拆卸机柜门的情况下，实现机柜快速并柜功能，简化安装流程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机柜需带侧板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237AD6F2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机柜具备至少2个接地点，提供全方位接地保护。</w:t>
      </w:r>
    </w:p>
    <w:p w14:paraId="3A94B697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机柜需要配置和机柜配套的螺丝、螺帽等。机柜用料及螺丝、螺钉等联接器件均应为经过防锈处理。</w:t>
      </w:r>
    </w:p>
    <w:p w14:paraId="762D8CEE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机柜内部应设置不小于4根安装立柱，用于安装设备和固定层板。安装立柱能够前后移动调节。安装立柱的间距、孔距等机柜内部尺寸结构应满足GB/T 19520.1-2007和GB/T 19520.2-2007的要求。机架前门立柱需要有具体U数标示。机柜交货时，要求前门安装立柱须统一调节到距柜门110~140mm，同时支持须具备后续调节前后位置的能力。</w:t>
      </w:r>
    </w:p>
    <w:p w14:paraId="4C846AA4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机柜立柱保证承重要求。机柜主要承重部件包括立柱、横梁、框架等的板材厚度不小于1.5mm，顶板、侧板、底板等非承重部件的板材厚度不小于1.0mm。要求静态承载能力不小于1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00kg，中标方需提供第三方权威机构测试报告。</w:t>
      </w:r>
    </w:p>
    <w:p w14:paraId="0EFBE9E0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承托设备的支架应不少于L型支架、固定托盘和可调节托盘三种形式可选，以应对不同场景需求。L型支架承重不小于50kg，固定托盘承重不小于100kg。可调节托盘承重不小于100kg，深度方向可调节范围不小于570mm～870mm，可实现单人安装。机柜/承托支架数量配比为1:0.3，每10个机柜配备3个承托支架。</w:t>
      </w:r>
    </w:p>
    <w:p w14:paraId="7147F71C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机柜内部有效承载空间：≥47U，可按要求配置不同规格的设备托盘，每个机柜单元配置的托盘可根据用户需求增加。</w:t>
      </w:r>
    </w:p>
    <w:p w14:paraId="70DFEAF9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机柜应支持上走线、下走线方式，便于以后设备的扩展，便于线缆的管理和空气的流通。机柜进出线及内部布线不应影响气流组织和冷却效果。</w:t>
      </w:r>
    </w:p>
    <w:p w14:paraId="594651C2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顶部、底部框架结构应为机柜出线提供足够的走线孔位，每个走线口配备毛刷或其它走线口封闭方式，未启用的走线口要求有盖板或橡胶密封，以防止昆虫或老鼠钻入机柜内部。走线孔边缘应作钝化处理，以免划伤线缆。</w:t>
      </w:r>
    </w:p>
    <w:p w14:paraId="79BB70B1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后方顶部左右两边各预留一个走线口，规格不小于180mm*100mm，配备毛刷或其它走线口封闭方式。机柜后方顶部预留不小于75000mm²截面的开口空间，带可拆卸盖板或其它可拆卸配件，为大批量弱电线缆布放提供预留空间。</w:t>
      </w:r>
    </w:p>
    <w:p w14:paraId="26DF21C0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每个机柜按U位数量的一半配置挡板，随机柜在正面装配好。材质选用防火阻燃塑料件，所使用的塑料材料应符合《设备和器具用塑料部件的可燃性实验》（UL 94-2013）标准，燃烧性能符合A级机房防火等级要求。</w:t>
      </w:r>
    </w:p>
    <w:p w14:paraId="591E8882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挡板颜色为可选，单个挡板尺寸统一为1U，选取卡扣型挡板以满足免工具安装要求，符合RoHS标准,通过UL认证或同等认证。</w:t>
      </w:r>
    </w:p>
    <w:p w14:paraId="3E6B1FBC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并柜后，柜体之间不应有明显的透光缝隙，机柜支持在并柜后进行侧板拆除。机柜前后门框右下角处有接地装置，应尽量靠近门框，不得影响设备安装。机柜PDU安装后厚度不超过同侧平面，即机柜后侧平面之间净宽投影方向没有阻挡。</w:t>
      </w:r>
    </w:p>
    <w:p w14:paraId="2EAD4C36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机柜内所有材料包括进线口毛刷等符合A级机房防火等级要求。</w:t>
      </w:r>
    </w:p>
    <w:p w14:paraId="49517016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机架内应设置统一接地装置或横截面积不小于36mm²的接地铜排。柜体及其内部各金属部件应与接地装置可靠连通。</w:t>
      </w:r>
    </w:p>
    <w:p w14:paraId="5445C5DF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保护地线排和零线排的位数应满足接线需求。机架接地应良好，即所有机架与保护地线排进行完全良好联接。</w:t>
      </w:r>
    </w:p>
    <w:p w14:paraId="13C4D99A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A的PDU导体截面不低于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平方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A的PDU导体截面不低于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平方；PDU导体选用铜材，含铜量不低于99.95%，需提供材质相关证明文件。</w:t>
      </w:r>
    </w:p>
    <w:p w14:paraId="01DC9768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中标方需提供至智能母线及列头柜插接箱输出端的电源线，电源线的规格型号应与开关容量匹配。</w:t>
      </w:r>
    </w:p>
    <w:p w14:paraId="06A91593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PDU输入接线端子应适应硬接线直接压接方式，插座面板采用防松脱设计，绝缘性能和内部焊接良好。</w:t>
      </w:r>
    </w:p>
    <w:p w14:paraId="1FAD6300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每个机柜标配2条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\4条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PDU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(具体开关分配详见综合布线施工图内PDU示意图-6kW\10kW\20kW)，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为设备A/B路供电使用。两条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\四条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PDU应为同一规格，互为备份；且A/B路PDU颜色按招标人要求执行。</w:t>
      </w:r>
    </w:p>
    <w:p w14:paraId="59BBC31E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输入电源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1-6kW机柜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624EC91D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共2条PDU，单条要求：</w:t>
      </w:r>
    </w:p>
    <w:p w14:paraId="13393579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输入额定电流：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32A,输入开关：32A/1P</w:t>
      </w:r>
    </w:p>
    <w:p w14:paraId="14C51D67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输入额定电压：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220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V AC</w:t>
      </w:r>
    </w:p>
    <w:p w14:paraId="6905C5F7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输入电缆线规格：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ZA-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RVV 3*6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mm²</w:t>
      </w:r>
    </w:p>
    <w:p w14:paraId="1D8894DC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阻燃等级：IEC60332  A级</w:t>
      </w:r>
    </w:p>
    <w:p w14:paraId="65566ED4">
      <w:pPr>
        <w:numPr>
          <w:ilvl w:val="0"/>
          <w:numId w:val="0"/>
        </w:numPr>
        <w:snapToGrid w:val="0"/>
        <w:spacing w:before="120" w:line="360" w:lineRule="auto"/>
        <w:ind w:left="42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输出电源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1-6kW机柜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083DDD02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输出插座制式：IEC320两种插口；</w:t>
      </w:r>
    </w:p>
    <w:p w14:paraId="68EA3054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输出单元数量：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个10A的C13孔位和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个16A的C19孔位；</w:t>
      </w:r>
    </w:p>
    <w:p w14:paraId="4B246D7F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输出额定电源：具10A和16A两种输出电流孔位。10A和16A插孔应有标识区分。</w:t>
      </w:r>
    </w:p>
    <w:p w14:paraId="387EC329">
      <w:pPr>
        <w:pStyle w:val="28"/>
        <w:numPr>
          <w:ilvl w:val="0"/>
          <w:numId w:val="0"/>
        </w:numPr>
        <w:spacing w:before="120" w:line="360" w:lineRule="auto"/>
        <w:ind w:left="851" w:leftChars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F69503C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输入电源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2-10kW机柜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7588E117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共2条PDU，单条要求：</w:t>
      </w:r>
    </w:p>
    <w:p w14:paraId="17A30FFB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输入额定电流：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63A,输入开关：63A/1P</w:t>
      </w:r>
    </w:p>
    <w:p w14:paraId="377F6367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输入额定电压：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220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V AC</w:t>
      </w:r>
    </w:p>
    <w:p w14:paraId="0087C7B3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输入电缆线规格：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ZA-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RVV 3*10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mm²</w:t>
      </w:r>
    </w:p>
    <w:p w14:paraId="429540E5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阻燃等级：IEC60332  A级</w:t>
      </w:r>
    </w:p>
    <w:p w14:paraId="1BC386A1">
      <w:pPr>
        <w:numPr>
          <w:ilvl w:val="0"/>
          <w:numId w:val="0"/>
        </w:numPr>
        <w:snapToGrid w:val="0"/>
        <w:spacing w:before="120" w:line="360" w:lineRule="auto"/>
        <w:ind w:left="42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输出电源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2-10kW机柜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371085A3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输出插座制式：IEC320两种插口；</w:t>
      </w:r>
    </w:p>
    <w:p w14:paraId="0FE38C12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输出单元数量：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个10A的C13孔位和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个16A的C19孔位；</w:t>
      </w:r>
    </w:p>
    <w:p w14:paraId="27813774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输出额定电源：具10A和16A两种输出电流孔位。10A和16A插孔应有标识区分。</w:t>
      </w:r>
    </w:p>
    <w:p w14:paraId="67CA6346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输入电源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3-20kW机柜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43A99C01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共4条PDU，单条要求：</w:t>
      </w:r>
    </w:p>
    <w:p w14:paraId="7BA40379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输入额定电流：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63A,输入开关：63A/1P</w:t>
      </w:r>
    </w:p>
    <w:p w14:paraId="4FA22106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输入额定电压：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220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V AC</w:t>
      </w:r>
    </w:p>
    <w:p w14:paraId="74BC7FF5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输入电缆线规格：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ZA-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RVV 3*10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mm²</w:t>
      </w:r>
    </w:p>
    <w:p w14:paraId="619EB068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阻燃等级：IEC60332  A级</w:t>
      </w:r>
    </w:p>
    <w:p w14:paraId="1EB41BEE">
      <w:pPr>
        <w:numPr>
          <w:ilvl w:val="0"/>
          <w:numId w:val="0"/>
        </w:numPr>
        <w:snapToGrid w:val="0"/>
        <w:spacing w:before="120" w:line="360" w:lineRule="auto"/>
        <w:ind w:left="42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输出电源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3-20kW机柜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58A38671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输出插座制式：IEC320两种插口；</w:t>
      </w:r>
    </w:p>
    <w:p w14:paraId="7B26199D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输出单元数量：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个10A的C13孔位和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个16A的C19孔位；</w:t>
      </w:r>
    </w:p>
    <w:p w14:paraId="15006984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输出额定电源：具10A和16A两种输出电流孔位。10A和16A插孔应有标识区分。</w:t>
      </w:r>
    </w:p>
    <w:p w14:paraId="65D2A26E">
      <w:pPr>
        <w:pStyle w:val="28"/>
        <w:numPr>
          <w:ilvl w:val="0"/>
          <w:numId w:val="0"/>
        </w:numPr>
        <w:spacing w:before="120" w:line="360" w:lineRule="auto"/>
        <w:ind w:left="851" w:leftChars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C901216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PDU参数：</w:t>
      </w:r>
    </w:p>
    <w:p w14:paraId="2852A883">
      <w:pPr>
        <w:pStyle w:val="4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带有网络接口（Net），支持网络连接和网络通讯</w:t>
      </w:r>
    </w:p>
    <w:p w14:paraId="1924F65E">
      <w:pPr>
        <w:pStyle w:val="4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输出单元数量：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XX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个10A的C13孔位和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XX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个16A的C19孔位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,具体输出孔位数详见技术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书PDU输出电源参数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具10A和16A两种输出电流孔位。10A和16A插孔应有标识区分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AA666B4">
      <w:pPr>
        <w:pStyle w:val="48"/>
        <w:spacing w:line="360" w:lineRule="auto"/>
        <w:ind w:firstLine="22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提供统一管理软件，用户可以远程通过网络对智能PDU进行统一访问、设置与管理。</w:t>
      </w:r>
    </w:p>
    <w:p w14:paraId="2C30DA85">
      <w:pPr>
        <w:pStyle w:val="48"/>
        <w:numPr>
          <w:ilvl w:val="0"/>
          <w:numId w:val="9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具备端口级监测功能，对每个端口都能实时监测并显示运行参数功能，电流、电压、电能、功率、用电量等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智能PDU支持远程及本地对输出插口的开启、关闭、重启功能。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2339175D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交流PDU外壳选用优质型材或钢板，应具备强度高，坚固耐用，抗压性能、装配性能、耐蚀性能和装饰性能良好，表面喷涂效果好，工艺先进，纹路平整，美观大方等特点，PDU输入模块接线端子视窗盖板应为透明盖板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6042036E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PDU每位插孔间须保留一定的间距，应根据机柜高度与机柜U位刻度对应，以方便设备接线整齐美观。</w:t>
      </w:r>
    </w:p>
    <w:p w14:paraId="334D86ED">
      <w:pPr>
        <w:pStyle w:val="48"/>
        <w:numPr>
          <w:ilvl w:val="0"/>
          <w:numId w:val="7"/>
        </w:numPr>
        <w:snapToGrid w:val="0"/>
        <w:spacing w:before="120" w:line="360" w:lineRule="auto"/>
        <w:ind w:left="12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需要实现告警门限设定：用户可远程通过网络自定义设置PDU每个回路总负载电流、电压、每位输出单元电流的上/下限值、温度/湿度的上/下门限值的设定。</w:t>
      </w:r>
    </w:p>
    <w:p w14:paraId="403E0C03">
      <w:pPr>
        <w:numPr>
          <w:ilvl w:val="0"/>
          <w:numId w:val="7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总体安装要求</w:t>
      </w:r>
    </w:p>
    <w:p w14:paraId="275FA7BB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内信号灯、开关、测量显示装置应考虑安装及维护便利性，合理布局。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内结构件排列合理、整齐，线缆颜色和截面合理、布放平整，接插件牢固，进出线符合工程需要，标牌、标记应平整清晰。</w:t>
      </w:r>
    </w:p>
    <w:p w14:paraId="1BB28634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焊缝要求整齐均匀，不允许有裂缝、咬边、豁口，烧穿等缺陷，焊缝不能出现外表物夹渣、气孔、焊瘤，凹坑等缺陷，焊后进行打磨，表面粗糙度符合行业相关标准。</w:t>
      </w:r>
    </w:p>
    <w:p w14:paraId="2AD3477E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机柜可以并列安装，随机应配有并柜连接件。并柜连接件可在无需拆卸机柜门的情况下，实现机柜快速并柜功能，简化安装流程。</w:t>
      </w:r>
    </w:p>
    <w:p w14:paraId="066A7502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安装垂直偏差度不得大于3mm,水平误差不得大于2mm。若干机柜并排在一起时，面板应在同一平面上并与基准线平行，前后偏差不得大于3mm;两个机柜中间缝隙不得大于3mm。对于相互有一定间隔而排成一列的设备，其面板前后偏差不得大于5mm。</w:t>
      </w:r>
    </w:p>
    <w:p w14:paraId="3D178519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的各种零件不得脱落或碰坏，漆面如有脱落须予以更换或补漆，各种标志应完整、清晰。机柜安装须确保牢固，不得直接安装在活动地板上，按设备的底平面尺寸制作底座，底座直接与地面固定，机柜固定在底座上后，铺设活动地板。</w:t>
      </w:r>
    </w:p>
    <w:p w14:paraId="4A59F2D6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机柜内的设备、部件的安装，须在机柜定位完毕并固定后进行，安装在机柜内的设备应牢固。机柜上的固定螺丝、垫片和弹簧垫圈均应按要求紧固不得遗漏。并做好防雷接地保护。</w:t>
      </w:r>
    </w:p>
    <w:p w14:paraId="77C5E503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安装完毕后须做好标识，标识应统一、清晰、美观。</w:t>
      </w:r>
    </w:p>
    <w:p w14:paraId="1CA60727">
      <w:pPr>
        <w:pStyle w:val="28"/>
        <w:numPr>
          <w:ilvl w:val="0"/>
          <w:numId w:val="8"/>
        </w:numPr>
        <w:spacing w:before="120" w:line="360" w:lineRule="auto"/>
        <w:ind w:left="1276" w:hanging="425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机柜内两条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或四条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PDU须在机柜后方同侧竖排安装，不同色PDU插孔错开，PDU 每位插孔间须保留一定的间距，应根据机柜高度与机柜U位刻度对应，以方便设备接线、保持整齐美观。PDU与机柜的固定方式应灵活、方便，利于安装和拆卸。</w:t>
      </w:r>
    </w:p>
    <w:p w14:paraId="6EAC7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8" w:name="_Toc89260183"/>
      <w:bookmarkStart w:id="9" w:name="_Toc5747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2.1.2 封闭</w:t>
      </w:r>
      <w:bookmarkEnd w:id="8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冷通道</w:t>
      </w:r>
      <w:bookmarkEnd w:id="9"/>
    </w:p>
    <w:p w14:paraId="691E595A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密封通道由机柜、密封侧板、天窗以及通道端门组成，形成良好的密封效果，避免冷热气流混合造成能量损失。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上部顶盖应采用平顶结构，按照机柜布置情况对应布置天窗。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地面（地板）上应保证通过性优异，不允许有地轨、门槛等，以便人员设备进出便利。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内的机柜下部等漏风处须用钣金件密封。</w:t>
      </w:r>
    </w:p>
    <w:p w14:paraId="4C56CE4D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所有单元组件应采用具备良好耐磨、耐蚀性，精细加工，整体冲压成型，接缝整齐，安全耐用要求无松动现象，确保通道气流的密封性。通道内应预留安装传感器、监控摄像头的位置和走线的孔位及走线空间，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内每同一列机柜须有预留充足的温湿度传感器安装位置，具体数量参照相关设计图纸。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门禁接入大楼一卡通系统。通道端门侧应预留开门按钮、刷卡器、门禁磁力锁、紧急按钮等的安装接口，支持配合智能化包门禁系统的安装、调试工作。未要求安装门禁系统的通道门须预留安装门禁系统、磁力锁、刷卡器、出门按钮、紧急按钮等的安装能力。所有灯光、监控系统、天窗、门禁、消防独立取电，不与IT配电共用。</w:t>
      </w:r>
    </w:p>
    <w:p w14:paraId="39353C6F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通道内结构件支持多种颜色及外观深化设计方案，最终方案可选，整体协调，配合美观，在机房灯光下应无晕眩。表面应进行脱脂、酸洗、防锈预处理（氧化硅烷或磷化），纯水清洗、静电喷塑等处理，要求不脱漆、耐酸碱、耐溶剂、耐腐蚀、耐指纹不受手汗影响。表面处理应采用高硬度粉沫静电喷涂或高温烤漆处理工艺，表层外观表面应光洁、色泽均匀、无露底、无流积、无起泡、无裂纹、无橘皮、金属件要求无毛刺和锈蚀、应防静电。</w:t>
      </w:r>
    </w:p>
    <w:p w14:paraId="4A5C4DB5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焊缝要求整齐均匀，不允许有裂缝、咬边、豁口，烧穿等缺陷，焊缝不能出现外表物夹渣、气孔、焊瘤，凹坑等缺陷，焊后进行打磨，表面粗糙度符合行业相关标准。</w:t>
      </w:r>
    </w:p>
    <w:p w14:paraId="521DFB5C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通道上部天窗应设计以下两种类型：固定型天窗、活动型天窗。根据使用天窗类型，活动天窗开启后悬停位置要求高于机柜顶部，不影响机柜门正常开启关闭，开启角度不小于40度，并且不影响日常维护工作和维护人员安全。</w:t>
      </w:r>
    </w:p>
    <w:p w14:paraId="6340D3C2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通道系统应兼具功能性、透光性及美观性，固定型天窗和活动型天窗透光材质应使用防爆膜钢化玻璃，厚度不小于5mm，天窗玻璃面积占比应保证不小于90%。要求钢化玻璃透光率应不小于87%，要求提供玻璃透光率测试报告证明。活动型天窗要求通过电磁锁控制打开(断电开启)，须达到无间断级联方式控制，磁力满足天窗正常使用要求。活动型天窗应在接收到火灾告警信号时，控制电磁锁掉电开启天窗，同时发出声光报警信号。</w:t>
      </w:r>
    </w:p>
    <w:p w14:paraId="4908A36D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为保证指示灯的易用性，应能在模块端门处明确指示告警颜色。告警灯需设计在通道端门上。告警联动颜色及告警指示灯安装位置提供多种深化设计方案，最终方案可选。</w:t>
      </w:r>
    </w:p>
    <w:p w14:paraId="6B72604A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封闭系统内各组件在设计安装时作为一个整体考虑，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与机柜同一品牌，密封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的两端需设置封闭性良好的端门，以保证通道的气密性。尺寸规格：内框高度不低于机柜高度，双列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端门完全拉开状态下内框宽度不低于900mm，单列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端门完全拉开状态下内框宽度不低于650mm。</w:t>
      </w:r>
    </w:p>
    <w:p w14:paraId="1DE4F2F7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端门应采用旋转门结构，通过门框整体与机柜通过螺钉联接。旋转门应设置自动闭门装置，在门被推开后不到90°时能够自动闭合，同时需要能够在门开度≥90°时固定于一点，可以使门常开，方便设备搬运，支持可根据实际使用需求，通过简单设置或调整，选择取消或恢复端门固定常开功能。通道门框架结构应采用高强度A级优质碳素冷轧型材，其型材厚度应不小于1.5mm，保证门框结构的整体强度。</w:t>
      </w:r>
    </w:p>
    <w:p w14:paraId="7349BFC6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门板应采用整块钢化玻璃或铝型材镶嵌钢化玻璃形式。采用整块钢化玻璃材质的，其钢化玻璃厚度应不小于8mm，以保证门板强度；如采用铝型材镶嵌钢化玻璃结构的，其门板铝型材厚度应不小于1.5mm，玻璃厚度不小于8mm，玻璃镶嵌面积应不小于端门面积的60%，以保证通道内的良好可视性。端门接缝、门缝处应配置胶条、毛刷等装置，尽量减少端门缝隙，用以保证气密性。</w:t>
      </w:r>
    </w:p>
    <w:p w14:paraId="6F4F0B29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针对单列靠墙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、单列非靠墙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，须根据不同机房的具体情况要求出具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深化设计方案，要求结构固定稳固、协调美观、不影响通道正常通行空间等，面板采用铝型材或铝型材镶嵌钢化玻璃结构，面板铝型材厚度应不小于1.5mm，钢化玻璃厚度不小于8mm。</w:t>
      </w:r>
    </w:p>
    <w:p w14:paraId="0554302C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封闭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内照明应采用LED灯管，保证通道照明亮度不小于300LUX，满足GB50174《电子信息系统机房设计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》中对机房照明的要求。机房通道照明灯应沿通道方向布置，通道照明灯首尾相连，以达到最佳照明效果。</w:t>
      </w:r>
    </w:p>
    <w:p w14:paraId="09C8CB33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柜标识采用圆形或长方形标识置于机柜前门上方或后门上方；面积≥45平方厘米；圆形标识采用双色板或亚克力材质，内容可根据要求进行定制，可拆卸。长方形标识采用铝型材+双色板或亚克力材质，内容可根据要求进行定制，标牌可拆卸。</w:t>
      </w:r>
    </w:p>
    <w:p w14:paraId="77281461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门的两端配有统一标识；采用长方形置于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两端；面积≥200平方厘米；采用钣金+亚克力材质；内容可根据要求进行定制；便于拆卸。</w:t>
      </w:r>
    </w:p>
    <w:p w14:paraId="57A2B78F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门的两端配有统一标识；采用长方形置于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两端；面积≥200平方厘米；采用钣金+亚克力材质；字体或背景发光（自带供电），内容可根据要求进行定制；便于拆卸。</w:t>
      </w:r>
    </w:p>
    <w:p w14:paraId="1868DF90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通道内立柱采用机柜包覆，用于连接、支撑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中心。遮蔽立柱与机柜之间的缝隙。风格与机柜一致，材质：冷轧钢板，与机柜的颜色一致；含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侧立柱包覆和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侧立柱包覆，若立柱在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里面，沿着立柱包覆，并配置假门；其它位置须视具体环境结构进行深化设计，提供多种可选方案。</w:t>
      </w:r>
    </w:p>
    <w:p w14:paraId="0A555F66">
      <w:pPr>
        <w:numPr>
          <w:ilvl w:val="0"/>
          <w:numId w:val="10"/>
        </w:numPr>
        <w:snapToGrid w:val="0"/>
        <w:spacing w:before="12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数据中心内设置参观通道区域，具体位置待定，参观通道区域内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冷通道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、机柜等须根据具体需求出具深化设计方案。</w:t>
      </w:r>
    </w:p>
    <w:p w14:paraId="15BDE7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210" w:right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10" w:name="_Toc1969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2.2 综合布线</w:t>
      </w:r>
      <w:bookmarkEnd w:id="10"/>
    </w:p>
    <w:p w14:paraId="35ACB7A2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52AB660">
      <w:pPr>
        <w:bidi w:val="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11" w:name="_Toc170110819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2.2.1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单模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OS2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光缆</w:t>
      </w:r>
      <w:bookmarkEnd w:id="11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层间）</w:t>
      </w:r>
    </w:p>
    <w:p w14:paraId="0F59A690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20AFFF3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规格：9/125um单模光缆。</w:t>
      </w:r>
    </w:p>
    <w:p w14:paraId="4A83FA61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性能：符合ITU G.652.D零水峰标准。</w:t>
      </w:r>
    </w:p>
    <w:p w14:paraId="370177C9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抗弯曲：符合ITU G.657.A1标准。</w:t>
      </w:r>
    </w:p>
    <w:p w14:paraId="2791BFFD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最大衰减：≤0.4dB/km@1310nm, ≤0.3dB/km@1550nm。</w:t>
      </w:r>
    </w:p>
    <w:p w14:paraId="1C95A8AD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结构：室内主干型，自带芳纶纱（凯芙拉）保护层。</w:t>
      </w:r>
    </w:p>
    <w:p w14:paraId="45D19559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特性：抗拉力≥1300N，抗压力≥10 N/mm。</w:t>
      </w:r>
    </w:p>
    <w:p w14:paraId="12091335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芯数：24/48/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72/96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芯。</w:t>
      </w:r>
    </w:p>
    <w:p w14:paraId="458FA3F6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外皮：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LSZH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75620678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认证：须提供第三方权威机构的零水峰，抗弯曲和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LSZH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的测试报告。</w:t>
      </w:r>
    </w:p>
    <w:p w14:paraId="15B9A684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94BF52E">
      <w:pPr>
        <w:bidi w:val="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12" w:name="_Toc17011082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2.2.2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光纤配线架</w:t>
      </w:r>
      <w:bookmarkEnd w:id="12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ODF</w:t>
      </w:r>
    </w:p>
    <w:p w14:paraId="52D0832A">
      <w:pPr>
        <w:bidi w:val="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946B639">
      <w:pPr>
        <w:bidi w:val="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尺寸：2200*600*300mm\2200*840*300mm</w:t>
      </w:r>
    </w:p>
    <w:p w14:paraId="1BAA0C6D">
      <w:pPr>
        <w:bidi w:val="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规格：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适用于FC、SC、LC、适配器</w:t>
      </w:r>
    </w:p>
    <w:p w14:paraId="1E6A67E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容量：1、2200×600×300mm 满足576芯 LC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室内，全封闭结构</w:t>
      </w:r>
    </w:p>
    <w:p w14:paraId="51E909A0">
      <w:pPr>
        <w:keepNext w:val="0"/>
        <w:keepLines w:val="0"/>
        <w:widowControl/>
        <w:suppressLineNumbers w:val="0"/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2200×840×300mm 满足720芯 LC LC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室内，全封闭结构</w:t>
      </w:r>
    </w:p>
    <w:p w14:paraId="6F17404E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材质：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机柜材料为优质冷轧钢板静电环氧粉末喷涂而成</w:t>
      </w:r>
    </w:p>
    <w:p w14:paraId="088A0C6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功能：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144芯箱体或者12芯熔配一体化模块插拔使用，配置灵活</w:t>
      </w:r>
    </w:p>
    <w:p w14:paraId="32C36320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，方便熔接尾纤和日后维护。</w:t>
      </w:r>
    </w:p>
    <w:p w14:paraId="6CD1633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进线：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可靠的光缆引入、固定保护装置，同时适用于带状光缆及非带状光缆操作</w:t>
      </w:r>
    </w:p>
    <w:p w14:paraId="4EB0DED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管理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：箱体内自带绕纤环，帮助固定尾纤和光缆，全正面操作，上、下进缆方式可自由调配</w:t>
      </w:r>
    </w:p>
    <w:p w14:paraId="5B2D040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2F77A61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安装：标准19英寸机柜机架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合理走纤路由，确保光纤、光缆在任何位置的弯曲曲率半径大于37.5mm</w:t>
      </w:r>
    </w:p>
    <w:p w14:paraId="32708BA2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44ABC821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B5418E8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13" w:name="_Toc170110821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2.2.3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LC单模光纤尾纤</w:t>
      </w:r>
      <w:bookmarkEnd w:id="13"/>
    </w:p>
    <w:p w14:paraId="5D4089E6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A7B2953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规格：9/125um单模光缆。</w:t>
      </w:r>
    </w:p>
    <w:p w14:paraId="0900313B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性能：符合ITU G.652.D零水峰标准。</w:t>
      </w:r>
    </w:p>
    <w:p w14:paraId="1876E2C1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抗弯曲：符合ITU G.657.A1标准。</w:t>
      </w:r>
    </w:p>
    <w:p w14:paraId="24771528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最大衰减：≤0.4dB/km@1310nm, ≤0.3dB/km@1550nm。</w:t>
      </w:r>
    </w:p>
    <w:p w14:paraId="5B679DAB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接口： 一端是标准LC单工接头，另一端用于熔接。</w:t>
      </w:r>
    </w:p>
    <w:p w14:paraId="4BC2007D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损耗：LC接头最大衰减≤0.25dB。</w:t>
      </w:r>
    </w:p>
    <w:p w14:paraId="50682126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芯数：1芯。</w:t>
      </w:r>
    </w:p>
    <w:p w14:paraId="14B6178E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外径：≤0.9mm</w:t>
      </w:r>
    </w:p>
    <w:p w14:paraId="60F2944F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外皮：低烟无卤。</w:t>
      </w:r>
    </w:p>
    <w:p w14:paraId="5AC5336A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长度：1.5米。</w:t>
      </w:r>
    </w:p>
    <w:p w14:paraId="4C32ECEA">
      <w:pPr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1F20E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right="210" w:right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14" w:name="_Toc26613"/>
      <w:bookmarkStart w:id="15" w:name="_Toc18624105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3、走线架及光纤槽</w:t>
      </w:r>
      <w:bookmarkEnd w:id="14"/>
    </w:p>
    <w:p w14:paraId="3B81E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16" w:name="_Toc1013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3.1走线架</w:t>
      </w:r>
      <w:bookmarkEnd w:id="15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(铝合金)</w:t>
      </w:r>
      <w:bookmarkEnd w:id="16"/>
    </w:p>
    <w:p w14:paraId="013965D2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主体材质：钢材。</w:t>
      </w:r>
    </w:p>
    <w:p w14:paraId="1203E276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产品规格：标准宽度300mm、400mm、600mm、800mm等。</w:t>
      </w:r>
    </w:p>
    <w:p w14:paraId="3A13930C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主体结构轻便、强度高、承重性能好、防火防腐、安装灵活快捷、整洁美观。</w:t>
      </w:r>
    </w:p>
    <w:p w14:paraId="1BFD11F5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承重要求：吊挂间距1.5m时，宽度800mm走线架的额定均布荷载应≥400kg/m，宽度600mm走线架的额定均布荷载应≥300kg/m，宽度300mm走线架的额定均布荷载应≥200kg/m。</w:t>
      </w:r>
    </w:p>
    <w:p w14:paraId="56A6B706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各种型式支、吊架，应能承受走线架相应规格、层数的额定均布荷载及其自重。连接板、连接螺栓等受力附件，应与走线架本体结构强度相适应。</w:t>
      </w:r>
    </w:p>
    <w:p w14:paraId="54C844E9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走线架的支撑吊挂还需考虑布放线缆或运维检修时的附加集中荷载，请分别提供宽度300mm、400mm、600mm、800mm的走线架在不同荷载、不同支吊跨距的挠度值及不同跨距与允许均布荷载的关系图表。</w:t>
      </w:r>
    </w:p>
    <w:p w14:paraId="22086F6B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走线架与材料屈服极限之比，安全系数为3.15。</w:t>
      </w:r>
    </w:p>
    <w:p w14:paraId="38A72E5E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走线架、吊杆件等应采取适当的防腐工艺，如热浸镀锌、电镀锌、喷涂粉末等，防腐处理应符合相关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要求。请明确主要部件选用的防腐工艺。</w:t>
      </w:r>
    </w:p>
    <w:p w14:paraId="00AAA578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吊杆应采用局部螺纹型，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大小满足M12、M14规格，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吊杆装置应为可调式，能上下、前后、左右方向调整。</w:t>
      </w:r>
    </w:p>
    <w:p w14:paraId="2D9A8D7D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走线架设置专用接地配件。走线架与走线架之间采用≥16mm</w:t>
      </w:r>
      <w:r>
        <w:rPr>
          <w:rFonts w:hint="eastAsia" w:ascii="宋体" w:hAnsi="宋体" w:eastAsia="宋体" w:cs="宋体"/>
          <w:sz w:val="24"/>
          <w:szCs w:val="24"/>
          <w:highlight w:val="none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截面积的网状接地线连接，不同层走线架之间采用≥35mm</w:t>
      </w:r>
      <w:r>
        <w:rPr>
          <w:rFonts w:hint="eastAsia" w:ascii="宋体" w:hAnsi="宋体" w:eastAsia="宋体" w:cs="宋体"/>
          <w:sz w:val="24"/>
          <w:szCs w:val="24"/>
          <w:highlight w:val="none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的铜芯电缆连接，走线架与接地汇集铜排之间采用≥95mm</w:t>
      </w:r>
      <w:r>
        <w:rPr>
          <w:rFonts w:hint="eastAsia" w:ascii="宋体" w:hAnsi="宋体" w:eastAsia="宋体" w:cs="宋体"/>
          <w:sz w:val="24"/>
          <w:szCs w:val="24"/>
          <w:highlight w:val="none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的铜芯电缆连接。若设计图纸有明确要求，则按较高要求执行。</w:t>
      </w:r>
    </w:p>
    <w:p w14:paraId="1D32C44A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走线架可配套提供专业下线板，使线缆下线时保持一定的弧度，避免过度弯曲。</w:t>
      </w:r>
    </w:p>
    <w:p w14:paraId="3FA0FBA0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吊挂间距、吊杆直径、锚栓规格等应根据抗震设防烈度、机房楼层等因素确定，满足相关抗震设计标准的要求。</w:t>
      </w:r>
    </w:p>
    <w:p w14:paraId="1DE1F5D1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抗震加固措施应满足相关抗震设计标准的要求。</w:t>
      </w:r>
    </w:p>
    <w:p w14:paraId="00A01611">
      <w:pPr>
        <w:pStyle w:val="49"/>
        <w:numPr>
          <w:ilvl w:val="0"/>
          <w:numId w:val="11"/>
        </w:numPr>
        <w:spacing w:line="300" w:lineRule="auto"/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应依据相关标准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对走线架各项性能进行检验（包含外观检查、机械负载试验、撞击试验、表面防护层人工气候试验——交变湿热试验、表面防护层人工气候试验——盐雾试验、表面防护层附着力试验、表面防护层均匀性试验、保护电路连续性试验、防护等级试验、承重能力试验等），各项性能均应满足国家标准，中标后提供相关检测报告。</w:t>
      </w:r>
    </w:p>
    <w:p w14:paraId="187B3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17" w:name="_Toc12094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3.2走线架（网格）</w:t>
      </w:r>
      <w:bookmarkEnd w:id="17"/>
    </w:p>
    <w:p w14:paraId="498911E5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网格镀锌布线桥架：（包含铝合金固线器等）</w:t>
      </w:r>
    </w:p>
    <w:p w14:paraId="2A80597E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原材料为钢丝，表面层为电镀锌处理。</w:t>
      </w:r>
    </w:p>
    <w:p w14:paraId="18F60A19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网格桥架有纵向横向钢丝焊接组成，网格间隙100mmx50mm，网格桥架高度为50mm，100mm，150mm；宽度为50-600mm，大于400mm宽度网格桥架钢丝直径不得小于5mm，大于800mm宽度钢丝直径不得小于6mm；</w:t>
      </w:r>
    </w:p>
    <w:p w14:paraId="31EE13F6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结构应牢固，装配具有一致性和互换性，紧固件无松动，外露和操作部位的锐角边倒圆半径R不小于2mm。</w:t>
      </w:r>
    </w:p>
    <w:p w14:paraId="158084A9">
      <w:pPr>
        <w:pStyle w:val="49"/>
        <w:numPr>
          <w:ilvl w:val="0"/>
          <w:numId w:val="12"/>
        </w:numPr>
        <w:ind w:left="1017" w:hanging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承重要求：吊挂间距1.5m时，宽度600mm网格桥架的额定均布荷载应≥120kg/m，宽度300mm网格桥架的额定均布荷载应≥100kg/m。</w:t>
      </w:r>
    </w:p>
    <w:p w14:paraId="7E6DF506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涂覆层应表面光洁、色泽均匀、无流挂、无露底；金属件无毛刺、锈蚀。</w:t>
      </w:r>
    </w:p>
    <w:p w14:paraId="5B5DD8C5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水平度误差正负为5mm。</w:t>
      </w:r>
    </w:p>
    <w:p w14:paraId="3A51E57E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吊挂间隔为1.2m～1.5m一付，吊挂间隔误差正负为5mm，垂直度为正负1度。</w:t>
      </w:r>
    </w:p>
    <w:p w14:paraId="72DDEA23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应在工厂加工完成后在运抵施工现场安装。</w:t>
      </w:r>
    </w:p>
    <w:p w14:paraId="466C38FA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桥架两侧的顶部钢丝采用“T 形焊接”形成安全边缘。</w:t>
      </w:r>
    </w:p>
    <w:p w14:paraId="40D296D4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宽度小于200mm的桥架钢丝直径不小于5mm，宽度大于200mm的桥架钢丝直径不小于7mm。</w:t>
      </w:r>
    </w:p>
    <w:p w14:paraId="69F10BD8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桥架的每个网格尺寸为50mm×100mm。</w:t>
      </w:r>
    </w:p>
    <w:p w14:paraId="5F604C96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桥架具有良好的导电性能，任何两段走线架之间的连接电阻需小于5 毫欧。</w:t>
      </w:r>
    </w:p>
    <w:p w14:paraId="0C66FEA5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桥架本体材质（或经表面处理后）具有良好的抗腐蚀能力。</w:t>
      </w:r>
    </w:p>
    <w:p w14:paraId="6643C5D9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走线架需具有吊装式，墙装式和机柜支撑安装等多种安装方式可供选择。</w:t>
      </w:r>
    </w:p>
    <w:p w14:paraId="510A01BA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走线架需能满足L型，T型，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sym w:font="Symbol" w:char="F057"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型等弯转及转向安装需要，且能根据现场地形及尺  寸就地制作完成</w:t>
      </w:r>
    </w:p>
    <w:p w14:paraId="07F12BFE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开放型线架设计，符合三线分离的机房安防要求，布线路由清晰明朗。</w:t>
      </w:r>
    </w:p>
    <w:p w14:paraId="4A316692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桥架应良好接地，需注明具体接地连接方式。</w:t>
      </w:r>
    </w:p>
    <w:p w14:paraId="6438CAD3">
      <w:pPr>
        <w:pStyle w:val="49"/>
        <w:numPr>
          <w:ilvl w:val="0"/>
          <w:numId w:val="12"/>
        </w:numPr>
        <w:ind w:left="179"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近距离平行安装时，走线架具有稳定的抗电磁干扰能力。</w:t>
      </w:r>
    </w:p>
    <w:p w14:paraId="71C9E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18" w:name="_Toc7029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3.3 光纤槽道</w:t>
      </w:r>
      <w:bookmarkEnd w:id="18"/>
    </w:p>
    <w:p w14:paraId="6ABE23B0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材质、容纤量、结构尺寸等主要性能指标应符合相关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的要求。</w:t>
      </w:r>
    </w:p>
    <w:p w14:paraId="1B6C1558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尾纤槽吊挂组件选用不小于M12全丝螺杆，吊挂间距不大于2000mm，全丝螺杆、连接件和吊管等均采用热镀锌处理。</w:t>
      </w:r>
    </w:p>
    <w:p w14:paraId="1C7B94DB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尾纤槽及安装附件外部需平整光滑无划痕，不应存在肉眼可分辨的色差、留痕。</w:t>
      </w:r>
    </w:p>
    <w:p w14:paraId="4C0A5EC3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所有铆接点要求牢固不松动，表面光滑无毛刺。</w:t>
      </w:r>
    </w:p>
    <w:p w14:paraId="44E24A70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尾纤槽表面应清洁，不允许有斑点、污迹、裂纹、起皮、腐蚀和气泡存在。</w:t>
      </w:r>
    </w:p>
    <w:p w14:paraId="384E7E3C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安装构件应尺寸准确，安全牢固。</w:t>
      </w:r>
    </w:p>
    <w:p w14:paraId="364D8B94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结构形式分为封闭式和半封闭式，一般为半封闭式。</w:t>
      </w:r>
    </w:p>
    <w:p w14:paraId="57F0870E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颜色要求：橙色或黄色。</w:t>
      </w:r>
    </w:p>
    <w:p w14:paraId="7F5A26EA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尾纤槽安装加固主要采用吊挂加固方式，连接吊挂的天花板应该在主梁和次梁上。加固件为吊杆套件。吊杆套件有简易吊杆套件和全螺纹吊杆套件等，每隔1200~2000mm安装一副吊杆套件，确保整体尾纤槽道在线缆重量作用下不弯曲、不变形，坚固结实，安全可靠。</w:t>
      </w:r>
    </w:p>
    <w:p w14:paraId="4093D5D8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尾纤槽道每米承重大于50公斤。</w:t>
      </w:r>
    </w:p>
    <w:p w14:paraId="027F9C9C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列尾纤槽与主尾纤槽交汇处应有缓冲装置避免出现90度直角，保护光纤不会被折断。</w:t>
      </w:r>
    </w:p>
    <w:p w14:paraId="4FD4A27A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列光纤槽配套提供活动下纤孔，应与机柜的进线孔对齐，具体位置、数量根据设计要求和现场情况而定。</w:t>
      </w:r>
    </w:p>
    <w:p w14:paraId="613E7217">
      <w:pPr>
        <w:pStyle w:val="49"/>
        <w:ind w:left="17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在尾纤槽转弯处（如水平三通连接器、下线器等器件）最小内径不应小于30mm。</w:t>
      </w:r>
    </w:p>
    <w:p w14:paraId="544E6F60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..">
    <w:altName w:val="Arial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96FA1">
    <w:pPr>
      <w:pStyle w:val="11"/>
      <w:ind w:right="440"/>
      <w:jc w:val="left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735"/>
    </w:sdtPr>
    <w:sdtContent>
      <w:p w14:paraId="60DDF464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8</w:t>
        </w:r>
        <w:r>
          <w:fldChar w:fldCharType="end"/>
        </w:r>
      </w:p>
    </w:sdtContent>
  </w:sdt>
  <w:p w14:paraId="175E1C67">
    <w:pPr>
      <w:pStyle w:val="11"/>
      <w:ind w:right="440"/>
      <w:jc w:val="left"/>
      <w:rPr>
        <w:lang w:eastAsia="zh-C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319E2"/>
    <w:multiLevelType w:val="multilevel"/>
    <w:tmpl w:val="A90319E2"/>
    <w:lvl w:ilvl="0" w:tentative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</w:rPr>
    </w:lvl>
    <w:lvl w:ilvl="1" w:tentative="0">
      <w:start w:val="1"/>
      <w:numFmt w:val="decimal"/>
      <w:isLgl/>
      <w:lvlText w:val="%1.%2."/>
      <w:lvlJc w:val="left"/>
      <w:pPr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2" w:tentative="0">
      <w:start w:val="1"/>
      <w:numFmt w:val="decimal"/>
      <w:isLgl/>
      <w:lvlText w:val="%1.%2.%3."/>
      <w:lvlJc w:val="left"/>
      <w:pPr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 w:tentative="0">
      <w:start w:val="1"/>
      <w:numFmt w:val="decimal"/>
      <w:isLgl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992" w:hanging="992"/>
      </w:pPr>
      <w:rPr>
        <w:rFonts w:hint="eastAsia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pStyle w:val="31"/>
      <w:suff w:val="nothing"/>
      <w:lvlText w:val="%6)"/>
      <w:lvlJc w:val="left"/>
      <w:pPr>
        <w:ind w:left="1276" w:hanging="567"/>
      </w:pPr>
      <w:rPr>
        <w:rFonts w:hint="eastAsia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lowerLetter"/>
      <w:pStyle w:val="34"/>
      <w:lvlText w:val="%7)"/>
      <w:lvlJc w:val="left"/>
      <w:pPr>
        <w:ind w:left="1701" w:hanging="567"/>
      </w:pPr>
      <w:rPr>
        <w:rFonts w:hint="eastAsia"/>
      </w:rPr>
    </w:lvl>
    <w:lvl w:ilvl="7" w:tentative="0">
      <w:start w:val="1"/>
      <w:numFmt w:val="lowerRoman"/>
      <w:lvlText w:val="%8)"/>
      <w:lvlJc w:val="left"/>
      <w:pPr>
        <w:ind w:left="2268" w:hanging="567"/>
      </w:pPr>
      <w:rPr>
        <w:rFonts w:hint="eastAsia"/>
      </w:rPr>
    </w:lvl>
    <w:lvl w:ilvl="8" w:tentative="0">
      <w:start w:val="1"/>
      <w:numFmt w:val="bullet"/>
      <w:lvlText w:val=""/>
      <w:lvlJc w:val="left"/>
      <w:pPr>
        <w:ind w:left="2835" w:hanging="567"/>
      </w:pPr>
      <w:rPr>
        <w:rFonts w:hint="default" w:ascii="Symbol" w:hAnsi="Symbol"/>
        <w:color w:val="auto"/>
      </w:rPr>
    </w:lvl>
  </w:abstractNum>
  <w:abstractNum w:abstractNumId="1">
    <w:nsid w:val="0ABC0FC5"/>
    <w:multiLevelType w:val="multilevel"/>
    <w:tmpl w:val="0ABC0FC5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tabs>
          <w:tab w:val="left" w:pos="927"/>
        </w:tabs>
        <w:ind w:left="567" w:firstLine="0"/>
      </w:pPr>
      <w:rPr>
        <w:rFonts w:hint="default" w:ascii="宋体" w:hAnsi="宋体" w:eastAsia="宋体" w:cs="宋体"/>
      </w:rPr>
    </w:lvl>
    <w:lvl w:ilvl="2" w:tentative="0">
      <w:start w:val="1"/>
      <w:numFmt w:val="decimal"/>
      <w:lvlText w:val="%1.%2.%3"/>
      <w:lvlJc w:val="left"/>
      <w:pPr>
        <w:tabs>
          <w:tab w:val="left" w:pos="1920"/>
        </w:tabs>
        <w:ind w:left="1560" w:firstLine="0"/>
      </w:pPr>
      <w:rPr>
        <w:rFonts w:hint="default" w:ascii="宋体" w:hAnsi="宋体" w:eastAsia="宋体" w:cs="宋体"/>
        <w:sz w:val="24"/>
        <w:szCs w:val="24"/>
      </w:rPr>
    </w:lvl>
    <w:lvl w:ilvl="3" w:tentative="0">
      <w:start w:val="1"/>
      <w:numFmt w:val="upperLetter"/>
      <w:lvlText w:val="%4."/>
      <w:lvlJc w:val="left"/>
      <w:pPr>
        <w:tabs>
          <w:tab w:val="left" w:pos="680"/>
        </w:tabs>
        <w:ind w:left="0" w:firstLine="680"/>
      </w:pPr>
      <w:rPr>
        <w:rFonts w:hint="eastAsia" w:ascii="宋体" w:hAnsi="宋体" w:eastAsia="宋体" w:cs="Times New Roman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360"/>
        </w:tabs>
        <w:ind w:left="0" w:firstLine="0"/>
      </w:pPr>
      <w:rPr>
        <w:rFonts w:hint="default"/>
      </w:rPr>
    </w:lvl>
  </w:abstractNum>
  <w:abstractNum w:abstractNumId="2">
    <w:nsid w:val="114D5BCF"/>
    <w:multiLevelType w:val="multilevel"/>
    <w:tmpl w:val="114D5BCF"/>
    <w:lvl w:ilvl="0" w:tentative="0">
      <w:start w:val="1"/>
      <w:numFmt w:val="decimal"/>
      <w:lvlText w:val="%1)"/>
      <w:lvlJc w:val="left"/>
      <w:pPr>
        <w:ind w:left="900" w:hanging="480"/>
      </w:pPr>
    </w:lvl>
    <w:lvl w:ilvl="1" w:tentative="0">
      <w:start w:val="1"/>
      <w:numFmt w:val="lowerLetter"/>
      <w:lvlText w:val="%2)"/>
      <w:lvlJc w:val="left"/>
      <w:pPr>
        <w:ind w:left="1380" w:hanging="480"/>
      </w:pPr>
    </w:lvl>
    <w:lvl w:ilvl="2" w:tentative="0">
      <w:start w:val="1"/>
      <w:numFmt w:val="lowerRoman"/>
      <w:lvlText w:val="%3."/>
      <w:lvlJc w:val="right"/>
      <w:pPr>
        <w:ind w:left="1860" w:hanging="480"/>
      </w:pPr>
    </w:lvl>
    <w:lvl w:ilvl="3" w:tentative="0">
      <w:start w:val="1"/>
      <w:numFmt w:val="decimal"/>
      <w:lvlText w:val="%4."/>
      <w:lvlJc w:val="left"/>
      <w:pPr>
        <w:ind w:left="2340" w:hanging="480"/>
      </w:pPr>
    </w:lvl>
    <w:lvl w:ilvl="4" w:tentative="0">
      <w:start w:val="1"/>
      <w:numFmt w:val="lowerLetter"/>
      <w:lvlText w:val="%5)"/>
      <w:lvlJc w:val="left"/>
      <w:pPr>
        <w:ind w:left="2820" w:hanging="480"/>
      </w:pPr>
    </w:lvl>
    <w:lvl w:ilvl="5" w:tentative="0">
      <w:start w:val="1"/>
      <w:numFmt w:val="lowerRoman"/>
      <w:lvlText w:val="%6."/>
      <w:lvlJc w:val="right"/>
      <w:pPr>
        <w:ind w:left="3300" w:hanging="480"/>
      </w:pPr>
    </w:lvl>
    <w:lvl w:ilvl="6" w:tentative="0">
      <w:start w:val="1"/>
      <w:numFmt w:val="decimal"/>
      <w:lvlText w:val="%7."/>
      <w:lvlJc w:val="left"/>
      <w:pPr>
        <w:ind w:left="3780" w:hanging="480"/>
      </w:pPr>
    </w:lvl>
    <w:lvl w:ilvl="7" w:tentative="0">
      <w:start w:val="1"/>
      <w:numFmt w:val="lowerLetter"/>
      <w:lvlText w:val="%8)"/>
      <w:lvlJc w:val="left"/>
      <w:pPr>
        <w:ind w:left="4260" w:hanging="480"/>
      </w:pPr>
    </w:lvl>
    <w:lvl w:ilvl="8" w:tentative="0">
      <w:start w:val="1"/>
      <w:numFmt w:val="lowerRoman"/>
      <w:lvlText w:val="%9."/>
      <w:lvlJc w:val="right"/>
      <w:pPr>
        <w:ind w:left="4740" w:hanging="480"/>
      </w:pPr>
    </w:lvl>
  </w:abstractNum>
  <w:abstractNum w:abstractNumId="3">
    <w:nsid w:val="1880C45C"/>
    <w:multiLevelType w:val="singleLevel"/>
    <w:tmpl w:val="1880C45C"/>
    <w:lvl w:ilvl="0" w:tentative="0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</w:abstractNum>
  <w:abstractNum w:abstractNumId="4">
    <w:nsid w:val="1BD444EC"/>
    <w:multiLevelType w:val="multilevel"/>
    <w:tmpl w:val="1BD444EC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9B4298D"/>
    <w:multiLevelType w:val="multilevel"/>
    <w:tmpl w:val="29B4298D"/>
    <w:lvl w:ilvl="0" w:tentative="0">
      <w:start w:val="1"/>
      <w:numFmt w:val="decimal"/>
      <w:lvlText w:val="第%1部分"/>
      <w:lvlJc w:val="left"/>
      <w:pPr>
        <w:tabs>
          <w:tab w:val="left" w:pos="1800"/>
        </w:tabs>
      </w:pPr>
      <w:rPr>
        <w:rFonts w:hint="eastAsia" w:eastAsia="宋体" w:cs="Times New Roman"/>
        <w:b/>
        <w:i w:val="0"/>
        <w:sz w:val="36"/>
        <w:szCs w:val="36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646"/>
        </w:tabs>
        <w:ind w:left="286"/>
      </w:pPr>
      <w:rPr>
        <w:rFonts w:hint="eastAsia" w:eastAsia="宋体" w:cs="Times New Roman"/>
        <w:b/>
        <w:i w:val="0"/>
        <w:sz w:val="24"/>
      </w:rPr>
    </w:lvl>
    <w:lvl w:ilvl="2" w:tentative="0">
      <w:start w:val="1"/>
      <w:numFmt w:val="decimal"/>
      <w:lvlText w:val="1.1.%3、"/>
      <w:lvlJc w:val="left"/>
      <w:pPr>
        <w:tabs>
          <w:tab w:val="left" w:pos="990"/>
        </w:tabs>
        <w:ind w:left="270"/>
      </w:pPr>
      <w:rPr>
        <w:rFonts w:hint="default"/>
        <w:b w:val="0"/>
        <w:i w:val="0"/>
        <w:sz w:val="24"/>
      </w:rPr>
    </w:lvl>
    <w:lvl w:ilvl="3" w:tentative="0">
      <w:start w:val="1"/>
      <w:numFmt w:val="decimal"/>
      <w:lvlText w:val="%1.%2.%3.%4"/>
      <w:lvlJc w:val="left"/>
      <w:pPr>
        <w:tabs>
          <w:tab w:val="left" w:pos="1502"/>
        </w:tabs>
        <w:ind w:left="422"/>
      </w:pPr>
      <w:rPr>
        <w:rFonts w:hint="eastAsia" w:eastAsia="宋体" w:cs="Times New Roman"/>
        <w:b w:val="0"/>
        <w:i w:val="0"/>
        <w:sz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2225"/>
        </w:tabs>
        <w:ind w:left="1275" w:hanging="850"/>
      </w:pPr>
      <w:rPr>
        <w:rFonts w:hint="eastAsia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3010"/>
        </w:tabs>
        <w:ind w:left="1984" w:hanging="1134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795"/>
        </w:tabs>
        <w:ind w:left="2551" w:hanging="127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580"/>
        </w:tabs>
        <w:ind w:left="3118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366"/>
        </w:tabs>
        <w:ind w:left="3826" w:hanging="1700"/>
      </w:pPr>
      <w:rPr>
        <w:rFonts w:hint="eastAsia" w:cs="Times New Roman"/>
      </w:rPr>
    </w:lvl>
  </w:abstractNum>
  <w:abstractNum w:abstractNumId="6">
    <w:nsid w:val="39B77110"/>
    <w:multiLevelType w:val="multilevel"/>
    <w:tmpl w:val="39B77110"/>
    <w:lvl w:ilvl="0" w:tentative="0">
      <w:start w:val="1"/>
      <w:numFmt w:val="decimal"/>
      <w:pStyle w:val="2"/>
      <w:lvlText w:val="%1"/>
      <w:lvlJc w:val="left"/>
      <w:pPr>
        <w:ind w:left="398" w:hanging="42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594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2042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85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98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410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554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5362" w:hanging="1800"/>
      </w:pPr>
      <w:rPr>
        <w:rFonts w:hint="default"/>
      </w:rPr>
    </w:lvl>
  </w:abstractNum>
  <w:abstractNum w:abstractNumId="7">
    <w:nsid w:val="55F439E5"/>
    <w:multiLevelType w:val="multilevel"/>
    <w:tmpl w:val="55F439E5"/>
    <w:lvl w:ilvl="0" w:tentative="0">
      <w:start w:val="1"/>
      <w:numFmt w:val="bullet"/>
      <w:lvlText w:val=""/>
      <w:lvlJc w:val="left"/>
      <w:pPr>
        <w:ind w:left="90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8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6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4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6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40" w:hanging="480"/>
      </w:pPr>
      <w:rPr>
        <w:rFonts w:hint="default" w:ascii="Wingdings" w:hAnsi="Wingdings"/>
      </w:rPr>
    </w:lvl>
  </w:abstractNum>
  <w:abstractNum w:abstractNumId="8">
    <w:nsid w:val="63836C0B"/>
    <w:multiLevelType w:val="multilevel"/>
    <w:tmpl w:val="63836C0B"/>
    <w:lvl w:ilvl="0" w:tentative="0">
      <w:start w:val="1"/>
      <w:numFmt w:val="bullet"/>
      <w:pStyle w:val="48"/>
      <w:lvlText w:val=""/>
      <w:lvlJc w:val="left"/>
      <w:pPr>
        <w:ind w:left="125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8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20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62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4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6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8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0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725" w:hanging="420"/>
      </w:pPr>
      <w:rPr>
        <w:rFonts w:hint="default" w:ascii="Wingdings" w:hAnsi="Wingdings"/>
      </w:rPr>
    </w:lvl>
  </w:abstractNum>
  <w:abstractNum w:abstractNumId="9">
    <w:nsid w:val="678D49A9"/>
    <w:multiLevelType w:val="multilevel"/>
    <w:tmpl w:val="678D49A9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725863F1"/>
    <w:multiLevelType w:val="multilevel"/>
    <w:tmpl w:val="725863F1"/>
    <w:lvl w:ilvl="0" w:tentative="0">
      <w:start w:val="1"/>
      <w:numFmt w:val="decimal"/>
      <w:lvlText w:val="%1)"/>
      <w:lvlJc w:val="left"/>
      <w:pPr>
        <w:ind w:left="900" w:hanging="480"/>
      </w:pPr>
    </w:lvl>
    <w:lvl w:ilvl="1" w:tentative="0">
      <w:start w:val="1"/>
      <w:numFmt w:val="lowerLetter"/>
      <w:lvlText w:val="%2)"/>
      <w:lvlJc w:val="left"/>
      <w:pPr>
        <w:ind w:left="1380" w:hanging="480"/>
      </w:pPr>
    </w:lvl>
    <w:lvl w:ilvl="2" w:tentative="0">
      <w:start w:val="1"/>
      <w:numFmt w:val="lowerRoman"/>
      <w:lvlText w:val="%3."/>
      <w:lvlJc w:val="right"/>
      <w:pPr>
        <w:ind w:left="1860" w:hanging="480"/>
      </w:pPr>
    </w:lvl>
    <w:lvl w:ilvl="3" w:tentative="0">
      <w:start w:val="1"/>
      <w:numFmt w:val="decimal"/>
      <w:lvlText w:val="%4."/>
      <w:lvlJc w:val="left"/>
      <w:pPr>
        <w:ind w:left="2340" w:hanging="480"/>
      </w:pPr>
    </w:lvl>
    <w:lvl w:ilvl="4" w:tentative="0">
      <w:start w:val="1"/>
      <w:numFmt w:val="lowerLetter"/>
      <w:lvlText w:val="%5)"/>
      <w:lvlJc w:val="left"/>
      <w:pPr>
        <w:ind w:left="2820" w:hanging="480"/>
      </w:pPr>
    </w:lvl>
    <w:lvl w:ilvl="5" w:tentative="0">
      <w:start w:val="1"/>
      <w:numFmt w:val="lowerRoman"/>
      <w:lvlText w:val="%6."/>
      <w:lvlJc w:val="right"/>
      <w:pPr>
        <w:ind w:left="3300" w:hanging="480"/>
      </w:pPr>
    </w:lvl>
    <w:lvl w:ilvl="6" w:tentative="0">
      <w:start w:val="1"/>
      <w:numFmt w:val="decimal"/>
      <w:lvlText w:val="%7."/>
      <w:lvlJc w:val="left"/>
      <w:pPr>
        <w:ind w:left="3780" w:hanging="480"/>
      </w:pPr>
    </w:lvl>
    <w:lvl w:ilvl="7" w:tentative="0">
      <w:start w:val="1"/>
      <w:numFmt w:val="lowerLetter"/>
      <w:lvlText w:val="%8)"/>
      <w:lvlJc w:val="left"/>
      <w:pPr>
        <w:ind w:left="4260" w:hanging="480"/>
      </w:pPr>
    </w:lvl>
    <w:lvl w:ilvl="8" w:tentative="0">
      <w:start w:val="1"/>
      <w:numFmt w:val="lowerRoman"/>
      <w:lvlText w:val="%9."/>
      <w:lvlJc w:val="right"/>
      <w:pPr>
        <w:ind w:left="4740" w:hanging="480"/>
      </w:pPr>
    </w:lvl>
  </w:abstractNum>
  <w:abstractNum w:abstractNumId="11">
    <w:nsid w:val="7BA5308A"/>
    <w:multiLevelType w:val="multilevel"/>
    <w:tmpl w:val="7BA5308A"/>
    <w:lvl w:ilvl="0" w:tentative="0">
      <w:start w:val="1"/>
      <w:numFmt w:val="decimal"/>
      <w:pStyle w:val="15"/>
      <w:lvlText w:val="4.%1"/>
      <w:lvlJc w:val="left"/>
      <w:pPr>
        <w:ind w:left="420" w:hanging="420"/>
      </w:pPr>
      <w:rPr>
        <w:rFonts w:hint="eastAsia" w:eastAsia="仿宋"/>
        <w:sz w:val="21"/>
      </w:rPr>
    </w:lvl>
    <w:lvl w:ilvl="1" w:tentative="0">
      <w:start w:val="1"/>
      <w:numFmt w:val="decimal"/>
      <w:lvlText w:val="4.%2"/>
      <w:lvlJc w:val="left"/>
      <w:pPr>
        <w:ind w:left="840" w:hanging="420"/>
      </w:pPr>
      <w:rPr>
        <w:rFonts w:hint="default" w:eastAsia="宋体"/>
        <w:sz w:val="21"/>
        <w:szCs w:val="21"/>
      </w:rPr>
    </w:lvl>
    <w:lvl w:ilvl="2" w:tentative="0">
      <w:start w:val="1"/>
      <w:numFmt w:val="decimal"/>
      <w:lvlText w:val="%3．"/>
      <w:lvlJc w:val="left"/>
      <w:pPr>
        <w:ind w:left="1200" w:hanging="360"/>
      </w:pPr>
      <w:rPr>
        <w:rFonts w:hint="default"/>
      </w:rPr>
    </w:lvl>
    <w:lvl w:ilvl="3" w:tentative="0">
      <w:start w:val="5"/>
      <w:numFmt w:val="decimal"/>
      <w:lvlText w:val="（%4）"/>
      <w:lvlJc w:val="left"/>
      <w:pPr>
        <w:ind w:left="1980" w:hanging="7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NWY0N2ZmY2QyZDYyMmE1NGI1NDI3YWJlOGM3ODYifQ=="/>
  </w:docVars>
  <w:rsids>
    <w:rsidRoot w:val="00172A27"/>
    <w:rsid w:val="0075377D"/>
    <w:rsid w:val="00AD6687"/>
    <w:rsid w:val="01282E62"/>
    <w:rsid w:val="01510D83"/>
    <w:rsid w:val="01565C22"/>
    <w:rsid w:val="01646BFE"/>
    <w:rsid w:val="01F86E9F"/>
    <w:rsid w:val="02642696"/>
    <w:rsid w:val="02A4208F"/>
    <w:rsid w:val="02A8425B"/>
    <w:rsid w:val="02A97FD3"/>
    <w:rsid w:val="02DA0430"/>
    <w:rsid w:val="02EB79BE"/>
    <w:rsid w:val="035E700F"/>
    <w:rsid w:val="038A148D"/>
    <w:rsid w:val="038A3960"/>
    <w:rsid w:val="040E6B29"/>
    <w:rsid w:val="04E86B91"/>
    <w:rsid w:val="04EF5B2C"/>
    <w:rsid w:val="051843A5"/>
    <w:rsid w:val="068154EF"/>
    <w:rsid w:val="069150A5"/>
    <w:rsid w:val="06BF50CE"/>
    <w:rsid w:val="08574774"/>
    <w:rsid w:val="086B718E"/>
    <w:rsid w:val="09A45050"/>
    <w:rsid w:val="0A037E82"/>
    <w:rsid w:val="0A2D217F"/>
    <w:rsid w:val="0A410924"/>
    <w:rsid w:val="0A7B1929"/>
    <w:rsid w:val="0A8F3F52"/>
    <w:rsid w:val="0ABC502F"/>
    <w:rsid w:val="0B420FC5"/>
    <w:rsid w:val="0BA63302"/>
    <w:rsid w:val="0C421CC7"/>
    <w:rsid w:val="0CEE286D"/>
    <w:rsid w:val="0D887163"/>
    <w:rsid w:val="0E484B44"/>
    <w:rsid w:val="0EA47FE7"/>
    <w:rsid w:val="0EA55AF2"/>
    <w:rsid w:val="0EAC00FF"/>
    <w:rsid w:val="0FDA5C70"/>
    <w:rsid w:val="10196798"/>
    <w:rsid w:val="10A32505"/>
    <w:rsid w:val="10C5422A"/>
    <w:rsid w:val="11A26319"/>
    <w:rsid w:val="126F5B48"/>
    <w:rsid w:val="12E82452"/>
    <w:rsid w:val="130D18FD"/>
    <w:rsid w:val="13265F8D"/>
    <w:rsid w:val="143749E1"/>
    <w:rsid w:val="143A62A9"/>
    <w:rsid w:val="147E12BF"/>
    <w:rsid w:val="14902DA1"/>
    <w:rsid w:val="14BB6834"/>
    <w:rsid w:val="15D05455"/>
    <w:rsid w:val="165027E8"/>
    <w:rsid w:val="1674297A"/>
    <w:rsid w:val="16BC7E7D"/>
    <w:rsid w:val="1703785A"/>
    <w:rsid w:val="17051E00"/>
    <w:rsid w:val="17321EED"/>
    <w:rsid w:val="1791130A"/>
    <w:rsid w:val="17F61312"/>
    <w:rsid w:val="185A150A"/>
    <w:rsid w:val="18B97585"/>
    <w:rsid w:val="18EB2816"/>
    <w:rsid w:val="198746E5"/>
    <w:rsid w:val="1A4B3FBE"/>
    <w:rsid w:val="1A7D612D"/>
    <w:rsid w:val="1AE92814"/>
    <w:rsid w:val="1BBF456C"/>
    <w:rsid w:val="1BC33A5C"/>
    <w:rsid w:val="1BFE2F4D"/>
    <w:rsid w:val="1C910E79"/>
    <w:rsid w:val="1CB45DCE"/>
    <w:rsid w:val="1D194C07"/>
    <w:rsid w:val="1DA67191"/>
    <w:rsid w:val="1E1B5826"/>
    <w:rsid w:val="1E5652B5"/>
    <w:rsid w:val="1EA71413"/>
    <w:rsid w:val="1F016D75"/>
    <w:rsid w:val="20EB1A8B"/>
    <w:rsid w:val="21A57EA6"/>
    <w:rsid w:val="21B300CF"/>
    <w:rsid w:val="2210085A"/>
    <w:rsid w:val="245A79EF"/>
    <w:rsid w:val="24704B04"/>
    <w:rsid w:val="25554388"/>
    <w:rsid w:val="255B6AB3"/>
    <w:rsid w:val="25B032A3"/>
    <w:rsid w:val="260158AC"/>
    <w:rsid w:val="267918E7"/>
    <w:rsid w:val="2691101B"/>
    <w:rsid w:val="269C23B3"/>
    <w:rsid w:val="270E5BA6"/>
    <w:rsid w:val="27675BE3"/>
    <w:rsid w:val="27C941A8"/>
    <w:rsid w:val="27E92A9C"/>
    <w:rsid w:val="28214E27"/>
    <w:rsid w:val="28D23530"/>
    <w:rsid w:val="29BA3FB0"/>
    <w:rsid w:val="29F55728"/>
    <w:rsid w:val="2B165956"/>
    <w:rsid w:val="2B6F150A"/>
    <w:rsid w:val="2BB313F7"/>
    <w:rsid w:val="2BD1187D"/>
    <w:rsid w:val="2C1F6A8C"/>
    <w:rsid w:val="2D2D6405"/>
    <w:rsid w:val="2D3816C0"/>
    <w:rsid w:val="2D9B1412"/>
    <w:rsid w:val="2DCB6CBA"/>
    <w:rsid w:val="2EBD5C93"/>
    <w:rsid w:val="2EF03DFE"/>
    <w:rsid w:val="2EFA120E"/>
    <w:rsid w:val="2F537C66"/>
    <w:rsid w:val="304E3BFE"/>
    <w:rsid w:val="308C7191"/>
    <w:rsid w:val="30A21A3A"/>
    <w:rsid w:val="31B934DF"/>
    <w:rsid w:val="32803FFD"/>
    <w:rsid w:val="337B69BE"/>
    <w:rsid w:val="3394628A"/>
    <w:rsid w:val="33B74612"/>
    <w:rsid w:val="345B4A52"/>
    <w:rsid w:val="34784F8C"/>
    <w:rsid w:val="34997D96"/>
    <w:rsid w:val="34E64606"/>
    <w:rsid w:val="35F6175B"/>
    <w:rsid w:val="361E2B79"/>
    <w:rsid w:val="36415851"/>
    <w:rsid w:val="36951398"/>
    <w:rsid w:val="36D050A4"/>
    <w:rsid w:val="372F2294"/>
    <w:rsid w:val="373B04F2"/>
    <w:rsid w:val="38376F0C"/>
    <w:rsid w:val="389E6F8B"/>
    <w:rsid w:val="38A532FA"/>
    <w:rsid w:val="39335925"/>
    <w:rsid w:val="3943738B"/>
    <w:rsid w:val="39C3314D"/>
    <w:rsid w:val="39DC5AFE"/>
    <w:rsid w:val="3AB331C1"/>
    <w:rsid w:val="3BB32D4D"/>
    <w:rsid w:val="3C6A50F3"/>
    <w:rsid w:val="3C7E7A3C"/>
    <w:rsid w:val="3CC001C2"/>
    <w:rsid w:val="3CF75179"/>
    <w:rsid w:val="3E3A7A57"/>
    <w:rsid w:val="3E886340"/>
    <w:rsid w:val="3EB968CD"/>
    <w:rsid w:val="3F0D6C18"/>
    <w:rsid w:val="3F93711E"/>
    <w:rsid w:val="3FAC6E47"/>
    <w:rsid w:val="403D52DB"/>
    <w:rsid w:val="40A1586A"/>
    <w:rsid w:val="416F1491"/>
    <w:rsid w:val="41C54A5F"/>
    <w:rsid w:val="420267DC"/>
    <w:rsid w:val="42037E14"/>
    <w:rsid w:val="421C2CB7"/>
    <w:rsid w:val="42832312"/>
    <w:rsid w:val="428B4576"/>
    <w:rsid w:val="43382A65"/>
    <w:rsid w:val="438B19D5"/>
    <w:rsid w:val="43A15B81"/>
    <w:rsid w:val="43F53EEB"/>
    <w:rsid w:val="4412628C"/>
    <w:rsid w:val="44521015"/>
    <w:rsid w:val="44B5135F"/>
    <w:rsid w:val="45323FF6"/>
    <w:rsid w:val="45482758"/>
    <w:rsid w:val="455B1CFA"/>
    <w:rsid w:val="45AA6F6F"/>
    <w:rsid w:val="45B95404"/>
    <w:rsid w:val="46277EC3"/>
    <w:rsid w:val="46316596"/>
    <w:rsid w:val="465B6324"/>
    <w:rsid w:val="465C705C"/>
    <w:rsid w:val="46C41EB5"/>
    <w:rsid w:val="47194356"/>
    <w:rsid w:val="474866BE"/>
    <w:rsid w:val="48AC1250"/>
    <w:rsid w:val="49035625"/>
    <w:rsid w:val="493F0316"/>
    <w:rsid w:val="49724248"/>
    <w:rsid w:val="49821F37"/>
    <w:rsid w:val="4A080708"/>
    <w:rsid w:val="4B3D2C57"/>
    <w:rsid w:val="4B606268"/>
    <w:rsid w:val="4BC52E9D"/>
    <w:rsid w:val="4C3E1408"/>
    <w:rsid w:val="4C4A2D7F"/>
    <w:rsid w:val="4DF01E53"/>
    <w:rsid w:val="4E7E74A2"/>
    <w:rsid w:val="4E9E788D"/>
    <w:rsid w:val="4F8151E4"/>
    <w:rsid w:val="4FB629B4"/>
    <w:rsid w:val="50F1639A"/>
    <w:rsid w:val="517B3EB5"/>
    <w:rsid w:val="51A52CE0"/>
    <w:rsid w:val="527828E9"/>
    <w:rsid w:val="52AA745B"/>
    <w:rsid w:val="52C5188C"/>
    <w:rsid w:val="531B59C4"/>
    <w:rsid w:val="53426A39"/>
    <w:rsid w:val="53A5346C"/>
    <w:rsid w:val="53F3203D"/>
    <w:rsid w:val="544113E6"/>
    <w:rsid w:val="549161D8"/>
    <w:rsid w:val="54B55930"/>
    <w:rsid w:val="552D196B"/>
    <w:rsid w:val="556F00D7"/>
    <w:rsid w:val="55747599"/>
    <w:rsid w:val="55773EDA"/>
    <w:rsid w:val="557873BC"/>
    <w:rsid w:val="55995EA6"/>
    <w:rsid w:val="55F6374E"/>
    <w:rsid w:val="568D26C1"/>
    <w:rsid w:val="57961A49"/>
    <w:rsid w:val="57982932"/>
    <w:rsid w:val="57D141F5"/>
    <w:rsid w:val="57F2034A"/>
    <w:rsid w:val="584A204C"/>
    <w:rsid w:val="58670833"/>
    <w:rsid w:val="596C0CB3"/>
    <w:rsid w:val="5996188C"/>
    <w:rsid w:val="5998630B"/>
    <w:rsid w:val="59BE5287"/>
    <w:rsid w:val="5A6B0F6B"/>
    <w:rsid w:val="5A871FCA"/>
    <w:rsid w:val="5A875849"/>
    <w:rsid w:val="5AB1123A"/>
    <w:rsid w:val="5B1038C0"/>
    <w:rsid w:val="5B2A58B0"/>
    <w:rsid w:val="5B330941"/>
    <w:rsid w:val="5B5605FF"/>
    <w:rsid w:val="5B6D486F"/>
    <w:rsid w:val="5BEA4111"/>
    <w:rsid w:val="5C4443FF"/>
    <w:rsid w:val="5C7F6684"/>
    <w:rsid w:val="5D290C69"/>
    <w:rsid w:val="5D2A0341"/>
    <w:rsid w:val="5DA62831"/>
    <w:rsid w:val="5DB16073"/>
    <w:rsid w:val="5E600CD3"/>
    <w:rsid w:val="5E6A3FF8"/>
    <w:rsid w:val="5E79177D"/>
    <w:rsid w:val="5F0059FA"/>
    <w:rsid w:val="5F493EDA"/>
    <w:rsid w:val="6074044E"/>
    <w:rsid w:val="60C82547"/>
    <w:rsid w:val="60F33A68"/>
    <w:rsid w:val="61273712"/>
    <w:rsid w:val="619D39D4"/>
    <w:rsid w:val="61BC02FE"/>
    <w:rsid w:val="62151F03"/>
    <w:rsid w:val="622B7F2B"/>
    <w:rsid w:val="62CC3D48"/>
    <w:rsid w:val="632E3088"/>
    <w:rsid w:val="633D4BF8"/>
    <w:rsid w:val="64117276"/>
    <w:rsid w:val="64B10F29"/>
    <w:rsid w:val="65A05841"/>
    <w:rsid w:val="66D74F96"/>
    <w:rsid w:val="66DA6FA9"/>
    <w:rsid w:val="671E7365"/>
    <w:rsid w:val="6736719C"/>
    <w:rsid w:val="674072DB"/>
    <w:rsid w:val="67D059A1"/>
    <w:rsid w:val="683F3A37"/>
    <w:rsid w:val="697832AC"/>
    <w:rsid w:val="69AA712D"/>
    <w:rsid w:val="6A260A0B"/>
    <w:rsid w:val="6A6534BC"/>
    <w:rsid w:val="6ACA1008"/>
    <w:rsid w:val="6B7A5936"/>
    <w:rsid w:val="6C9D789D"/>
    <w:rsid w:val="6CA43E69"/>
    <w:rsid w:val="6D176CF8"/>
    <w:rsid w:val="6D5B4E6F"/>
    <w:rsid w:val="6DA509F3"/>
    <w:rsid w:val="6E897C77"/>
    <w:rsid w:val="6EBD6472"/>
    <w:rsid w:val="6F265009"/>
    <w:rsid w:val="6F6A3147"/>
    <w:rsid w:val="6F7264A0"/>
    <w:rsid w:val="70306577"/>
    <w:rsid w:val="70EC6525"/>
    <w:rsid w:val="71BE24F3"/>
    <w:rsid w:val="71D821F2"/>
    <w:rsid w:val="72712A3F"/>
    <w:rsid w:val="72757E54"/>
    <w:rsid w:val="737B333E"/>
    <w:rsid w:val="73D52248"/>
    <w:rsid w:val="74FB6FB6"/>
    <w:rsid w:val="752124FA"/>
    <w:rsid w:val="757C3BD5"/>
    <w:rsid w:val="76045978"/>
    <w:rsid w:val="766D176F"/>
    <w:rsid w:val="77071BC4"/>
    <w:rsid w:val="77C905CF"/>
    <w:rsid w:val="788F1E71"/>
    <w:rsid w:val="78A9751B"/>
    <w:rsid w:val="78D42E7D"/>
    <w:rsid w:val="795E0D19"/>
    <w:rsid w:val="799F0499"/>
    <w:rsid w:val="799F4335"/>
    <w:rsid w:val="79BA116F"/>
    <w:rsid w:val="7A181268"/>
    <w:rsid w:val="7B9351C9"/>
    <w:rsid w:val="7C377C5D"/>
    <w:rsid w:val="7C3B257B"/>
    <w:rsid w:val="7CCA5FE8"/>
    <w:rsid w:val="7D4F7D6D"/>
    <w:rsid w:val="7D5B11D0"/>
    <w:rsid w:val="7D6F401F"/>
    <w:rsid w:val="7D7E43AD"/>
    <w:rsid w:val="7DA25075"/>
    <w:rsid w:val="7DEF36E9"/>
    <w:rsid w:val="7DFF1847"/>
    <w:rsid w:val="7DFF35F5"/>
    <w:rsid w:val="7F1E613D"/>
    <w:rsid w:val="7F73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numPr>
        <w:ilvl w:val="0"/>
        <w:numId w:val="1"/>
      </w:numPr>
      <w:spacing w:before="163" w:beforeLines="50" w:after="163" w:afterLines="50" w:line="360" w:lineRule="auto"/>
      <w:ind w:left="284" w:firstLine="142"/>
      <w:jc w:val="left"/>
      <w:outlineLvl w:val="0"/>
    </w:pPr>
    <w:rPr>
      <w:rFonts w:cs="Arial"/>
      <w:b/>
      <w:sz w:val="28"/>
    </w:rPr>
  </w:style>
  <w:style w:type="paragraph" w:styleId="3">
    <w:name w:val="heading 2"/>
    <w:basedOn w:val="1"/>
    <w:next w:val="1"/>
    <w:qFormat/>
    <w:uiPriority w:val="99"/>
    <w:pPr>
      <w:widowControl/>
      <w:numPr>
        <w:ilvl w:val="1"/>
        <w:numId w:val="2"/>
      </w:numPr>
      <w:tabs>
        <w:tab w:val="left" w:pos="480"/>
      </w:tabs>
      <w:snapToGrid w:val="0"/>
      <w:spacing w:beforeLines="50" w:afterLines="50"/>
      <w:ind w:left="0" w:firstLine="0"/>
      <w:jc w:val="left"/>
      <w:outlineLvl w:val="1"/>
    </w:pPr>
    <w:rPr>
      <w:b/>
      <w:kern w:val="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 w:eastAsia="zh-CN"/>
    </w:rPr>
  </w:style>
  <w:style w:type="paragraph" w:styleId="5">
    <w:name w:val="heading 4"/>
    <w:basedOn w:val="1"/>
    <w:next w:val="1"/>
    <w:qFormat/>
    <w:uiPriority w:val="9"/>
    <w:pPr>
      <w:keepNext/>
      <w:keepLines/>
      <w:widowControl/>
      <w:topLinePunct/>
      <w:adjustRightInd w:val="0"/>
      <w:snapToGrid w:val="0"/>
      <w:spacing w:before="160" w:after="160" w:line="240" w:lineRule="atLeast"/>
      <w:ind w:right="100" w:rightChars="100" w:hanging="227" w:hangingChars="108"/>
      <w:jc w:val="left"/>
      <w:outlineLvl w:val="3"/>
    </w:pPr>
    <w:rPr>
      <w:rFonts w:eastAsia="仿宋"/>
      <w:b/>
      <w:bCs/>
      <w:sz w:val="28"/>
      <w:szCs w:val="21"/>
      <w:lang w:val="zh-CN" w:eastAsia="zh-CN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unhideWhenUsed/>
    <w:qFormat/>
    <w:uiPriority w:val="99"/>
    <w:pPr>
      <w:spacing w:after="12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Plain Text"/>
    <w:basedOn w:val="1"/>
    <w:qFormat/>
    <w:uiPriority w:val="0"/>
    <w:rPr>
      <w:rFonts w:ascii="宋体" w:hAnsi="Courier New" w:eastAsia="宋体" w:cs="黑体"/>
    </w:rPr>
  </w:style>
  <w:style w:type="paragraph" w:styleId="11">
    <w:name w:val="footer"/>
    <w:basedOn w:val="1"/>
    <w:qFormat/>
    <w:uiPriority w:val="99"/>
    <w:pPr>
      <w:tabs>
        <w:tab w:val="center" w:pos="4320"/>
        <w:tab w:val="right" w:pos="8640"/>
      </w:tabs>
      <w:adjustRightInd w:val="0"/>
      <w:jc w:val="right"/>
    </w:pPr>
    <w:rPr>
      <w:b/>
      <w:color w:val="0070C0"/>
    </w:rPr>
  </w:style>
  <w:style w:type="paragraph" w:styleId="12">
    <w:name w:val="header"/>
    <w:basedOn w:val="1"/>
    <w:qFormat/>
    <w:uiPriority w:val="0"/>
    <w:pPr>
      <w:tabs>
        <w:tab w:val="center" w:pos="4320"/>
        <w:tab w:val="right" w:pos="8640"/>
      </w:tabs>
      <w:adjustRightInd w:val="0"/>
    </w:pPr>
    <w:rPr>
      <w:sz w:val="20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2"/>
    <w:basedOn w:val="1"/>
    <w:next w:val="1"/>
    <w:qFormat/>
    <w:uiPriority w:val="0"/>
    <w:pPr>
      <w:ind w:left="420" w:leftChars="200"/>
    </w:pPr>
  </w:style>
  <w:style w:type="paragraph" w:styleId="15">
    <w:name w:val="Title"/>
    <w:basedOn w:val="1"/>
    <w:next w:val="1"/>
    <w:qFormat/>
    <w:uiPriority w:val="0"/>
    <w:pPr>
      <w:numPr>
        <w:ilvl w:val="0"/>
        <w:numId w:val="3"/>
      </w:numPr>
      <w:jc w:val="left"/>
      <w:outlineLvl w:val="0"/>
    </w:pPr>
    <w:rPr>
      <w:rFonts w:ascii="Cambria" w:hAnsi="Cambria"/>
      <w:bCs/>
      <w:szCs w:val="32"/>
    </w:rPr>
  </w:style>
  <w:style w:type="table" w:styleId="17">
    <w:name w:val="Table Grid"/>
    <w:basedOn w:val="16"/>
    <w:qFormat/>
    <w:uiPriority w:val="39"/>
    <w:rPr>
      <w:rFonts w:ascii="宋体" w:hAnsi="宋体" w:eastAsia="宋体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basedOn w:val="18"/>
    <w:qFormat/>
    <w:uiPriority w:val="0"/>
  </w:style>
  <w:style w:type="character" w:customStyle="1" w:styleId="20">
    <w:name w:val="font51"/>
    <w:basedOn w:val="18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21">
    <w:name w:val="font9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101"/>
    <w:basedOn w:val="18"/>
    <w:qFormat/>
    <w:uiPriority w:val="0"/>
    <w:rPr>
      <w:rFonts w:hint="eastAsia" w:ascii="仿宋_GB2312" w:eastAsia="仿宋_GB2312" w:cs="仿宋_GB2312"/>
      <w:color w:val="FF0000"/>
      <w:sz w:val="20"/>
      <w:szCs w:val="20"/>
      <w:u w:val="none"/>
    </w:rPr>
  </w:style>
  <w:style w:type="character" w:customStyle="1" w:styleId="23">
    <w:name w:val="font11"/>
    <w:basedOn w:val="18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24">
    <w:name w:val="font21"/>
    <w:basedOn w:val="1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5">
    <w:name w:val="font41"/>
    <w:basedOn w:val="18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26">
    <w:name w:val="font81"/>
    <w:basedOn w:val="1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7">
    <w:name w:val="font61"/>
    <w:basedOn w:val="18"/>
    <w:qFormat/>
    <w:uiPriority w:val="0"/>
    <w:rPr>
      <w:rFonts w:hint="eastAsia" w:ascii="微软雅黑 Light" w:hAnsi="微软雅黑 Light" w:eastAsia="微软雅黑 Light" w:cs="微软雅黑 Light"/>
      <w:color w:val="000000"/>
      <w:sz w:val="20"/>
      <w:szCs w:val="20"/>
      <w:u w:val="none"/>
    </w:rPr>
  </w:style>
  <w:style w:type="paragraph" w:styleId="28">
    <w:name w:val="List Paragraph"/>
    <w:basedOn w:val="1"/>
    <w:qFormat/>
    <w:uiPriority w:val="34"/>
    <w:pPr>
      <w:ind w:left="720"/>
    </w:pPr>
  </w:style>
  <w:style w:type="paragraph" w:customStyle="1" w:styleId="29">
    <w:name w:val="MH TXT"/>
    <w:qFormat/>
    <w:uiPriority w:val="0"/>
    <w:pPr>
      <w:widowControl w:val="0"/>
    </w:pPr>
    <w:rPr>
      <w:rFonts w:ascii="Calibri" w:hAnsi="Calibri" w:eastAsia="宋体" w:cs="Times New Roman"/>
      <w:sz w:val="22"/>
      <w:lang w:val="en-US" w:eastAsia="en-US" w:bidi="ar-SA"/>
    </w:rPr>
  </w:style>
  <w:style w:type="paragraph" w:customStyle="1" w:styleId="30">
    <w:name w:val="MH-Spec TXT"/>
    <w:basedOn w:val="29"/>
    <w:qFormat/>
    <w:uiPriority w:val="0"/>
    <w:pPr>
      <w:spacing w:before="240"/>
    </w:pPr>
    <w:rPr>
      <w:lang w:eastAsia="zh-CN"/>
    </w:rPr>
  </w:style>
  <w:style w:type="paragraph" w:customStyle="1" w:styleId="31">
    <w:name w:val="MH-Spec 6S"/>
    <w:basedOn w:val="29"/>
    <w:qFormat/>
    <w:uiPriority w:val="0"/>
    <w:pPr>
      <w:widowControl/>
      <w:numPr>
        <w:ilvl w:val="5"/>
        <w:numId w:val="4"/>
      </w:numPr>
      <w:tabs>
        <w:tab w:val="left" w:pos="1134"/>
      </w:tabs>
      <w:spacing w:before="240"/>
    </w:pPr>
    <w:rPr>
      <w:lang w:eastAsia="zh-CN" w:bidi="en-US"/>
    </w:rPr>
  </w:style>
  <w:style w:type="paragraph" w:customStyle="1" w:styleId="32">
    <w:name w:val="MH-Spec table head"/>
    <w:basedOn w:val="29"/>
    <w:qFormat/>
    <w:uiPriority w:val="0"/>
    <w:pPr>
      <w:spacing w:beforeLines="25" w:afterLines="25"/>
      <w:jc w:val="center"/>
    </w:pPr>
    <w:rPr>
      <w:b/>
      <w:color w:val="0070C0"/>
      <w:kern w:val="28"/>
    </w:rPr>
  </w:style>
  <w:style w:type="paragraph" w:customStyle="1" w:styleId="33">
    <w:name w:val="MH-Spec Table TXT"/>
    <w:basedOn w:val="29"/>
    <w:qFormat/>
    <w:uiPriority w:val="0"/>
    <w:pPr>
      <w:spacing w:before="81" w:beforeLines="25" w:after="81" w:afterLines="25"/>
      <w:ind w:firstLine="105" w:firstLineChars="50"/>
    </w:pPr>
    <w:rPr>
      <w:kern w:val="28"/>
    </w:rPr>
  </w:style>
  <w:style w:type="paragraph" w:customStyle="1" w:styleId="34">
    <w:name w:val="MH-Spec 7S"/>
    <w:basedOn w:val="29"/>
    <w:qFormat/>
    <w:uiPriority w:val="0"/>
    <w:pPr>
      <w:widowControl/>
      <w:numPr>
        <w:ilvl w:val="6"/>
        <w:numId w:val="4"/>
      </w:numPr>
      <w:tabs>
        <w:tab w:val="left" w:pos="1701"/>
      </w:tabs>
      <w:ind w:right="100" w:rightChars="100"/>
    </w:pPr>
    <w:rPr>
      <w:lang w:bidi="en-US"/>
    </w:rPr>
  </w:style>
  <w:style w:type="paragraph" w:customStyle="1" w:styleId="35">
    <w:name w:val="MH-Spec TXT 2"/>
    <w:basedOn w:val="29"/>
    <w:qFormat/>
    <w:uiPriority w:val="0"/>
    <w:pPr>
      <w:ind w:left="567"/>
    </w:pPr>
    <w:rPr>
      <w:kern w:val="28"/>
    </w:rPr>
  </w:style>
  <w:style w:type="paragraph" w:customStyle="1" w:styleId="36">
    <w:name w:val="列表段落1"/>
    <w:basedOn w:val="1"/>
    <w:qFormat/>
    <w:uiPriority w:val="34"/>
    <w:pPr>
      <w:ind w:firstLine="420" w:firstLineChars="200"/>
    </w:pPr>
  </w:style>
  <w:style w:type="paragraph" w:customStyle="1" w:styleId="37">
    <w:name w:val="列出段落1"/>
    <w:basedOn w:val="1"/>
    <w:qFormat/>
    <w:uiPriority w:val="99"/>
    <w:pPr>
      <w:ind w:firstLine="420" w:firstLineChars="200"/>
    </w:pPr>
    <w:rPr>
      <w:rFonts w:ascii="Arial" w:hAnsi="Arial"/>
    </w:rPr>
  </w:style>
  <w:style w:type="paragraph" w:styleId="38">
    <w:name w:val="No Spacing"/>
    <w:link w:val="43"/>
    <w:qFormat/>
    <w:uiPriority w:val="1"/>
    <w:pPr>
      <w:widowControl w:val="0"/>
      <w:jc w:val="both"/>
    </w:pPr>
    <w:rPr>
      <w:rFonts w:ascii="Times New Roman" w:hAnsi="Times New Roman" w:eastAsia="仿宋" w:cs="Times New Roman"/>
      <w:spacing w:val="-10"/>
      <w:kern w:val="18"/>
      <w:sz w:val="21"/>
      <w:szCs w:val="24"/>
      <w:lang w:val="en-US" w:eastAsia="zh-CN" w:bidi="ar-SA"/>
    </w:rPr>
  </w:style>
  <w:style w:type="paragraph" w:customStyle="1" w:styleId="39">
    <w:name w:val="Char"/>
    <w:basedOn w:val="40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0"/>
      <w:lang w:eastAsia="en-US"/>
    </w:rPr>
  </w:style>
  <w:style w:type="paragraph" w:customStyle="1" w:styleId="40">
    <w:name w:val="*正文"/>
    <w:basedOn w:val="1"/>
    <w:qFormat/>
    <w:uiPriority w:val="0"/>
    <w:pPr>
      <w:ind w:firstLine="200" w:firstLineChars="200"/>
    </w:pPr>
  </w:style>
  <w:style w:type="paragraph" w:customStyle="1" w:styleId="41">
    <w:name w:val="Default"/>
    <w:qFormat/>
    <w:uiPriority w:val="0"/>
    <w:pPr>
      <w:autoSpaceDE w:val="0"/>
      <w:autoSpaceDN w:val="0"/>
      <w:adjustRightInd w:val="0"/>
    </w:pPr>
    <w:rPr>
      <w:rFonts w:ascii=".." w:hAnsi="Calibri" w:eastAsia=".." w:cs=".."/>
      <w:color w:val="000000"/>
      <w:sz w:val="24"/>
      <w:szCs w:val="24"/>
      <w:lang w:val="en-US" w:eastAsia="zh-CN" w:bidi="ar-SA"/>
    </w:rPr>
  </w:style>
  <w:style w:type="paragraph" w:customStyle="1" w:styleId="42">
    <w:name w:val="彩色列表 - 强调文字颜色 11"/>
    <w:basedOn w:val="1"/>
    <w:qFormat/>
    <w:uiPriority w:val="34"/>
    <w:pPr>
      <w:ind w:left="720"/>
      <w:contextualSpacing/>
    </w:pPr>
  </w:style>
  <w:style w:type="character" w:customStyle="1" w:styleId="43">
    <w:name w:val="无间隔 Char"/>
    <w:link w:val="38"/>
    <w:autoRedefine/>
    <w:qFormat/>
    <w:uiPriority w:val="1"/>
    <w:rPr>
      <w:rFonts w:ascii="Times New Roman" w:hAnsi="Times New Roman" w:eastAsia="仿宋" w:cs="Times New Roman"/>
      <w:spacing w:val="-10"/>
      <w:kern w:val="18"/>
      <w:sz w:val="21"/>
      <w:szCs w:val="24"/>
      <w:lang w:val="en-US" w:eastAsia="zh-CN" w:bidi="ar-SA"/>
    </w:rPr>
  </w:style>
  <w:style w:type="paragraph" w:customStyle="1" w:styleId="44">
    <w:name w:val="标题 21"/>
    <w:next w:val="45"/>
    <w:qFormat/>
    <w:uiPriority w:val="0"/>
    <w:pPr>
      <w:keepNext/>
      <w:keepLines/>
      <w:widowControl w:val="0"/>
      <w:tabs>
        <w:tab w:val="left" w:pos="567"/>
        <w:tab w:val="left" w:pos="1702"/>
      </w:tabs>
      <w:spacing w:before="260" w:after="260" w:line="416" w:lineRule="auto"/>
      <w:jc w:val="both"/>
      <w:outlineLvl w:val="1"/>
    </w:pPr>
    <w:rPr>
      <w:rFonts w:ascii="Arial" w:hAnsi="Arial" w:eastAsia="Arial" w:cs="Arial"/>
      <w:b/>
      <w:bCs/>
      <w:color w:val="000000"/>
      <w:kern w:val="2"/>
      <w:sz w:val="32"/>
      <w:szCs w:val="32"/>
      <w:u w:color="000000"/>
      <w:lang w:val="en-US" w:eastAsia="zh-CN" w:bidi="ar-SA"/>
    </w:rPr>
  </w:style>
  <w:style w:type="paragraph" w:customStyle="1" w:styleId="45">
    <w:name w:val="正常1"/>
    <w:qFormat/>
    <w:uiPriority w:val="0"/>
    <w:pPr>
      <w:widowControl w:val="0"/>
      <w:spacing w:line="360" w:lineRule="auto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46">
    <w:name w:val="无"/>
    <w:qFormat/>
    <w:uiPriority w:val="0"/>
  </w:style>
  <w:style w:type="paragraph" w:customStyle="1" w:styleId="47">
    <w:name w:val="标题 31"/>
    <w:next w:val="45"/>
    <w:qFormat/>
    <w:uiPriority w:val="0"/>
    <w:pPr>
      <w:keepNext/>
      <w:keepLines/>
      <w:widowControl w:val="0"/>
      <w:tabs>
        <w:tab w:val="left" w:pos="709"/>
        <w:tab w:val="left" w:pos="1702"/>
      </w:tabs>
      <w:spacing w:line="360" w:lineRule="auto"/>
      <w:ind w:left="201" w:hanging="201"/>
      <w:jc w:val="both"/>
      <w:outlineLvl w:val="2"/>
    </w:pPr>
    <w:rPr>
      <w:rFonts w:hint="eastAsia" w:ascii="Arial Unicode MS" w:hAnsi="Arial Unicode MS" w:eastAsia="宋体" w:cs="Arial Unicode MS"/>
      <w:color w:val="000000"/>
      <w:kern w:val="2"/>
      <w:sz w:val="30"/>
      <w:szCs w:val="30"/>
      <w:u w:color="000000"/>
      <w:lang w:val="en-US" w:eastAsia="zh-CN" w:bidi="ar-SA"/>
    </w:rPr>
  </w:style>
  <w:style w:type="paragraph" w:customStyle="1" w:styleId="48">
    <w:name w:val="点式条目"/>
    <w:basedOn w:val="1"/>
    <w:qFormat/>
    <w:uiPriority w:val="0"/>
    <w:pPr>
      <w:numPr>
        <w:ilvl w:val="0"/>
        <w:numId w:val="5"/>
      </w:numPr>
      <w:spacing w:line="288" w:lineRule="auto"/>
      <w:ind w:firstLine="0"/>
    </w:pPr>
    <w:rPr>
      <w:rFonts w:hint="default" w:ascii="宋体" w:hAnsi="宋体" w:eastAsia="宋体" w:cs="Arial"/>
      <w:color w:val="000000" w:themeColor="text1"/>
      <w:kern w:val="0"/>
      <w:sz w:val="22"/>
      <w:szCs w:val="22"/>
      <w14:textFill>
        <w14:solidFill>
          <w14:schemeClr w14:val="tx1"/>
        </w14:solidFill>
      </w14:textFill>
    </w:rPr>
  </w:style>
  <w:style w:type="paragraph" w:customStyle="1" w:styleId="49">
    <w:name w:val="首行缩进"/>
    <w:basedOn w:val="1"/>
    <w:qFormat/>
    <w:uiPriority w:val="0"/>
    <w:pPr>
      <w:ind w:firstLine="420"/>
    </w:pPr>
    <w:rPr>
      <w:rFonts w:asciiTheme="minorHAnsi" w:eastAsiaTheme="minorEastAsia"/>
    </w:rPr>
  </w:style>
  <w:style w:type="paragraph" w:customStyle="1" w:styleId="50">
    <w:name w:val="xl27"/>
    <w:basedOn w:val="1"/>
    <w:qFormat/>
    <w:uiPriority w:val="0"/>
    <w:pPr>
      <w:pBdr>
        <w:left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 w:cs="Arial Unicode MS"/>
      <w:sz w:val="28"/>
      <w:szCs w:val="2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8289</Words>
  <Characters>9291</Characters>
  <Lines>0</Lines>
  <Paragraphs>0</Paragraphs>
  <TotalTime>3</TotalTime>
  <ScaleCrop>false</ScaleCrop>
  <LinksUpToDate>false</LinksUpToDate>
  <CharactersWithSpaces>9354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2024-10-15T02:20:00Z</dcterms:created>
  <dc:creator>lenovo</dc:creator>
  <cp:lastModifiedBy>8237476979</cp:lastModifiedBy>
  <dcterms:modified xsi:type="dcterms:W3CDTF">2025-01-15T07:40:10Z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3C8798B26618405C91DF3ADB66D776FC_13</vt:lpwstr>
  </property>
  <property fmtid="{D5CDD505-2E9C-101B-9397-08002B2CF9AE}" pid="4" name="KSOTemplateDocerSaveRecord">
    <vt:lpwstr>eyJoZGlkIjoiNmRlN2M0ZTNlOGY0N2M2NzllMjAwOWNjYWMwNTcyZGEiLCJ1c2VySWQiOiIxNTk3ODEzMDY0In0=</vt:lpwstr>
  </property>
</Properties>
</file>