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kern w:val="0"/>
          <w:sz w:val="72"/>
          <w:szCs w:val="72"/>
          <w:shd w:val="clear" w:color="auto" w:fill="FFFFFF"/>
        </w:rPr>
      </w:pPr>
      <w:r>
        <w:rPr>
          <w:rFonts w:hint="eastAsia" w:ascii="宋体" w:hAnsi="宋体" w:cs="宋体"/>
          <w:b/>
          <w:kern w:val="0"/>
          <w:sz w:val="72"/>
          <w:szCs w:val="72"/>
          <w:shd w:val="clear" w:color="auto" w:fill="FFFFFF"/>
        </w:rPr>
        <w:t>广 东 省</w:t>
      </w:r>
    </w:p>
    <w:p>
      <w:pPr>
        <w:pStyle w:val="53"/>
        <w:rPr>
          <w:b/>
        </w:rPr>
      </w:pPr>
    </w:p>
    <w:p>
      <w:pPr>
        <w:jc w:val="center"/>
        <w:rPr>
          <w:rFonts w:ascii="宋体" w:hAnsi="宋体" w:cs="宋体"/>
          <w:b/>
          <w:kern w:val="0"/>
          <w:sz w:val="44"/>
          <w:szCs w:val="44"/>
          <w:shd w:val="clear" w:color="auto" w:fill="FFFFFF"/>
        </w:rPr>
      </w:pPr>
      <w:r>
        <w:rPr>
          <w:rFonts w:hint="eastAsia" w:ascii="宋体" w:hAnsi="宋体" w:cs="宋体"/>
          <w:b/>
          <w:kern w:val="0"/>
          <w:sz w:val="44"/>
          <w:szCs w:val="44"/>
          <w:shd w:val="clear" w:color="auto" w:fill="FFFFFF"/>
        </w:rPr>
        <w:t>省道S246线韶关浈江大王冲至新村段路面预防养护及功能性修复养护工程施工招标</w:t>
      </w:r>
    </w:p>
    <w:p>
      <w:pPr>
        <w:pStyle w:val="16"/>
      </w:pPr>
    </w:p>
    <w:p>
      <w:pPr>
        <w:pStyle w:val="53"/>
      </w:pPr>
    </w:p>
    <w:p>
      <w:pPr>
        <w:pStyle w:val="53"/>
        <w:rPr>
          <w:rFonts w:ascii="宋体" w:hAnsi="宋体"/>
          <w:b/>
          <w:sz w:val="84"/>
          <w:szCs w:val="84"/>
        </w:rPr>
      </w:pPr>
    </w:p>
    <w:p>
      <w:pPr>
        <w:pStyle w:val="53"/>
        <w:rPr>
          <w:rFonts w:ascii="宋体" w:hAnsi="宋体"/>
          <w:b/>
          <w:sz w:val="84"/>
          <w:szCs w:val="84"/>
        </w:rPr>
      </w:pPr>
    </w:p>
    <w:p>
      <w:pPr>
        <w:pStyle w:val="53"/>
        <w:rPr>
          <w:rFonts w:ascii="宋体" w:hAnsi="宋体"/>
          <w:b/>
          <w:sz w:val="84"/>
          <w:szCs w:val="84"/>
        </w:rPr>
      </w:pPr>
    </w:p>
    <w:p>
      <w:pPr>
        <w:pStyle w:val="53"/>
        <w:rPr>
          <w:rFonts w:ascii="宋体" w:hAnsi="宋体"/>
          <w:b/>
          <w:sz w:val="84"/>
          <w:szCs w:val="84"/>
        </w:rPr>
      </w:pPr>
    </w:p>
    <w:p>
      <w:pPr>
        <w:jc w:val="center"/>
        <w:rPr>
          <w:rFonts w:ascii="宋体" w:hAnsi="宋体"/>
          <w:b/>
          <w:sz w:val="84"/>
          <w:szCs w:val="84"/>
        </w:rPr>
      </w:pPr>
      <w:r>
        <w:rPr>
          <w:rFonts w:ascii="宋体" w:hAnsi="宋体"/>
          <w:b/>
          <w:sz w:val="84"/>
          <w:szCs w:val="84"/>
        </w:rPr>
        <w:t>招标文件</w:t>
      </w:r>
    </w:p>
    <w:p>
      <w:pPr>
        <w:ind w:firstLine="1600" w:firstLineChars="500"/>
        <w:jc w:val="center"/>
        <w:rPr>
          <w:rFonts w:ascii="宋体" w:hAnsi="宋体"/>
          <w:sz w:val="32"/>
          <w:szCs w:val="32"/>
        </w:rP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pStyle w:val="16"/>
        <w:jc w:val="center"/>
      </w:pPr>
    </w:p>
    <w:p>
      <w:pPr>
        <w:tabs>
          <w:tab w:val="left" w:pos="3730"/>
        </w:tabs>
        <w:jc w:val="left"/>
        <w:rPr>
          <w:rFonts w:ascii="宋体" w:hAnsi="宋体"/>
          <w:sz w:val="32"/>
          <w:szCs w:val="32"/>
        </w:rPr>
      </w:pPr>
      <w:r>
        <w:rPr>
          <w:rFonts w:hint="eastAsia" w:ascii="宋体" w:hAnsi="宋体"/>
          <w:sz w:val="32"/>
          <w:szCs w:val="32"/>
        </w:rPr>
        <w:tab/>
      </w:r>
    </w:p>
    <w:p>
      <w:pPr>
        <w:spacing w:line="600" w:lineRule="auto"/>
        <w:jc w:val="center"/>
        <w:rPr>
          <w:rFonts w:ascii="宋体" w:hAnsi="宋体"/>
          <w:b/>
          <w:sz w:val="30"/>
          <w:szCs w:val="30"/>
        </w:rPr>
      </w:pPr>
      <w:r>
        <w:rPr>
          <w:rFonts w:hint="eastAsia" w:ascii="宋体" w:hAnsi="宋体"/>
          <w:b/>
          <w:sz w:val="30"/>
          <w:szCs w:val="30"/>
        </w:rPr>
        <w:t>招   标   人：</w:t>
      </w:r>
      <w:r>
        <w:rPr>
          <w:rFonts w:hint="eastAsia" w:ascii="宋体" w:hAnsi="宋体" w:cs="宋体"/>
          <w:b/>
          <w:sz w:val="30"/>
          <w:szCs w:val="30"/>
        </w:rPr>
        <w:t>韶关市城郊公路事务中心</w:t>
      </w:r>
      <w:r>
        <w:rPr>
          <w:rFonts w:hint="eastAsia" w:ascii="宋体" w:hAnsi="宋体"/>
          <w:b/>
          <w:sz w:val="30"/>
          <w:szCs w:val="30"/>
        </w:rPr>
        <w:t>（盖单位章）</w:t>
      </w:r>
    </w:p>
    <w:p>
      <w:pPr>
        <w:spacing w:line="600" w:lineRule="auto"/>
        <w:jc w:val="center"/>
        <w:rPr>
          <w:rFonts w:ascii="宋体" w:hAnsi="宋体"/>
          <w:b/>
          <w:sz w:val="30"/>
          <w:szCs w:val="30"/>
        </w:rPr>
      </w:pPr>
      <w:r>
        <w:rPr>
          <w:rFonts w:hint="eastAsia" w:ascii="宋体" w:hAnsi="宋体" w:cs="宋体"/>
          <w:b/>
          <w:sz w:val="30"/>
          <w:szCs w:val="30"/>
        </w:rPr>
        <w:t>招标代理机构：智埔国际建设集团有限公司</w:t>
      </w:r>
      <w:r>
        <w:rPr>
          <w:rFonts w:hint="eastAsia" w:ascii="宋体" w:hAnsi="宋体"/>
          <w:b/>
          <w:sz w:val="30"/>
          <w:szCs w:val="30"/>
        </w:rPr>
        <w:t>（盖单位章）</w:t>
      </w:r>
    </w:p>
    <w:p>
      <w:pPr>
        <w:jc w:val="center"/>
        <w:rPr>
          <w:rFonts w:ascii="宋体" w:hAnsi="宋体"/>
          <w:b/>
          <w:sz w:val="30"/>
          <w:szCs w:val="30"/>
        </w:rPr>
        <w:sectPr>
          <w:headerReference r:id="rId3" w:type="first"/>
          <w:footerReference r:id="rId4" w:type="default"/>
          <w:pgSz w:w="11910" w:h="16840"/>
          <w:pgMar w:top="941" w:right="720" w:bottom="1179" w:left="980" w:header="707" w:footer="998" w:gutter="0"/>
          <w:cols w:space="720" w:num="1"/>
        </w:sectPr>
      </w:pPr>
      <w:r>
        <w:rPr>
          <w:rFonts w:hint="eastAsia" w:ascii="宋体" w:hAnsi="宋体" w:cs="宋体"/>
          <w:b/>
          <w:sz w:val="30"/>
          <w:szCs w:val="30"/>
        </w:rPr>
        <w:t>2024年</w:t>
      </w:r>
      <w:r>
        <w:rPr>
          <w:rFonts w:hint="eastAsia" w:ascii="宋体" w:hAnsi="宋体" w:cs="宋体"/>
          <w:b/>
          <w:sz w:val="30"/>
          <w:szCs w:val="30"/>
          <w:lang w:val="en-US" w:eastAsia="zh-CN"/>
        </w:rPr>
        <w:t>3</w:t>
      </w:r>
      <w:r>
        <w:rPr>
          <w:rFonts w:hint="eastAsia" w:ascii="宋体" w:hAnsi="宋体" w:cs="宋体"/>
          <w:b/>
          <w:sz w:val="30"/>
          <w:szCs w:val="30"/>
        </w:rPr>
        <w:t>月</w:t>
      </w:r>
    </w:p>
    <w:p>
      <w:r>
        <w:br w:type="page"/>
      </w:r>
    </w:p>
    <w:p>
      <w:pPr>
        <w:pStyle w:val="5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sectPr>
          <w:footerReference r:id="rId5" w:type="default"/>
          <w:pgSz w:w="11910" w:h="16840"/>
          <w:pgMar w:top="941" w:right="720" w:bottom="1179" w:left="980" w:header="707" w:footer="998" w:gutter="0"/>
          <w:pgNumType w:start="1"/>
          <w:cols w:space="720" w:num="1"/>
        </w:sectPr>
      </w:pPr>
    </w:p>
    <w:p>
      <w:pPr>
        <w:pStyle w:val="53"/>
        <w:rPr>
          <w:color w:val="000000" w:themeColor="text1"/>
          <w:highlight w:val="none"/>
          <w14:textFill>
            <w14:solidFill>
              <w14:schemeClr w14:val="tx1"/>
            </w14:solidFill>
          </w14:textFill>
        </w:rPr>
      </w:pPr>
    </w:p>
    <w:p>
      <w:pPr>
        <w:spacing w:line="60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fldChar w:fldCharType="begin"/>
      </w:r>
      <w:r>
        <w:rPr>
          <w:rFonts w:hint="eastAsia" w:ascii="宋体" w:hAnsi="宋体" w:cs="宋体"/>
          <w:color w:val="000000" w:themeColor="text1"/>
          <w:sz w:val="24"/>
          <w:highlight w:val="none"/>
          <w:u w:val="single"/>
          <w14:textFill>
            <w14:solidFill>
              <w14:schemeClr w14:val="tx1"/>
            </w14:solidFill>
          </w14:textFill>
        </w:rPr>
        <w:instrText xml:space="preserve">TOC \o "1-4" \h \u </w:instrText>
      </w:r>
      <w:r>
        <w:rPr>
          <w:rFonts w:hint="eastAsia" w:ascii="宋体" w:hAnsi="宋体" w:cs="宋体"/>
          <w:color w:val="000000" w:themeColor="text1"/>
          <w:sz w:val="24"/>
          <w:highlight w:val="none"/>
          <w:u w:val="singl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"_Toc43475653"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第一章 招标公告</w:t>
      </w:r>
      <w:r>
        <w:rPr>
          <w:rStyle w:val="50"/>
          <w:rFonts w:ascii="宋体" w:hAnsi="宋体"/>
          <w:color w:val="000000" w:themeColor="text1"/>
          <w:highlight w:val="none"/>
          <w14:textFill>
            <w14:solidFill>
              <w14:schemeClr w14:val="tx1"/>
            </w14:solidFill>
          </w14:textFill>
        </w:rPr>
        <w:t>(</w:t>
      </w:r>
      <w:r>
        <w:rPr>
          <w:rStyle w:val="50"/>
          <w:rFonts w:hint="eastAsia" w:ascii="宋体" w:hAnsi="宋体"/>
          <w:color w:val="000000" w:themeColor="text1"/>
          <w:highlight w:val="none"/>
          <w14:textFill>
            <w14:solidFill>
              <w14:schemeClr w14:val="tx1"/>
            </w14:solidFill>
          </w14:textFill>
        </w:rPr>
        <w:t>未进行资格预审</w:t>
      </w:r>
      <w:r>
        <w:rPr>
          <w:rStyle w:val="50"/>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"_Toc43475654"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1</w:t>
      </w:r>
      <w:r>
        <w:rPr>
          <w:rStyle w:val="50"/>
          <w:rFonts w:hint="eastAsia" w:ascii="宋体" w:hAnsi="宋体" w:cs="黑体"/>
          <w:color w:val="000000" w:themeColor="text1"/>
          <w:highlight w:val="none"/>
          <w14:textFill>
            <w14:solidFill>
              <w14:schemeClr w14:val="tx1"/>
            </w14:solidFill>
          </w14:textFill>
        </w:rPr>
        <w:t>.招标条件</w:t>
      </w:r>
      <w:r>
        <w:rPr>
          <w:rStyle w:val="50"/>
          <w:rFonts w:hint="eastAsia" w:ascii="宋体" w:hAnsi="宋体" w:cs="黑体"/>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pPr>
        <w:pStyle w:val="34"/>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"_Toc43475655"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2</w:t>
      </w:r>
      <w:r>
        <w:rPr>
          <w:rStyle w:val="50"/>
          <w:rFonts w:hint="eastAsia" w:ascii="宋体" w:hAnsi="宋体" w:cs="黑体"/>
          <w:color w:val="000000" w:themeColor="text1"/>
          <w:highlight w:val="none"/>
          <w14:textFill>
            <w14:solidFill>
              <w14:schemeClr w14:val="tx1"/>
            </w14:solidFill>
          </w14:textFill>
        </w:rPr>
        <w:t>.项目概况与招标范围</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pPr>
        <w:pStyle w:val="34"/>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"_Toc43475656"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3</w:t>
      </w:r>
      <w:r>
        <w:rPr>
          <w:rStyle w:val="50"/>
          <w:rFonts w:hint="eastAsia" w:ascii="宋体" w:hAnsi="宋体" w:cs="黑体"/>
          <w:color w:val="000000" w:themeColor="text1"/>
          <w:highlight w:val="none"/>
          <w14:textFill>
            <w14:solidFill>
              <w14:schemeClr w14:val="tx1"/>
            </w14:solidFill>
          </w14:textFill>
        </w:rPr>
        <w:t>.投标人资格要求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pPr>
        <w:pStyle w:val="34"/>
        <w:tabs>
          <w:tab w:val="right" w:leader="dot" w:pos="10200"/>
        </w:tabs>
        <w:spacing w:line="25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"_Toc43475657"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4</w:t>
      </w:r>
      <w:r>
        <w:rPr>
          <w:rStyle w:val="50"/>
          <w:rFonts w:hint="eastAsia" w:ascii="宋体" w:hAnsi="宋体" w:cs="黑体"/>
          <w:color w:val="000000" w:themeColor="text1"/>
          <w:highlight w:val="none"/>
          <w14:textFill>
            <w14:solidFill>
              <w14:schemeClr w14:val="tx1"/>
            </w14:solidFill>
          </w14:textFill>
        </w:rPr>
        <w:t>.招标文件的获取</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p>
      <w:pPr>
        <w:ind w:firstLine="360" w:firstLineChars="200"/>
        <w:rPr>
          <w:color w:val="000000" w:themeColor="text1"/>
          <w:highlight w:val="none"/>
          <w14:textFill>
            <w14:solidFill>
              <w14:schemeClr w14:val="tx1"/>
            </w14:solidFill>
          </w14:textFill>
        </w:rPr>
      </w:pPr>
      <w:r>
        <w:rPr>
          <w:rStyle w:val="50"/>
          <w:rFonts w:hint="eastAsia" w:ascii="宋体" w:hAnsi="宋体" w:cs="黑体"/>
          <w:color w:val="000000" w:themeColor="text1"/>
          <w:highlight w:val="none"/>
          <w:u w:val="none"/>
          <w14:textFill>
            <w14:solidFill>
              <w14:schemeClr w14:val="tx1"/>
            </w14:solidFill>
          </w14:textFill>
        </w:rPr>
        <w:t>5.电子投标及相关事宜</w:t>
      </w:r>
      <w:r>
        <w:rPr>
          <w:color w:val="000000" w:themeColor="text1"/>
          <w:sz w:val="18"/>
          <w:szCs w:val="2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..13</w:t>
      </w:r>
    </w:p>
    <w:p>
      <w:pPr>
        <w:pStyle w:val="34"/>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"_Toc43475658"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6</w:t>
      </w:r>
      <w:r>
        <w:rPr>
          <w:rStyle w:val="50"/>
          <w:rFonts w:hint="eastAsia" w:ascii="宋体" w:hAnsi="宋体" w:cs="黑体"/>
          <w:color w:val="000000" w:themeColor="text1"/>
          <w:highlight w:val="none"/>
          <w14:textFill>
            <w14:solidFill>
              <w14:schemeClr w14:val="tx1"/>
            </w14:solidFill>
          </w14:textFill>
        </w:rPr>
        <w:t>.发布公告的媒介</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4</w:t>
      </w:r>
    </w:p>
    <w:p>
      <w:pPr>
        <w:pStyle w:val="34"/>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"_Toc43475659" </w:instrText>
      </w:r>
      <w:r>
        <w:rPr>
          <w:color w:val="000000" w:themeColor="text1"/>
          <w:highlight w:val="none"/>
          <w14:textFill>
            <w14:solidFill>
              <w14:schemeClr w14:val="tx1"/>
            </w14:solidFill>
          </w14:textFill>
        </w:rPr>
        <w:fldChar w:fldCharType="separate"/>
      </w:r>
      <w:r>
        <w:rPr>
          <w:rStyle w:val="50"/>
          <w:rFonts w:ascii="宋体" w:hAnsi="宋体" w:cs="黑体"/>
          <w:color w:val="000000" w:themeColor="text1"/>
          <w:highlight w:val="none"/>
          <w14:textFill>
            <w14:solidFill>
              <w14:schemeClr w14:val="tx1"/>
            </w14:solidFill>
          </w14:textFill>
        </w:rPr>
        <w:t>7</w:t>
      </w:r>
      <w:r>
        <w:rPr>
          <w:rStyle w:val="50"/>
          <w:rFonts w:hint="eastAsia" w:ascii="宋体" w:hAnsi="宋体" w:cs="黑体"/>
          <w:color w:val="000000" w:themeColor="text1"/>
          <w:highlight w:val="none"/>
          <w14:textFill>
            <w14:solidFill>
              <w14:schemeClr w14:val="tx1"/>
            </w14:solidFill>
          </w14:textFill>
        </w:rPr>
        <w:t>.联系方式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"_Toc43475660"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8.重要事项时间地点一览表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"_Toc43475661"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第二章投标人须知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"_Toc43475662"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"_Toc43475663"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1  </w:t>
      </w:r>
      <w:r>
        <w:rPr>
          <w:rStyle w:val="50"/>
          <w:rFonts w:hint="eastAsia" w:ascii="宋体" w:hAnsi="宋体" w:cs="黑体"/>
          <w:color w:val="000000" w:themeColor="text1"/>
          <w:highlight w:val="none"/>
          <w14:textFill>
            <w14:solidFill>
              <w14:schemeClr w14:val="tx1"/>
            </w14:solidFill>
          </w14:textFill>
        </w:rPr>
        <w:t>资格审查条件（资质最低要求）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"_Toc43475664"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2  </w:t>
      </w:r>
      <w:r>
        <w:rPr>
          <w:rStyle w:val="50"/>
          <w:rFonts w:hint="eastAsia" w:ascii="宋体" w:hAnsi="宋体" w:cs="黑体"/>
          <w:color w:val="000000" w:themeColor="text1"/>
          <w:highlight w:val="none"/>
          <w14:textFill>
            <w14:solidFill>
              <w14:schemeClr w14:val="tx1"/>
            </w14:solidFill>
          </w14:textFill>
        </w:rPr>
        <w:t>资格审查条件（财务最低要求）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pPr>
        <w:pStyle w:val="20"/>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"_Toc43475665"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3  </w:t>
      </w:r>
      <w:r>
        <w:rPr>
          <w:rStyle w:val="50"/>
          <w:rFonts w:hint="eastAsia" w:ascii="宋体" w:hAnsi="宋体" w:cs="黑体"/>
          <w:color w:val="000000" w:themeColor="text1"/>
          <w:highlight w:val="none"/>
          <w14:textFill>
            <w14:solidFill>
              <w14:schemeClr w14:val="tx1"/>
            </w14:solidFill>
          </w14:textFill>
        </w:rPr>
        <w:t>资格审查条件（业绩最低要求）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pPr>
        <w:pStyle w:val="20"/>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"_Toc43475666"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附录</w:t>
      </w:r>
      <w:r>
        <w:rPr>
          <w:rStyle w:val="50"/>
          <w:color w:val="000000" w:themeColor="text1"/>
          <w:highlight w:val="none"/>
          <w14:textFill>
            <w14:solidFill>
              <w14:schemeClr w14:val="tx1"/>
            </w14:solidFill>
          </w14:textFill>
        </w:rPr>
        <w:t xml:space="preserve">4  </w:t>
      </w:r>
      <w:r>
        <w:rPr>
          <w:rStyle w:val="50"/>
          <w:rFonts w:hint="eastAsia"/>
          <w:color w:val="000000" w:themeColor="text1"/>
          <w:highlight w:val="none"/>
          <w14:textFill>
            <w14:solidFill>
              <w14:schemeClr w14:val="tx1"/>
            </w14:solidFill>
          </w14:textFill>
        </w:rPr>
        <w:t>资格审查条件</w:t>
      </w:r>
      <w:r>
        <w:rPr>
          <w:rStyle w:val="50"/>
          <w:color w:val="000000" w:themeColor="text1"/>
          <w:highlight w:val="none"/>
          <w14:textFill>
            <w14:solidFill>
              <w14:schemeClr w14:val="tx1"/>
            </w14:solidFill>
          </w14:textFill>
        </w:rPr>
        <w:t>(</w:t>
      </w:r>
      <w:r>
        <w:rPr>
          <w:rStyle w:val="50"/>
          <w:rFonts w:hint="eastAsia"/>
          <w:color w:val="000000" w:themeColor="text1"/>
          <w:highlight w:val="none"/>
          <w14:textFill>
            <w14:solidFill>
              <w14:schemeClr w14:val="tx1"/>
            </w14:solidFill>
          </w14:textFill>
        </w:rPr>
        <w:t>信誉最低要求</w:t>
      </w:r>
      <w:r>
        <w:rPr>
          <w:rStyle w:val="50"/>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pPr>
        <w:pStyle w:val="20"/>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"_Toc43475667"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5  </w:t>
      </w:r>
      <w:r>
        <w:rPr>
          <w:rStyle w:val="50"/>
          <w:rFonts w:hint="eastAsia" w:ascii="宋体" w:hAnsi="宋体" w:cs="黑体"/>
          <w:color w:val="000000" w:themeColor="text1"/>
          <w:highlight w:val="none"/>
          <w14:textFill>
            <w14:solidFill>
              <w14:schemeClr w14:val="tx1"/>
            </w14:solidFill>
          </w14:textFill>
        </w:rPr>
        <w:t>资格审查条件</w:t>
      </w:r>
      <w:r>
        <w:rPr>
          <w:rStyle w:val="50"/>
          <w:rFonts w:ascii="宋体" w:hAnsi="宋体" w:cs="黑体"/>
          <w:color w:val="000000" w:themeColor="text1"/>
          <w:highlight w:val="none"/>
          <w14:textFill>
            <w14:solidFill>
              <w14:schemeClr w14:val="tx1"/>
            </w14:solidFill>
          </w14:textFill>
        </w:rPr>
        <w:t>(</w:t>
      </w:r>
      <w:r>
        <w:rPr>
          <w:rStyle w:val="50"/>
          <w:rFonts w:hint="eastAsia" w:ascii="宋体" w:hAnsi="宋体" w:cs="黑体"/>
          <w:color w:val="000000" w:themeColor="text1"/>
          <w:highlight w:val="none"/>
          <w14:textFill>
            <w14:solidFill>
              <w14:schemeClr w14:val="tx1"/>
            </w14:solidFill>
          </w14:textFill>
        </w:rPr>
        <w:t>项目经理和项目总工最低要求</w:t>
      </w:r>
      <w:r>
        <w:rPr>
          <w:rStyle w:val="50"/>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pPr>
        <w:pStyle w:val="20"/>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"_Toc43475668"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6  </w:t>
      </w:r>
      <w:r>
        <w:rPr>
          <w:rStyle w:val="50"/>
          <w:rFonts w:hint="eastAsia" w:ascii="宋体" w:hAnsi="宋体" w:cs="黑体"/>
          <w:color w:val="000000" w:themeColor="text1"/>
          <w:highlight w:val="none"/>
          <w14:textFill>
            <w14:solidFill>
              <w14:schemeClr w14:val="tx1"/>
            </w14:solidFill>
          </w14:textFill>
        </w:rPr>
        <w:t>资格审查条件</w:t>
      </w:r>
      <w:r>
        <w:rPr>
          <w:rStyle w:val="50"/>
          <w:rFonts w:ascii="宋体" w:hAnsi="宋体" w:cs="黑体"/>
          <w:color w:val="000000" w:themeColor="text1"/>
          <w:highlight w:val="none"/>
          <w14:textFill>
            <w14:solidFill>
              <w14:schemeClr w14:val="tx1"/>
            </w14:solidFill>
          </w14:textFill>
        </w:rPr>
        <w:t>(</w:t>
      </w:r>
      <w:r>
        <w:rPr>
          <w:rStyle w:val="50"/>
          <w:rFonts w:hint="eastAsia" w:ascii="宋体" w:hAnsi="宋体" w:cs="黑体"/>
          <w:color w:val="000000" w:themeColor="text1"/>
          <w:highlight w:val="none"/>
          <w14:textFill>
            <w14:solidFill>
              <w14:schemeClr w14:val="tx1"/>
            </w14:solidFill>
          </w14:textFill>
        </w:rPr>
        <w:t>其他管理人员和技术人员最低要求</w:t>
      </w:r>
      <w:r>
        <w:rPr>
          <w:rStyle w:val="50"/>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p>
      <w:pPr>
        <w:pStyle w:val="20"/>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"_Toc43475669" </w:instrText>
      </w:r>
      <w:r>
        <w:rPr>
          <w:color w:val="000000" w:themeColor="text1"/>
          <w:highlight w:val="none"/>
          <w14:textFill>
            <w14:solidFill>
              <w14:schemeClr w14:val="tx1"/>
            </w14:solidFill>
          </w14:textFill>
        </w:rPr>
        <w:fldChar w:fldCharType="separate"/>
      </w:r>
      <w:r>
        <w:rPr>
          <w:rStyle w:val="50"/>
          <w:rFonts w:hint="eastAsia" w:ascii="宋体" w:hAnsi="宋体" w:cs="黑体"/>
          <w:color w:val="000000" w:themeColor="text1"/>
          <w:highlight w:val="none"/>
          <w14:textFill>
            <w14:solidFill>
              <w14:schemeClr w14:val="tx1"/>
            </w14:solidFill>
          </w14:textFill>
        </w:rPr>
        <w:t>附录</w:t>
      </w:r>
      <w:r>
        <w:rPr>
          <w:rStyle w:val="50"/>
          <w:rFonts w:ascii="宋体" w:hAnsi="宋体" w:cs="黑体"/>
          <w:color w:val="000000" w:themeColor="text1"/>
          <w:highlight w:val="none"/>
          <w14:textFill>
            <w14:solidFill>
              <w14:schemeClr w14:val="tx1"/>
            </w14:solidFill>
          </w14:textFill>
        </w:rPr>
        <w:t xml:space="preserve">7  </w:t>
      </w:r>
      <w:r>
        <w:rPr>
          <w:rStyle w:val="50"/>
          <w:rFonts w:hint="eastAsia" w:ascii="宋体" w:hAnsi="宋体" w:cs="黑体"/>
          <w:color w:val="000000" w:themeColor="text1"/>
          <w:highlight w:val="none"/>
          <w14:textFill>
            <w14:solidFill>
              <w14:schemeClr w14:val="tx1"/>
            </w14:solidFill>
          </w14:textFill>
        </w:rPr>
        <w:t>资格审查条件（主要设备最低要求）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3</w:t>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w:t>
      </w:r>
      <w:r>
        <w:rPr>
          <w:rStyle w:val="50"/>
          <w:rFonts w:hint="eastAsia"/>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"_Toc43475671"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1.1</w:t>
      </w:r>
      <w:r>
        <w:rPr>
          <w:rStyle w:val="50"/>
          <w:rFonts w:hint="eastAsia"/>
          <w:color w:val="000000" w:themeColor="text1"/>
          <w:highlight w:val="none"/>
          <w14:textFill>
            <w14:solidFill>
              <w14:schemeClr w14:val="tx1"/>
            </w14:solidFill>
          </w14:textFill>
        </w:rPr>
        <w:t>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"_Toc43475672"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1.2</w:t>
      </w:r>
      <w:r>
        <w:rPr>
          <w:rStyle w:val="50"/>
          <w:rFonts w:hint="eastAsia"/>
          <w:color w:val="000000" w:themeColor="text1"/>
          <w:highlight w:val="none"/>
          <w14:textFill>
            <w14:solidFill>
              <w14:schemeClr w14:val="tx1"/>
            </w14:solidFill>
          </w14:textFill>
        </w:rPr>
        <w:t>招标项目的资金来源和落实情况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"_Toc43475673"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1.3</w:t>
      </w:r>
      <w:r>
        <w:rPr>
          <w:rStyle w:val="50"/>
          <w:rFonts w:hint="eastAsia"/>
          <w:color w:val="000000" w:themeColor="text1"/>
          <w:highlight w:val="none"/>
          <w14:textFill>
            <w14:solidFill>
              <w14:schemeClr w14:val="tx1"/>
            </w14:solidFill>
          </w14:textFill>
        </w:rPr>
        <w:t>招标范围、计划工期、质量要求和安全目标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"_Toc43475674"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1.4</w:t>
      </w:r>
      <w:r>
        <w:rPr>
          <w:rStyle w:val="50"/>
          <w:rFonts w:hint="eastAsia"/>
          <w:color w:val="000000" w:themeColor="text1"/>
          <w:highlight w:val="none"/>
          <w14:textFill>
            <w14:solidFill>
              <w14:schemeClr w14:val="tx1"/>
            </w14:solidFill>
          </w14:textFill>
        </w:rPr>
        <w:t>投标人资格要求（适用于未进行资格预审的）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"_Toc43475675"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1.5</w:t>
      </w:r>
      <w:r>
        <w:rPr>
          <w:rStyle w:val="50"/>
          <w:rFonts w:hint="eastAsia"/>
          <w:color w:val="000000" w:themeColor="text1"/>
          <w:highlight w:val="none"/>
          <w14:textFill>
            <w14:solidFill>
              <w14:schemeClr w14:val="tx1"/>
            </w14:solidFill>
          </w14:textFill>
        </w:rPr>
        <w:t>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"_Toc43475676"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1.6</w:t>
      </w:r>
      <w:r>
        <w:rPr>
          <w:rStyle w:val="50"/>
          <w:rFonts w:hint="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"_Toc43475677"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1.7</w:t>
      </w:r>
      <w:r>
        <w:rPr>
          <w:rStyle w:val="50"/>
          <w:rFonts w:hint="eastAsia"/>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"_Toc43475678"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1.8</w:t>
      </w:r>
      <w:r>
        <w:rPr>
          <w:rStyle w:val="50"/>
          <w:rFonts w:hint="eastAsia"/>
          <w:color w:val="000000" w:themeColor="text1"/>
          <w:highlight w:val="none"/>
          <w14:textFill>
            <w14:solidFill>
              <w14:schemeClr w14:val="tx1"/>
            </w14:solidFill>
          </w14:textFill>
        </w:rPr>
        <w:t>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"_Toc43475679"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1.9</w:t>
      </w:r>
      <w:r>
        <w:rPr>
          <w:rStyle w:val="50"/>
          <w:rFonts w:hint="eastAsia"/>
          <w:color w:val="000000" w:themeColor="text1"/>
          <w:highlight w:val="none"/>
          <w14:textFill>
            <w14:solidFill>
              <w14:schemeClr w14:val="tx1"/>
            </w14:solidFill>
          </w14:textFill>
        </w:rPr>
        <w:t>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"_Toc43475680"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1.10</w:t>
      </w:r>
      <w:r>
        <w:rPr>
          <w:rStyle w:val="50"/>
          <w:rFonts w:hint="eastAsia"/>
          <w:color w:val="000000" w:themeColor="text1"/>
          <w:highlight w:val="none"/>
          <w14:textFill>
            <w14:solidFill>
              <w14:schemeClr w14:val="tx1"/>
            </w14:solidFill>
          </w14:textFill>
        </w:rPr>
        <w:t>投标预备会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"_Toc43475681"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1.11</w:t>
      </w:r>
      <w:r>
        <w:rPr>
          <w:rStyle w:val="50"/>
          <w:rFonts w:hint="eastAsia"/>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"_Toc43475682"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1.12</w:t>
      </w:r>
      <w:r>
        <w:rPr>
          <w:rStyle w:val="50"/>
          <w:rFonts w:hint="eastAsia"/>
          <w:color w:val="000000" w:themeColor="text1"/>
          <w:highlight w:val="none"/>
          <w14:textFill>
            <w14:solidFill>
              <w14:schemeClr w14:val="tx1"/>
            </w14:solidFill>
          </w14:textFill>
        </w:rPr>
        <w:t>响应和偏差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w:t>
      </w:r>
      <w:r>
        <w:rPr>
          <w:rStyle w:val="50"/>
          <w:rFonts w:hint="eastAsia"/>
          <w:color w:val="000000" w:themeColor="text1"/>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"_Toc43475684"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2.1</w:t>
      </w:r>
      <w:r>
        <w:rPr>
          <w:rStyle w:val="50"/>
          <w:rFonts w:hint="eastAsia"/>
          <w:color w:val="000000" w:themeColor="text1"/>
          <w:highlight w:val="none"/>
          <w14:textFill>
            <w14:solidFill>
              <w14:schemeClr w14:val="tx1"/>
            </w14:solidFill>
          </w14:textFill>
        </w:rPr>
        <w:t>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"_Toc43475685"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2.2</w:t>
      </w:r>
      <w:r>
        <w:rPr>
          <w:rStyle w:val="50"/>
          <w:rFonts w:hint="eastAsia"/>
          <w:color w:val="000000" w:themeColor="text1"/>
          <w:highlight w:val="none"/>
          <w14:textFill>
            <w14:solidFill>
              <w14:schemeClr w14:val="tx1"/>
            </w14:solidFill>
          </w14:textFill>
        </w:rPr>
        <w:t>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"_Toc43475686"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2.3</w:t>
      </w:r>
      <w:r>
        <w:rPr>
          <w:rStyle w:val="50"/>
          <w:rFonts w:hint="eastAsia"/>
          <w:color w:val="000000" w:themeColor="text1"/>
          <w:highlight w:val="none"/>
          <w14:textFill>
            <w14:solidFill>
              <w14:schemeClr w14:val="tx1"/>
            </w14:solidFill>
          </w14:textFill>
        </w:rPr>
        <w:t>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"_Toc43475687"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2.4</w:t>
      </w:r>
      <w:r>
        <w:rPr>
          <w:rStyle w:val="50"/>
          <w:rFonts w:hint="eastAsia"/>
          <w:color w:val="000000" w:themeColor="text1"/>
          <w:highlight w:val="none"/>
          <w14:textFill>
            <w14:solidFill>
              <w14:schemeClr w14:val="tx1"/>
            </w14:solidFill>
          </w14:textFill>
        </w:rPr>
        <w:t>招标文件的异议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3.</w:t>
      </w:r>
      <w:r>
        <w:rPr>
          <w:rStyle w:val="50"/>
          <w:rFonts w:hint="eastAsia"/>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"_Toc43475689"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3.1</w:t>
      </w:r>
      <w:r>
        <w:rPr>
          <w:rStyle w:val="50"/>
          <w:rFonts w:hint="eastAsia"/>
          <w:color w:val="000000" w:themeColor="text1"/>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"_Toc43475690"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3.2</w:t>
      </w:r>
      <w:r>
        <w:rPr>
          <w:rStyle w:val="50"/>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"_Toc43475691"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3.3</w:t>
      </w:r>
      <w:r>
        <w:rPr>
          <w:rStyle w:val="50"/>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"_Toc43475692"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3.4</w:t>
      </w:r>
      <w:r>
        <w:rPr>
          <w:rStyle w:val="50"/>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"_Toc43475693"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3.5</w:t>
      </w:r>
      <w:r>
        <w:rPr>
          <w:rStyle w:val="50"/>
          <w:rFonts w:hint="eastAsia"/>
          <w:color w:val="000000" w:themeColor="text1"/>
          <w:highlight w:val="none"/>
          <w14:textFill>
            <w14:solidFill>
              <w14:schemeClr w14:val="tx1"/>
            </w14:solidFill>
          </w14:textFill>
        </w:rPr>
        <w:t>资格审查资料（适用于未进行资格预审的）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"_Toc43475694"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3.6</w:t>
      </w:r>
      <w:r>
        <w:rPr>
          <w:rStyle w:val="50"/>
          <w:rFonts w:hint="eastAsia"/>
          <w:color w:val="000000" w:themeColor="text1"/>
          <w:highlight w:val="none"/>
          <w14:textFill>
            <w14:solidFill>
              <w14:schemeClr w14:val="tx1"/>
            </w14:solidFill>
          </w14:textFill>
        </w:rPr>
        <w:t>备选投标方案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"_Toc43475695"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3.7</w:t>
      </w:r>
      <w:r>
        <w:rPr>
          <w:rStyle w:val="50"/>
          <w:rFonts w:hint="eastAsia"/>
          <w:color w:val="000000" w:themeColor="text1"/>
          <w:highlight w:val="none"/>
          <w14:textFill>
            <w14:solidFill>
              <w14:schemeClr w14:val="tx1"/>
            </w14:solidFill>
          </w14:textFill>
        </w:rPr>
        <w:t>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w:t>
      </w:r>
      <w:r>
        <w:rPr>
          <w:rStyle w:val="50"/>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"_Toc43475697"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4.1</w:t>
      </w:r>
      <w:r>
        <w:rPr>
          <w:rStyle w:val="50"/>
          <w:rFonts w:hint="eastAsia"/>
          <w:color w:val="000000" w:themeColor="text1"/>
          <w:highlight w:val="none"/>
          <w14:textFill>
            <w14:solidFill>
              <w14:schemeClr w14:val="tx1"/>
            </w14:solidFill>
          </w14:textFill>
        </w:rPr>
        <w:t>投标文件的密封和标识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"_Toc43475698"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4.2</w:t>
      </w:r>
      <w:r>
        <w:rPr>
          <w:rStyle w:val="50"/>
          <w:rFonts w:hint="eastAsia"/>
          <w:color w:val="000000" w:themeColor="text1"/>
          <w:highlight w:val="none"/>
          <w14:textFill>
            <w14:solidFill>
              <w14:schemeClr w14:val="tx1"/>
            </w14:solidFill>
          </w14:textFill>
        </w:rPr>
        <w:t>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"_Toc43475699"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4.3</w:t>
      </w:r>
      <w:r>
        <w:rPr>
          <w:rStyle w:val="50"/>
          <w:rFonts w:hint="eastAsia"/>
          <w:color w:val="000000" w:themeColor="text1"/>
          <w:highlight w:val="none"/>
          <w14:textFill>
            <w14:solidFill>
              <w14:schemeClr w14:val="tx1"/>
            </w14:solidFill>
          </w14:textFill>
        </w:rPr>
        <w:t>投标文件的修改与撤回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5.</w:t>
      </w:r>
      <w:r>
        <w:rPr>
          <w:rStyle w:val="50"/>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"_Toc43475701"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 xml:space="preserve">5.1 </w:t>
      </w:r>
      <w:r>
        <w:rPr>
          <w:rStyle w:val="50"/>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"_Toc43475702"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 xml:space="preserve">5.1 </w:t>
      </w:r>
      <w:r>
        <w:rPr>
          <w:rStyle w:val="50"/>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5.2 </w:t>
      </w:r>
      <w:r>
        <w:rPr>
          <w:rStyle w:val="50"/>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5.2 </w:t>
      </w:r>
      <w:r>
        <w:rPr>
          <w:rStyle w:val="50"/>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6.</w:t>
      </w:r>
      <w:r>
        <w:rPr>
          <w:rStyle w:val="50"/>
          <w:rFonts w:hint="eastAsia"/>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6.1 </w:t>
      </w:r>
      <w:r>
        <w:rPr>
          <w:rStyle w:val="50"/>
          <w:rFonts w:hint="eastAsia" w:ascii="宋体" w:hAnsi="宋体" w:cs="宋体"/>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6.2 </w:t>
      </w:r>
      <w:r>
        <w:rPr>
          <w:rStyle w:val="50"/>
          <w:rFonts w:hint="eastAsia" w:ascii="宋体" w:hAnsi="宋体" w:cs="宋体"/>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6.3 </w:t>
      </w:r>
      <w:r>
        <w:rPr>
          <w:rStyle w:val="50"/>
          <w:rFonts w:hint="eastAsia" w:ascii="宋体" w:hAnsi="宋体" w:cs="宋体"/>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w:t>
      </w:r>
      <w:r>
        <w:rPr>
          <w:rStyle w:val="50"/>
          <w:rFonts w:hint="eastAsia"/>
          <w:color w:val="000000" w:themeColor="text1"/>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7.1</w:t>
      </w:r>
      <w:r>
        <w:rPr>
          <w:rStyle w:val="50"/>
          <w:rFonts w:hint="eastAsia" w:ascii="宋体" w:hAnsi="宋体" w:cs="宋体"/>
          <w:color w:val="000000" w:themeColor="text1"/>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7.2</w:t>
      </w:r>
      <w:r>
        <w:rPr>
          <w:rStyle w:val="50"/>
          <w:rFonts w:hint="eastAsia" w:ascii="宋体" w:hAnsi="宋体" w:cs="宋体"/>
          <w:color w:val="000000" w:themeColor="text1"/>
          <w:highlight w:val="none"/>
          <w14:textFill>
            <w14:solidFill>
              <w14:schemeClr w14:val="tx1"/>
            </w14:solidFill>
          </w14:textFill>
        </w:rPr>
        <w:t>评标结果异议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7.3</w:t>
      </w:r>
      <w:r>
        <w:rPr>
          <w:rStyle w:val="50"/>
          <w:rFonts w:hint="eastAsia" w:ascii="宋体" w:hAnsi="宋体" w:cs="宋体"/>
          <w:color w:val="000000" w:themeColor="text1"/>
          <w:highlight w:val="none"/>
          <w14:textFill>
            <w14:solidFill>
              <w14:schemeClr w14:val="tx1"/>
            </w14:solidFill>
          </w14:textFill>
        </w:rPr>
        <w:t>中标候选人履约能力审查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7.4</w:t>
      </w:r>
      <w:r>
        <w:rPr>
          <w:rStyle w:val="50"/>
          <w:rFonts w:hint="eastAsia" w:ascii="宋体" w:hAnsi="宋体" w:cs="宋体"/>
          <w:color w:val="000000" w:themeColor="text1"/>
          <w:highlight w:val="none"/>
          <w14:textFill>
            <w14:solidFill>
              <w14:schemeClr w14:val="tx1"/>
            </w14:solidFill>
          </w14:textFill>
        </w:rPr>
        <w:t>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7.5</w:t>
      </w:r>
      <w:r>
        <w:rPr>
          <w:rStyle w:val="50"/>
          <w:rFonts w:hint="eastAsia" w:ascii="宋体" w:hAnsi="宋体" w:cs="宋体"/>
          <w:color w:val="000000" w:themeColor="text1"/>
          <w:highlight w:val="none"/>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7.6</w:t>
      </w:r>
      <w:r>
        <w:rPr>
          <w:rStyle w:val="50"/>
          <w:rFonts w:hint="eastAsia" w:ascii="宋体" w:hAnsi="宋体" w:cs="宋体"/>
          <w:color w:val="000000" w:themeColor="text1"/>
          <w:highlight w:val="none"/>
          <w14:textFill>
            <w14:solidFill>
              <w14:schemeClr w14:val="tx1"/>
            </w14:solidFill>
          </w14:textFill>
        </w:rPr>
        <w:t>中标结果公告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7.7</w:t>
      </w:r>
      <w:r>
        <w:rPr>
          <w:rStyle w:val="50"/>
          <w:rFonts w:hint="eastAsia" w:ascii="宋体" w:hAnsi="宋体" w:cs="宋体"/>
          <w:color w:val="000000" w:themeColor="text1"/>
          <w:highlight w:val="none"/>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7.8</w:t>
      </w:r>
      <w:r>
        <w:rPr>
          <w:rStyle w:val="50"/>
          <w:rFonts w:hint="eastAsia" w:ascii="宋体" w:hAnsi="宋体" w:cs="宋体"/>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w:t>
      </w:r>
      <w:r>
        <w:rPr>
          <w:rStyle w:val="50"/>
          <w:rFonts w:hint="eastAsia"/>
          <w:color w:val="000000" w:themeColor="text1"/>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8.1</w:t>
      </w:r>
      <w:r>
        <w:rPr>
          <w:rStyle w:val="50"/>
          <w:rFonts w:hint="eastAsia" w:ascii="宋体" w:hAnsi="宋体" w:cs="宋体"/>
          <w:color w:val="000000" w:themeColor="text1"/>
          <w:highlight w:val="none"/>
          <w14:textFill>
            <w14:solidFill>
              <w14:schemeClr w14:val="tx1"/>
            </w14:solidFill>
          </w14:textFill>
        </w:rPr>
        <w:t>对招标人的纪律要求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8.2</w:t>
      </w:r>
      <w:r>
        <w:rPr>
          <w:rStyle w:val="50"/>
          <w:rFonts w:hint="eastAsia" w:ascii="宋体" w:hAnsi="宋体" w:cs="宋体"/>
          <w:color w:val="000000" w:themeColor="text1"/>
          <w:highlight w:val="none"/>
          <w14:textFill>
            <w14:solidFill>
              <w14:schemeClr w14:val="tx1"/>
            </w14:solidFill>
          </w14:textFill>
        </w:rPr>
        <w:t>对投标人的纪律要求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8.3</w:t>
      </w:r>
      <w:r>
        <w:rPr>
          <w:rStyle w:val="50"/>
          <w:rFonts w:hint="eastAsia" w:ascii="宋体" w:hAnsi="宋体" w:cs="宋体"/>
          <w:color w:val="000000" w:themeColor="text1"/>
          <w:highlight w:val="none"/>
          <w14:textFill>
            <w14:solidFill>
              <w14:schemeClr w14:val="tx1"/>
            </w14:solidFill>
          </w14:textFill>
        </w:rPr>
        <w:t>对评标委员会成员的纪律要求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8.4</w:t>
      </w:r>
      <w:r>
        <w:rPr>
          <w:rStyle w:val="50"/>
          <w:rFonts w:hint="eastAsia" w:ascii="宋体" w:hAnsi="宋体" w:cs="宋体"/>
          <w:color w:val="000000" w:themeColor="text1"/>
          <w:highlight w:val="none"/>
          <w14:textFill>
            <w14:solidFill>
              <w14:schemeClr w14:val="tx1"/>
            </w14:solidFill>
          </w14:textFill>
        </w:rPr>
        <w:t>对与评标活动有关的工作人员的纪律要求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8.5</w:t>
      </w:r>
      <w:r>
        <w:rPr>
          <w:rStyle w:val="50"/>
          <w:rFonts w:hint="eastAsia" w:ascii="宋体" w:hAnsi="宋体" w:cs="宋体"/>
          <w:color w:val="000000" w:themeColor="text1"/>
          <w:highlight w:val="none"/>
          <w14:textFill>
            <w14:solidFill>
              <w14:schemeClr w14:val="tx1"/>
            </w14:solidFill>
          </w14:textFill>
        </w:rPr>
        <w:t>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9.</w:t>
      </w:r>
      <w:r>
        <w:rPr>
          <w:rStyle w:val="50"/>
          <w:rFonts w:hint="eastAsia"/>
          <w:color w:val="000000" w:themeColor="text1"/>
          <w:highlight w:val="none"/>
          <w14:textFill>
            <w14:solidFill>
              <w14:schemeClr w14:val="tx1"/>
            </w14:solidFill>
          </w14:textFill>
        </w:rPr>
        <w:t>是否采用电子招标投标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w:t>
      </w:r>
      <w:r>
        <w:rPr>
          <w:rStyle w:val="50"/>
          <w:rFonts w:hint="eastAsia" w:ascii="宋体" w:hAnsi="宋体" w:cs="宋体"/>
          <w:color w:val="000000" w:themeColor="text1"/>
          <w:highlight w:val="none"/>
          <w14:textFill>
            <w14:solidFill>
              <w14:schemeClr w14:val="tx1"/>
            </w14:solidFill>
          </w14:textFill>
        </w:rPr>
        <w:t xml:space="preserve">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"_Toc43475726"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附件一：开标记录表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"_Toc43475727"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附件二：问题澄清通知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"_Toc43475728"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附件三：问题的澄清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"_Toc43475729"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附件四：中标通知书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"_Toc43475730"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附件五：中标结果通知书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"_Toc43475731"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附表六：确认通知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"_Toc43475732"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第三章评标办法（双信封的合理低价法）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"_Toc43475733"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评标办法前附表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8</w:t>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"_Toc43475734"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 </w:t>
      </w:r>
      <w:r>
        <w:rPr>
          <w:rStyle w:val="50"/>
          <w:rFonts w:hint="eastAsia" w:ascii="宋体" w:hAnsi="宋体"/>
          <w:color w:val="000000" w:themeColor="text1"/>
          <w:highlight w:val="none"/>
          <w14:textFill>
            <w14:solidFill>
              <w14:schemeClr w14:val="tx1"/>
            </w14:solidFill>
          </w14:textFill>
        </w:rPr>
        <w:t>评标方法</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"_Toc43475735"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 </w:t>
      </w:r>
      <w:r>
        <w:rPr>
          <w:rStyle w:val="50"/>
          <w:rFonts w:hint="eastAsia" w:ascii="宋体" w:hAnsi="宋体"/>
          <w:color w:val="000000" w:themeColor="text1"/>
          <w:highlight w:val="none"/>
          <w14:textFill>
            <w14:solidFill>
              <w14:schemeClr w14:val="tx1"/>
            </w14:solidFill>
          </w14:textFill>
        </w:rPr>
        <w:t>评审标准</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"_Toc43475738"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3. </w:t>
      </w:r>
      <w:r>
        <w:rPr>
          <w:rStyle w:val="50"/>
          <w:rFonts w:hint="eastAsia" w:ascii="宋体" w:hAnsi="宋体"/>
          <w:color w:val="000000" w:themeColor="text1"/>
          <w:highlight w:val="none"/>
          <w14:textFill>
            <w14:solidFill>
              <w14:schemeClr w14:val="tx1"/>
            </w14:solidFill>
          </w14:textFill>
        </w:rPr>
        <w:t>评标程序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"_Toc43475747"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"_Toc43475748"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第一节通用合同条款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"_Toc43475749"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 </w:t>
      </w:r>
      <w:r>
        <w:rPr>
          <w:rStyle w:val="50"/>
          <w:rFonts w:hint="eastAsia" w:ascii="宋体" w:hAnsi="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 </w:t>
      </w:r>
      <w:r>
        <w:rPr>
          <w:rStyle w:val="50"/>
          <w:rFonts w:hint="eastAsia" w:ascii="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 </w:t>
      </w:r>
      <w:r>
        <w:rPr>
          <w:rStyle w:val="50"/>
          <w:rFonts w:hint="eastAsia" w:ascii="宋体"/>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 </w:t>
      </w:r>
      <w:r>
        <w:rPr>
          <w:rStyle w:val="50"/>
          <w:rFonts w:hint="eastAsia" w:ascii="宋体"/>
          <w:color w:val="000000" w:themeColor="text1"/>
          <w:highlight w:val="none"/>
          <w14:textFill>
            <w14:solidFill>
              <w14:schemeClr w14:val="tx1"/>
            </w14:solidFill>
          </w14:textFill>
        </w:rPr>
        <w:t>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1.4 </w:t>
      </w:r>
      <w:r>
        <w:rPr>
          <w:rStyle w:val="50"/>
          <w:rFonts w:hint="eastAsia" w:ascii="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 </w:t>
      </w:r>
      <w:r>
        <w:rPr>
          <w:rStyle w:val="50"/>
          <w:rFonts w:hint="eastAsia" w:ascii="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1.6 </w:t>
      </w:r>
      <w:r>
        <w:rPr>
          <w:rStyle w:val="50"/>
          <w:rFonts w:hint="eastAsia" w:ascii="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 </w:t>
      </w:r>
      <w:r>
        <w:rPr>
          <w:rStyle w:val="50"/>
          <w:rFonts w:hint="eastAsia" w:ascii="宋体"/>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 </w:t>
      </w:r>
      <w:r>
        <w:rPr>
          <w:rStyle w:val="50"/>
          <w:rFonts w:hint="eastAsia" w:ascii="宋体"/>
          <w:color w:val="000000" w:themeColor="text1"/>
          <w:highlight w:val="none"/>
          <w14:textFill>
            <w14:solidFill>
              <w14:schemeClr w14:val="tx1"/>
            </w14:solidFill>
          </w14:textFill>
        </w:rPr>
        <w:t>转让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 </w:t>
      </w:r>
      <w:r>
        <w:rPr>
          <w:rStyle w:val="50"/>
          <w:rFonts w:hint="eastAsia" w:ascii="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1.10 </w:t>
      </w:r>
      <w:r>
        <w:rPr>
          <w:rStyle w:val="50"/>
          <w:rFonts w:hint="eastAsia" w:ascii="宋体"/>
          <w:color w:val="000000" w:themeColor="text1"/>
          <w:highlight w:val="none"/>
          <w14:textFill>
            <w14:solidFill>
              <w14:schemeClr w14:val="tx1"/>
            </w14:solidFill>
          </w14:textFill>
        </w:rPr>
        <w:t>化石、文物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1.11 </w:t>
      </w:r>
      <w:r>
        <w:rPr>
          <w:rStyle w:val="50"/>
          <w:rFonts w:hint="eastAsia" w:ascii="宋体"/>
          <w:color w:val="000000" w:themeColor="text1"/>
          <w:highlight w:val="none"/>
          <w14:textFill>
            <w14:solidFill>
              <w14:schemeClr w14:val="tx1"/>
            </w14:solidFill>
          </w14:textFill>
        </w:rPr>
        <w:t>专利技术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1.12 </w:t>
      </w:r>
      <w:r>
        <w:rPr>
          <w:rStyle w:val="50"/>
          <w:rFonts w:hint="eastAsia" w:ascii="宋体"/>
          <w:color w:val="000000" w:themeColor="text1"/>
          <w:highlight w:val="none"/>
          <w14:textFill>
            <w14:solidFill>
              <w14:schemeClr w14:val="tx1"/>
            </w14:solidFill>
          </w14:textFill>
        </w:rPr>
        <w:t>图纸和文件的保密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"_Toc43475762"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 </w:t>
      </w:r>
      <w:r>
        <w:rPr>
          <w:rStyle w:val="50"/>
          <w:rFonts w:hint="eastAsia" w:ascii="宋体" w:hAnsi="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2.1 </w:t>
      </w:r>
      <w:r>
        <w:rPr>
          <w:rStyle w:val="50"/>
          <w:rFonts w:hint="eastAsia" w:ascii="宋体"/>
          <w:color w:val="000000" w:themeColor="text1"/>
          <w:highlight w:val="none"/>
          <w14:textFill>
            <w14:solidFill>
              <w14:schemeClr w14:val="tx1"/>
            </w14:solidFill>
          </w14:textFill>
        </w:rPr>
        <w:t>遵守法律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2.2 </w:t>
      </w:r>
      <w:r>
        <w:rPr>
          <w:rStyle w:val="50"/>
          <w:rFonts w:hint="eastAsia" w:ascii="宋体"/>
          <w:color w:val="000000" w:themeColor="text1"/>
          <w:highlight w:val="none"/>
          <w14:textFill>
            <w14:solidFill>
              <w14:schemeClr w14:val="tx1"/>
            </w14:solidFill>
          </w14:textFill>
        </w:rPr>
        <w:t>发出开工通知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 </w:t>
      </w:r>
      <w:r>
        <w:rPr>
          <w:rStyle w:val="50"/>
          <w:rFonts w:hint="eastAsia" w:ascii="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2.4 </w:t>
      </w:r>
      <w:r>
        <w:rPr>
          <w:rStyle w:val="50"/>
          <w:rFonts w:hint="eastAsia" w:ascii="宋体"/>
          <w:color w:val="000000" w:themeColor="text1"/>
          <w:highlight w:val="none"/>
          <w14:textFill>
            <w14:solidFill>
              <w14:schemeClr w14:val="tx1"/>
            </w14:solidFill>
          </w14:textFill>
        </w:rPr>
        <w:t>协助承包人办理证件和批件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2.5 </w:t>
      </w:r>
      <w:r>
        <w:rPr>
          <w:rStyle w:val="50"/>
          <w:rFonts w:hint="eastAsia" w:ascii="宋体"/>
          <w:color w:val="000000" w:themeColor="text1"/>
          <w:highlight w:val="none"/>
          <w14:textFill>
            <w14:solidFill>
              <w14:schemeClr w14:val="tx1"/>
            </w14:solidFill>
          </w14:textFill>
        </w:rPr>
        <w:t>组织设计交底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2.6 </w:t>
      </w:r>
      <w:r>
        <w:rPr>
          <w:rStyle w:val="50"/>
          <w:rFonts w:hint="eastAsia" w:ascii="宋体"/>
          <w:color w:val="000000" w:themeColor="text1"/>
          <w:highlight w:val="none"/>
          <w14:textFill>
            <w14:solidFill>
              <w14:schemeClr w14:val="tx1"/>
            </w14:solidFill>
          </w14:textFill>
        </w:rPr>
        <w:t>支付合同价款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2.7 </w:t>
      </w:r>
      <w:r>
        <w:rPr>
          <w:rStyle w:val="50"/>
          <w:rFonts w:hint="eastAsia" w:ascii="宋体"/>
          <w:color w:val="000000" w:themeColor="text1"/>
          <w:highlight w:val="none"/>
          <w14:textFill>
            <w14:solidFill>
              <w14:schemeClr w14:val="tx1"/>
            </w14:solidFill>
          </w14:textFill>
        </w:rPr>
        <w:t>组织竣工验收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2.8 </w:t>
      </w:r>
      <w:r>
        <w:rPr>
          <w:rStyle w:val="50"/>
          <w:rFonts w:hint="eastAsia" w:ascii="宋体"/>
          <w:color w:val="000000" w:themeColor="text1"/>
          <w:highlight w:val="none"/>
          <w14:textFill>
            <w14:solidFill>
              <w14:schemeClr w14:val="tx1"/>
            </w14:solidFill>
          </w14:textFill>
        </w:rPr>
        <w:t>其他义务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"_Toc43475771"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3. </w:t>
      </w:r>
      <w:r>
        <w:rPr>
          <w:rStyle w:val="50"/>
          <w:rFonts w:hint="eastAsia" w:ascii="宋体" w:hAnsi="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3.1 </w:t>
      </w:r>
      <w:r>
        <w:rPr>
          <w:rStyle w:val="50"/>
          <w:rFonts w:hint="eastAsia" w:ascii="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3.2 </w:t>
      </w:r>
      <w:r>
        <w:rPr>
          <w:rStyle w:val="50"/>
          <w:rFonts w:hint="eastAsia" w:ascii="宋体"/>
          <w:color w:val="000000" w:themeColor="text1"/>
          <w:highlight w:val="none"/>
          <w14:textFill>
            <w14:solidFill>
              <w14:schemeClr w14:val="tx1"/>
            </w14:solidFill>
          </w14:textFill>
        </w:rPr>
        <w:t>总监理工程师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3.3 </w:t>
      </w:r>
      <w:r>
        <w:rPr>
          <w:rStyle w:val="50"/>
          <w:rFonts w:hint="eastAsia" w:ascii="宋体"/>
          <w:color w:val="000000" w:themeColor="text1"/>
          <w:highlight w:val="none"/>
          <w14:textFill>
            <w14:solidFill>
              <w14:schemeClr w14:val="tx1"/>
            </w14:solidFill>
          </w14:textFill>
        </w:rPr>
        <w:t>监理人员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3.4 </w:t>
      </w:r>
      <w:r>
        <w:rPr>
          <w:rStyle w:val="50"/>
          <w:rFonts w:hint="eastAsia" w:ascii="宋体"/>
          <w:color w:val="000000" w:themeColor="text1"/>
          <w:highlight w:val="none"/>
          <w14:textFill>
            <w14:solidFill>
              <w14:schemeClr w14:val="tx1"/>
            </w14:solidFill>
          </w14:textFill>
        </w:rPr>
        <w:t>监理人的指示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3.5 </w:t>
      </w:r>
      <w:r>
        <w:rPr>
          <w:rStyle w:val="50"/>
          <w:rFonts w:hint="eastAsia" w:ascii="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"_Toc43475777"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4. </w:t>
      </w:r>
      <w:r>
        <w:rPr>
          <w:rStyle w:val="50"/>
          <w:rFonts w:hint="eastAsia" w:ascii="宋体" w:hAnsi="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4.1 </w:t>
      </w:r>
      <w:r>
        <w:rPr>
          <w:rStyle w:val="50"/>
          <w:rFonts w:hint="eastAsia" w:ascii="宋体"/>
          <w:color w:val="000000" w:themeColor="text1"/>
          <w:highlight w:val="none"/>
          <w14:textFill>
            <w14:solidFill>
              <w14:schemeClr w14:val="tx1"/>
            </w14:solidFill>
          </w14:textFill>
        </w:rPr>
        <w:t>承包人的一般义务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4.2 </w:t>
      </w:r>
      <w:r>
        <w:rPr>
          <w:rStyle w:val="50"/>
          <w:rFonts w:hint="eastAsia" w:ascii="宋体"/>
          <w:color w:val="000000" w:themeColor="text1"/>
          <w:highlight w:val="none"/>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4.3 </w:t>
      </w:r>
      <w:r>
        <w:rPr>
          <w:rStyle w:val="50"/>
          <w:rFonts w:hint="eastAsia" w:ascii="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4.4 </w:t>
      </w:r>
      <w:r>
        <w:rPr>
          <w:rStyle w:val="50"/>
          <w:rFonts w:hint="eastAsia" w:ascii="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4.5 </w:t>
      </w:r>
      <w:r>
        <w:rPr>
          <w:rStyle w:val="50"/>
          <w:rFonts w:hint="eastAsia" w:ascii="宋体"/>
          <w:color w:val="000000" w:themeColor="text1"/>
          <w:highlight w:val="none"/>
          <w14:textFill>
            <w14:solidFill>
              <w14:schemeClr w14:val="tx1"/>
            </w14:solidFill>
          </w14:textFill>
        </w:rPr>
        <w:t>承包人项目经理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4.6 </w:t>
      </w:r>
      <w:r>
        <w:rPr>
          <w:rStyle w:val="50"/>
          <w:rFonts w:hint="eastAsia" w:ascii="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4.7 </w:t>
      </w:r>
      <w:r>
        <w:rPr>
          <w:rStyle w:val="50"/>
          <w:rFonts w:hint="eastAsia" w:ascii="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4.8 </w:t>
      </w:r>
      <w:r>
        <w:rPr>
          <w:rStyle w:val="50"/>
          <w:rFonts w:hint="eastAsia" w:ascii="宋体"/>
          <w:color w:val="000000" w:themeColor="text1"/>
          <w:highlight w:val="none"/>
          <w14:textFill>
            <w14:solidFill>
              <w14:schemeClr w14:val="tx1"/>
            </w14:solidFill>
          </w14:textFill>
        </w:rPr>
        <w:t>保障承包人人员的合法权益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4.9 </w:t>
      </w:r>
      <w:r>
        <w:rPr>
          <w:rStyle w:val="50"/>
          <w:rFonts w:hint="eastAsia" w:ascii="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4.10 </w:t>
      </w:r>
      <w:r>
        <w:rPr>
          <w:rStyle w:val="50"/>
          <w:rFonts w:hint="eastAsia" w:ascii="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4.11 </w:t>
      </w:r>
      <w:r>
        <w:rPr>
          <w:rStyle w:val="50"/>
          <w:rFonts w:hint="eastAsia" w:ascii="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"_Toc43475789"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5. </w:t>
      </w:r>
      <w:r>
        <w:rPr>
          <w:rStyle w:val="50"/>
          <w:rFonts w:hint="eastAsia" w:ascii="宋体" w:hAnsi="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5.1 </w:t>
      </w:r>
      <w:r>
        <w:rPr>
          <w:rStyle w:val="50"/>
          <w:rFonts w:hint="eastAsia" w:ascii="宋体"/>
          <w:color w:val="000000" w:themeColor="text1"/>
          <w:highlight w:val="none"/>
          <w14:textFill>
            <w14:solidFill>
              <w14:schemeClr w14:val="tx1"/>
            </w14:solidFill>
          </w14:textFill>
        </w:rPr>
        <w:t>承包人提供的材料和工程设备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5.2 </w:t>
      </w:r>
      <w:r>
        <w:rPr>
          <w:rStyle w:val="50"/>
          <w:rFonts w:hint="eastAsia" w:ascii="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5.3 </w:t>
      </w:r>
      <w:r>
        <w:rPr>
          <w:rStyle w:val="50"/>
          <w:rFonts w:hint="eastAsia" w:ascii="宋体"/>
          <w:color w:val="000000" w:themeColor="text1"/>
          <w:highlight w:val="none"/>
          <w14:textFill>
            <w14:solidFill>
              <w14:schemeClr w14:val="tx1"/>
            </w14:solidFill>
          </w14:textFill>
        </w:rPr>
        <w:t>材料和工程设备专用于合同工程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5.4 </w:t>
      </w:r>
      <w:r>
        <w:rPr>
          <w:rStyle w:val="50"/>
          <w:rFonts w:hint="eastAsia" w:ascii="宋体"/>
          <w:color w:val="000000" w:themeColor="text1"/>
          <w:highlight w:val="none"/>
          <w14:textFill>
            <w14:solidFill>
              <w14:schemeClr w14:val="tx1"/>
            </w14:solidFill>
          </w14:textFill>
        </w:rPr>
        <w:t>禁止使用不合格的材料和工程设备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"_Toc43475794"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6. </w:t>
      </w:r>
      <w:r>
        <w:rPr>
          <w:rStyle w:val="50"/>
          <w:rFonts w:hint="eastAsia" w:ascii="宋体" w:hAnsi="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6.1 </w:t>
      </w:r>
      <w:r>
        <w:rPr>
          <w:rStyle w:val="50"/>
          <w:rFonts w:hint="eastAsia" w:ascii="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6.2 </w:t>
      </w:r>
      <w:r>
        <w:rPr>
          <w:rStyle w:val="50"/>
          <w:rFonts w:hint="eastAsia" w:ascii="宋体"/>
          <w:color w:val="000000" w:themeColor="text1"/>
          <w:highlight w:val="none"/>
          <w14:textFill>
            <w14:solidFill>
              <w14:schemeClr w14:val="tx1"/>
            </w14:solidFill>
          </w14:textFill>
        </w:rPr>
        <w:t>发包人提供的施工设备和临时设施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6.3 </w:t>
      </w:r>
      <w:r>
        <w:rPr>
          <w:rStyle w:val="50"/>
          <w:rFonts w:hint="eastAsia" w:ascii="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6.4 </w:t>
      </w:r>
      <w:r>
        <w:rPr>
          <w:rStyle w:val="50"/>
          <w:rFonts w:hint="eastAsia" w:ascii="宋体"/>
          <w:color w:val="000000" w:themeColor="text1"/>
          <w:highlight w:val="none"/>
          <w14:textFill>
            <w14:solidFill>
              <w14:schemeClr w14:val="tx1"/>
            </w14:solidFill>
          </w14:textFill>
        </w:rPr>
        <w:t>施工设备和临时设施专用于合同工程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"_Toc43475799"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7. </w:t>
      </w:r>
      <w:r>
        <w:rPr>
          <w:rStyle w:val="50"/>
          <w:rFonts w:hint="eastAsia" w:ascii="宋体" w:hAnsi="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7.1 </w:t>
      </w:r>
      <w:r>
        <w:rPr>
          <w:rStyle w:val="50"/>
          <w:rFonts w:hint="eastAsia" w:ascii="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7.2 </w:t>
      </w:r>
      <w:r>
        <w:rPr>
          <w:rStyle w:val="50"/>
          <w:rFonts w:hint="eastAsia" w:ascii="宋体"/>
          <w:color w:val="000000" w:themeColor="text1"/>
          <w:highlight w:val="none"/>
          <w14:textFill>
            <w14:solidFill>
              <w14:schemeClr w14:val="tx1"/>
            </w14:solidFill>
          </w14:textFill>
        </w:rPr>
        <w:t>场内施工道路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7.3 </w:t>
      </w:r>
      <w:r>
        <w:rPr>
          <w:rStyle w:val="50"/>
          <w:rFonts w:hint="eastAsia" w:ascii="宋体"/>
          <w:color w:val="000000" w:themeColor="text1"/>
          <w:highlight w:val="none"/>
          <w14:textFill>
            <w14:solidFill>
              <w14:schemeClr w14:val="tx1"/>
            </w14:solidFill>
          </w14:textFill>
        </w:rPr>
        <w:t>场外交通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7.4 </w:t>
      </w:r>
      <w:r>
        <w:rPr>
          <w:rStyle w:val="50"/>
          <w:rFonts w:hint="eastAsia" w:ascii="宋体"/>
          <w:color w:val="000000" w:themeColor="text1"/>
          <w:highlight w:val="none"/>
          <w14:textFill>
            <w14:solidFill>
              <w14:schemeClr w14:val="tx1"/>
            </w14:solidFill>
          </w14:textFill>
        </w:rPr>
        <w:t>超大件和超重件的运输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7.5 </w:t>
      </w:r>
      <w:r>
        <w:rPr>
          <w:rStyle w:val="50"/>
          <w:rFonts w:hint="eastAsia" w:ascii="宋体"/>
          <w:color w:val="000000" w:themeColor="text1"/>
          <w:highlight w:val="none"/>
          <w14:textFill>
            <w14:solidFill>
              <w14:schemeClr w14:val="tx1"/>
            </w14:solidFill>
          </w14:textFill>
        </w:rPr>
        <w:t>道路和桥梁的损坏责任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7.6 </w:t>
      </w:r>
      <w:r>
        <w:rPr>
          <w:rStyle w:val="50"/>
          <w:rFonts w:hint="eastAsia" w:ascii="宋体"/>
          <w:color w:val="000000" w:themeColor="text1"/>
          <w:highlight w:val="none"/>
          <w14:textFill>
            <w14:solidFill>
              <w14:schemeClr w14:val="tx1"/>
            </w14:solidFill>
          </w14:textFill>
        </w:rPr>
        <w:t>水路和航空运输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"_Toc43475806"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8. </w:t>
      </w:r>
      <w:r>
        <w:rPr>
          <w:rStyle w:val="50"/>
          <w:rFonts w:hint="eastAsia" w:ascii="宋体" w:hAnsi="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8.1 </w:t>
      </w:r>
      <w:r>
        <w:rPr>
          <w:rStyle w:val="50"/>
          <w:rFonts w:hint="eastAsia" w:ascii="宋体"/>
          <w:color w:val="000000" w:themeColor="text1"/>
          <w:highlight w:val="none"/>
          <w14:textFill>
            <w14:solidFill>
              <w14:schemeClr w14:val="tx1"/>
            </w14:solidFill>
          </w14:textFill>
        </w:rPr>
        <w:t>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8.2 </w:t>
      </w:r>
      <w:r>
        <w:rPr>
          <w:rStyle w:val="50"/>
          <w:rFonts w:hint="eastAsia" w:ascii="宋体"/>
          <w:color w:val="000000" w:themeColor="text1"/>
          <w:highlight w:val="none"/>
          <w14:textFill>
            <w14:solidFill>
              <w14:schemeClr w14:val="tx1"/>
            </w14:solidFill>
          </w14:textFill>
        </w:rPr>
        <w:t>施工测量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8.3 </w:t>
      </w:r>
      <w:r>
        <w:rPr>
          <w:rStyle w:val="50"/>
          <w:rFonts w:hint="eastAsia" w:ascii="宋体"/>
          <w:color w:val="000000" w:themeColor="text1"/>
          <w:highlight w:val="none"/>
          <w14:textFill>
            <w14:solidFill>
              <w14:schemeClr w14:val="tx1"/>
            </w14:solidFill>
          </w14:textFill>
        </w:rPr>
        <w:t>基准资料错误的责任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8.4 </w:t>
      </w:r>
      <w:r>
        <w:rPr>
          <w:rStyle w:val="50"/>
          <w:rFonts w:hint="eastAsia" w:ascii="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"_Toc43475811"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9. </w:t>
      </w:r>
      <w:r>
        <w:rPr>
          <w:rStyle w:val="50"/>
          <w:rFonts w:hint="eastAsia" w:ascii="宋体" w:hAnsi="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9.1 </w:t>
      </w:r>
      <w:r>
        <w:rPr>
          <w:rStyle w:val="50"/>
          <w:rFonts w:hint="eastAsia" w:ascii="宋体"/>
          <w:color w:val="000000" w:themeColor="text1"/>
          <w:highlight w:val="none"/>
          <w14:textFill>
            <w14:solidFill>
              <w14:schemeClr w14:val="tx1"/>
            </w14:solidFill>
          </w14:textFill>
        </w:rPr>
        <w:t>发包人的施工安全责任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9.2 </w:t>
      </w:r>
      <w:r>
        <w:rPr>
          <w:rStyle w:val="50"/>
          <w:rFonts w:hint="eastAsia" w:ascii="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9.3 </w:t>
      </w:r>
      <w:r>
        <w:rPr>
          <w:rStyle w:val="50"/>
          <w:rFonts w:hint="eastAsia" w:ascii="宋体"/>
          <w:color w:val="000000" w:themeColor="text1"/>
          <w:highlight w:val="none"/>
          <w14:textFill>
            <w14:solidFill>
              <w14:schemeClr w14:val="tx1"/>
            </w14:solidFill>
          </w14:textFill>
        </w:rPr>
        <w:t>治安保卫</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9.4 </w:t>
      </w:r>
      <w:r>
        <w:rPr>
          <w:rStyle w:val="50"/>
          <w:rFonts w:hint="eastAsia" w:ascii="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9.5 </w:t>
      </w:r>
      <w:r>
        <w:rPr>
          <w:rStyle w:val="50"/>
          <w:rFonts w:hint="eastAsia" w:ascii="宋体"/>
          <w:color w:val="000000" w:themeColor="text1"/>
          <w:highlight w:val="none"/>
          <w14:textFill>
            <w14:solidFill>
              <w14:schemeClr w14:val="tx1"/>
            </w14:solidFill>
          </w14:textFill>
        </w:rPr>
        <w:t>事故处理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"_Toc43475817"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10. </w:t>
      </w:r>
      <w:r>
        <w:rPr>
          <w:rStyle w:val="50"/>
          <w:rFonts w:hint="eastAsia" w:ascii="宋体" w:hAnsi="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10.1 </w:t>
      </w:r>
      <w:r>
        <w:rPr>
          <w:rStyle w:val="50"/>
          <w:rFonts w:hint="eastAsia" w:ascii="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10.2 </w:t>
      </w:r>
      <w:r>
        <w:rPr>
          <w:rStyle w:val="50"/>
          <w:rFonts w:hint="eastAsia" w:ascii="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"_Toc43475820"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11. </w:t>
      </w:r>
      <w:r>
        <w:rPr>
          <w:rStyle w:val="50"/>
          <w:rFonts w:hint="eastAsia" w:ascii="宋体" w:hAnsi="宋体"/>
          <w:color w:val="000000" w:themeColor="text1"/>
          <w:highlight w:val="none"/>
          <w14:textFill>
            <w14:solidFill>
              <w14:schemeClr w14:val="tx1"/>
            </w14:solidFill>
          </w14:textFill>
        </w:rPr>
        <w:t>开工和竣工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11.1 </w:t>
      </w:r>
      <w:r>
        <w:rPr>
          <w:rStyle w:val="50"/>
          <w:rFonts w:hint="eastAsia" w:ascii="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11.2 </w:t>
      </w:r>
      <w:r>
        <w:rPr>
          <w:rStyle w:val="50"/>
          <w:rFonts w:hint="eastAsia" w:ascii="宋体"/>
          <w:color w:val="000000" w:themeColor="text1"/>
          <w:highlight w:val="none"/>
          <w14:textFill>
            <w14:solidFill>
              <w14:schemeClr w14:val="tx1"/>
            </w14:solidFill>
          </w14:textFill>
        </w:rPr>
        <w:t>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11.3 </w:t>
      </w:r>
      <w:r>
        <w:rPr>
          <w:rStyle w:val="50"/>
          <w:rFonts w:hint="eastAsia" w:ascii="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11.4 </w:t>
      </w:r>
      <w:r>
        <w:rPr>
          <w:rStyle w:val="50"/>
          <w:rFonts w:hint="eastAsia" w:ascii="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11.5 </w:t>
      </w:r>
      <w:r>
        <w:rPr>
          <w:rStyle w:val="50"/>
          <w:rFonts w:hint="eastAsia" w:ascii="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11.6 </w:t>
      </w:r>
      <w:r>
        <w:rPr>
          <w:rStyle w:val="50"/>
          <w:rFonts w:hint="eastAsia" w:ascii="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"_Toc43475827"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12. </w:t>
      </w:r>
      <w:r>
        <w:rPr>
          <w:rStyle w:val="50"/>
          <w:rFonts w:hint="eastAsia" w:ascii="宋体" w:hAnsi="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12.1 </w:t>
      </w:r>
      <w:r>
        <w:rPr>
          <w:rStyle w:val="50"/>
          <w:rFonts w:hint="eastAsia" w:ascii="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12.2 </w:t>
      </w:r>
      <w:r>
        <w:rPr>
          <w:rStyle w:val="50"/>
          <w:rFonts w:hint="eastAsia" w:ascii="宋体"/>
          <w:color w:val="000000" w:themeColor="text1"/>
          <w:highlight w:val="none"/>
          <w14:textFill>
            <w14:solidFill>
              <w14:schemeClr w14:val="tx1"/>
            </w14:solidFill>
          </w14:textFill>
        </w:rPr>
        <w:t>发包人暂停施工的责任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12.3 </w:t>
      </w:r>
      <w:r>
        <w:rPr>
          <w:rStyle w:val="50"/>
          <w:rFonts w:hint="eastAsia" w:ascii="宋体"/>
          <w:color w:val="000000" w:themeColor="text1"/>
          <w:highlight w:val="none"/>
          <w14:textFill>
            <w14:solidFill>
              <w14:schemeClr w14:val="tx1"/>
            </w14:solidFill>
          </w14:textFill>
        </w:rPr>
        <w:t>监理人暂停施工指示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12.4 </w:t>
      </w:r>
      <w:r>
        <w:rPr>
          <w:rStyle w:val="50"/>
          <w:rFonts w:hint="eastAsia" w:ascii="宋体"/>
          <w:color w:val="000000" w:themeColor="text1"/>
          <w:highlight w:val="none"/>
          <w14:textFill>
            <w14:solidFill>
              <w14:schemeClr w14:val="tx1"/>
            </w14:solidFill>
          </w14:textFill>
        </w:rPr>
        <w:t>暂停施工后的复工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12.5 </w:t>
      </w:r>
      <w:r>
        <w:rPr>
          <w:rStyle w:val="50"/>
          <w:rFonts w:hint="eastAsia" w:ascii="宋体"/>
          <w:color w:val="000000" w:themeColor="text1"/>
          <w:highlight w:val="none"/>
          <w14:textFill>
            <w14:solidFill>
              <w14:schemeClr w14:val="tx1"/>
            </w14:solidFill>
          </w14:textFill>
        </w:rPr>
        <w:t>暂停施工持续</w:t>
      </w:r>
      <w:r>
        <w:rPr>
          <w:rStyle w:val="50"/>
          <w:rFonts w:ascii="宋体"/>
          <w:color w:val="000000" w:themeColor="text1"/>
          <w:highlight w:val="none"/>
          <w14:textFill>
            <w14:solidFill>
              <w14:schemeClr w14:val="tx1"/>
            </w14:solidFill>
          </w14:textFill>
        </w:rPr>
        <w:t>56</w:t>
      </w:r>
      <w:r>
        <w:rPr>
          <w:rStyle w:val="50"/>
          <w:rFonts w:hint="eastAsia" w:ascii="宋体"/>
          <w:color w:val="000000" w:themeColor="text1"/>
          <w:highlight w:val="none"/>
          <w14:textFill>
            <w14:solidFill>
              <w14:schemeClr w14:val="tx1"/>
            </w14:solidFill>
          </w14:textFill>
        </w:rPr>
        <w:t>天以上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"_Toc43475833"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13. </w:t>
      </w:r>
      <w:r>
        <w:rPr>
          <w:rStyle w:val="50"/>
          <w:rFonts w:hint="eastAsia" w:ascii="宋体" w:hAnsi="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13.1 </w:t>
      </w:r>
      <w:r>
        <w:rPr>
          <w:rStyle w:val="50"/>
          <w:rFonts w:hint="eastAsia" w:ascii="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13.2 </w:t>
      </w:r>
      <w:r>
        <w:rPr>
          <w:rStyle w:val="50"/>
          <w:rFonts w:hint="eastAsia" w:ascii="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13.3 </w:t>
      </w:r>
      <w:r>
        <w:rPr>
          <w:rStyle w:val="50"/>
          <w:rFonts w:hint="eastAsia" w:ascii="宋体"/>
          <w:color w:val="000000" w:themeColor="text1"/>
          <w:highlight w:val="none"/>
          <w14:textFill>
            <w14:solidFill>
              <w14:schemeClr w14:val="tx1"/>
            </w14:solidFill>
          </w14:textFill>
        </w:rPr>
        <w:t>承包人的质量检查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13.4 </w:t>
      </w:r>
      <w:r>
        <w:rPr>
          <w:rStyle w:val="50"/>
          <w:rFonts w:hint="eastAsia" w:ascii="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13.5 </w:t>
      </w:r>
      <w:r>
        <w:rPr>
          <w:rStyle w:val="50"/>
          <w:rFonts w:hint="eastAsia" w:ascii="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13.6 </w:t>
      </w:r>
      <w:r>
        <w:rPr>
          <w:rStyle w:val="50"/>
          <w:rFonts w:hint="eastAsia" w:ascii="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"_Toc43475840"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14. </w:t>
      </w:r>
      <w:r>
        <w:rPr>
          <w:rStyle w:val="50"/>
          <w:rFonts w:hint="eastAsia" w:ascii="宋体" w:hAnsi="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14.1 </w:t>
      </w:r>
      <w:r>
        <w:rPr>
          <w:rStyle w:val="50"/>
          <w:rFonts w:hint="eastAsia" w:ascii="宋体"/>
          <w:color w:val="000000" w:themeColor="text1"/>
          <w:highlight w:val="none"/>
          <w14:textFill>
            <w14:solidFill>
              <w14:schemeClr w14:val="tx1"/>
            </w14:solidFill>
          </w14:textFill>
        </w:rPr>
        <w:t>材料、工程设备和工程的试验和检验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14.2 </w:t>
      </w:r>
      <w:r>
        <w:rPr>
          <w:rStyle w:val="50"/>
          <w:rFonts w:hint="eastAsia" w:ascii="宋体"/>
          <w:color w:val="000000" w:themeColor="text1"/>
          <w:highlight w:val="none"/>
          <w14:textFill>
            <w14:solidFill>
              <w14:schemeClr w14:val="tx1"/>
            </w14:solidFill>
          </w14:textFill>
        </w:rPr>
        <w:t>现场材料试验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14.3 </w:t>
      </w:r>
      <w:r>
        <w:rPr>
          <w:rStyle w:val="50"/>
          <w:rFonts w:hint="eastAsia" w:ascii="宋体"/>
          <w:color w:val="000000" w:themeColor="text1"/>
          <w:highlight w:val="none"/>
          <w14:textFill>
            <w14:solidFill>
              <w14:schemeClr w14:val="tx1"/>
            </w14:solidFill>
          </w14:textFill>
        </w:rPr>
        <w:t>现场工艺试验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"_Toc43475844"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15. </w:t>
      </w:r>
      <w:r>
        <w:rPr>
          <w:rStyle w:val="50"/>
          <w:rFonts w:hint="eastAsia" w:ascii="宋体" w:hAnsi="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15.1 </w:t>
      </w:r>
      <w:r>
        <w:rPr>
          <w:rStyle w:val="50"/>
          <w:rFonts w:hint="eastAsia" w:ascii="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15.2 </w:t>
      </w:r>
      <w:r>
        <w:rPr>
          <w:rStyle w:val="50"/>
          <w:rFonts w:hint="eastAsia" w:ascii="宋体"/>
          <w:color w:val="000000" w:themeColor="text1"/>
          <w:highlight w:val="none"/>
          <w14:textFill>
            <w14:solidFill>
              <w14:schemeClr w14:val="tx1"/>
            </w14:solidFill>
          </w14:textFill>
        </w:rPr>
        <w:t>变更权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15.3 </w:t>
      </w:r>
      <w:r>
        <w:rPr>
          <w:rStyle w:val="50"/>
          <w:rFonts w:hint="eastAsia" w:ascii="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15.4 </w:t>
      </w:r>
      <w:r>
        <w:rPr>
          <w:rStyle w:val="50"/>
          <w:rFonts w:hint="eastAsia" w:ascii="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15.5 </w:t>
      </w:r>
      <w:r>
        <w:rPr>
          <w:rStyle w:val="50"/>
          <w:rFonts w:hint="eastAsia" w:ascii="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15.6 </w:t>
      </w:r>
      <w:r>
        <w:rPr>
          <w:rStyle w:val="50"/>
          <w:rFonts w:hint="eastAsia" w:ascii="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15.7 </w:t>
      </w:r>
      <w:r>
        <w:rPr>
          <w:rStyle w:val="50"/>
          <w:rFonts w:hint="eastAsia" w:ascii="宋体"/>
          <w:color w:val="000000" w:themeColor="text1"/>
          <w:highlight w:val="none"/>
          <w14:textFill>
            <w14:solidFill>
              <w14:schemeClr w14:val="tx1"/>
            </w14:solidFill>
          </w14:textFill>
        </w:rPr>
        <w:t>计日工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15.8 </w:t>
      </w:r>
      <w:r>
        <w:rPr>
          <w:rStyle w:val="50"/>
          <w:rFonts w:hint="eastAsia" w:ascii="宋体"/>
          <w:color w:val="000000" w:themeColor="text1"/>
          <w:highlight w:val="none"/>
          <w14:textFill>
            <w14:solidFill>
              <w14:schemeClr w14:val="tx1"/>
            </w14:solidFill>
          </w14:textFill>
        </w:rPr>
        <w:t>暂估价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"_Toc43475853"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16. </w:t>
      </w:r>
      <w:r>
        <w:rPr>
          <w:rStyle w:val="50"/>
          <w:rFonts w:hint="eastAsia" w:ascii="宋体" w:hAnsi="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16.1 </w:t>
      </w:r>
      <w:r>
        <w:rPr>
          <w:rStyle w:val="50"/>
          <w:rFonts w:hint="eastAsia" w:ascii="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16.2 </w:t>
      </w:r>
      <w:r>
        <w:rPr>
          <w:rStyle w:val="50"/>
          <w:rFonts w:hint="eastAsia" w:ascii="宋体"/>
          <w:color w:val="000000" w:themeColor="text1"/>
          <w:highlight w:val="none"/>
          <w14:textFill>
            <w14:solidFill>
              <w14:schemeClr w14:val="tx1"/>
            </w14:solidFill>
          </w14:textFill>
        </w:rPr>
        <w:t>法律变化引起的价格调整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"_Toc43475856"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17. </w:t>
      </w:r>
      <w:r>
        <w:rPr>
          <w:rStyle w:val="50"/>
          <w:rFonts w:hint="eastAsia" w:ascii="宋体" w:hAnsi="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17.1 </w:t>
      </w:r>
      <w:r>
        <w:rPr>
          <w:rStyle w:val="50"/>
          <w:rFonts w:hint="eastAsia" w:ascii="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17.2 </w:t>
      </w:r>
      <w:r>
        <w:rPr>
          <w:rStyle w:val="50"/>
          <w:rFonts w:hint="eastAsia" w:ascii="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17.3 </w:t>
      </w:r>
      <w:r>
        <w:rPr>
          <w:rStyle w:val="50"/>
          <w:rFonts w:hint="eastAsia" w:ascii="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17.4 </w:t>
      </w:r>
      <w:r>
        <w:rPr>
          <w:rStyle w:val="50"/>
          <w:rFonts w:hint="eastAsia" w:ascii="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17.5 </w:t>
      </w:r>
      <w:r>
        <w:rPr>
          <w:rStyle w:val="50"/>
          <w:rFonts w:hint="eastAsia" w:ascii="宋体"/>
          <w:color w:val="000000" w:themeColor="text1"/>
          <w:highlight w:val="none"/>
          <w14:textFill>
            <w14:solidFill>
              <w14:schemeClr w14:val="tx1"/>
            </w14:solidFill>
          </w14:textFill>
        </w:rPr>
        <w:t>竣工结算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17.6 </w:t>
      </w:r>
      <w:r>
        <w:rPr>
          <w:rStyle w:val="50"/>
          <w:rFonts w:hint="eastAsia" w:ascii="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"_Toc43475863"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18. </w:t>
      </w:r>
      <w:r>
        <w:rPr>
          <w:rStyle w:val="50"/>
          <w:rFonts w:hint="eastAsia" w:ascii="宋体" w:hAnsi="宋体"/>
          <w:color w:val="000000" w:themeColor="text1"/>
          <w:highlight w:val="none"/>
          <w14:textFill>
            <w14:solidFill>
              <w14:schemeClr w14:val="tx1"/>
            </w14:solidFill>
          </w14:textFill>
        </w:rPr>
        <w:t>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18.1 </w:t>
      </w:r>
      <w:r>
        <w:rPr>
          <w:rStyle w:val="50"/>
          <w:rFonts w:hint="eastAsia" w:ascii="宋体"/>
          <w:color w:val="000000" w:themeColor="text1"/>
          <w:highlight w:val="none"/>
          <w14:textFill>
            <w14:solidFill>
              <w14:schemeClr w14:val="tx1"/>
            </w14:solidFill>
          </w14:textFill>
        </w:rPr>
        <w:t>竣工验收的含义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18.2 </w:t>
      </w:r>
      <w:r>
        <w:rPr>
          <w:rStyle w:val="50"/>
          <w:rFonts w:hint="eastAsia" w:ascii="宋体"/>
          <w:color w:val="000000" w:themeColor="text1"/>
          <w:highlight w:val="none"/>
          <w14:textFill>
            <w14:solidFill>
              <w14:schemeClr w14:val="tx1"/>
            </w14:solidFill>
          </w14:textFill>
        </w:rPr>
        <w:t>竣工验收申请报告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18.3 </w:t>
      </w:r>
      <w:r>
        <w:rPr>
          <w:rStyle w:val="50"/>
          <w:rFonts w:hint="eastAsia" w:ascii="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18.4 </w:t>
      </w:r>
      <w:r>
        <w:rPr>
          <w:rStyle w:val="50"/>
          <w:rFonts w:hint="eastAsia" w:ascii="宋体"/>
          <w:color w:val="000000" w:themeColor="text1"/>
          <w:highlight w:val="none"/>
          <w14:textFill>
            <w14:solidFill>
              <w14:schemeClr w14:val="tx1"/>
            </w14:solidFill>
          </w14:textFill>
        </w:rPr>
        <w:t>单位工程验收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18.5 </w:t>
      </w:r>
      <w:r>
        <w:rPr>
          <w:rStyle w:val="50"/>
          <w:rFonts w:hint="eastAsia" w:ascii="宋体"/>
          <w:color w:val="000000" w:themeColor="text1"/>
          <w:highlight w:val="none"/>
          <w14:textFill>
            <w14:solidFill>
              <w14:schemeClr w14:val="tx1"/>
            </w14:solidFill>
          </w14:textFill>
        </w:rPr>
        <w:t>施工期运行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18.6 </w:t>
      </w:r>
      <w:r>
        <w:rPr>
          <w:rStyle w:val="50"/>
          <w:rFonts w:hint="eastAsia" w:ascii="宋体"/>
          <w:color w:val="000000" w:themeColor="text1"/>
          <w:highlight w:val="none"/>
          <w14:textFill>
            <w14:solidFill>
              <w14:schemeClr w14:val="tx1"/>
            </w14:solidFill>
          </w14:textFill>
        </w:rPr>
        <w:t>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18.7 </w:t>
      </w:r>
      <w:r>
        <w:rPr>
          <w:rStyle w:val="50"/>
          <w:rFonts w:hint="eastAsia" w:ascii="宋体"/>
          <w:color w:val="000000" w:themeColor="text1"/>
          <w:highlight w:val="none"/>
          <w14:textFill>
            <w14:solidFill>
              <w14:schemeClr w14:val="tx1"/>
            </w14:solidFill>
          </w14:textFill>
        </w:rPr>
        <w:t>竣工清场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18.8 </w:t>
      </w:r>
      <w:r>
        <w:rPr>
          <w:rStyle w:val="50"/>
          <w:rFonts w:hint="eastAsia" w:ascii="宋体"/>
          <w:color w:val="000000" w:themeColor="text1"/>
          <w:highlight w:val="none"/>
          <w14:textFill>
            <w14:solidFill>
              <w14:schemeClr w14:val="tx1"/>
            </w14:solidFill>
          </w14:textFill>
        </w:rPr>
        <w:t>施工队伍的撤离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"_Toc43475872"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19. </w:t>
      </w:r>
      <w:r>
        <w:rPr>
          <w:rStyle w:val="50"/>
          <w:rFonts w:hint="eastAsia" w:ascii="宋体" w:hAnsi="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19.1 </w:t>
      </w:r>
      <w:r>
        <w:rPr>
          <w:rStyle w:val="50"/>
          <w:rFonts w:hint="eastAsia" w:ascii="宋体"/>
          <w:color w:val="000000" w:themeColor="text1"/>
          <w:highlight w:val="none"/>
          <w14:textFill>
            <w14:solidFill>
              <w14:schemeClr w14:val="tx1"/>
            </w14:solidFill>
          </w14:textFill>
        </w:rPr>
        <w:t>缺陷责任期的起算时间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19.2 </w:t>
      </w:r>
      <w:r>
        <w:rPr>
          <w:rStyle w:val="50"/>
          <w:rFonts w:hint="eastAsia" w:ascii="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19.3 </w:t>
      </w:r>
      <w:r>
        <w:rPr>
          <w:rStyle w:val="50"/>
          <w:rFonts w:hint="eastAsia" w:ascii="宋体"/>
          <w:color w:val="000000" w:themeColor="text1"/>
          <w:highlight w:val="none"/>
          <w14:textFill>
            <w14:solidFill>
              <w14:schemeClr w14:val="tx1"/>
            </w14:solidFill>
          </w14:textFill>
        </w:rPr>
        <w:t>缺陷责任期的延长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19.4 </w:t>
      </w:r>
      <w:r>
        <w:rPr>
          <w:rStyle w:val="50"/>
          <w:rFonts w:hint="eastAsia" w:ascii="宋体"/>
          <w:color w:val="000000" w:themeColor="text1"/>
          <w:highlight w:val="none"/>
          <w14:textFill>
            <w14:solidFill>
              <w14:schemeClr w14:val="tx1"/>
            </w14:solidFill>
          </w14:textFill>
        </w:rPr>
        <w:t>进一步试验和试运行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19.5 </w:t>
      </w:r>
      <w:r>
        <w:rPr>
          <w:rStyle w:val="50"/>
          <w:rFonts w:hint="eastAsia" w:ascii="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19.6 </w:t>
      </w:r>
      <w:r>
        <w:rPr>
          <w:rStyle w:val="50"/>
          <w:rFonts w:hint="eastAsia" w:ascii="宋体"/>
          <w:color w:val="000000" w:themeColor="text1"/>
          <w:highlight w:val="none"/>
          <w14:textFill>
            <w14:solidFill>
              <w14:schemeClr w14:val="tx1"/>
            </w14:solidFill>
          </w14:textFill>
        </w:rPr>
        <w:t>缺陷责任期终止证书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19.7 </w:t>
      </w:r>
      <w:r>
        <w:rPr>
          <w:rStyle w:val="50"/>
          <w:rFonts w:hint="eastAsia" w:ascii="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"_Toc43475880"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20. </w:t>
      </w:r>
      <w:r>
        <w:rPr>
          <w:rStyle w:val="50"/>
          <w:rFonts w:hint="eastAsia" w:ascii="宋体" w:hAnsi="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20.1 </w:t>
      </w:r>
      <w:r>
        <w:rPr>
          <w:rStyle w:val="50"/>
          <w:rFonts w:hint="eastAsia" w:ascii="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20.2 </w:t>
      </w:r>
      <w:r>
        <w:rPr>
          <w:rStyle w:val="50"/>
          <w:rFonts w:hint="eastAsia" w:ascii="宋体"/>
          <w:color w:val="000000" w:themeColor="text1"/>
          <w:highlight w:val="none"/>
          <w14:textFill>
            <w14:solidFill>
              <w14:schemeClr w14:val="tx1"/>
            </w14:solidFill>
          </w14:textFill>
        </w:rPr>
        <w:t>人员工伤事故的保险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20.3 </w:t>
      </w:r>
      <w:r>
        <w:rPr>
          <w:rStyle w:val="50"/>
          <w:rFonts w:hint="eastAsia" w:ascii="宋体"/>
          <w:color w:val="000000" w:themeColor="text1"/>
          <w:highlight w:val="none"/>
          <w14:textFill>
            <w14:solidFill>
              <w14:schemeClr w14:val="tx1"/>
            </w14:solidFill>
          </w14:textFill>
        </w:rPr>
        <w:t>人身意外伤害险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20.4 </w:t>
      </w:r>
      <w:r>
        <w:rPr>
          <w:rStyle w:val="50"/>
          <w:rFonts w:hint="eastAsia" w:ascii="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"_Toc43475885"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20.5 </w:t>
      </w:r>
      <w:r>
        <w:rPr>
          <w:rStyle w:val="50"/>
          <w:rFonts w:hint="eastAsia" w:ascii="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20.6 </w:t>
      </w:r>
      <w:r>
        <w:rPr>
          <w:rStyle w:val="50"/>
          <w:rFonts w:hint="eastAsia" w:ascii="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"_Toc43475887"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21. </w:t>
      </w:r>
      <w:r>
        <w:rPr>
          <w:rStyle w:val="50"/>
          <w:rFonts w:hint="eastAsia" w:ascii="宋体" w:hAnsi="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21.1 </w:t>
      </w:r>
      <w:r>
        <w:rPr>
          <w:rStyle w:val="50"/>
          <w:rFonts w:hint="eastAsia" w:ascii="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21.2 </w:t>
      </w:r>
      <w:r>
        <w:rPr>
          <w:rStyle w:val="50"/>
          <w:rFonts w:hint="eastAsia" w:ascii="宋体"/>
          <w:color w:val="000000" w:themeColor="text1"/>
          <w:highlight w:val="none"/>
          <w14:textFill>
            <w14:solidFill>
              <w14:schemeClr w14:val="tx1"/>
            </w14:solidFill>
          </w14:textFill>
        </w:rPr>
        <w:t>不可抗力的通知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"_Toc43475890"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21.3 </w:t>
      </w:r>
      <w:r>
        <w:rPr>
          <w:rStyle w:val="50"/>
          <w:rFonts w:hint="eastAsia" w:ascii="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"_Toc43475891"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22. </w:t>
      </w:r>
      <w:r>
        <w:rPr>
          <w:rStyle w:val="50"/>
          <w:rFonts w:hint="eastAsia" w:ascii="宋体" w:hAnsi="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22.1 </w:t>
      </w:r>
      <w:r>
        <w:rPr>
          <w:rStyle w:val="50"/>
          <w:rFonts w:hint="eastAsia" w:ascii="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22.2 </w:t>
      </w:r>
      <w:r>
        <w:rPr>
          <w:rStyle w:val="50"/>
          <w:rFonts w:hint="eastAsia" w:ascii="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"_Toc43475894"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22.3 </w:t>
      </w:r>
      <w:r>
        <w:rPr>
          <w:rStyle w:val="50"/>
          <w:rFonts w:hint="eastAsia" w:ascii="宋体"/>
          <w:color w:val="000000" w:themeColor="text1"/>
          <w:highlight w:val="none"/>
          <w14:textFill>
            <w14:solidFill>
              <w14:schemeClr w14:val="tx1"/>
            </w14:solidFill>
          </w14:textFill>
        </w:rPr>
        <w:t>第三人造成的违约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"_Toc43475895"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23. </w:t>
      </w:r>
      <w:r>
        <w:rPr>
          <w:rStyle w:val="50"/>
          <w:rFonts w:hint="eastAsia" w:ascii="宋体" w:hAnsi="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"_Toc43475896"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23.1 </w:t>
      </w:r>
      <w:r>
        <w:rPr>
          <w:rStyle w:val="50"/>
          <w:rFonts w:hint="eastAsia" w:ascii="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"_Toc43475897"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23.2 </w:t>
      </w:r>
      <w:r>
        <w:rPr>
          <w:rStyle w:val="50"/>
          <w:rFonts w:hint="eastAsia" w:ascii="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"_Toc43475898"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23.3 </w:t>
      </w:r>
      <w:r>
        <w:rPr>
          <w:rStyle w:val="50"/>
          <w:rFonts w:hint="eastAsia" w:ascii="宋体"/>
          <w:color w:val="000000" w:themeColor="text1"/>
          <w:highlight w:val="none"/>
          <w14:textFill>
            <w14:solidFill>
              <w14:schemeClr w14:val="tx1"/>
            </w14:solidFill>
          </w14:textFill>
        </w:rPr>
        <w:t>承包人提出索赔的期限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"_Toc43475899"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23.4 </w:t>
      </w:r>
      <w:r>
        <w:rPr>
          <w:rStyle w:val="50"/>
          <w:rFonts w:hint="eastAsia" w:ascii="宋体"/>
          <w:color w:val="000000" w:themeColor="text1"/>
          <w:highlight w:val="none"/>
          <w14:textFill>
            <w14:solidFill>
              <w14:schemeClr w14:val="tx1"/>
            </w14:solidFill>
          </w14:textFill>
        </w:rPr>
        <w:t>发包人的索赔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"_Toc43475900" </w:instrText>
      </w:r>
      <w:r>
        <w:rPr>
          <w:color w:val="000000" w:themeColor="text1"/>
          <w:highlight w:val="none"/>
          <w14:textFill>
            <w14:solidFill>
              <w14:schemeClr w14:val="tx1"/>
            </w14:solidFill>
          </w14:textFill>
        </w:rPr>
        <w:fldChar w:fldCharType="separate"/>
      </w:r>
      <w:r>
        <w:rPr>
          <w:rStyle w:val="50"/>
          <w:rFonts w:ascii="宋体" w:hAnsi="宋体"/>
          <w:color w:val="000000" w:themeColor="text1"/>
          <w:highlight w:val="none"/>
          <w14:textFill>
            <w14:solidFill>
              <w14:schemeClr w14:val="tx1"/>
            </w14:solidFill>
          </w14:textFill>
        </w:rPr>
        <w:t xml:space="preserve">24. </w:t>
      </w:r>
      <w:r>
        <w:rPr>
          <w:rStyle w:val="50"/>
          <w:rFonts w:hint="eastAsia" w:ascii="宋体" w:hAnsi="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"_Toc43475901"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24.1 </w:t>
      </w:r>
      <w:r>
        <w:rPr>
          <w:rStyle w:val="50"/>
          <w:rFonts w:hint="eastAsia" w:ascii="宋体"/>
          <w:color w:val="000000" w:themeColor="text1"/>
          <w:highlight w:val="none"/>
          <w14:textFill>
            <w14:solidFill>
              <w14:schemeClr w14:val="tx1"/>
            </w14:solidFill>
          </w14:textFill>
        </w:rPr>
        <w:t>争议的解决方式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"_Toc43475902"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24.2 </w:t>
      </w:r>
      <w:r>
        <w:rPr>
          <w:rStyle w:val="50"/>
          <w:rFonts w:hint="eastAsia" w:ascii="宋体"/>
          <w:color w:val="000000" w:themeColor="text1"/>
          <w:highlight w:val="none"/>
          <w14:textFill>
            <w14:solidFill>
              <w14:schemeClr w14:val="tx1"/>
            </w14:solidFill>
          </w14:textFill>
        </w:rPr>
        <w:t>友好解决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"_Toc43475903" </w:instrText>
      </w:r>
      <w:r>
        <w:rPr>
          <w:color w:val="000000" w:themeColor="text1"/>
          <w:highlight w:val="none"/>
          <w14:textFill>
            <w14:solidFill>
              <w14:schemeClr w14:val="tx1"/>
            </w14:solidFill>
          </w14:textFill>
        </w:rPr>
        <w:fldChar w:fldCharType="separate"/>
      </w:r>
      <w:r>
        <w:rPr>
          <w:rStyle w:val="50"/>
          <w:rFonts w:ascii="宋体"/>
          <w:color w:val="000000" w:themeColor="text1"/>
          <w:highlight w:val="none"/>
          <w14:textFill>
            <w14:solidFill>
              <w14:schemeClr w14:val="tx1"/>
            </w14:solidFill>
          </w14:textFill>
        </w:rPr>
        <w:t xml:space="preserve">24.3 </w:t>
      </w:r>
      <w:r>
        <w:rPr>
          <w:rStyle w:val="50"/>
          <w:rFonts w:hint="eastAsia" w:ascii="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"_Toc43475904" </w:instrText>
      </w:r>
      <w:r>
        <w:rPr>
          <w:color w:val="000000" w:themeColor="text1"/>
          <w:highlight w:val="none"/>
          <w14:textFill>
            <w14:solidFill>
              <w14:schemeClr w14:val="tx1"/>
            </w14:solidFill>
          </w14:textFill>
        </w:rPr>
        <w:fldChar w:fldCharType="separate"/>
      </w:r>
      <w:r>
        <w:rPr>
          <w:rStyle w:val="50"/>
          <w:rFonts w:hint="eastAsia" w:ascii="宋体" w:hAnsi="宋体" w:cs="宋体"/>
          <w:color w:val="000000" w:themeColor="text1"/>
          <w:highlight w:val="none"/>
          <w14:textFill>
            <w14:solidFill>
              <w14:schemeClr w14:val="tx1"/>
            </w14:solidFill>
          </w14:textFill>
        </w:rPr>
        <w:t>第二节专用合同条款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w:t>
      </w:r>
      <w:r>
        <w:rPr>
          <w:rStyle w:val="50"/>
          <w:rFonts w:hint="eastAsia" w:ascii="宋体" w:hAnsi="宋体" w:cs="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w:t>
      </w:r>
      <w:r>
        <w:rPr>
          <w:rStyle w:val="50"/>
          <w:rFonts w:hint="eastAsia" w:ascii="宋体" w:hAnsi="宋体" w:cs="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1.4</w:t>
      </w:r>
      <w:r>
        <w:rPr>
          <w:rStyle w:val="50"/>
          <w:rFonts w:hint="eastAsia" w:ascii="宋体" w:hAnsi="宋体" w:cs="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1.6</w:t>
      </w:r>
      <w:r>
        <w:rPr>
          <w:rStyle w:val="50"/>
          <w:rFonts w:hint="eastAsia" w:ascii="宋体" w:hAnsi="宋体" w:cs="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w:t>
      </w:r>
      <w:r>
        <w:rPr>
          <w:rStyle w:val="50"/>
          <w:rFonts w:hint="eastAsia" w:ascii="宋体" w:hAnsi="宋体" w:cs="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w:t>
      </w:r>
      <w:r>
        <w:rPr>
          <w:rStyle w:val="50"/>
          <w:rFonts w:hint="eastAsia" w:ascii="宋体" w:hAnsi="宋体" w:cs="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2.3</w:t>
      </w:r>
      <w:r>
        <w:rPr>
          <w:rStyle w:val="50"/>
          <w:rFonts w:hint="eastAsia" w:ascii="宋体" w:hAnsi="宋体" w:cs="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3</w:t>
      </w:r>
      <w:r>
        <w:rPr>
          <w:rStyle w:val="50"/>
          <w:rFonts w:hint="eastAsia" w:ascii="宋体" w:hAnsi="宋体" w:cs="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3.1</w:t>
      </w:r>
      <w:r>
        <w:rPr>
          <w:rStyle w:val="50"/>
          <w:rFonts w:hint="eastAsia" w:ascii="宋体" w:hAnsi="宋体" w:cs="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3.5</w:t>
      </w:r>
      <w:r>
        <w:rPr>
          <w:rStyle w:val="50"/>
          <w:rFonts w:hint="eastAsia" w:ascii="宋体" w:hAnsi="宋体" w:cs="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w:t>
      </w:r>
      <w:r>
        <w:rPr>
          <w:rStyle w:val="50"/>
          <w:rFonts w:hint="eastAsia" w:ascii="宋体" w:hAnsi="宋体" w:cs="宋体"/>
          <w:color w:val="000000" w:themeColor="text1"/>
          <w:highlight w:val="none"/>
          <w14:textFill>
            <w14:solidFill>
              <w14:schemeClr w14:val="tx1"/>
            </w14:solidFill>
          </w14:textFill>
        </w:rPr>
        <w:t>承包工的一般义务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4.2</w:t>
      </w:r>
      <w:r>
        <w:rPr>
          <w:rStyle w:val="50"/>
          <w:rFonts w:hint="eastAsia" w:ascii="宋体" w:hAnsi="宋体" w:cs="宋体"/>
          <w:color w:val="000000" w:themeColor="text1"/>
          <w:highlight w:val="none"/>
          <w:lang w:val="zh-CN"/>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4.3 </w:t>
      </w:r>
      <w:r>
        <w:rPr>
          <w:rStyle w:val="50"/>
          <w:rFonts w:hint="eastAsia" w:ascii="宋体" w:hAnsi="宋体" w:cs="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4.4</w:t>
      </w:r>
      <w:r>
        <w:rPr>
          <w:rStyle w:val="50"/>
          <w:rFonts w:hint="eastAsia" w:ascii="宋体" w:hAnsi="宋体" w:cs="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4.6</w:t>
      </w:r>
      <w:r>
        <w:rPr>
          <w:rStyle w:val="50"/>
          <w:rFonts w:hint="eastAsia" w:ascii="宋体" w:hAnsi="宋体" w:cs="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4.7</w:t>
      </w:r>
      <w:r>
        <w:rPr>
          <w:rStyle w:val="50"/>
          <w:rFonts w:hint="eastAsia" w:ascii="宋体" w:hAnsi="宋体" w:cs="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4.9</w:t>
      </w:r>
      <w:r>
        <w:rPr>
          <w:rStyle w:val="50"/>
          <w:rFonts w:hint="eastAsia" w:ascii="宋体" w:hAnsi="宋体" w:cs="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4.10</w:t>
      </w:r>
      <w:r>
        <w:rPr>
          <w:rStyle w:val="50"/>
          <w:rFonts w:hint="eastAsia" w:ascii="宋体" w:hAnsi="宋体" w:cs="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4.11</w:t>
      </w:r>
      <w:r>
        <w:rPr>
          <w:rStyle w:val="50"/>
          <w:rFonts w:hint="eastAsia" w:ascii="宋体" w:hAnsi="宋体" w:cs="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4.12</w:t>
      </w:r>
      <w:r>
        <w:rPr>
          <w:rStyle w:val="50"/>
          <w:rFonts w:hint="eastAsia" w:ascii="宋体" w:hAnsi="宋体" w:cs="宋体"/>
          <w:color w:val="000000" w:themeColor="text1"/>
          <w:highlight w:val="none"/>
          <w14:textFill>
            <w14:solidFill>
              <w14:schemeClr w14:val="tx1"/>
            </w14:solidFill>
          </w14:textFill>
        </w:rPr>
        <w:t>投标文件的完备性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4.13</w:t>
      </w:r>
      <w:r>
        <w:rPr>
          <w:rStyle w:val="50"/>
          <w:rFonts w:hint="eastAsia" w:ascii="宋体" w:hAnsi="宋体" w:cs="宋体"/>
          <w:color w:val="000000" w:themeColor="text1"/>
          <w:highlight w:val="none"/>
          <w:lang w:val="zh-CN"/>
          <w14:textFill>
            <w14:solidFill>
              <w14:schemeClr w14:val="tx1"/>
            </w14:solidFill>
          </w14:textFill>
        </w:rPr>
        <w:t>开展党建工作要求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5</w:t>
      </w:r>
      <w:r>
        <w:rPr>
          <w:rStyle w:val="50"/>
          <w:rFonts w:hint="eastAsia" w:ascii="宋体" w:hAnsi="宋体" w:cs="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5.2</w:t>
      </w:r>
      <w:r>
        <w:rPr>
          <w:rStyle w:val="50"/>
          <w:rFonts w:hint="eastAsia" w:ascii="宋体" w:hAnsi="宋体" w:cs="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6</w:t>
      </w:r>
      <w:r>
        <w:rPr>
          <w:rStyle w:val="50"/>
          <w:rFonts w:hint="eastAsia" w:ascii="宋体" w:hAnsi="宋体" w:cs="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6.2</w:t>
      </w:r>
      <w:r>
        <w:rPr>
          <w:rStyle w:val="50"/>
          <w:rFonts w:hint="eastAsia" w:ascii="宋体" w:hAnsi="宋体" w:cs="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6.3</w:t>
      </w:r>
      <w:r>
        <w:rPr>
          <w:rStyle w:val="50"/>
          <w:rFonts w:hint="eastAsia" w:ascii="宋体" w:hAnsi="宋体" w:cs="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w:t>
      </w:r>
      <w:r>
        <w:rPr>
          <w:rStyle w:val="50"/>
          <w:rFonts w:hint="eastAsia" w:ascii="宋体" w:hAnsi="宋体" w:cs="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7.1</w:t>
      </w:r>
      <w:r>
        <w:rPr>
          <w:rStyle w:val="50"/>
          <w:rFonts w:hint="eastAsia" w:ascii="宋体" w:hAnsi="宋体" w:cs="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w:t>
      </w:r>
      <w:r>
        <w:rPr>
          <w:rStyle w:val="50"/>
          <w:rFonts w:hint="eastAsia" w:ascii="宋体" w:hAnsi="宋体" w:cs="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8.4</w:t>
      </w:r>
      <w:r>
        <w:rPr>
          <w:rStyle w:val="50"/>
          <w:rFonts w:hint="eastAsia" w:ascii="宋体" w:hAnsi="宋体" w:cs="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9</w:t>
      </w:r>
      <w:r>
        <w:rPr>
          <w:rStyle w:val="50"/>
          <w:rFonts w:hint="eastAsia" w:ascii="宋体" w:hAnsi="宋体" w:cs="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9</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2</w:t>
      </w:r>
      <w:r>
        <w:rPr>
          <w:rStyle w:val="50"/>
          <w:rFonts w:hint="eastAsia" w:ascii="宋体" w:hAnsi="宋体" w:cs="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9</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w:t>
      </w:r>
      <w:r>
        <w:rPr>
          <w:rStyle w:val="50"/>
          <w:rFonts w:hint="eastAsia" w:ascii="宋体" w:hAnsi="宋体" w:cs="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10.1</w:t>
      </w:r>
      <w:r>
        <w:rPr>
          <w:rStyle w:val="50"/>
          <w:rFonts w:hint="eastAsia" w:ascii="宋体" w:hAnsi="宋体" w:cs="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10.2</w:t>
      </w:r>
      <w:r>
        <w:rPr>
          <w:rStyle w:val="50"/>
          <w:rFonts w:hint="eastAsia" w:ascii="宋体" w:hAnsi="宋体" w:cs="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10.3</w:t>
      </w:r>
      <w:r>
        <w:rPr>
          <w:rStyle w:val="50"/>
          <w:rFonts w:hint="eastAsia" w:ascii="宋体" w:hAnsi="宋体" w:cs="宋体"/>
          <w:color w:val="000000" w:themeColor="text1"/>
          <w:highlight w:val="none"/>
          <w14:textFill>
            <w14:solidFill>
              <w14:schemeClr w14:val="tx1"/>
            </w14:solidFill>
          </w14:textFill>
        </w:rPr>
        <w:t>年度施工计划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10.4</w:t>
      </w:r>
      <w:r>
        <w:rPr>
          <w:rStyle w:val="50"/>
          <w:rFonts w:hint="eastAsia" w:ascii="宋体" w:hAnsi="宋体" w:cs="宋体"/>
          <w:color w:val="000000" w:themeColor="text1"/>
          <w:highlight w:val="none"/>
          <w14:textFill>
            <w14:solidFill>
              <w14:schemeClr w14:val="tx1"/>
            </w14:solidFill>
          </w14:textFill>
        </w:rPr>
        <w:t>合同用款计划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w:t>
      </w:r>
      <w:r>
        <w:rPr>
          <w:rStyle w:val="50"/>
          <w:rFonts w:hint="eastAsia" w:ascii="宋体" w:hAnsi="宋体" w:cs="宋体"/>
          <w:color w:val="000000" w:themeColor="text1"/>
          <w:highlight w:val="none"/>
          <w14:textFill>
            <w14:solidFill>
              <w14:schemeClr w14:val="tx1"/>
            </w14:solidFill>
          </w14:textFill>
        </w:rPr>
        <w:t>.开工和交工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11.1</w:t>
      </w:r>
      <w:r>
        <w:rPr>
          <w:rStyle w:val="50"/>
          <w:rFonts w:hint="eastAsia" w:ascii="宋体" w:hAnsi="宋体" w:cs="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11.3</w:t>
      </w:r>
      <w:r>
        <w:rPr>
          <w:rStyle w:val="50"/>
          <w:rFonts w:hint="eastAsia" w:ascii="宋体" w:hAnsi="宋体" w:cs="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11.4</w:t>
      </w:r>
      <w:r>
        <w:rPr>
          <w:rStyle w:val="50"/>
          <w:rFonts w:hint="eastAsia" w:ascii="宋体" w:hAnsi="宋体" w:cs="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11.5</w:t>
      </w:r>
      <w:r>
        <w:rPr>
          <w:rStyle w:val="50"/>
          <w:rFonts w:hint="eastAsia" w:ascii="宋体" w:hAnsi="宋体" w:cs="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6</w:t>
      </w:r>
      <w:r>
        <w:rPr>
          <w:rStyle w:val="50"/>
          <w:rFonts w:hint="eastAsia" w:ascii="宋体" w:hAnsi="宋体" w:cs="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11</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7</w:t>
      </w:r>
      <w:r>
        <w:rPr>
          <w:rStyle w:val="50"/>
          <w:rFonts w:hint="eastAsia" w:ascii="宋体" w:hAnsi="宋体" w:cs="宋体"/>
          <w:color w:val="000000" w:themeColor="text1"/>
          <w:highlight w:val="none"/>
          <w14:textFill>
            <w14:solidFill>
              <w14:schemeClr w14:val="tx1"/>
            </w14:solidFill>
          </w14:textFill>
        </w:rPr>
        <w:t>工作时间的限制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12</w:t>
      </w:r>
      <w:r>
        <w:rPr>
          <w:rStyle w:val="50"/>
          <w:rFonts w:hint="eastAsia" w:ascii="宋体" w:hAnsi="宋体" w:cs="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12</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1</w:t>
      </w:r>
      <w:r>
        <w:rPr>
          <w:rStyle w:val="50"/>
          <w:rFonts w:hint="eastAsia" w:ascii="宋体" w:hAnsi="宋体" w:cs="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1</w:t>
      </w:r>
      <w:r>
        <w:rPr>
          <w:rStyle w:val="50"/>
          <w:rFonts w:hint="eastAsia" w:ascii="宋体" w:hAnsi="宋体" w:cs="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2</w:t>
      </w:r>
      <w:r>
        <w:rPr>
          <w:rStyle w:val="50"/>
          <w:rFonts w:hint="eastAsia" w:ascii="宋体" w:hAnsi="宋体" w:cs="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5</w:t>
      </w:r>
      <w:r>
        <w:rPr>
          <w:rStyle w:val="50"/>
          <w:rFonts w:hint="eastAsia" w:ascii="宋体" w:hAnsi="宋体" w:cs="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13</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6</w:t>
      </w:r>
      <w:r>
        <w:rPr>
          <w:rStyle w:val="50"/>
          <w:rFonts w:hint="eastAsia" w:ascii="宋体" w:hAnsi="宋体" w:cs="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14</w:t>
      </w:r>
      <w:r>
        <w:rPr>
          <w:rStyle w:val="50"/>
          <w:rFonts w:hint="eastAsia" w:ascii="宋体" w:hAnsi="宋体" w:cs="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14</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试验和检验费用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1</w:t>
      </w:r>
      <w:r>
        <w:rPr>
          <w:rStyle w:val="50"/>
          <w:rFonts w:hint="eastAsia" w:ascii="宋体" w:hAnsi="宋体" w:cs="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3</w:t>
      </w:r>
      <w:r>
        <w:rPr>
          <w:rStyle w:val="50"/>
          <w:rFonts w:hint="eastAsia" w:ascii="宋体" w:hAnsi="宋体" w:cs="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w:t>
      </w:r>
      <w:r>
        <w:rPr>
          <w:rStyle w:val="50"/>
          <w:rFonts w:hint="eastAsia" w:ascii="宋体" w:hAnsi="宋体" w:cs="宋体"/>
          <w:color w:val="000000" w:themeColor="text1"/>
          <w:highlight w:val="none"/>
          <w14:textFill>
            <w14:solidFill>
              <w14:schemeClr w14:val="tx1"/>
            </w14:solidFill>
          </w14:textFill>
        </w:rPr>
        <w:t>.</w:t>
      </w:r>
      <w:r>
        <w:rPr>
          <w:rStyle w:val="50"/>
          <w:rFonts w:ascii="宋体" w:hAnsi="宋体" w:cs="宋体"/>
          <w:color w:val="000000" w:themeColor="text1"/>
          <w:highlight w:val="none"/>
          <w14:textFill>
            <w14:solidFill>
              <w14:schemeClr w14:val="tx1"/>
            </w14:solidFill>
          </w14:textFill>
        </w:rPr>
        <w:t>4</w:t>
      </w:r>
      <w:r>
        <w:rPr>
          <w:rStyle w:val="50"/>
          <w:rFonts w:hint="eastAsia" w:ascii="宋体" w:hAnsi="宋体" w:cs="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15.5</w:t>
      </w:r>
      <w:r>
        <w:rPr>
          <w:rStyle w:val="50"/>
          <w:rFonts w:hint="eastAsia" w:ascii="宋体" w:hAnsi="宋体" w:cs="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15.6</w:t>
      </w:r>
      <w:r>
        <w:rPr>
          <w:rStyle w:val="50"/>
          <w:rFonts w:hint="eastAsia" w:ascii="宋体" w:hAnsi="宋体" w:cs="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16.</w:t>
      </w:r>
      <w:r>
        <w:rPr>
          <w:rStyle w:val="50"/>
          <w:rFonts w:hint="eastAsia" w:ascii="宋体" w:hAnsi="宋体" w:cs="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16.1</w:t>
      </w:r>
      <w:r>
        <w:rPr>
          <w:rStyle w:val="50"/>
          <w:rFonts w:hint="eastAsia" w:ascii="宋体" w:hAnsi="宋体" w:cs="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w:t>
      </w:r>
      <w:r>
        <w:rPr>
          <w:rStyle w:val="50"/>
          <w:rFonts w:hint="eastAsia" w:ascii="宋体" w:hAnsi="宋体" w:cs="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17.1</w:t>
      </w:r>
      <w:r>
        <w:rPr>
          <w:rStyle w:val="50"/>
          <w:rFonts w:hint="eastAsia" w:ascii="宋体" w:hAnsi="宋体" w:cs="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17.2</w:t>
      </w:r>
      <w:r>
        <w:rPr>
          <w:rStyle w:val="50"/>
          <w:rFonts w:hint="eastAsia" w:ascii="宋体" w:hAnsi="宋体" w:cs="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17.3</w:t>
      </w:r>
      <w:r>
        <w:rPr>
          <w:rStyle w:val="50"/>
          <w:rFonts w:hint="eastAsia" w:ascii="宋体" w:hAnsi="宋体" w:cs="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17.4</w:t>
      </w:r>
      <w:r>
        <w:rPr>
          <w:rStyle w:val="50"/>
          <w:rFonts w:hint="eastAsia" w:ascii="宋体" w:hAnsi="宋体" w:cs="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17.5</w:t>
      </w:r>
      <w:r>
        <w:rPr>
          <w:rStyle w:val="50"/>
          <w:rFonts w:hint="eastAsia" w:ascii="宋体" w:hAnsi="宋体" w:cs="宋体"/>
          <w:color w:val="000000" w:themeColor="text1"/>
          <w:highlight w:val="none"/>
          <w14:textFill>
            <w14:solidFill>
              <w14:schemeClr w14:val="tx1"/>
            </w14:solidFill>
          </w14:textFill>
        </w:rPr>
        <w:t>交工结算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17.6</w:t>
      </w:r>
      <w:r>
        <w:rPr>
          <w:rStyle w:val="50"/>
          <w:rFonts w:hint="eastAsia" w:ascii="宋体" w:hAnsi="宋体" w:cs="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18</w:t>
      </w:r>
      <w:r>
        <w:rPr>
          <w:rStyle w:val="50"/>
          <w:rFonts w:hint="eastAsia" w:ascii="宋体" w:hAnsi="宋体" w:cs="宋体"/>
          <w:color w:val="000000" w:themeColor="text1"/>
          <w:highlight w:val="none"/>
          <w14:textFill>
            <w14:solidFill>
              <w14:schemeClr w14:val="tx1"/>
            </w14:solidFill>
          </w14:textFill>
        </w:rPr>
        <w:t>.交工验收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18.2</w:t>
      </w:r>
      <w:r>
        <w:rPr>
          <w:rStyle w:val="50"/>
          <w:rFonts w:hint="eastAsia" w:ascii="宋体" w:hAnsi="宋体" w:cs="宋体"/>
          <w:color w:val="000000" w:themeColor="text1"/>
          <w:highlight w:val="none"/>
          <w14:textFill>
            <w14:solidFill>
              <w14:schemeClr w14:val="tx1"/>
            </w14:solidFill>
          </w14:textFill>
        </w:rPr>
        <w:t>交工验收申请报告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 xml:space="preserve">18.3 </w:t>
      </w:r>
      <w:r>
        <w:rPr>
          <w:rStyle w:val="50"/>
          <w:rFonts w:hint="eastAsia" w:ascii="宋体" w:hAnsi="宋体" w:cs="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18.9</w:t>
      </w:r>
      <w:r>
        <w:rPr>
          <w:rStyle w:val="50"/>
          <w:rFonts w:hint="eastAsia" w:ascii="宋体" w:hAnsi="宋体" w:cs="宋体"/>
          <w:color w:val="000000" w:themeColor="text1"/>
          <w:highlight w:val="none"/>
          <w14:textFill>
            <w14:solidFill>
              <w14:schemeClr w14:val="tx1"/>
            </w14:solidFill>
          </w14:textFill>
        </w:rPr>
        <w:t>竣工文件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w:t>
      </w:r>
      <w:r>
        <w:rPr>
          <w:rStyle w:val="50"/>
          <w:rFonts w:hint="eastAsia" w:ascii="宋体" w:hAnsi="宋体" w:cs="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19.2</w:t>
      </w:r>
      <w:r>
        <w:rPr>
          <w:rStyle w:val="50"/>
          <w:rFonts w:hint="eastAsia" w:ascii="宋体" w:hAnsi="宋体" w:cs="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19.5</w:t>
      </w:r>
      <w:r>
        <w:rPr>
          <w:rStyle w:val="50"/>
          <w:rFonts w:hint="eastAsia" w:ascii="宋体" w:hAnsi="宋体" w:cs="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19.7</w:t>
      </w:r>
      <w:r>
        <w:rPr>
          <w:rStyle w:val="50"/>
          <w:rFonts w:hint="eastAsia" w:ascii="宋体" w:hAnsi="宋体" w:cs="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w:t>
      </w:r>
      <w:r>
        <w:rPr>
          <w:rStyle w:val="50"/>
          <w:rFonts w:hint="eastAsia" w:ascii="宋体" w:hAnsi="宋体" w:cs="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20.1</w:t>
      </w:r>
      <w:r>
        <w:rPr>
          <w:rStyle w:val="50"/>
          <w:rFonts w:hint="eastAsia" w:ascii="宋体" w:hAnsi="宋体" w:cs="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20.4</w:t>
      </w:r>
      <w:r>
        <w:rPr>
          <w:rStyle w:val="50"/>
          <w:rFonts w:hint="eastAsia" w:ascii="宋体" w:hAnsi="宋体" w:cs="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20.5</w:t>
      </w:r>
      <w:r>
        <w:rPr>
          <w:rStyle w:val="50"/>
          <w:rFonts w:hint="eastAsia" w:ascii="宋体" w:hAnsi="宋体" w:cs="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20.6</w:t>
      </w:r>
      <w:r>
        <w:rPr>
          <w:rStyle w:val="50"/>
          <w:rFonts w:hint="eastAsia" w:ascii="宋体" w:hAnsi="宋体" w:cs="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21</w:t>
      </w:r>
      <w:r>
        <w:rPr>
          <w:rStyle w:val="50"/>
          <w:rFonts w:hint="eastAsia" w:ascii="宋体" w:hAnsi="宋体" w:cs="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21.1</w:t>
      </w:r>
      <w:r>
        <w:rPr>
          <w:rStyle w:val="50"/>
          <w:rFonts w:hint="eastAsia" w:ascii="宋体" w:hAnsi="宋体" w:cs="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21.3</w:t>
      </w:r>
      <w:r>
        <w:rPr>
          <w:rStyle w:val="50"/>
          <w:rFonts w:hint="eastAsia" w:ascii="宋体" w:hAnsi="宋体" w:cs="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"_Toc43475993"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22</w:t>
      </w:r>
      <w:r>
        <w:rPr>
          <w:rStyle w:val="50"/>
          <w:rFonts w:hint="eastAsia" w:ascii="宋体" w:hAnsi="宋体" w:cs="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"_Toc43475994"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22.1</w:t>
      </w:r>
      <w:r>
        <w:rPr>
          <w:rStyle w:val="50"/>
          <w:rFonts w:hint="eastAsia" w:ascii="宋体" w:hAnsi="宋体" w:cs="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"_Toc43475995"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22.2</w:t>
      </w:r>
      <w:r>
        <w:rPr>
          <w:rStyle w:val="50"/>
          <w:rFonts w:hint="eastAsia" w:ascii="宋体" w:hAnsi="宋体" w:cs="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"_Toc43475996"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23.</w:t>
      </w:r>
      <w:r>
        <w:rPr>
          <w:rStyle w:val="50"/>
          <w:rFonts w:hint="eastAsia" w:ascii="宋体" w:hAnsi="宋体" w:cs="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"_Toc43475997"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23.1</w:t>
      </w:r>
      <w:r>
        <w:rPr>
          <w:rStyle w:val="50"/>
          <w:rFonts w:hint="eastAsia" w:ascii="宋体" w:hAnsi="宋体" w:cs="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"_Toc43475998"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23.2</w:t>
      </w:r>
      <w:r>
        <w:rPr>
          <w:rStyle w:val="50"/>
          <w:rFonts w:hint="eastAsia" w:ascii="宋体" w:hAnsi="宋体" w:cs="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"_Toc43475999"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24</w:t>
      </w:r>
      <w:r>
        <w:rPr>
          <w:rStyle w:val="50"/>
          <w:rFonts w:hint="eastAsia" w:ascii="宋体" w:hAnsi="宋体" w:cs="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"_Toc43476000"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24.3</w:t>
      </w:r>
      <w:r>
        <w:rPr>
          <w:rStyle w:val="50"/>
          <w:rFonts w:hint="eastAsia" w:ascii="宋体" w:hAnsi="宋体" w:cs="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"_Toc43476001"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24.4</w:t>
      </w:r>
      <w:r>
        <w:rPr>
          <w:rStyle w:val="50"/>
          <w:rFonts w:hint="eastAsia" w:ascii="宋体" w:hAnsi="宋体" w:cs="宋体"/>
          <w:color w:val="000000" w:themeColor="text1"/>
          <w:highlight w:val="none"/>
          <w14:textFill>
            <w14:solidFill>
              <w14:schemeClr w14:val="tx1"/>
            </w14:solidFill>
          </w14:textFill>
        </w:rPr>
        <w:t>仲裁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"_Toc43476002" </w:instrText>
      </w:r>
      <w:r>
        <w:rPr>
          <w:color w:val="000000" w:themeColor="text1"/>
          <w:highlight w:val="none"/>
          <w14:textFill>
            <w14:solidFill>
              <w14:schemeClr w14:val="tx1"/>
            </w14:solidFill>
          </w14:textFill>
        </w:rPr>
        <w:fldChar w:fldCharType="separate"/>
      </w:r>
      <w:r>
        <w:rPr>
          <w:rStyle w:val="50"/>
          <w:rFonts w:ascii="宋体" w:hAnsi="宋体" w:cs="宋体"/>
          <w:color w:val="000000" w:themeColor="text1"/>
          <w:highlight w:val="none"/>
          <w14:textFill>
            <w14:solidFill>
              <w14:schemeClr w14:val="tx1"/>
            </w14:solidFill>
          </w14:textFill>
        </w:rPr>
        <w:t>24.5</w:t>
      </w:r>
      <w:r>
        <w:rPr>
          <w:rStyle w:val="50"/>
          <w:rFonts w:hint="eastAsia" w:ascii="宋体" w:hAnsi="宋体" w:cs="宋体"/>
          <w:color w:val="000000" w:themeColor="text1"/>
          <w:highlight w:val="none"/>
          <w14:textFill>
            <w14:solidFill>
              <w14:schemeClr w14:val="tx1"/>
            </w14:solidFill>
          </w14:textFill>
        </w:rPr>
        <w:t>仲裁的执行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"_Toc43476003" </w:instrText>
      </w:r>
      <w:r>
        <w:rPr>
          <w:color w:val="000000" w:themeColor="text1"/>
          <w:highlight w:val="none"/>
          <w14:textFill>
            <w14:solidFill>
              <w14:schemeClr w14:val="tx1"/>
            </w14:solidFill>
          </w14:textFill>
        </w:rPr>
        <w:fldChar w:fldCharType="separate"/>
      </w:r>
      <w:r>
        <w:rPr>
          <w:rStyle w:val="50"/>
          <w:color w:val="000000" w:themeColor="text1"/>
          <w:highlight w:val="none"/>
          <w14:textFill>
            <w14:solidFill>
              <w14:schemeClr w14:val="tx1"/>
            </w14:solidFill>
          </w14:textFill>
        </w:rPr>
        <w:t>B.</w:t>
      </w:r>
      <w:r>
        <w:rPr>
          <w:rStyle w:val="50"/>
          <w:rFonts w:hint="eastAsia"/>
          <w:color w:val="000000" w:themeColor="text1"/>
          <w:highlight w:val="none"/>
          <w14:textFill>
            <w14:solidFill>
              <w14:schemeClr w14:val="tx1"/>
            </w14:solidFill>
          </w14:textFill>
        </w:rPr>
        <w:t>项目专用合同条款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"_Toc43476004"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项目专用条款数据表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"_Toc43476005"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第三节合同附件格式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"_Toc43476006"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附件一合同协议书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"_Toc43476007"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附件二廉政合同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"_Toc43476008"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附件三安全生产合同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"_Toc43476009"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附件四其他管理人员和技术人员最低要求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"_Toc43476010"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附件五主要设备最低要求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"_Toc43476012"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附件六项目经理委托书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"_Toc43476013"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附件七履约担保格式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"_Toc43476014"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附件八工程资金监管协议格式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"_Toc43476015"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附件九 特殊材料设备供应一览表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"_Toc43476016"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附件十 统一采购供应材料一览表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"_Toc43476017"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附件十一承包人违约金一览表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00</w:t>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"_Toc43476018"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附件十二工程质量、安全及文明施工处罚项目一览表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"_Toc43476019"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附件十三建设工程农民工工资支付保证书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ind w:firstLine="360" w:firstLineChars="200"/>
        <w:rPr>
          <w:rStyle w:val="50"/>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0"/>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附件十四工程结算协议</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212</w:t>
      </w:r>
    </w:p>
    <w:p>
      <w:pPr>
        <w:pStyle w:val="29"/>
        <w:tabs>
          <w:tab w:val="right" w:leader="dot" w:pos="10200"/>
        </w:tabs>
        <w:spacing w:line="250" w:lineRule="exact"/>
        <w:ind w:firstLine="360" w:firstLineChars="200"/>
        <w:rPr>
          <w:rStyle w:val="50"/>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0"/>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附件十五分包合同</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214</w:t>
      </w:r>
    </w:p>
    <w:p>
      <w:pPr>
        <w:pStyle w:val="29"/>
        <w:tabs>
          <w:tab w:val="right" w:leader="dot" w:pos="10200"/>
        </w:tabs>
        <w:spacing w:line="250" w:lineRule="exact"/>
        <w:ind w:firstLine="360" w:firstLineChars="200"/>
        <w:rPr>
          <w:rStyle w:val="50"/>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0"/>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附件十六施工劳务合作协议</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228</w:t>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"_Toc43476023" </w:instrText>
      </w:r>
      <w:r>
        <w:rPr>
          <w:color w:val="000000" w:themeColor="text1"/>
          <w:highlight w:val="none"/>
          <w14:textFill>
            <w14:solidFill>
              <w14:schemeClr w14:val="tx1"/>
            </w14:solidFill>
          </w14:textFill>
        </w:rPr>
        <w:fldChar w:fldCharType="separate"/>
      </w:r>
      <w:r>
        <w:rPr>
          <w:rStyle w:val="50"/>
          <w:rFonts w:hint="eastAsia" w:ascii="宋体" w:hAnsi="宋体"/>
          <w:color w:val="000000" w:themeColor="text1"/>
          <w:highlight w:val="none"/>
          <w14:textFill>
            <w14:solidFill>
              <w14:schemeClr w14:val="tx1"/>
            </w14:solidFill>
          </w14:textFill>
        </w:rPr>
        <w:t>第五章工程量清单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4"/>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"_Toc43476024"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工程量清单（另册）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"_Toc43476025"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"_Toc43476026"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第六章图纸（另册）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"_Toc43476027"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"_Toc43476028"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第七章技术规范（自行收集）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"_Toc43476029"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第八章工程量清单计量规则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"_Toc43476030"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第四卷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9"/>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"_Toc43476031" </w:instrText>
      </w:r>
      <w:r>
        <w:rPr>
          <w:color w:val="000000" w:themeColor="text1"/>
          <w:highlight w:val="none"/>
          <w14:textFill>
            <w14:solidFill>
              <w14:schemeClr w14:val="tx1"/>
            </w14:solidFill>
          </w14:textFill>
        </w:rPr>
        <w:fldChar w:fldCharType="separate"/>
      </w:r>
      <w:r>
        <w:rPr>
          <w:rStyle w:val="50"/>
          <w:rFonts w:hint="eastAsia"/>
          <w:color w:val="000000" w:themeColor="text1"/>
          <w:highlight w:val="none"/>
          <w14:textFill>
            <w14:solidFill>
              <w14:schemeClr w14:val="tx1"/>
            </w14:solidFill>
          </w14:textFill>
        </w:rPr>
        <w:t>第九章投标文件格式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250" w:lineRule="exact"/>
        <w:ind w:firstLine="1058" w:firstLineChars="504"/>
        <w:rPr>
          <w:rFonts w:ascii="宋体" w:hAnsi="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end"/>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32"/>
          <w:szCs w:val="3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第  一  卷</w:t>
      </w: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第一章  招标公告</w:t>
      </w: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pStyle w:val="2"/>
        <w:numPr>
          <w:ilvl w:val="0"/>
          <w:numId w:val="2"/>
        </w:numPr>
        <w:adjustRightInd w:val="0"/>
        <w:snapToGrid w:val="0"/>
        <w:spacing w:before="120" w:line="240" w:lineRule="auto"/>
        <w:jc w:val="center"/>
        <w:rPr>
          <w:rFonts w:ascii="宋体" w:hAnsi="宋体"/>
          <w:color w:val="000000" w:themeColor="text1"/>
          <w:sz w:val="36"/>
          <w:highlight w:val="none"/>
          <w14:textFill>
            <w14:solidFill>
              <w14:schemeClr w14:val="tx1"/>
            </w14:solidFill>
          </w14:textFill>
        </w:rPr>
        <w:sectPr>
          <w:footerReference r:id="rId7" w:type="first"/>
          <w:footerReference r:id="rId6" w:type="default"/>
          <w:pgSz w:w="11910" w:h="16840"/>
          <w:pgMar w:top="941" w:right="720" w:bottom="1179" w:left="980" w:header="707" w:footer="998" w:gutter="0"/>
          <w:pgNumType w:start="1"/>
          <w:cols w:space="720" w:num="1"/>
        </w:sectPr>
      </w:pPr>
    </w:p>
    <w:p>
      <w:pPr>
        <w:pStyle w:val="2"/>
        <w:numPr>
          <w:ilvl w:val="0"/>
          <w:numId w:val="2"/>
        </w:numPr>
        <w:adjustRightInd w:val="0"/>
        <w:snapToGrid w:val="0"/>
        <w:spacing w:before="120" w:after="100" w:line="240" w:lineRule="auto"/>
        <w:jc w:val="center"/>
        <w:rPr>
          <w:rFonts w:ascii="宋体" w:hAnsi="宋体"/>
          <w:color w:val="000000" w:themeColor="text1"/>
          <w:sz w:val="36"/>
          <w:highlight w:val="none"/>
          <w14:textFill>
            <w14:solidFill>
              <w14:schemeClr w14:val="tx1"/>
            </w14:solidFill>
          </w14:textFill>
        </w:rPr>
      </w:pPr>
      <w:bookmarkStart w:id="0" w:name="_Toc11768"/>
      <w:bookmarkEnd w:id="0"/>
      <w:bookmarkStart w:id="1" w:name="_Toc43475653"/>
      <w:bookmarkEnd w:id="1"/>
      <w:bookmarkStart w:id="2" w:name="_Toc10454"/>
      <w:bookmarkStart w:id="3" w:name="_Toc9236"/>
      <w:bookmarkStart w:id="4" w:name="_Toc234382586"/>
      <w:r>
        <w:rPr>
          <w:rFonts w:ascii="宋体" w:hAnsi="宋体"/>
          <w:color w:val="000000" w:themeColor="text1"/>
          <w:sz w:val="36"/>
          <w:highlight w:val="none"/>
          <w14:textFill>
            <w14:solidFill>
              <w14:schemeClr w14:val="tx1"/>
            </w14:solidFill>
          </w14:textFill>
        </w:rPr>
        <w:t>招标公告</w:t>
      </w:r>
      <w:bookmarkEnd w:id="2"/>
    </w:p>
    <w:p>
      <w:pPr>
        <w:pStyle w:val="75"/>
        <w:rPr>
          <w:rFonts w:cs="宋体"/>
          <w:color w:val="000000" w:themeColor="text1"/>
          <w:szCs w:val="28"/>
          <w:highlight w:val="none"/>
          <w14:textFill>
            <w14:solidFill>
              <w14:schemeClr w14:val="tx1"/>
            </w14:solidFill>
          </w14:textFill>
        </w:rPr>
      </w:pPr>
      <w:bookmarkStart w:id="5" w:name="_Toc424739344"/>
      <w:r>
        <w:rPr>
          <w:rFonts w:hint="eastAsia" w:cs="宋体"/>
          <w:color w:val="000000" w:themeColor="text1"/>
          <w:szCs w:val="28"/>
          <w:highlight w:val="none"/>
          <w14:textFill>
            <w14:solidFill>
              <w14:schemeClr w14:val="tx1"/>
            </w14:solidFill>
          </w14:textFill>
        </w:rPr>
        <w:t>省道S246线韶关浈江大王冲至新村段路面预防养护及功能性修复</w:t>
      </w:r>
    </w:p>
    <w:p>
      <w:pPr>
        <w:pStyle w:val="75"/>
        <w:rPr>
          <w:rFonts w:cs="宋体"/>
          <w:color w:val="000000" w:themeColor="text1"/>
          <w:szCs w:val="28"/>
          <w:highlight w:val="none"/>
          <w14:textFill>
            <w14:solidFill>
              <w14:schemeClr w14:val="tx1"/>
            </w14:solidFill>
          </w14:textFill>
        </w:rPr>
      </w:pPr>
      <w:r>
        <w:rPr>
          <w:rFonts w:hint="eastAsia" w:cs="宋体"/>
          <w:color w:val="000000" w:themeColor="text1"/>
          <w:szCs w:val="28"/>
          <w:highlight w:val="none"/>
          <w14:textFill>
            <w14:solidFill>
              <w14:schemeClr w14:val="tx1"/>
            </w14:solidFill>
          </w14:textFill>
        </w:rPr>
        <w:t>养护工程施工招标公告</w:t>
      </w:r>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6" w:name="_Toc18249"/>
      <w:bookmarkStart w:id="7" w:name="_Toc30127"/>
      <w:r>
        <w:rPr>
          <w:rFonts w:hint="eastAsia" w:ascii="宋体" w:hAnsi="宋体" w:eastAsia="宋体" w:cs="黑体"/>
          <w:bCs w:val="0"/>
          <w:color w:val="000000" w:themeColor="text1"/>
          <w:sz w:val="28"/>
          <w:szCs w:val="28"/>
          <w:highlight w:val="none"/>
          <w14:textFill>
            <w14:solidFill>
              <w14:schemeClr w14:val="tx1"/>
            </w14:solidFill>
          </w14:textFill>
        </w:rPr>
        <w:t>1.招标条件</w:t>
      </w:r>
      <w:bookmarkEnd w:id="5"/>
      <w:bookmarkEnd w:id="6"/>
      <w:bookmarkEnd w:id="7"/>
    </w:p>
    <w:p>
      <w:pPr>
        <w:spacing w:line="360" w:lineRule="auto"/>
        <w:ind w:firstLine="480" w:firstLineChars="200"/>
        <w:rPr>
          <w:rFonts w:hAnsi="宋体"/>
          <w:color w:val="000000" w:themeColor="text1"/>
          <w:sz w:val="24"/>
          <w:highlight w:val="none"/>
          <w14:textFill>
            <w14:solidFill>
              <w14:schemeClr w14:val="tx1"/>
            </w14:solidFill>
          </w14:textFill>
        </w:rPr>
      </w:pPr>
      <w:bookmarkStart w:id="8" w:name="_Toc544"/>
      <w:bookmarkStart w:id="9" w:name="_Toc424739345"/>
      <w:r>
        <w:rPr>
          <w:rFonts w:hint="eastAsia" w:hAnsi="宋体"/>
          <w:color w:val="000000" w:themeColor="text1"/>
          <w:sz w:val="24"/>
          <w:highlight w:val="none"/>
          <w14:textFill>
            <w14:solidFill>
              <w14:schemeClr w14:val="tx1"/>
            </w14:solidFill>
          </w14:textFill>
        </w:rPr>
        <w:t>本招标项目</w:t>
      </w:r>
      <w:r>
        <w:rPr>
          <w:rFonts w:hint="eastAsia" w:ascii="宋体" w:hAnsi="宋体" w:cs="宋体"/>
          <w:color w:val="000000" w:themeColor="text1"/>
          <w:sz w:val="24"/>
          <w:highlight w:val="none"/>
          <w:u w:val="single"/>
          <w14:textFill>
            <w14:solidFill>
              <w14:schemeClr w14:val="tx1"/>
            </w14:solidFill>
          </w14:textFill>
        </w:rPr>
        <w:t>省道S246线韶关浈江大王冲至新村段路面预防养护及功能性修复养护工程</w:t>
      </w:r>
      <w:r>
        <w:rPr>
          <w:rFonts w:hint="eastAsia" w:hAnsi="宋体"/>
          <w:color w:val="000000" w:themeColor="text1"/>
          <w:sz w:val="24"/>
          <w:highlight w:val="none"/>
          <w14:textFill>
            <w14:solidFill>
              <w14:schemeClr w14:val="tx1"/>
            </w14:solidFill>
          </w14:textFill>
        </w:rPr>
        <w:t>已由</w:t>
      </w:r>
      <w:r>
        <w:rPr>
          <w:rFonts w:hint="eastAsia" w:hAnsi="宋体"/>
          <w:color w:val="000000" w:themeColor="text1"/>
          <w:sz w:val="24"/>
          <w:highlight w:val="none"/>
          <w:u w:val="single"/>
          <w14:textFill>
            <w14:solidFill>
              <w14:schemeClr w14:val="tx1"/>
            </w14:solidFill>
          </w14:textFill>
        </w:rPr>
        <w:t>广东省公路事务中心</w:t>
      </w:r>
      <w:r>
        <w:rPr>
          <w:rFonts w:hint="eastAsia"/>
          <w:color w:val="000000" w:themeColor="text1"/>
          <w:spacing w:val="9"/>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14:textFill>
            <w14:solidFill>
              <w14:schemeClr w14:val="tx1"/>
            </w14:solidFill>
          </w14:textFill>
        </w:rPr>
        <w:t>广东省公路事务中心</w:t>
      </w:r>
      <w:r>
        <w:rPr>
          <w:rFonts w:hint="eastAsia"/>
          <w:color w:val="000000" w:themeColor="text1"/>
          <w:sz w:val="24"/>
          <w:highlight w:val="none"/>
          <w:u w:val="single"/>
          <w14:textFill>
            <w14:solidFill>
              <w14:schemeClr w14:val="tx1"/>
            </w14:solidFill>
          </w14:textFill>
        </w:rPr>
        <w:t>关于省道S246线韶关浈江大王冲至新村段路面预防养护及功能性修复养护工程方案设计的审查意见》（粤公养函</w:t>
      </w:r>
      <w:r>
        <w:rPr>
          <w:rFonts w:hint="eastAsia" w:hAnsi="宋体"/>
          <w:color w:val="000000" w:themeColor="text1"/>
          <w:sz w:val="24"/>
          <w:highlight w:val="none"/>
          <w:u w:val="single"/>
          <w14:textFill>
            <w14:solidFill>
              <w14:schemeClr w14:val="tx1"/>
            </w14:solidFill>
          </w14:textFill>
        </w:rPr>
        <w:t>〔</w:t>
      </w:r>
      <w:r>
        <w:rPr>
          <w:rFonts w:hint="eastAsia"/>
          <w:color w:val="000000" w:themeColor="text1"/>
          <w:sz w:val="24"/>
          <w:highlight w:val="none"/>
          <w:u w:val="single"/>
          <w14:textFill>
            <w14:solidFill>
              <w14:schemeClr w14:val="tx1"/>
            </w14:solidFill>
          </w14:textFill>
        </w:rPr>
        <w:t>2023</w:t>
      </w:r>
      <w:r>
        <w:rPr>
          <w:rFonts w:hint="eastAsia" w:hAnsi="宋体"/>
          <w:color w:val="000000" w:themeColor="text1"/>
          <w:sz w:val="24"/>
          <w:highlight w:val="none"/>
          <w:u w:val="single"/>
          <w14:textFill>
            <w14:solidFill>
              <w14:schemeClr w14:val="tx1"/>
            </w14:solidFill>
          </w14:textFill>
        </w:rPr>
        <w:t>〕</w:t>
      </w:r>
      <w:r>
        <w:rPr>
          <w:rFonts w:hint="eastAsia"/>
          <w:color w:val="000000" w:themeColor="text1"/>
          <w:sz w:val="24"/>
          <w:highlight w:val="none"/>
          <w:u w:val="single"/>
          <w14:textFill>
            <w14:solidFill>
              <w14:schemeClr w14:val="tx1"/>
            </w14:solidFill>
          </w14:textFill>
        </w:rPr>
        <w:t>406号</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批准建设，</w:t>
      </w:r>
      <w:r>
        <w:rPr>
          <w:rFonts w:hint="eastAsia" w:ascii="宋体" w:hAnsi="宋体" w:cs="宋体"/>
          <w:color w:val="000000" w:themeColor="text1"/>
          <w:sz w:val="24"/>
          <w:highlight w:val="none"/>
          <w14:textFill>
            <w14:solidFill>
              <w14:schemeClr w14:val="tx1"/>
            </w14:solidFill>
          </w14:textFill>
        </w:rPr>
        <w:t>施工图设计已由</w:t>
      </w:r>
      <w:r>
        <w:rPr>
          <w:rFonts w:hint="eastAsia" w:ascii="宋体" w:hAnsi="宋体" w:cs="宋体"/>
          <w:color w:val="000000" w:themeColor="text1"/>
          <w:sz w:val="24"/>
          <w:highlight w:val="none"/>
          <w:u w:val="single"/>
          <w14:textFill>
            <w14:solidFill>
              <w14:schemeClr w14:val="tx1"/>
            </w14:solidFill>
          </w14:textFill>
        </w:rPr>
        <w:t>韶关市交通运输局</w:t>
      </w:r>
      <w:r>
        <w:rPr>
          <w:rFonts w:hint="eastAsia" w:ascii="宋体" w:hAnsi="宋体" w:cs="宋体"/>
          <w:color w:val="000000" w:themeColor="text1"/>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韶关市交通运输局关于省道 S246 线韶关浈江大王冲至新村段路面预防养护及功能性修复养护工程施工图设计的批复</w:t>
      </w:r>
      <w:r>
        <w:rPr>
          <w:rFonts w:hint="eastAsia"/>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14:textFill>
            <w14:solidFill>
              <w14:schemeClr w14:val="tx1"/>
            </w14:solidFill>
          </w14:textFill>
        </w:rPr>
        <w:t xml:space="preserve">韶交基函〔2023〕334号) </w:t>
      </w:r>
      <w:r>
        <w:rPr>
          <w:rFonts w:hint="eastAsia" w:ascii="宋体" w:hAnsi="宋体" w:cs="宋体"/>
          <w:color w:val="000000" w:themeColor="text1"/>
          <w:sz w:val="24"/>
          <w:highlight w:val="none"/>
          <w14:textFill>
            <w14:solidFill>
              <w14:schemeClr w14:val="tx1"/>
            </w14:solidFill>
          </w14:textFill>
        </w:rPr>
        <w:t>批复，</w:t>
      </w:r>
      <w:r>
        <w:rPr>
          <w:rFonts w:hint="eastAsia" w:hAnsi="宋体"/>
          <w:color w:val="000000" w:themeColor="text1"/>
          <w:sz w:val="24"/>
          <w:highlight w:val="none"/>
          <w14:textFill>
            <w14:solidFill>
              <w14:schemeClr w14:val="tx1"/>
            </w14:solidFill>
          </w14:textFill>
        </w:rPr>
        <w:t>投资项目统一代码为</w:t>
      </w:r>
      <w:r>
        <w:rPr>
          <w:rFonts w:hint="eastAsia" w:hAnsi="宋体"/>
          <w:color w:val="000000" w:themeColor="text1"/>
          <w:sz w:val="24"/>
          <w:highlight w:val="none"/>
          <w:u w:val="single"/>
          <w14:textFill>
            <w14:solidFill>
              <w14:schemeClr w14:val="tx1"/>
            </w14:solidFill>
          </w14:textFill>
        </w:rPr>
        <w:t>2401-440204-04-01-898819</w:t>
      </w:r>
      <w:r>
        <w:rPr>
          <w:rFonts w:hint="eastAsia" w:hAnsi="宋体"/>
          <w:color w:val="000000" w:themeColor="text1"/>
          <w:sz w:val="24"/>
          <w:highlight w:val="none"/>
          <w14:textFill>
            <w14:solidFill>
              <w14:schemeClr w14:val="tx1"/>
            </w14:solidFill>
          </w14:textFill>
        </w:rPr>
        <w:t>；项目业主为</w:t>
      </w:r>
      <w:r>
        <w:rPr>
          <w:rFonts w:hint="eastAsia" w:hAnsi="宋体"/>
          <w:color w:val="000000" w:themeColor="text1"/>
          <w:sz w:val="24"/>
          <w:highlight w:val="none"/>
          <w:u w:val="single"/>
          <w14:textFill>
            <w14:solidFill>
              <w14:schemeClr w14:val="tx1"/>
            </w14:solidFill>
          </w14:textFill>
        </w:rPr>
        <w:t>韶关市城郊公路事务中心</w:t>
      </w:r>
      <w:r>
        <w:rPr>
          <w:rFonts w:hint="eastAsia" w:hAnsi="宋体"/>
          <w:color w:val="000000" w:themeColor="text1"/>
          <w:sz w:val="24"/>
          <w:highlight w:val="none"/>
          <w14:textFill>
            <w14:solidFill>
              <w14:schemeClr w14:val="tx1"/>
            </w14:solidFill>
          </w14:textFill>
        </w:rPr>
        <w:t>，建设资金来源为</w:t>
      </w:r>
      <w:r>
        <w:rPr>
          <w:rFonts w:hint="eastAsia" w:hAnsi="宋体"/>
          <w:color w:val="000000" w:themeColor="text1"/>
          <w:sz w:val="24"/>
          <w:highlight w:val="none"/>
          <w:u w:val="single"/>
          <w14:textFill>
            <w14:solidFill>
              <w14:schemeClr w14:val="tx1"/>
            </w14:solidFill>
          </w14:textFill>
        </w:rPr>
        <w:t>按有关规定申请上级资金，其余不足资金自行筹措解决</w:t>
      </w:r>
      <w:r>
        <w:rPr>
          <w:rFonts w:hint="eastAsia" w:hAnsi="宋体"/>
          <w:color w:val="000000" w:themeColor="text1"/>
          <w:sz w:val="24"/>
          <w:highlight w:val="none"/>
          <w14:textFill>
            <w14:solidFill>
              <w14:schemeClr w14:val="tx1"/>
            </w14:solidFill>
          </w14:textFill>
        </w:rPr>
        <w:t>，项目出资比例为</w:t>
      </w:r>
      <w:r>
        <w:rPr>
          <w:rFonts w:hint="eastAsia" w:hAnsi="宋体"/>
          <w:color w:val="000000" w:themeColor="text1"/>
          <w:sz w:val="24"/>
          <w:highlight w:val="none"/>
          <w:u w:val="single"/>
          <w14:textFill>
            <w14:solidFill>
              <w14:schemeClr w14:val="tx1"/>
            </w14:solidFill>
          </w14:textFill>
        </w:rPr>
        <w:t>100%</w:t>
      </w:r>
      <w:r>
        <w:rPr>
          <w:rFonts w:hint="eastAsia" w:hAnsi="宋体"/>
          <w:color w:val="000000" w:themeColor="text1"/>
          <w:sz w:val="24"/>
          <w:highlight w:val="none"/>
          <w14:textFill>
            <w14:solidFill>
              <w14:schemeClr w14:val="tx1"/>
            </w14:solidFill>
          </w14:textFill>
        </w:rPr>
        <w:t>。招标人为</w:t>
      </w:r>
      <w:r>
        <w:rPr>
          <w:rFonts w:hint="eastAsia" w:hAnsi="宋体"/>
          <w:color w:val="000000" w:themeColor="text1"/>
          <w:sz w:val="24"/>
          <w:highlight w:val="none"/>
          <w:u w:val="single"/>
          <w14:textFill>
            <w14:solidFill>
              <w14:schemeClr w14:val="tx1"/>
            </w14:solidFill>
          </w14:textFill>
        </w:rPr>
        <w:t>韶关市城郊公路事务中心</w:t>
      </w:r>
      <w:r>
        <w:rPr>
          <w:rFonts w:ascii="宋体" w:hAnsi="宋体" w:cs="宋体"/>
          <w:color w:val="000000" w:themeColor="text1"/>
          <w:spacing w:val="-11"/>
          <w:sz w:val="23"/>
          <w:szCs w:val="23"/>
          <w:highlight w:val="none"/>
          <w14:textFill>
            <w14:solidFill>
              <w14:schemeClr w14:val="tx1"/>
            </w14:solidFill>
          </w14:textFill>
        </w:rPr>
        <w:t>。</w:t>
      </w:r>
      <w:r>
        <w:rPr>
          <w:rFonts w:ascii="宋体" w:hAnsi="宋体" w:cs="宋体"/>
          <w:color w:val="000000" w:themeColor="text1"/>
          <w:spacing w:val="-11"/>
          <w:sz w:val="24"/>
          <w:highlight w:val="none"/>
          <w14:textFill>
            <w14:solidFill>
              <w14:schemeClr w14:val="tx1"/>
            </w14:solidFill>
          </w14:textFill>
        </w:rPr>
        <w:t>项目已具备招标条件，</w:t>
      </w:r>
      <w:r>
        <w:rPr>
          <w:rFonts w:hint="eastAsia" w:hAnsi="宋体"/>
          <w:color w:val="000000" w:themeColor="text1"/>
          <w:sz w:val="24"/>
          <w:highlight w:val="none"/>
          <w14:textFill>
            <w14:solidFill>
              <w14:schemeClr w14:val="tx1"/>
            </w14:solidFill>
          </w14:textFill>
        </w:rPr>
        <w:t>现对该项目的施工采用资格后审方式进行公开招标。</w:t>
      </w:r>
    </w:p>
    <w:p>
      <w:pPr>
        <w:pStyle w:val="3"/>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0" w:name="_Toc27864"/>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2.项目概况与招标范围</w:t>
      </w:r>
      <w:bookmarkEnd w:id="8"/>
      <w:bookmarkEnd w:id="9"/>
      <w:bookmarkEnd w:id="10"/>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 </w:t>
      </w:r>
      <w:r>
        <w:rPr>
          <w:rFonts w:ascii="宋体" w:hAnsi="宋体"/>
          <w:color w:val="000000" w:themeColor="text1"/>
          <w:sz w:val="24"/>
          <w:highlight w:val="none"/>
          <w14:textFill>
            <w14:solidFill>
              <w14:schemeClr w14:val="tx1"/>
            </w14:solidFill>
          </w14:textFill>
        </w:rPr>
        <w:t>项目概况与招标</w:t>
      </w:r>
      <w:r>
        <w:rPr>
          <w:rFonts w:hint="eastAsia" w:ascii="宋体" w:hAnsi="宋体"/>
          <w:color w:val="000000" w:themeColor="text1"/>
          <w:sz w:val="24"/>
          <w:highlight w:val="none"/>
          <w14:textFill>
            <w14:solidFill>
              <w14:schemeClr w14:val="tx1"/>
            </w14:solidFill>
          </w14:textFill>
        </w:rPr>
        <w:t>范围</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建设地点：</w:t>
      </w:r>
      <w:r>
        <w:rPr>
          <w:rFonts w:hint="eastAsia" w:ascii="宋体" w:hAnsi="宋体"/>
          <w:color w:val="000000" w:themeColor="text1"/>
          <w:sz w:val="24"/>
          <w:highlight w:val="none"/>
          <w:u w:val="single"/>
          <w14:textFill>
            <w14:solidFill>
              <w14:schemeClr w14:val="tx1"/>
            </w14:solidFill>
          </w14:textFill>
        </w:rPr>
        <w:t>韶关市浈江区</w:t>
      </w:r>
      <w:r>
        <w:rPr>
          <w:rFonts w:hint="eastAsia" w:ascii="宋体" w:hAnsi="宋体"/>
          <w:color w:val="000000" w:themeColor="text1"/>
          <w:sz w:val="24"/>
          <w:highlight w:val="none"/>
          <w14:textFill>
            <w14:solidFill>
              <w14:schemeClr w14:val="tx1"/>
            </w14:solidFill>
          </w14:textFill>
        </w:rPr>
        <w:t>。</w:t>
      </w:r>
    </w:p>
    <w:p>
      <w:pPr>
        <w:widowControl/>
        <w:spacing w:line="360" w:lineRule="auto"/>
        <w:ind w:firstLine="48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 建设内容及规模：</w:t>
      </w:r>
      <w:r>
        <w:rPr>
          <w:rFonts w:hint="eastAsia" w:ascii="宋体" w:hAnsi="宋体"/>
          <w:color w:val="000000" w:themeColor="text1"/>
          <w:sz w:val="24"/>
          <w:highlight w:val="none"/>
          <w:u w:val="single"/>
          <w14:textFill>
            <w14:solidFill>
              <w14:schemeClr w14:val="tx1"/>
            </w14:solidFill>
          </w14:textFill>
        </w:rPr>
        <w:t>项目位于韶关市浈江区，路线总体呈由北往南走向，起于浈江区与仁化县交界白莲村西侧，起点桩号 K76+473，经大王冲村、鹧鸪石村，终点位于新村附近，终点桩号 K81+710，路线全长 5.327km，采用二级公路技术标准，主要建设内容为路面的预防养护及功能性修复养护。本项目先根据旧路面具体病害情况对旧沥青砼路面进行修复处治（如灌缝、更换沥青层、调铺抗裂贴等措施）后，再加铺 4cm 厚沥青砼罩面，其路面结构设计为 4cm 厚 GAC-13C 细粒式改性沥青混凝土+改性乳化沥青粘层油+修复处治后旧路面。本项目为预防养护及功能性修复养护工程，在路面加铺沥青罩面后按规范要求重新施划路面标线,</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与等外公路平交（道口）增设必要的交通安全设施。</w:t>
      </w:r>
    </w:p>
    <w:p>
      <w:pPr>
        <w:spacing w:line="400" w:lineRule="atLeas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 招标范</w:t>
      </w:r>
      <w:r>
        <w:rPr>
          <w:rFonts w:hint="eastAsia" w:ascii="宋体" w:hAnsi="宋体" w:cs="Arial"/>
          <w:color w:val="000000" w:themeColor="text1"/>
          <w:sz w:val="24"/>
          <w:highlight w:val="none"/>
          <w14:textFill>
            <w14:solidFill>
              <w14:schemeClr w14:val="tx1"/>
            </w14:solidFill>
          </w14:textFill>
        </w:rPr>
        <w:t>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本项目施工图设计和工程量清单范围内的工程施工</w:t>
      </w:r>
      <w:r>
        <w:rPr>
          <w:rFonts w:hint="eastAsia" w:ascii="宋体" w:hAnsi="宋体"/>
          <w:color w:val="000000" w:themeColor="text1"/>
          <w:sz w:val="24"/>
          <w:highlight w:val="none"/>
          <w14:textFill>
            <w14:solidFill>
              <w14:schemeClr w14:val="tx1"/>
            </w14:solidFill>
          </w14:textFill>
        </w:rPr>
        <w:t>。</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2.1.4 </w:t>
      </w:r>
      <w:r>
        <w:rPr>
          <w:rFonts w:hint="eastAsia" w:ascii="宋体" w:hAnsi="宋体" w:cs="Arial"/>
          <w:color w:val="000000" w:themeColor="text1"/>
          <w:sz w:val="24"/>
          <w:highlight w:val="none"/>
          <w14:textFill>
            <w14:solidFill>
              <w14:schemeClr w14:val="tx1"/>
            </w14:solidFill>
          </w14:textFill>
        </w:rPr>
        <w:t>计划工期：</w:t>
      </w:r>
      <w:r>
        <w:rPr>
          <w:rFonts w:hint="eastAsia" w:ascii="宋体" w:hAnsi="宋体"/>
          <w:color w:val="000000" w:themeColor="text1"/>
          <w:kern w:val="0"/>
          <w:sz w:val="24"/>
          <w:highlight w:val="none"/>
          <w:u w:val="single"/>
          <w14:textFill>
            <w14:solidFill>
              <w14:schemeClr w14:val="tx1"/>
            </w14:solidFill>
          </w14:textFill>
        </w:rPr>
        <w:t>90日历天</w:t>
      </w:r>
      <w:r>
        <w:rPr>
          <w:rFonts w:hint="eastAsia" w:ascii="宋体" w:hAnsi="宋体"/>
          <w:color w:val="000000" w:themeColor="text1"/>
          <w:sz w:val="24"/>
          <w:highlight w:val="none"/>
          <w14:textFill>
            <w14:solidFill>
              <w14:schemeClr w14:val="tx1"/>
            </w14:solidFill>
          </w14:textFill>
        </w:rPr>
        <w:t>；实际开工时间以监理签发开工令为准。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工程投资：本项目预算为</w:t>
      </w:r>
      <w:r>
        <w:rPr>
          <w:rFonts w:hint="eastAsia" w:ascii="宋体" w:hAnsi="宋体" w:cs="宋体"/>
          <w:color w:val="000000" w:themeColor="text1"/>
          <w:sz w:val="24"/>
          <w:highlight w:val="none"/>
          <w:u w:val="single"/>
          <w14:textFill>
            <w14:solidFill>
              <w14:schemeClr w14:val="tx1"/>
            </w14:solidFill>
          </w14:textFill>
        </w:rPr>
        <w:t>526.92</w:t>
      </w:r>
      <w:r>
        <w:rPr>
          <w:rFonts w:hint="eastAsia" w:ascii="宋体" w:hAnsi="宋体" w:cs="宋体"/>
          <w:color w:val="000000" w:themeColor="text1"/>
          <w:sz w:val="24"/>
          <w:highlight w:val="none"/>
          <w14:textFill>
            <w14:solidFill>
              <w14:schemeClr w14:val="tx1"/>
            </w14:solidFill>
          </w14:textFill>
        </w:rPr>
        <w:t>万元，其中建筑安装工程费为</w:t>
      </w:r>
      <w:r>
        <w:rPr>
          <w:rFonts w:hint="eastAsia" w:ascii="宋体" w:hAnsi="宋体" w:cs="宋体"/>
          <w:color w:val="000000" w:themeColor="text1"/>
          <w:sz w:val="24"/>
          <w:highlight w:val="none"/>
          <w:u w:val="single"/>
          <w14:textFill>
            <w14:solidFill>
              <w14:schemeClr w14:val="tx1"/>
            </w14:solidFill>
          </w14:textFill>
        </w:rPr>
        <w:t>484.35</w:t>
      </w:r>
      <w:r>
        <w:rPr>
          <w:rFonts w:hint="eastAsia" w:ascii="宋体" w:hAnsi="宋体" w:cs="宋体"/>
          <w:color w:val="000000" w:themeColor="text1"/>
          <w:sz w:val="24"/>
          <w:highlight w:val="none"/>
          <w14:textFill>
            <w14:solidFill>
              <w14:schemeClr w14:val="tx1"/>
            </w14:solidFill>
          </w14:textFill>
        </w:rPr>
        <w:t>万元。</w:t>
      </w:r>
    </w:p>
    <w:p>
      <w:pPr>
        <w:spacing w:line="400" w:lineRule="atLeast"/>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 标段划分：本次施工招标只设一个标段。</w:t>
      </w:r>
    </w:p>
    <w:tbl>
      <w:tblPr>
        <w:tblStyle w:val="4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859"/>
        <w:gridCol w:w="1136"/>
        <w:gridCol w:w="985"/>
        <w:gridCol w:w="928"/>
        <w:gridCol w:w="304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37" w:type="dxa"/>
            <w:vAlign w:val="center"/>
          </w:tcPr>
          <w:p>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bookmarkStart w:id="11" w:name="_Toc20608"/>
            <w:bookmarkStart w:id="12" w:name="_Toc424739346"/>
            <w:r>
              <w:rPr>
                <w:rFonts w:hint="eastAsia" w:ascii="宋体" w:hAnsi="宋体" w:cs="宋体"/>
                <w:color w:val="000000" w:themeColor="text1"/>
                <w:sz w:val="24"/>
                <w:highlight w:val="none"/>
                <w14:textFill>
                  <w14:solidFill>
                    <w14:schemeClr w14:val="tx1"/>
                  </w14:solidFill>
                </w14:textFill>
              </w:rPr>
              <w:t>标段类别</w:t>
            </w:r>
          </w:p>
        </w:tc>
        <w:tc>
          <w:tcPr>
            <w:tcW w:w="859" w:type="dxa"/>
            <w:vAlign w:val="center"/>
          </w:tcPr>
          <w:p>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w:t>
            </w:r>
          </w:p>
        </w:tc>
        <w:tc>
          <w:tcPr>
            <w:tcW w:w="1136" w:type="dxa"/>
            <w:vAlign w:val="center"/>
          </w:tcPr>
          <w:p>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起讫桩号</w:t>
            </w:r>
          </w:p>
        </w:tc>
        <w:tc>
          <w:tcPr>
            <w:tcW w:w="985" w:type="dxa"/>
            <w:vAlign w:val="center"/>
          </w:tcPr>
          <w:p>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长度（km）</w:t>
            </w:r>
          </w:p>
        </w:tc>
        <w:tc>
          <w:tcPr>
            <w:tcW w:w="928" w:type="dxa"/>
            <w:vAlign w:val="center"/>
          </w:tcPr>
          <w:p>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主要工程项目</w:t>
            </w:r>
          </w:p>
        </w:tc>
        <w:tc>
          <w:tcPr>
            <w:tcW w:w="3046" w:type="dxa"/>
            <w:vAlign w:val="center"/>
          </w:tcPr>
          <w:p>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对投标人资质要求</w:t>
            </w:r>
          </w:p>
        </w:tc>
        <w:tc>
          <w:tcPr>
            <w:tcW w:w="1445" w:type="dxa"/>
            <w:vAlign w:val="center"/>
          </w:tcPr>
          <w:p>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345" w:type="dxa"/>
            <w:gridSpan w:val="5"/>
            <w:shd w:val="clear" w:color="auto" w:fill="FFFFFF" w:themeFill="background1"/>
            <w:vAlign w:val="center"/>
          </w:tcPr>
          <w:p>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标段的划分及主要工程项目情况详见本招标公告2.1及2.2条</w:t>
            </w:r>
          </w:p>
        </w:tc>
        <w:tc>
          <w:tcPr>
            <w:tcW w:w="3046" w:type="dxa"/>
            <w:vAlign w:val="center"/>
          </w:tcPr>
          <w:p>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具备《建筑业企业资质标准》（建市[2014]159号）规定的公路工程施工总承包三级以上（含三级）资质。</w:t>
            </w:r>
          </w:p>
        </w:tc>
        <w:tc>
          <w:tcPr>
            <w:tcW w:w="1445" w:type="dxa"/>
            <w:vAlign w:val="center"/>
          </w:tcPr>
          <w:p>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资格审查条件见招标文件附录1至附录7</w:t>
            </w:r>
          </w:p>
        </w:tc>
      </w:tr>
    </w:tbl>
    <w:p>
      <w:pPr>
        <w:pStyle w:val="3"/>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3" w:name="_Toc32609"/>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3.投标人资格要求</w:t>
      </w:r>
      <w:bookmarkEnd w:id="11"/>
      <w:bookmarkEnd w:id="12"/>
      <w:bookmarkEnd w:id="13"/>
    </w:p>
    <w:p>
      <w:pPr>
        <w:pStyle w:val="16"/>
        <w:spacing w:line="400" w:lineRule="atLeas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sz w:val="24"/>
          <w:highlight w:val="none"/>
          <w14:textFill>
            <w14:solidFill>
              <w14:schemeClr w14:val="tx1"/>
            </w14:solidFill>
          </w14:textFill>
        </w:rPr>
        <w:t>本次招标要求投标人须具备</w:t>
      </w:r>
      <w:r>
        <w:rPr>
          <w:rFonts w:hint="eastAsia" w:ascii="宋体" w:hAnsi="宋体" w:cs="宋体"/>
          <w:color w:val="000000" w:themeColor="text1"/>
          <w:sz w:val="24"/>
          <w:highlight w:val="none"/>
          <w:u w:val="single"/>
          <w14:textFill>
            <w14:solidFill>
              <w14:schemeClr w14:val="tx1"/>
            </w14:solidFill>
          </w14:textFill>
        </w:rPr>
        <w:t>上述第2.2款表中所列相应</w:t>
      </w:r>
      <w:r>
        <w:rPr>
          <w:rFonts w:hint="eastAsia" w:ascii="宋体" w:hAnsi="宋体" w:cs="宋体"/>
          <w:color w:val="000000" w:themeColor="text1"/>
          <w:kern w:val="0"/>
          <w:sz w:val="24"/>
          <w:highlight w:val="none"/>
          <w14:textFill>
            <w14:solidFill>
              <w14:schemeClr w14:val="tx1"/>
            </w14:solidFill>
          </w14:textFill>
        </w:rPr>
        <w:t>资质、</w:t>
      </w:r>
      <w:r>
        <w:rPr>
          <w:rFonts w:hint="eastAsia" w:ascii="宋体" w:hAnsi="宋体" w:cs="宋体"/>
          <w:color w:val="000000" w:themeColor="text1"/>
          <w:sz w:val="24"/>
          <w:highlight w:val="none"/>
          <w:u w:val="single"/>
          <w14:textFill>
            <w14:solidFill>
              <w14:schemeClr w14:val="tx1"/>
            </w14:solidFill>
          </w14:textFill>
        </w:rPr>
        <w:t>类似工程</w:t>
      </w:r>
      <w:r>
        <w:rPr>
          <w:rFonts w:hint="eastAsia" w:ascii="宋体" w:hAnsi="宋体" w:cs="宋体"/>
          <w:color w:val="000000" w:themeColor="text1"/>
          <w:sz w:val="24"/>
          <w:highlight w:val="none"/>
          <w14:textFill>
            <w14:solidFill>
              <w14:schemeClr w14:val="tx1"/>
            </w14:solidFill>
          </w14:textFill>
        </w:rPr>
        <w:t>业绩，并在人员、设备、资金等方面具有相应的施工能力。</w:t>
      </w:r>
    </w:p>
    <w:p>
      <w:pPr>
        <w:wordWrap w:val="0"/>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投标人应进入交通运输部“全国公路建设市场监督管理系统（https://hwdms.mot.gov.cn/BMWebSite/）”中的公路工程施工资质企业名录，且投标人名称和资质与该名录中的相应企业名称和资质完全一致。</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 本次招标</w:t>
      </w:r>
      <w:r>
        <w:rPr>
          <w:rFonts w:hint="eastAsia" w:ascii="宋体" w:hAnsi="宋体"/>
          <w:color w:val="000000" w:themeColor="text1"/>
          <w:sz w:val="24"/>
          <w:highlight w:val="none"/>
          <w:u w:val="single"/>
          <w14:textFill>
            <w14:solidFill>
              <w14:schemeClr w14:val="tx1"/>
            </w14:solidFill>
          </w14:textFill>
        </w:rPr>
        <w:t>不接受</w:t>
      </w:r>
      <w:r>
        <w:rPr>
          <w:rFonts w:hint="eastAsia" w:ascii="宋体" w:hAnsi="宋体"/>
          <w:color w:val="000000" w:themeColor="text1"/>
          <w:sz w:val="24"/>
          <w:highlight w:val="none"/>
          <w14:textFill>
            <w14:solidFill>
              <w14:schemeClr w14:val="tx1"/>
            </w14:solidFill>
          </w14:textFill>
        </w:rPr>
        <w:t>联合体投标。</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 在本次招标中，每个投标人可对</w:t>
      </w:r>
      <w:r>
        <w:rPr>
          <w:rFonts w:hint="eastAsia"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个标段投标，且只允许中</w:t>
      </w:r>
      <w:r>
        <w:rPr>
          <w:rFonts w:hint="eastAsia"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14:textFill>
            <w14:solidFill>
              <w14:schemeClr w14:val="tx1"/>
            </w14:solidFill>
          </w14:textFill>
        </w:rPr>
        <w:t>个标。</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pStyle w:val="16"/>
        <w:spacing w:line="40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注：①单位负责人是指：单位的法定代表人或者法律、行政法规规定代表单位行使职权的主要负责人；</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②控股是指：控股是指：出资额占有限责任公司资本总额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③管理关系是指：不具有出资持股关系的其它单位之间存在的管理与被管理关系。</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 在“信用中国”网站（https://www.creditchina.gov.cn/）中被列入失信被执行人名单的投标人、在“国家企业信用信息公示系统” (https://www.gsxt.gov.cn) 中被列入严重违法失信企业名单的投标人，均按否决投标处理。</w:t>
      </w:r>
    </w:p>
    <w:p>
      <w:pPr>
        <w:pStyle w:val="16"/>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color w:val="000000" w:themeColor="text1"/>
          <w:sz w:val="24"/>
          <w:highlight w:val="none"/>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4" w:name="_Toc424739347"/>
      <w:bookmarkStart w:id="15" w:name="_Toc27732"/>
      <w:bookmarkStart w:id="16" w:name="_Toc28412"/>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4.</w:t>
      </w:r>
      <w:bookmarkEnd w:id="14"/>
      <w:r>
        <w:rPr>
          <w:rFonts w:hint="eastAsia" w:ascii="宋体" w:hAnsi="宋体" w:eastAsia="宋体" w:cs="黑体"/>
          <w:bCs w:val="0"/>
          <w:color w:val="000000" w:themeColor="text1"/>
          <w:sz w:val="28"/>
          <w:szCs w:val="28"/>
          <w:highlight w:val="none"/>
          <w14:textFill>
            <w14:solidFill>
              <w14:schemeClr w14:val="tx1"/>
            </w14:solidFill>
          </w14:textFill>
        </w:rPr>
        <w:t>招标文件的获取</w:t>
      </w:r>
      <w:bookmarkEnd w:id="15"/>
      <w:bookmarkEnd w:id="16"/>
    </w:p>
    <w:p>
      <w:pPr>
        <w:pStyle w:val="73"/>
        <w:widowControl/>
        <w:snapToGrid w:val="0"/>
        <w:spacing w:line="400" w:lineRule="atLeast"/>
        <w:ind w:firstLine="480"/>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4.1 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见本章第二节“重要事项时间地点一览表”，招标文件获取期间与招标公告发布时间一致），投标人须登录全国公共资源交易平台（广东省·韶关市）（https://ygp.gdzwfw.gov.cn/ggzy-portal/#/440200/index）下载招标文件及相关附件，并于电子投标截止时间（见本章第二节“重要事项时间地点一览表”）前完成电子投标。投标人可登录全国公共资源交易平台（广东省·韶关市）（https://ygp.gdzwfw.gov.cn/ggzy-portal/#/440200/index），在【服务指南】栏目中下载《韶关市公共资源交易平台-投标人操作指南（电子评标）》，了解网上获取招标文件操作流程。技术咨询电话：18819797080/0751-8379671 伍先生，业务咨询电话：0751-8633211、8379023。</w:t>
      </w:r>
    </w:p>
    <w:p>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4.2 只有申领了数字证书（CA）、“粤企签”或GDCA/SZCA/NETCA等符合法律法规规定的电子印章，并在交易平台中完成企业信息数据入库的投标人，方可在交易平台获取招标文件和电子投标。</w:t>
      </w:r>
    </w:p>
    <w:p>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pStyle w:val="58"/>
        <w:spacing w:line="440" w:lineRule="exact"/>
        <w:rPr>
          <w:rFonts w:ascii="宋体" w:hAnsi="宋体" w:cs="宋体"/>
          <w:bCs/>
          <w:color w:val="000000" w:themeColor="text1"/>
          <w:highlight w:val="none"/>
          <w14:textFill>
            <w14:solidFill>
              <w14:schemeClr w14:val="tx1"/>
            </w14:solidFill>
          </w14:textFill>
        </w:rPr>
      </w:pPr>
      <w:bookmarkStart w:id="17" w:name="OLE_LINK4"/>
      <w:bookmarkStart w:id="18" w:name="_Toc26909"/>
      <w:r>
        <w:rPr>
          <w:rFonts w:hint="eastAsia" w:ascii="宋体" w:hAnsi="宋体" w:cs="宋体"/>
          <w:bCs/>
          <w:color w:val="000000" w:themeColor="text1"/>
          <w:highlight w:val="none"/>
          <w14:textFill>
            <w14:solidFill>
              <w14:schemeClr w14:val="tx1"/>
            </w14:solidFill>
          </w14:textFill>
        </w:rPr>
        <w:t>4.3 投标保证金</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4.3.1 投标人须缴纳金额为人民币</w:t>
      </w:r>
      <w:r>
        <w:rPr>
          <w:rFonts w:hint="eastAsia" w:ascii="宋体" w:hAnsi="宋体" w:cs="宋体"/>
          <w:bCs/>
          <w:color w:val="000000" w:themeColor="text1"/>
          <w:highlight w:val="none"/>
          <w:u w:val="single"/>
          <w14:textFill>
            <w14:solidFill>
              <w14:schemeClr w14:val="tx1"/>
            </w14:solidFill>
          </w14:textFill>
        </w:rPr>
        <w:t>8万元</w:t>
      </w:r>
      <w:r>
        <w:rPr>
          <w:rFonts w:hint="eastAsia" w:ascii="宋体" w:hAnsi="宋体" w:cs="宋体"/>
          <w:bCs/>
          <w:color w:val="000000" w:themeColor="text1"/>
          <w:highlight w:val="none"/>
          <w14:textFill>
            <w14:solidFill>
              <w14:schemeClr w14:val="tx1"/>
            </w14:solidFill>
          </w14:textFill>
        </w:rPr>
        <w:t>的投标保证。</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4.3.2 投标保证的形式包括投标保证金、投标保证担保、投标保证保险三种，由投标人自主选择。</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采用投标保证担保的，投标人应提交有效的电子保函，电子保函的有效期不得短于投标有效期。投标人必须在投标保证担保截止时间（详见“重要事项时间地点一览表”）前，在交易平台完成网上办理电子保函。</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温馨提醒：投标人采用投标保证担保或投标保证保险的，为避免在评标过程中因有效期发生争议，建议投标人将电子保函或电子保单有效期设置为较招标文件规定的投标有效期延长不少于20个日历天。</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4.3.3若投标人因自身原因未能正确完成网上获取招标文件、电子投标、缴纳投标保证的，其投标无效。</w:t>
      </w:r>
    </w:p>
    <w:p>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4.4 </w:t>
      </w:r>
      <w:r>
        <w:rPr>
          <w:rFonts w:hint="eastAsia" w:ascii="宋体" w:hAnsi="宋体"/>
          <w:color w:val="000000" w:themeColor="text1"/>
          <w:highlight w:val="none"/>
          <w14:textFill>
            <w14:solidFill>
              <w14:schemeClr w14:val="tx1"/>
            </w14:solidFill>
          </w14:textFill>
        </w:rPr>
        <w:t>获取招标文件等资料的方式：已经在</w:t>
      </w:r>
      <w:r>
        <w:rPr>
          <w:rFonts w:hint="eastAsia" w:ascii="宋体" w:hAnsi="宋体" w:cs="宋体"/>
          <w:color w:val="000000" w:themeColor="text1"/>
          <w:highlight w:val="none"/>
          <w14:textFill>
            <w14:solidFill>
              <w14:schemeClr w14:val="tx1"/>
            </w14:solidFill>
          </w14:textFill>
        </w:rPr>
        <w:t>全国公共资源交易平台 （广东省·韶关市）</w:t>
      </w:r>
      <w:r>
        <w:rPr>
          <w:rFonts w:hint="eastAsia" w:ascii="宋体" w:hAnsi="宋体"/>
          <w:color w:val="000000" w:themeColor="text1"/>
          <w:highlight w:val="none"/>
          <w14:textFill>
            <w14:solidFill>
              <w14:schemeClr w14:val="tx1"/>
            </w14:solidFill>
          </w14:textFill>
        </w:rPr>
        <w:t>报名的投标人可直接在平台中获取招标文件</w:t>
      </w:r>
      <w:r>
        <w:rPr>
          <w:rFonts w:hint="eastAsia" w:ascii="宋体" w:hAnsi="宋体" w:cs="宋体"/>
          <w:bCs/>
          <w:color w:val="000000" w:themeColor="text1"/>
          <w:highlight w:val="none"/>
          <w14:textFill>
            <w14:solidFill>
              <w14:schemeClr w14:val="tx1"/>
            </w14:solidFill>
          </w14:textFill>
        </w:rPr>
        <w:t>、工程量清单、图纸等相关资料。</w:t>
      </w:r>
      <w:bookmarkEnd w:id="17"/>
    </w:p>
    <w:p>
      <w:pPr>
        <w:pStyle w:val="5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ascii="宋体" w:hAnsi="宋体" w:cs="宋体"/>
          <w:bCs/>
          <w:color w:val="000000" w:themeColor="text1"/>
          <w:highlight w:val="none"/>
          <w14:textFill>
            <w14:solidFill>
              <w14:schemeClr w14:val="tx1"/>
            </w14:solidFill>
          </w14:textFill>
        </w:rPr>
      </w:pPr>
    </w:p>
    <w:p>
      <w:pPr>
        <w:spacing w:line="440" w:lineRule="exact"/>
        <w:outlineLvl w:val="0"/>
        <w:rPr>
          <w:rFonts w:ascii="宋体" w:hAnsi="宋体" w:cs="宋体"/>
          <w:b/>
          <w:color w:val="000000" w:themeColor="text1"/>
          <w:sz w:val="28"/>
          <w:szCs w:val="28"/>
          <w:highlight w:val="none"/>
          <w14:textFill>
            <w14:solidFill>
              <w14:schemeClr w14:val="tx1"/>
            </w14:solidFill>
          </w14:textFill>
        </w:rPr>
      </w:pPr>
      <w:bookmarkStart w:id="19" w:name="_Toc27968"/>
      <w:r>
        <w:rPr>
          <w:rFonts w:hint="eastAsia" w:ascii="宋体" w:hAnsi="宋体" w:cs="黑体"/>
          <w:color w:val="000000" w:themeColor="text1"/>
          <w:sz w:val="28"/>
          <w:szCs w:val="28"/>
          <w:highlight w:val="none"/>
          <w14:textFill>
            <w14:solidFill>
              <w14:schemeClr w14:val="tx1"/>
            </w14:solidFill>
          </w14:textFill>
        </w:rPr>
        <w:t>5.</w:t>
      </w:r>
      <w:bookmarkEnd w:id="18"/>
      <w:bookmarkStart w:id="20" w:name="_Toc5243"/>
      <w:r>
        <w:rPr>
          <w:rFonts w:hint="eastAsia" w:ascii="宋体" w:hAnsi="宋体" w:cs="宋体"/>
          <w:b/>
          <w:color w:val="000000" w:themeColor="text1"/>
          <w:sz w:val="28"/>
          <w:szCs w:val="28"/>
          <w:highlight w:val="none"/>
          <w14:textFill>
            <w14:solidFill>
              <w14:schemeClr w14:val="tx1"/>
            </w14:solidFill>
          </w14:textFill>
        </w:rPr>
        <w:t>电子投标及相关事宜</w:t>
      </w:r>
      <w:bookmarkEnd w:id="19"/>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投标人若对招标文件、工程量清单等资料有疑问，应在提问截止时间（见“重要事项时间地点一览表”）前使用交易平台提出问题。未在指定时间前、未采用指定方式提出的，招标人不予受理。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招标人在提问截止时间（见“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招标人对招标文件所作的答疑（或修改）公告，构成招标文件的组成部分。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5.4投标人必须在规定的截止时间前使用交易平台完成网上获取招标文件、缴纳投标保证和全流程电子投标。只有满足以上所有条件，方为有效投标。</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及下载中标通知书等业务。全流程电子化招标投标项目不再接收纸质投标文件，也不接收纸质保函等单证资料。</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 开标时间和地点：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pPr>
        <w:pStyle w:val="3"/>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21" w:name="_Toc13025"/>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6.发布公告的媒介</w:t>
      </w:r>
      <w:bookmarkEnd w:id="20"/>
      <w:bookmarkEnd w:id="21"/>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2" w:name="_Toc19457"/>
      <w:r>
        <w:rPr>
          <w:rFonts w:hint="eastAsia" w:ascii="宋体" w:hAnsi="宋体" w:cs="宋体"/>
          <w:color w:val="000000" w:themeColor="text1"/>
          <w:kern w:val="0"/>
          <w:sz w:val="24"/>
          <w:highlight w:val="none"/>
          <w14:textFill>
            <w14:solidFill>
              <w14:schemeClr w14:val="tx1"/>
            </w14:solidFill>
          </w14:textFill>
        </w:rPr>
        <w:t>本次招标公告同时在①广东省招标投标监管网（http://zbtb.gd.gov.cn/）、②</w:t>
      </w:r>
      <w:r>
        <w:rPr>
          <w:rFonts w:hint="eastAsia" w:ascii="宋体" w:hAnsi="宋体" w:cs="宋体"/>
          <w:color w:val="000000" w:themeColor="text1"/>
          <w:sz w:val="24"/>
          <w:highlight w:val="none"/>
          <w14:textFill>
            <w14:solidFill>
              <w14:schemeClr w14:val="tx1"/>
            </w14:solidFill>
          </w14:textFill>
        </w:rPr>
        <w:t>全国公共资源交易平台 （广东省·韶关市）（https://ygp.gdzwfw.gov.cn/ggzy-portal/#/440200/index）</w:t>
      </w:r>
      <w:r>
        <w:rPr>
          <w:rFonts w:hint="eastAsia" w:ascii="宋体" w:hAnsi="宋体" w:cs="宋体"/>
          <w:color w:val="000000" w:themeColor="text1"/>
          <w:kern w:val="0"/>
          <w:sz w:val="24"/>
          <w:highlight w:val="none"/>
          <w14:textFill>
            <w14:solidFill>
              <w14:schemeClr w14:val="tx1"/>
            </w14:solidFill>
          </w14:textFill>
        </w:rPr>
        <w:t>上发布。如公告详细内容不一致者，以</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公告为准。</w:t>
      </w:r>
    </w:p>
    <w:p>
      <w:pPr>
        <w:spacing w:after="136" w:line="360" w:lineRule="auto"/>
        <w:ind w:firstLine="600" w:firstLineChars="2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在规定的报名期间，如本项目报名的投标人不足3家时，招标人依法有权选择以下任一方式：（1）在</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发布公告延长报名时间，在延期报名时间内，已报名投标人的资料仍有效并可自行补充资料，未报名的投标人可根据公告的约定进行报名；（2）依法重新组织招标。</w:t>
      </w:r>
    </w:p>
    <w:p>
      <w:pPr>
        <w:spacing w:after="136"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保证金缴纳截止时间到期后，若交易平台显示成功缴纳投标保证金的投标人数量少于3家时，招标人将取消于次日召开的项目开标会，发布公告延长报名时间或依法重新组织招标。投标人可在投标保证金缴纳截止时间起至电子投标截止时间前自行登录全国公共资源交易平台 （广东省·韶关市）（https://ygp.gdzwfw.gov.cn/ggzy-portal/#/440200/index）查询是否发布了取消项目开标会的相关信息。</w:t>
      </w:r>
    </w:p>
    <w:p>
      <w:pPr>
        <w:pStyle w:val="3"/>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23" w:name="_Toc27075"/>
    </w:p>
    <w:p>
      <w:pPr>
        <w:pStyle w:val="3"/>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7.</w:t>
      </w:r>
      <w:bookmarkStart w:id="24" w:name="_Toc13961"/>
      <w:bookmarkStart w:id="25" w:name="_Toc435045826"/>
      <w:bookmarkStart w:id="26" w:name="_Toc328560386"/>
      <w:r>
        <w:rPr>
          <w:rFonts w:hint="eastAsia" w:ascii="宋体" w:hAnsi="宋体" w:eastAsia="宋体" w:cs="黑体"/>
          <w:bCs w:val="0"/>
          <w:color w:val="000000" w:themeColor="text1"/>
          <w:sz w:val="28"/>
          <w:szCs w:val="28"/>
          <w:highlight w:val="none"/>
          <w14:textFill>
            <w14:solidFill>
              <w14:schemeClr w14:val="tx1"/>
            </w14:solidFill>
          </w14:textFill>
        </w:rPr>
        <w:t>联系方式</w:t>
      </w:r>
      <w:bookmarkEnd w:id="22"/>
      <w:bookmarkEnd w:id="23"/>
      <w:bookmarkEnd w:id="24"/>
    </w:p>
    <w:bookmarkEnd w:id="25"/>
    <w:bookmarkEnd w:id="26"/>
    <w:tbl>
      <w:tblPr>
        <w:tblStyle w:val="44"/>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韶关市城郊公路事务中心</w:t>
            </w:r>
          </w:p>
          <w:p>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  址：韶关市浈江区大德路26号</w:t>
            </w:r>
          </w:p>
          <w:p>
            <w:pPr>
              <w:spacing w:line="420" w:lineRule="exact"/>
              <w:rPr>
                <w:rFonts w:ascii="宋体" w:hAnsi="宋体" w:cs="宋体"/>
                <w:color w:val="000000" w:themeColor="text1"/>
                <w:kern w:val="0"/>
                <w:sz w:val="24"/>
                <w:highlight w:val="none"/>
                <w14:textFill>
                  <w14:solidFill>
                    <w14:schemeClr w14:val="tx1"/>
                  </w14:solidFill>
                </w14:textFill>
              </w:rPr>
            </w:pPr>
            <w:bookmarkStart w:id="27" w:name="OLE_LINK3"/>
            <w:r>
              <w:rPr>
                <w:rFonts w:hint="eastAsia" w:ascii="宋体" w:hAnsi="宋体" w:cs="宋体"/>
                <w:color w:val="000000" w:themeColor="text1"/>
                <w:kern w:val="0"/>
                <w:sz w:val="24"/>
                <w:highlight w:val="none"/>
                <w14:textFill>
                  <w14:solidFill>
                    <w14:schemeClr w14:val="tx1"/>
                  </w14:solidFill>
                </w14:textFill>
              </w:rPr>
              <w:t>邮政编码：</w:t>
            </w:r>
            <w:r>
              <w:rPr>
                <w:rFonts w:hint="eastAsia" w:ascii="宋体" w:hAnsi="宋体" w:cs="宋体"/>
                <w:color w:val="000000" w:themeColor="text1"/>
                <w:sz w:val="24"/>
                <w:highlight w:val="none"/>
                <w14:textFill>
                  <w14:solidFill>
                    <w14:schemeClr w14:val="tx1"/>
                  </w14:solidFill>
                </w14:textFill>
              </w:rPr>
              <w:t>512023</w:t>
            </w:r>
          </w:p>
          <w:bookmarkEnd w:id="27"/>
          <w:p>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人：姚工</w:t>
            </w:r>
          </w:p>
          <w:p>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话：0751-8310092</w:t>
            </w:r>
          </w:p>
        </w:tc>
        <w:tc>
          <w:tcPr>
            <w:tcW w:w="4926" w:type="dxa"/>
            <w:tcBorders>
              <w:tl2br w:val="nil"/>
              <w:tr2bl w:val="nil"/>
            </w:tcBorders>
          </w:tcPr>
          <w:p>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单位名称：</w:t>
            </w:r>
            <w:r>
              <w:rPr>
                <w:rFonts w:hint="eastAsia" w:ascii="宋体" w:hAnsi="宋体" w:cs="宋体"/>
                <w:color w:val="000000" w:themeColor="text1"/>
                <w:kern w:val="0"/>
                <w:sz w:val="24"/>
                <w:highlight w:val="none"/>
                <w14:textFill>
                  <w14:solidFill>
                    <w14:schemeClr w14:val="tx1"/>
                  </w14:solidFill>
                </w14:textFill>
              </w:rPr>
              <w:t>智埔国际建设集团有限公司</w:t>
            </w:r>
          </w:p>
          <w:p>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办公地址：</w:t>
            </w:r>
            <w:r>
              <w:rPr>
                <w:rFonts w:hint="eastAsia" w:ascii="宋体" w:hAnsi="宋体" w:cs="宋体"/>
                <w:color w:val="000000" w:themeColor="text1"/>
                <w:kern w:val="0"/>
                <w:sz w:val="24"/>
                <w:highlight w:val="none"/>
                <w14:textFill>
                  <w14:solidFill>
                    <w14:schemeClr w14:val="tx1"/>
                  </w14:solidFill>
                </w14:textFill>
              </w:rPr>
              <w:t>韶关市武江区西联镇58号明顺实业大楼七楼</w:t>
            </w:r>
          </w:p>
          <w:p>
            <w:pPr>
              <w:spacing w:line="420" w:lineRule="exac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邮政编码：512028</w:t>
            </w:r>
          </w:p>
          <w:p>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14:textFill>
                  <w14:solidFill>
                    <w14:schemeClr w14:val="tx1"/>
                  </w14:solidFill>
                </w14:textFill>
              </w:rPr>
              <w:t>易工</w:t>
            </w:r>
          </w:p>
          <w:p>
            <w:pPr>
              <w:spacing w:line="42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联系电话：0751-</w:t>
            </w:r>
            <w:r>
              <w:rPr>
                <w:rFonts w:hint="eastAsia" w:ascii="宋体" w:hAnsi="宋体" w:cs="宋体"/>
                <w:color w:val="000000" w:themeColor="text1"/>
                <w:kern w:val="0"/>
                <w:sz w:val="24"/>
                <w:highlight w:val="none"/>
                <w14:textFill>
                  <w14:solidFill>
                    <w14:schemeClr w14:val="tx1"/>
                  </w14:solidFill>
                </w14:textFill>
              </w:rPr>
              <w:t>8768123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9852" w:type="dxa"/>
            <w:gridSpan w:val="2"/>
            <w:tcBorders>
              <w:tl2br w:val="nil"/>
              <w:tr2bl w:val="nil"/>
            </w:tcBorders>
          </w:tcPr>
          <w:p>
            <w:pPr>
              <w:pStyle w:val="37"/>
              <w:widowControl/>
              <w:spacing w:beforeLines="100"/>
              <w:jc w:val="righ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2024年 </w:t>
            </w:r>
            <w:r>
              <w:rPr>
                <w:rFonts w:hint="eastAsia" w:ascii="宋体" w:hAnsi="宋体" w:cs="宋体"/>
                <w:color w:val="000000" w:themeColor="text1"/>
                <w:highlight w:val="none"/>
                <w:u w:val="single"/>
                <w:lang w:val="en-US" w:eastAsia="zh-CN"/>
                <w14:textFill>
                  <w14:solidFill>
                    <w14:schemeClr w14:val="tx1"/>
                  </w14:solidFill>
                </w14:textFill>
              </w:rPr>
              <w:t>4</w:t>
            </w:r>
            <w:r>
              <w:rPr>
                <w:rFonts w:hint="eastAsia" w:ascii="宋体" w:hAnsi="宋体" w:cs="宋体"/>
                <w:color w:val="000000" w:themeColor="text1"/>
                <w:highlight w:val="none"/>
                <w:u w:val="single"/>
                <w14:textFill>
                  <w14:solidFill>
                    <w14:schemeClr w14:val="tx1"/>
                  </w14:solidFill>
                </w14:textFill>
              </w:rPr>
              <w:t xml:space="preserve"> 月 </w:t>
            </w:r>
            <w:r>
              <w:rPr>
                <w:rFonts w:hint="eastAsia" w:ascii="宋体" w:hAnsi="宋体" w:cs="宋体"/>
                <w:color w:val="000000" w:themeColor="text1"/>
                <w:highlight w:val="none"/>
                <w:u w:val="single"/>
                <w:lang w:val="en-US" w:eastAsia="zh-CN"/>
                <w14:textFill>
                  <w14:solidFill>
                    <w14:schemeClr w14:val="tx1"/>
                  </w14:solidFill>
                </w14:textFill>
              </w:rPr>
              <w:t>12</w:t>
            </w:r>
            <w:r>
              <w:rPr>
                <w:rFonts w:hint="eastAsia" w:ascii="宋体" w:hAnsi="宋体" w:cs="宋体"/>
                <w:color w:val="000000" w:themeColor="text1"/>
                <w:highlight w:val="none"/>
                <w:u w:val="single"/>
                <w14:textFill>
                  <w14:solidFill>
                    <w14:schemeClr w14:val="tx1"/>
                  </w14:solidFill>
                </w14:textFill>
              </w:rPr>
              <w:t xml:space="preserve"> 日</w:t>
            </w:r>
          </w:p>
        </w:tc>
      </w:tr>
    </w:tbl>
    <w:p>
      <w:pPr>
        <w:pStyle w:val="3"/>
        <w:numPr>
          <w:ilvl w:val="0"/>
          <w:numId w:val="4"/>
        </w:numPr>
        <w:spacing w:before="140" w:after="140" w:line="240" w:lineRule="auto"/>
        <w:rPr>
          <w:rFonts w:ascii="宋体" w:hAnsi="宋体" w:eastAsia="宋体" w:cs="黑体"/>
          <w:color w:val="000000" w:themeColor="text1"/>
          <w:sz w:val="30"/>
          <w:szCs w:val="30"/>
          <w:highlight w:val="none"/>
          <w14:textFill>
            <w14:solidFill>
              <w14:schemeClr w14:val="tx1"/>
            </w14:solidFill>
          </w14:textFill>
        </w:rPr>
      </w:pPr>
      <w:r>
        <w:rPr>
          <w:rFonts w:hint="eastAsia" w:ascii="宋体" w:hAnsi="宋体" w:eastAsia="宋体" w:cs="黑体"/>
          <w:b w:val="0"/>
          <w:bCs w:val="0"/>
          <w:color w:val="000000" w:themeColor="text1"/>
          <w:sz w:val="30"/>
          <w:szCs w:val="30"/>
          <w:highlight w:val="none"/>
          <w14:textFill>
            <w14:solidFill>
              <w14:schemeClr w14:val="tx1"/>
            </w14:solidFill>
          </w14:textFill>
        </w:rPr>
        <w:br w:type="page"/>
      </w:r>
      <w:bookmarkStart w:id="28" w:name="_Toc19197"/>
      <w:r>
        <w:rPr>
          <w:rFonts w:hint="eastAsia" w:ascii="宋体" w:hAnsi="宋体" w:eastAsia="宋体" w:cs="黑体"/>
          <w:color w:val="000000" w:themeColor="text1"/>
          <w:sz w:val="30"/>
          <w:szCs w:val="30"/>
          <w:highlight w:val="none"/>
          <w14:textFill>
            <w14:solidFill>
              <w14:schemeClr w14:val="tx1"/>
            </w14:solidFill>
          </w14:textFill>
        </w:rPr>
        <w:t>重要事项时间地点一览表</w:t>
      </w:r>
      <w:bookmarkEnd w:id="28"/>
    </w:p>
    <w:tbl>
      <w:tblPr>
        <w:tblStyle w:val="43"/>
        <w:tblW w:w="100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2"/>
        <w:gridCol w:w="1425"/>
        <w:gridCol w:w="82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招标公告发布时间 </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jc w:val="left"/>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u w:val="single"/>
                <w14:textFill>
                  <w14:solidFill>
                    <w14:schemeClr w14:val="tx1"/>
                  </w14:solidFill>
                </w14:textFill>
              </w:rPr>
              <w:t>2024</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4</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12</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17</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0</w:t>
            </w:r>
            <w:bookmarkStart w:id="1749" w:name="_GoBack"/>
            <w:bookmarkEnd w:id="1749"/>
            <w:r>
              <w:rPr>
                <w:rFonts w:hint="eastAsia" w:hAnsi="宋体" w:cs="宋体"/>
                <w:snapToGrid w:val="0"/>
                <w:color w:val="000000" w:themeColor="text1"/>
                <w:kern w:val="0"/>
                <w:szCs w:val="24"/>
                <w:highlight w:val="none"/>
                <w:u w:val="single"/>
                <w:lang w:val="en-US" w:eastAsia="zh-CN"/>
                <w14:textFill>
                  <w14:solidFill>
                    <w14:schemeClr w14:val="tx1"/>
                  </w14:solidFill>
                </w14:textFill>
              </w:rPr>
              <w:t>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分至</w:t>
            </w:r>
            <w:r>
              <w:rPr>
                <w:rFonts w:hint="eastAsia" w:hAnsi="宋体" w:cs="宋体"/>
                <w:snapToGrid w:val="0"/>
                <w:color w:val="000000" w:themeColor="text1"/>
                <w:kern w:val="0"/>
                <w:szCs w:val="24"/>
                <w:highlight w:val="none"/>
                <w:u w:val="single"/>
                <w14:textFill>
                  <w14:solidFill>
                    <w14:schemeClr w14:val="tx1"/>
                  </w14:solidFill>
                </w14:textFill>
              </w:rPr>
              <w:t>2024</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7</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9</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30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7"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2</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获取招标文件截止时间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jc w:val="left"/>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u w:val="single"/>
                <w14:textFill>
                  <w14:solidFill>
                    <w14:schemeClr w14:val="tx1"/>
                  </w14:solidFill>
                </w14:textFill>
              </w:rPr>
              <w:t>2024</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7</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9</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30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4"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3</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网上提问截止时间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jc w:val="left"/>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u w:val="single"/>
                <w14:textFill>
                  <w14:solidFill>
                    <w14:schemeClr w14:val="tx1"/>
                  </w14:solidFill>
                </w14:textFill>
              </w:rPr>
              <w:t>2024</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4</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27</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16</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00</w:t>
            </w:r>
            <w:r>
              <w:rPr>
                <w:rFonts w:hint="eastAsia" w:hAnsi="宋体" w:cs="宋体"/>
                <w:snapToGrid w:val="0"/>
                <w:color w:val="000000" w:themeColor="text1"/>
                <w:kern w:val="0"/>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4</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网上答疑时间</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jc w:val="left"/>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u w:val="single"/>
                <w14:textFill>
                  <w14:solidFill>
                    <w14:schemeClr w14:val="tx1"/>
                  </w14:solidFill>
                </w14:textFill>
              </w:rPr>
              <w:t>2024</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4</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27</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16</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30</w:t>
            </w:r>
            <w:r>
              <w:rPr>
                <w:rFonts w:hint="eastAsia" w:hAnsi="宋体" w:cs="宋体"/>
                <w:snapToGrid w:val="0"/>
                <w:color w:val="000000" w:themeColor="text1"/>
                <w:kern w:val="0"/>
                <w:szCs w:val="24"/>
                <w:highlight w:val="none"/>
                <w14:textFill>
                  <w14:solidFill>
                    <w14:schemeClr w14:val="tx1"/>
                  </w14:solidFill>
                </w14:textFill>
              </w:rPr>
              <w:t>分至</w:t>
            </w:r>
            <w:r>
              <w:rPr>
                <w:rFonts w:hint="eastAsia" w:hAnsi="宋体" w:cs="宋体"/>
                <w:snapToGrid w:val="0"/>
                <w:color w:val="000000" w:themeColor="text1"/>
                <w:kern w:val="0"/>
                <w:szCs w:val="24"/>
                <w:highlight w:val="none"/>
                <w:u w:val="single"/>
                <w14:textFill>
                  <w14:solidFill>
                    <w14:schemeClr w14:val="tx1"/>
                  </w14:solidFill>
                </w14:textFill>
              </w:rPr>
              <w:t>2024</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4</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30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16</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00</w:t>
            </w:r>
            <w:r>
              <w:rPr>
                <w:rFonts w:hint="eastAsia" w:hAnsi="宋体" w:cs="宋体"/>
                <w:snapToGrid w:val="0"/>
                <w:color w:val="000000" w:themeColor="text1"/>
                <w:kern w:val="0"/>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8"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bookmarkStart w:id="29" w:name="OLE_LINK5" w:colFirst="1" w:colLast="2"/>
            <w:r>
              <w:rPr>
                <w:rFonts w:hint="eastAsia" w:hAnsi="宋体" w:cs="宋体"/>
                <w:snapToGrid w:val="0"/>
                <w:color w:val="000000" w:themeColor="text1"/>
                <w:kern w:val="0"/>
                <w:szCs w:val="24"/>
                <w:highlight w:val="none"/>
                <w14:textFill>
                  <w14:solidFill>
                    <w14:schemeClr w14:val="tx1"/>
                  </w14:solidFill>
                </w14:textFill>
              </w:rPr>
              <w:t>5</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投标保证缴</w:t>
            </w:r>
          </w:p>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纳截止时间</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400" w:lineRule="exact"/>
              <w:ind w:firstLine="240" w:firstLineChars="1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投标保证金到账截止时间：</w:t>
            </w:r>
            <w:r>
              <w:rPr>
                <w:rFonts w:hint="eastAsia" w:hAnsi="宋体" w:cs="宋体"/>
                <w:snapToGrid w:val="0"/>
                <w:color w:val="000000" w:themeColor="text1"/>
                <w:kern w:val="0"/>
                <w:szCs w:val="24"/>
                <w:highlight w:val="none"/>
                <w:u w:val="single"/>
                <w14:textFill>
                  <w14:solidFill>
                    <w14:schemeClr w14:val="tx1"/>
                  </w14:solidFill>
                </w14:textFill>
              </w:rPr>
              <w:t>2024</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6</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9</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30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分；</w:t>
            </w:r>
          </w:p>
          <w:p>
            <w:pPr>
              <w:pStyle w:val="73"/>
              <w:wordWrap w:val="0"/>
              <w:adjustRightInd w:val="0"/>
              <w:snapToGrid w:val="0"/>
              <w:spacing w:line="400" w:lineRule="exact"/>
              <w:ind w:firstLine="240" w:firstLineChars="100"/>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投标保证担保提交截止时间：</w:t>
            </w:r>
            <w:r>
              <w:rPr>
                <w:rFonts w:hint="eastAsia" w:hAnsi="宋体" w:cs="宋体"/>
                <w:snapToGrid w:val="0"/>
                <w:color w:val="000000" w:themeColor="text1"/>
                <w:kern w:val="0"/>
                <w:szCs w:val="24"/>
                <w:highlight w:val="none"/>
                <w:u w:val="single"/>
                <w14:textFill>
                  <w14:solidFill>
                    <w14:schemeClr w14:val="tx1"/>
                  </w14:solidFill>
                </w14:textFill>
              </w:rPr>
              <w:t>2024</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6</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9</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30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分；</w:t>
            </w:r>
          </w:p>
          <w:p>
            <w:pPr>
              <w:pStyle w:val="36"/>
              <w:wordWrap w:val="0"/>
              <w:adjustRightInd w:val="0"/>
              <w:snapToGrid w:val="0"/>
              <w:spacing w:line="400" w:lineRule="exact"/>
              <w:ind w:firstLine="240" w:firstLineChars="1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投标保证保险投保截止时间：</w:t>
            </w:r>
            <w:r>
              <w:rPr>
                <w:rFonts w:hint="eastAsia" w:ascii="宋体" w:hAnsi="宋体" w:cs="宋体"/>
                <w:snapToGrid w:val="0"/>
                <w:color w:val="000000" w:themeColor="text1"/>
                <w:kern w:val="0"/>
                <w:sz w:val="24"/>
                <w:highlight w:val="none"/>
                <w:u w:val="single"/>
                <w14:textFill>
                  <w14:solidFill>
                    <w14:schemeClr w14:val="tx1"/>
                  </w14:solidFill>
                </w14:textFill>
              </w:rPr>
              <w:t>2024</w:t>
            </w:r>
            <w:r>
              <w:rPr>
                <w:rFonts w:hint="eastAsia" w:ascii="宋体" w:hAnsi="宋体" w:cs="宋体"/>
                <w:snapToGrid w:val="0"/>
                <w:color w:val="000000" w:themeColor="text1"/>
                <w:kern w:val="0"/>
                <w:sz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bidi="ar-SA"/>
                <w14:textFill>
                  <w14:solidFill>
                    <w14:schemeClr w14:val="tx1"/>
                  </w14:solidFill>
                </w14:textFill>
              </w:rPr>
              <w:t>5 月 6 日 9 时 30 分</w:t>
            </w:r>
            <w:r>
              <w:rPr>
                <w:rFonts w:hint="eastAsia" w:ascii="宋体" w:hAnsi="宋体" w:cs="宋体"/>
                <w:snapToGrid w:val="0"/>
                <w:color w:val="000000" w:themeColor="text1"/>
                <w:kern w:val="0"/>
                <w:sz w:val="24"/>
                <w:highlight w:val="none"/>
                <w14:textFill>
                  <w14:solidFill>
                    <w14:schemeClr w14:val="tx1"/>
                  </w14:solidFill>
                </w14:textFill>
              </w:rPr>
              <w:t>。</w:t>
            </w:r>
          </w:p>
        </w:tc>
      </w:tr>
      <w:bookmarkEnd w:id="29"/>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6"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6</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电子投标截止时间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9</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7</w:t>
            </w:r>
          </w:p>
        </w:tc>
        <w:tc>
          <w:tcPr>
            <w:tcW w:w="1425" w:type="dxa"/>
            <w:tcBorders>
              <w:top w:val="single" w:color="080000" w:sz="4" w:space="0"/>
              <w:left w:val="single" w:color="080000" w:sz="4" w:space="0"/>
              <w:bottom w:val="single" w:color="080000" w:sz="4" w:space="0"/>
              <w:right w:val="single" w:color="080000" w:sz="4" w:space="0"/>
            </w:tcBorders>
            <w:vAlign w:val="center"/>
          </w:tcPr>
          <w:p>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评审原件（如有）递交时间</w:t>
            </w:r>
          </w:p>
        </w:tc>
        <w:tc>
          <w:tcPr>
            <w:tcW w:w="8212" w:type="dxa"/>
            <w:tcBorders>
              <w:top w:val="single" w:color="080000" w:sz="4" w:space="0"/>
              <w:left w:val="single" w:color="080000" w:sz="4" w:space="0"/>
              <w:bottom w:val="single" w:color="080000" w:sz="4" w:space="0"/>
              <w:right w:val="single" w:color="080000" w:sz="4" w:space="0"/>
            </w:tcBorders>
            <w:vAlign w:val="center"/>
          </w:tcPr>
          <w:p>
            <w:pPr>
              <w:wordWrap w:val="0"/>
              <w:adjustRightInd w:val="0"/>
              <w:snapToGrid w:val="0"/>
              <w:spacing w:line="400" w:lineRule="exact"/>
              <w:ind w:left="105" w:leftChars="50"/>
              <w:jc w:val="left"/>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9</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00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分至</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9</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8</w:t>
            </w:r>
          </w:p>
        </w:tc>
        <w:tc>
          <w:tcPr>
            <w:tcW w:w="1425" w:type="dxa"/>
            <w:tcBorders>
              <w:top w:val="single" w:color="080000" w:sz="4" w:space="0"/>
              <w:left w:val="single" w:color="080000" w:sz="4" w:space="0"/>
              <w:bottom w:val="single" w:color="080000" w:sz="4" w:space="0"/>
              <w:right w:val="single" w:color="080000" w:sz="4" w:space="0"/>
            </w:tcBorders>
            <w:vAlign w:val="center"/>
          </w:tcPr>
          <w:p>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评审原件（如有）递交地点</w:t>
            </w:r>
          </w:p>
        </w:tc>
        <w:tc>
          <w:tcPr>
            <w:tcW w:w="8212" w:type="dxa"/>
            <w:tcBorders>
              <w:top w:val="single" w:color="080000" w:sz="4" w:space="0"/>
              <w:left w:val="single" w:color="080000" w:sz="4" w:space="0"/>
              <w:bottom w:val="single" w:color="080000" w:sz="4" w:space="0"/>
              <w:right w:val="single" w:color="080000" w:sz="4" w:space="0"/>
            </w:tcBorders>
            <w:vAlign w:val="center"/>
          </w:tcPr>
          <w:p>
            <w:pPr>
              <w:wordWrap w:val="0"/>
              <w:adjustRightInd w:val="0"/>
              <w:snapToGrid w:val="0"/>
              <w:spacing w:line="400" w:lineRule="exact"/>
              <w:ind w:left="105" w:leftChars="5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递交场所：</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韶关市公共资源交易中心，地址：广东省韶关市武江区西联镇</w:t>
            </w:r>
            <w:r>
              <w:rPr>
                <w:rFonts w:hint="eastAsia" w:ascii="宋体" w:hAnsi="宋体" w:eastAsia="宋体" w:cs="宋体"/>
                <w:snapToGrid w:val="0"/>
                <w:color w:val="000000" w:themeColor="text1"/>
                <w:kern w:val="0"/>
                <w:sz w:val="24"/>
                <w:szCs w:val="24"/>
                <w:highlight w:val="none"/>
                <w14:textFill>
                  <w14:solidFill>
                    <w14:schemeClr w14:val="tx1"/>
                  </w14:solidFill>
                </w14:textFill>
              </w:rPr>
              <w:t>，具体房间号以当日现场通知为准。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9</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开标时间</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9</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8" w:hRule="exact"/>
        </w:trPr>
        <w:tc>
          <w:tcPr>
            <w:tcW w:w="462"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10</w:t>
            </w:r>
          </w:p>
        </w:tc>
        <w:tc>
          <w:tcPr>
            <w:tcW w:w="1425" w:type="dxa"/>
            <w:tcBorders>
              <w:top w:val="single" w:color="080000" w:sz="4" w:space="0"/>
              <w:left w:val="single" w:color="080000" w:sz="4" w:space="0"/>
              <w:bottom w:val="single" w:color="080000" w:sz="4" w:space="0"/>
              <w:right w:val="single" w:color="080000" w:sz="4" w:space="0"/>
            </w:tcBorders>
            <w:vAlign w:val="center"/>
          </w:tcPr>
          <w:p>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开标地点</w:t>
            </w:r>
          </w:p>
        </w:tc>
        <w:tc>
          <w:tcPr>
            <w:tcW w:w="8212" w:type="dxa"/>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开标场所：</w:t>
            </w:r>
            <w:r>
              <w:rPr>
                <w:rFonts w:hint="eastAsia" w:ascii="宋体" w:hAnsi="宋体" w:cs="宋体"/>
                <w:snapToGrid w:val="0"/>
                <w:color w:val="000000" w:themeColor="text1"/>
                <w:kern w:val="0"/>
                <w:sz w:val="24"/>
                <w:highlight w:val="none"/>
                <w:u w:val="single"/>
                <w14:textFill>
                  <w14:solidFill>
                    <w14:schemeClr w14:val="tx1"/>
                  </w14:solidFill>
                </w14:textFill>
              </w:rPr>
              <w:t>韶关市公共资源交易中心，地址：广东省韶关市武江区西联镇</w:t>
            </w:r>
            <w:r>
              <w:rPr>
                <w:rFonts w:hint="eastAsia" w:ascii="宋体" w:hAnsi="宋体" w:cs="宋体"/>
                <w:snapToGrid w:val="0"/>
                <w:color w:val="000000" w:themeColor="text1"/>
                <w:kern w:val="0"/>
                <w:sz w:val="24"/>
                <w:highlight w:val="none"/>
                <w14:textFill>
                  <w14:solidFill>
                    <w14:schemeClr w14:val="tx1"/>
                  </w14:solidFill>
                </w14:textFill>
              </w:rPr>
              <w:t>，具体房间号以当日现场通知为准</w:t>
            </w:r>
            <w:r>
              <w:rPr>
                <w:rFonts w:hint="eastAsia" w:ascii="宋体" w:hAnsi="宋体" w:cs="宋体"/>
                <w:color w:val="000000" w:themeColor="text1"/>
                <w:sz w:val="24"/>
                <w:highlight w:val="none"/>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2" w:hRule="exact"/>
        </w:trPr>
        <w:tc>
          <w:tcPr>
            <w:tcW w:w="10099" w:type="dxa"/>
            <w:gridSpan w:val="3"/>
            <w:tcBorders>
              <w:top w:val="single" w:color="080000" w:sz="4" w:space="0"/>
              <w:left w:val="single" w:color="080000" w:sz="4" w:space="0"/>
              <w:bottom w:val="single" w:color="080000" w:sz="4" w:space="0"/>
              <w:right w:val="single" w:color="080000" w:sz="4" w:space="0"/>
            </w:tcBorders>
            <w:vAlign w:val="center"/>
          </w:tcPr>
          <w:p>
            <w:pPr>
              <w:pStyle w:val="36"/>
              <w:wordWrap w:val="0"/>
              <w:adjustRightInd w:val="0"/>
              <w:snapToGrid w:val="0"/>
              <w:spacing w:line="400" w:lineRule="exact"/>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备注：</w:t>
            </w:r>
            <w:r>
              <w:rPr>
                <w:rFonts w:hint="eastAsia" w:ascii="宋体" w:hAnsi="宋体" w:cs="宋体"/>
                <w:color w:val="000000" w:themeColor="text1"/>
                <w:sz w:val="24"/>
                <w:highlight w:val="none"/>
                <w:shd w:val="clear" w:color="auto" w:fill="FFFFFF"/>
                <w14:textFill>
                  <w14:solidFill>
                    <w14:schemeClr w14:val="tx1"/>
                  </w14:solidFill>
                </w14:textFill>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r>
        <w:rPr>
          <w:rFonts w:ascii="宋体" w:hAnsi="宋体"/>
          <w:b/>
          <w:bCs/>
          <w:color w:val="000000" w:themeColor="text1"/>
          <w:sz w:val="44"/>
          <w:szCs w:val="44"/>
          <w:highlight w:val="none"/>
          <w14:textFill>
            <w14:solidFill>
              <w14:schemeClr w14:val="tx1"/>
            </w14:solidFill>
          </w14:textFill>
        </w:rPr>
        <w:t>第二章  投标人须知</w:t>
      </w:r>
    </w:p>
    <w:p>
      <w:pPr>
        <w:pStyle w:val="2"/>
        <w:adjustRightInd w:val="0"/>
        <w:snapToGrid w:val="0"/>
        <w:spacing w:before="120" w:after="90" w:line="240" w:lineRule="auto"/>
        <w:jc w:val="center"/>
        <w:rPr>
          <w:rFonts w:ascii="宋体" w:hAnsi="宋体"/>
          <w:b w:val="0"/>
          <w:bCs w:val="0"/>
          <w:color w:val="000000" w:themeColor="text1"/>
          <w:sz w:val="36"/>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bookmarkEnd w:id="3"/>
    <w:bookmarkEnd w:id="4"/>
    <w:p>
      <w:pPr>
        <w:pStyle w:val="2"/>
        <w:adjustRightInd w:val="0"/>
        <w:snapToGrid w:val="0"/>
        <w:spacing w:before="120" w:after="90" w:line="240" w:lineRule="auto"/>
        <w:jc w:val="center"/>
        <w:rPr>
          <w:rFonts w:ascii="宋体" w:hAnsi="宋体"/>
          <w:color w:val="000000" w:themeColor="text1"/>
          <w:sz w:val="36"/>
          <w:highlight w:val="none"/>
          <w14:textFill>
            <w14:solidFill>
              <w14:schemeClr w14:val="tx1"/>
            </w14:solidFill>
          </w14:textFill>
        </w:rPr>
      </w:pPr>
      <w:bookmarkStart w:id="30" w:name="_Toc43475661"/>
      <w:bookmarkEnd w:id="30"/>
      <w:r>
        <w:rPr>
          <w:rFonts w:ascii="宋体" w:hAnsi="宋体"/>
          <w:color w:val="000000" w:themeColor="text1"/>
          <w:sz w:val="36"/>
          <w:highlight w:val="none"/>
          <w14:textFill>
            <w14:solidFill>
              <w14:schemeClr w14:val="tx1"/>
            </w14:solidFill>
          </w14:textFill>
        </w:rPr>
        <w:t>第二章  投标人须知</w:t>
      </w:r>
    </w:p>
    <w:p>
      <w:pPr>
        <w:jc w:val="left"/>
        <w:rPr>
          <w:rFonts w:ascii="宋体" w:hAnsi="宋体"/>
          <w:b/>
          <w:color w:val="000000" w:themeColor="text1"/>
          <w:sz w:val="24"/>
          <w:highlight w:val="none"/>
          <w14:textFill>
            <w14:solidFill>
              <w14:schemeClr w14:val="tx1"/>
            </w14:solidFill>
          </w14:textFill>
        </w:rPr>
      </w:pPr>
      <w:bookmarkStart w:id="31" w:name="_Toc234382587"/>
    </w:p>
    <w:bookmarkEnd w:id="31"/>
    <w:p>
      <w:pPr>
        <w:pStyle w:val="3"/>
        <w:rPr>
          <w:b w:val="0"/>
          <w:bCs w:val="0"/>
          <w:color w:val="000000" w:themeColor="text1"/>
          <w:sz w:val="28"/>
          <w:szCs w:val="28"/>
          <w:highlight w:val="none"/>
          <w14:textFill>
            <w14:solidFill>
              <w14:schemeClr w14:val="tx1"/>
            </w14:solidFill>
          </w14:textFill>
        </w:rPr>
      </w:pPr>
      <w:bookmarkStart w:id="32" w:name="_Toc43475662"/>
      <w:bookmarkEnd w:id="32"/>
      <w:r>
        <w:rPr>
          <w:b w:val="0"/>
          <w:bCs w:val="0"/>
          <w:color w:val="000000" w:themeColor="text1"/>
          <w:sz w:val="28"/>
          <w:szCs w:val="28"/>
          <w:highlight w:val="none"/>
          <w14:textFill>
            <w14:solidFill>
              <w14:schemeClr w14:val="tx1"/>
            </w14:solidFill>
          </w14:textFill>
        </w:rPr>
        <w:t>投标人须知前附表</w:t>
      </w:r>
    </w:p>
    <w:tbl>
      <w:tblPr>
        <w:tblStyle w:val="43"/>
        <w:tblW w:w="10100"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404"/>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blHeader/>
        </w:trPr>
        <w:tc>
          <w:tcPr>
            <w:tcW w:w="968"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728"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 款 名 称</w:t>
            </w:r>
          </w:p>
        </w:tc>
        <w:tc>
          <w:tcPr>
            <w:tcW w:w="6404"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招标人：韶关市城郊公路事务中心</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址：韶关市浈江区大德路26号</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人：姚工</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话：0751-8310092</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招标代理机构</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单位名称：智埔国际建设集团有限公司</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办公地址：</w:t>
            </w:r>
            <w:r>
              <w:rPr>
                <w:rStyle w:val="113"/>
                <w:rFonts w:hint="eastAsia" w:ascii="宋体" w:hAnsi="宋体" w:cs="宋体"/>
                <w:color w:val="000000" w:themeColor="text1"/>
                <w:kern w:val="0"/>
                <w:highlight w:val="none"/>
                <w14:textFill>
                  <w14:solidFill>
                    <w14:schemeClr w14:val="tx1"/>
                  </w14:solidFill>
                </w14:textFill>
              </w:rPr>
              <w:t>韶关市武江区西联镇58号明顺实业大楼七楼</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人：易工</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Style w:val="113"/>
                <w:rFonts w:hint="eastAsia" w:ascii="宋体" w:hAnsi="宋体" w:cs="宋体"/>
                <w:color w:val="000000" w:themeColor="text1"/>
                <w:kern w:val="0"/>
                <w:highlight w:val="none"/>
                <w14:textFill>
                  <w14:solidFill>
                    <w14:schemeClr w14:val="tx1"/>
                  </w14:solidFill>
                </w14:textFill>
              </w:rPr>
              <w:t>0751-8768123</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招标项目名称</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省道S246线韶关浈江大王冲至新村段路面预防养护及功能性修复养护工程施工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标段建设地点</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韶关市浈江区</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资金来源及比例</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按有关规定申请上级资金，其余不足资金自行筹措解决。</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资金落实情况</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p>
        </w:tc>
        <w:tc>
          <w:tcPr>
            <w:tcW w:w="6404" w:type="dxa"/>
            <w:vAlign w:val="center"/>
          </w:tcPr>
          <w:p>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r>
              <w:rPr>
                <w:rFonts w:hint="eastAsia" w:ascii="宋体" w:hAnsi="宋体" w:cs="宋体"/>
                <w:color w:val="000000" w:themeColor="text1"/>
                <w:szCs w:val="21"/>
                <w:highlight w:val="none"/>
                <w:u w:val="single"/>
                <w14:textFill>
                  <w14:solidFill>
                    <w14:schemeClr w14:val="tx1"/>
                  </w14:solidFill>
                </w14:textFill>
              </w:rPr>
              <w:t>90日历天</w:t>
            </w:r>
            <w:r>
              <w:rPr>
                <w:rFonts w:hint="eastAsia" w:ascii="宋体" w:hAnsi="宋体" w:cs="宋体"/>
                <w:color w:val="000000" w:themeColor="text1"/>
                <w:szCs w:val="21"/>
                <w:highlight w:val="none"/>
                <w14:textFill>
                  <w14:solidFill>
                    <w14:schemeClr w14:val="tx1"/>
                  </w14:solidFill>
                </w14:textFill>
              </w:rPr>
              <w:t>；(实际开工时间以监理签发开工令为准）</w:t>
            </w:r>
          </w:p>
          <w:p>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计划开工日期：</w:t>
            </w:r>
            <w:r>
              <w:rPr>
                <w:rFonts w:hint="eastAsia" w:ascii="宋体" w:hAnsi="宋体" w:cs="宋体"/>
                <w:color w:val="000000" w:themeColor="text1"/>
                <w:szCs w:val="21"/>
                <w:highlight w:val="none"/>
                <w:u w:val="single"/>
                <w14:textFill>
                  <w14:solidFill>
                    <w14:schemeClr w14:val="tx1"/>
                  </w14:solidFill>
                </w14:textFill>
              </w:rPr>
              <w:t xml:space="preserve"> 2024 年 5 月 </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 xml:space="preserve"> 日</w:t>
            </w:r>
            <w:r>
              <w:rPr>
                <w:rFonts w:hint="eastAsia" w:ascii="宋体" w:hAnsi="宋体" w:cs="宋体"/>
                <w:color w:val="000000" w:themeColor="text1"/>
                <w:szCs w:val="21"/>
                <w:highlight w:val="none"/>
                <w14:textFill>
                  <w14:solidFill>
                    <w14:schemeClr w14:val="tx1"/>
                  </w14:solidFill>
                </w14:textFill>
              </w:rPr>
              <w:t>；</w:t>
            </w:r>
          </w:p>
          <w:p>
            <w:pPr>
              <w:spacing w:line="280" w:lineRule="exact"/>
              <w:ind w:firstLine="105" w:firstLineChars="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计划交工日期：</w:t>
            </w:r>
            <w:r>
              <w:rPr>
                <w:rFonts w:hint="eastAsia" w:ascii="宋体" w:hAnsi="宋体" w:cs="宋体"/>
                <w:color w:val="000000" w:themeColor="text1"/>
                <w:szCs w:val="21"/>
                <w:highlight w:val="none"/>
                <w:u w:val="single"/>
                <w14:textFill>
                  <w14:solidFill>
                    <w14:schemeClr w14:val="tx1"/>
                  </w14:solidFill>
                </w14:textFill>
              </w:rPr>
              <w:t xml:space="preserve"> 2024 年 8 月 </w:t>
            </w:r>
            <w:r>
              <w:rPr>
                <w:rFonts w:hint="eastAsia" w:ascii="宋体" w:hAnsi="宋体" w:cs="宋体"/>
                <w:color w:val="000000" w:themeColor="text1"/>
                <w:szCs w:val="21"/>
                <w:highlight w:val="none"/>
                <w:u w:val="single"/>
                <w:lang w:val="en-US" w:eastAsia="zh-CN"/>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质量要求</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标段工程交工验收的质量评定：质量评分： ≥</w:t>
            </w:r>
            <w:r>
              <w:rPr>
                <w:rFonts w:hint="eastAsia" w:ascii="宋体" w:hAnsi="宋体" w:cs="宋体"/>
                <w:color w:val="000000" w:themeColor="text1"/>
                <w:szCs w:val="21"/>
                <w:highlight w:val="none"/>
                <w:lang w:val="en-US" w:eastAsia="zh-CN"/>
                <w14:textFill>
                  <w14:solidFill>
                    <w14:schemeClr w14:val="tx1"/>
                  </w14:solidFill>
                </w14:textFill>
              </w:rPr>
              <w:t>80</w:t>
            </w:r>
            <w:r>
              <w:rPr>
                <w:rFonts w:hint="eastAsia" w:ascii="宋体" w:hAnsi="宋体" w:cs="宋体"/>
                <w:color w:val="000000" w:themeColor="text1"/>
                <w:szCs w:val="21"/>
                <w:highlight w:val="none"/>
                <w14:textFill>
                  <w14:solidFill>
                    <w14:schemeClr w14:val="tx1"/>
                  </w14:solidFill>
                </w14:textFill>
              </w:rPr>
              <w:t xml:space="preserve"> ；质量等级：合格。</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竣工验收的质量评定：质量评分： ≥</w:t>
            </w:r>
            <w:r>
              <w:rPr>
                <w:rFonts w:hint="eastAsia" w:ascii="宋体" w:hAnsi="宋体" w:cs="宋体"/>
                <w:color w:val="000000" w:themeColor="text1"/>
                <w:szCs w:val="21"/>
                <w:highlight w:val="none"/>
                <w:lang w:val="en-US" w:eastAsia="zh-CN"/>
                <w14:textFill>
                  <w14:solidFill>
                    <w14:schemeClr w14:val="tx1"/>
                  </w14:solidFill>
                </w14:textFill>
              </w:rPr>
              <w:t>80</w:t>
            </w:r>
            <w:r>
              <w:rPr>
                <w:rFonts w:hint="eastAsia" w:ascii="宋体" w:hAnsi="宋体" w:cs="宋体"/>
                <w:color w:val="000000" w:themeColor="text1"/>
                <w:szCs w:val="21"/>
                <w:highlight w:val="none"/>
                <w14:textFill>
                  <w14:solidFill>
                    <w14:schemeClr w14:val="tx1"/>
                  </w14:solidFill>
                </w14:textFill>
              </w:rPr>
              <w:t xml:space="preserve"> ；质量等级：合格。</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安全目标</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严格执行有关安全生产的法律法规和规章制度，确保项目建设期内</w:t>
            </w:r>
            <w:r>
              <w:rPr>
                <w:rFonts w:hint="eastAsia" w:ascii="宋体" w:hAnsi="宋体" w:cs="宋体"/>
                <w:color w:val="000000" w:themeColor="text1"/>
                <w:szCs w:val="21"/>
                <w:highlight w:val="none"/>
                <w:u w:val="single"/>
                <w14:textFill>
                  <w14:solidFill>
                    <w14:schemeClr w14:val="tx1"/>
                  </w14:solidFill>
                </w14:textFill>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2728" w:type="dxa"/>
            <w:tcBorders>
              <w:bottom w:val="single" w:color="000000" w:sz="6" w:space="0"/>
            </w:tcBorders>
            <w:vAlign w:val="center"/>
          </w:tcPr>
          <w:p>
            <w:pPr>
              <w:pStyle w:val="15"/>
              <w:topLinePun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投标人资质条件、能力和信誉</w:t>
            </w:r>
          </w:p>
        </w:tc>
        <w:tc>
          <w:tcPr>
            <w:tcW w:w="6404" w:type="dxa"/>
            <w:tcBorders>
              <w:bottom w:val="single" w:color="000000" w:sz="6" w:space="0"/>
            </w:tcBorders>
            <w:vAlign w:val="center"/>
          </w:tcPr>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资质条件：见附录1</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财务要求：见附录2</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业绩要求：见附录3</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信誉要求：见附录4</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项目经理和项目总工资格要求：见附录5</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2728" w:type="dxa"/>
            <w:tcBorders>
              <w:bottom w:val="single" w:color="000000" w:sz="6" w:space="0"/>
            </w:tcBorders>
            <w:vAlign w:val="center"/>
          </w:tcPr>
          <w:p>
            <w:pPr>
              <w:pStyle w:val="15"/>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是否接受联合体投标</w:t>
            </w:r>
          </w:p>
        </w:tc>
        <w:tc>
          <w:tcPr>
            <w:tcW w:w="6404" w:type="dxa"/>
            <w:tcBorders>
              <w:bottom w:val="single" w:color="000000" w:sz="6" w:space="0"/>
            </w:tcBorders>
            <w:vAlign w:val="center"/>
          </w:tcPr>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☑不接受</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□接受，还应满足下列要求：</w:t>
            </w:r>
          </w:p>
          <w:p>
            <w:pPr>
              <w:pStyle w:val="15"/>
              <w:topLinePunct/>
              <w:adjustRightInd w:val="0"/>
              <w:snapToGrid w:val="0"/>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（1）联合体所有成员数量不得超过</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家；</w:t>
            </w:r>
          </w:p>
          <w:p>
            <w:pPr>
              <w:pStyle w:val="15"/>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（2）联合体牵头人应具有</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w:t>
            </w:r>
          </w:p>
        </w:tc>
        <w:tc>
          <w:tcPr>
            <w:tcW w:w="2728" w:type="dxa"/>
            <w:tcBorders>
              <w:bottom w:val="single" w:color="000000" w:sz="6" w:space="0"/>
            </w:tcBorders>
            <w:vAlign w:val="center"/>
          </w:tcPr>
          <w:p>
            <w:pPr>
              <w:pStyle w:val="15"/>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投标人不得存在的其他关联情形</w:t>
            </w:r>
          </w:p>
        </w:tc>
        <w:tc>
          <w:tcPr>
            <w:tcW w:w="6404" w:type="dxa"/>
            <w:tcBorders>
              <w:bottom w:val="single" w:color="000000" w:sz="6" w:space="0"/>
            </w:tcBorders>
            <w:vAlign w:val="center"/>
          </w:tcPr>
          <w:p>
            <w:pPr>
              <w:pStyle w:val="15"/>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6"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w:t>
            </w:r>
          </w:p>
        </w:tc>
        <w:tc>
          <w:tcPr>
            <w:tcW w:w="2728" w:type="dxa"/>
            <w:tcBorders>
              <w:top w:val="single" w:color="000000" w:sz="6" w:space="0"/>
            </w:tcBorders>
            <w:vAlign w:val="center"/>
          </w:tcPr>
          <w:p>
            <w:pPr>
              <w:pStyle w:val="15"/>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投标人不得存在的其他不良状况或不良信用</w:t>
            </w:r>
          </w:p>
        </w:tc>
        <w:tc>
          <w:tcPr>
            <w:tcW w:w="6404" w:type="dxa"/>
            <w:tcBorders>
              <w:top w:val="single" w:color="000000" w:sz="6" w:space="0"/>
            </w:tcBorders>
            <w:vAlign w:val="center"/>
          </w:tcPr>
          <w:p>
            <w:pPr>
              <w:pStyle w:val="15"/>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1.10.2</w:t>
            </w:r>
          </w:p>
        </w:tc>
        <w:tc>
          <w:tcPr>
            <w:tcW w:w="272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投标人在投标预备会前提出问题</w:t>
            </w:r>
          </w:p>
        </w:tc>
        <w:tc>
          <w:tcPr>
            <w:tcW w:w="6404" w:type="dxa"/>
            <w:vAlign w:val="center"/>
          </w:tcPr>
          <w:p>
            <w:pPr>
              <w:ind w:left="105" w:lef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pPr>
              <w:ind w:left="105" w:leftChars="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  包</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☑允许，允许分包的专项工程：</w:t>
            </w:r>
            <w:r>
              <w:rPr>
                <w:rFonts w:hint="eastAsia" w:ascii="宋体" w:hAnsi="宋体" w:cs="宋体"/>
                <w:color w:val="000000" w:themeColor="text1"/>
                <w:szCs w:val="21"/>
                <w:highlight w:val="none"/>
                <w:u w:val="single"/>
                <w14:textFill>
                  <w14:solidFill>
                    <w14:schemeClr w14:val="tx1"/>
                  </w14:solidFill>
                </w14:textFill>
              </w:rPr>
              <w:t>交通安全设施工程。</w:t>
            </w:r>
          </w:p>
          <w:p>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对分包人的资格要求：公路交通工程（公路安全设施）专业承包二级以上（含二级）资质。</w:t>
            </w:r>
          </w:p>
          <w:p>
            <w:pPr>
              <w:ind w:left="105" w:leftChars="5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注：投标人如不具备某专项工程(包括但不限于项目专用合同条款 4.3中所涉及的工程等)相应资质的且允许分包的，应按照第九章“投标文件格式”的要求填写“拟分包项目情况表”。如投标人不具备相 应资质而未按要求填写的，视为未对招标文件的实质性要求和条件做出响应，按否决其投标处理。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构成招标文件的其他资料</w:t>
            </w:r>
          </w:p>
        </w:tc>
        <w:tc>
          <w:tcPr>
            <w:tcW w:w="6404" w:type="dxa"/>
            <w:vAlign w:val="center"/>
          </w:tcPr>
          <w:p>
            <w:pP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投标人要求澄清</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w:t>
            </w: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r>
              <w:rPr>
                <w:rFonts w:hint="eastAsia" w:ascii="宋体" w:hAnsi="宋体" w:cs="宋体"/>
                <w:color w:val="000000" w:themeColor="text1"/>
                <w:kern w:val="0"/>
                <w:szCs w:val="21"/>
                <w:highlight w:val="none"/>
                <w:u w:val="single"/>
                <w14:textFill>
                  <w14:solidFill>
                    <w14:schemeClr w14:val="tx1"/>
                  </w14:solidFill>
                </w14:textFill>
              </w:rPr>
              <w:t>递交投标文件截止之日10天前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形式：投标人在全国公共资源交易平台 （广东省·韶关市）（https://ygp.gdzwfw.gov.cn/ggzy-portal/#/440200/index）</w:t>
            </w:r>
            <w:r>
              <w:rPr>
                <w:rFonts w:hint="eastAsia" w:ascii="宋体" w:hAnsi="宋体" w:cs="宋体"/>
                <w:color w:val="000000" w:themeColor="text1"/>
                <w:szCs w:val="21"/>
                <w:highlight w:val="none"/>
                <w:u w:val="single"/>
                <w14:textFill>
                  <w14:solidFill>
                    <w14:schemeClr w14:val="tx1"/>
                  </w14:solidFill>
                </w14:textFill>
              </w:rPr>
              <w:t>招标答疑栏以不记名方式提出。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2728"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招标文件澄清发出的形式</w:t>
            </w:r>
          </w:p>
        </w:tc>
        <w:tc>
          <w:tcPr>
            <w:tcW w:w="6404"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网站公告：全国公共资源交易平台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投标人确认收到招标文件澄</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清</w:t>
            </w: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投标人应及时留意浏览网上发出的澄清公告，因投标人自身原因未及时获知澄清内容而导致的任何后果将由投标人自行承担。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2728"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招标文件修改发出的形式</w:t>
            </w: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在全国公共资源交易平台 （广东省·韶关市）（https://ygp.gdzwfw.gov.cn/ggzy-portal/#/440200/index）公布。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2728" w:type="dxa"/>
            <w:vMerge w:val="restart"/>
            <w:vAlign w:val="center"/>
          </w:tcPr>
          <w:p>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投标人确认收到招标文件修</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w:t>
            </w: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投标人应及时留意浏览网上发出的修改公告，因投标人自身原因未及时获知修改内容而导致的任何后果将由投标人自行承担。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投标文件密封形式</w:t>
            </w:r>
          </w:p>
        </w:tc>
        <w:tc>
          <w:tcPr>
            <w:tcW w:w="6404"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☑双信封</w:t>
            </w:r>
          </w:p>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构成投标文件的其他资料</w:t>
            </w:r>
          </w:p>
        </w:tc>
        <w:tc>
          <w:tcPr>
            <w:tcW w:w="6404" w:type="dxa"/>
            <w:vAlign w:val="center"/>
          </w:tcPr>
          <w:p>
            <w:pPr>
              <w:ind w:left="105" w:leftChars="50"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增值税税金计算方法</w:t>
            </w:r>
          </w:p>
        </w:tc>
        <w:tc>
          <w:tcPr>
            <w:tcW w:w="6404"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工程量清单的填写方式</w:t>
            </w:r>
          </w:p>
        </w:tc>
        <w:tc>
          <w:tcPr>
            <w:tcW w:w="6404" w:type="dxa"/>
            <w:vAlign w:val="center"/>
          </w:tcPr>
          <w:p>
            <w:pPr>
              <w:pStyle w:val="80"/>
              <w:spacing w:line="359" w:lineRule="exact"/>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投标人按照招标人</w:t>
            </w:r>
            <w:r>
              <w:rPr>
                <w:rFonts w:hint="eastAsia" w:ascii="宋体" w:hAnsi="宋体" w:cs="宋体"/>
                <w:color w:val="000000" w:themeColor="text1"/>
                <w:spacing w:val="2"/>
                <w:szCs w:val="21"/>
                <w:highlight w:val="none"/>
                <w14:textFill>
                  <w14:solidFill>
                    <w14:schemeClr w14:val="tx1"/>
                  </w14:solidFill>
                </w14:textFill>
              </w:rPr>
              <w:t>提</w:t>
            </w:r>
            <w:r>
              <w:rPr>
                <w:rFonts w:hint="eastAsia" w:ascii="宋体" w:hAnsi="宋体" w:cs="宋体"/>
                <w:color w:val="000000" w:themeColor="text1"/>
                <w:szCs w:val="21"/>
                <w:highlight w:val="none"/>
                <w14:textFill>
                  <w14:solidFill>
                    <w14:schemeClr w14:val="tx1"/>
                  </w14:solidFill>
                </w14:textFill>
              </w:rPr>
              <w:t>供的工程</w:t>
            </w:r>
            <w:r>
              <w:rPr>
                <w:rFonts w:hint="eastAsia" w:ascii="宋体" w:hAnsi="宋体" w:cs="宋体"/>
                <w:color w:val="000000" w:themeColor="text1"/>
                <w:spacing w:val="2"/>
                <w:szCs w:val="21"/>
                <w:highlight w:val="none"/>
                <w14:textFill>
                  <w14:solidFill>
                    <w14:schemeClr w14:val="tx1"/>
                  </w14:solidFill>
                </w14:textFill>
              </w:rPr>
              <w:t>量</w:t>
            </w:r>
            <w:r>
              <w:rPr>
                <w:rFonts w:hint="eastAsia" w:ascii="宋体" w:hAnsi="宋体" w:cs="宋体"/>
                <w:color w:val="000000" w:themeColor="text1"/>
                <w:szCs w:val="21"/>
                <w:highlight w:val="none"/>
                <w14:textFill>
                  <w14:solidFill>
                    <w14:schemeClr w14:val="tx1"/>
                  </w14:solidFill>
                </w14:textFill>
              </w:rPr>
              <w:t>固化清单</w:t>
            </w:r>
            <w:r>
              <w:rPr>
                <w:rFonts w:hint="eastAsia" w:ascii="宋体" w:hAnsi="宋体" w:cs="宋体"/>
                <w:color w:val="000000" w:themeColor="text1"/>
                <w:spacing w:val="2"/>
                <w:szCs w:val="21"/>
                <w:highlight w:val="none"/>
                <w14:textFill>
                  <w14:solidFill>
                    <w14:schemeClr w14:val="tx1"/>
                  </w14:solidFill>
                </w14:textFill>
              </w:rPr>
              <w:t>电</w:t>
            </w:r>
            <w:r>
              <w:rPr>
                <w:rFonts w:hint="eastAsia" w:ascii="宋体" w:hAnsi="宋体" w:cs="宋体"/>
                <w:color w:val="000000" w:themeColor="text1"/>
                <w:szCs w:val="21"/>
                <w:highlight w:val="none"/>
                <w14:textFill>
                  <w14:solidFill>
                    <w14:schemeClr w14:val="tx1"/>
                  </w14:solidFill>
                </w14:textFill>
              </w:rPr>
              <w:t>子文件填写工程量清单，下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☑投标人按照招标人提供的书面工程量清单填写工程量清单，下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6404" w:type="dxa"/>
            <w:vAlign w:val="center"/>
          </w:tcPr>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是否接受调价函</w:t>
            </w:r>
          </w:p>
        </w:tc>
        <w:tc>
          <w:tcPr>
            <w:tcW w:w="6404" w:type="dxa"/>
            <w:vAlign w:val="center"/>
          </w:tcPr>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3.2.8</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最高投标限价</w:t>
            </w:r>
          </w:p>
        </w:tc>
        <w:tc>
          <w:tcPr>
            <w:tcW w:w="6404" w:type="dxa"/>
            <w:vAlign w:val="center"/>
          </w:tcPr>
          <w:p>
            <w:pPr>
              <w:ind w:right="113"/>
              <w:jc w:val="left"/>
              <w:rPr>
                <w:rFonts w:ascii="宋体" w:hAnsi="宋体" w:cs="宋体"/>
                <w:color w:val="000000" w:themeColor="text1"/>
                <w:sz w:val="22"/>
                <w:szCs w:val="22"/>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本</w:t>
            </w:r>
            <w:r>
              <w:rPr>
                <w:rFonts w:hint="eastAsia" w:ascii="宋体" w:hAnsi="宋体" w:cs="宋体"/>
                <w:b/>
                <w:bCs/>
                <w:color w:val="000000" w:themeColor="text1"/>
                <w:szCs w:val="21"/>
                <w:highlight w:val="none"/>
                <w14:textFill>
                  <w14:solidFill>
                    <w14:schemeClr w14:val="tx1"/>
                  </w14:solidFill>
                </w14:textFill>
              </w:rPr>
              <w:t>项目最高投标限价为：</w:t>
            </w:r>
            <w:r>
              <w:rPr>
                <w:rFonts w:hint="eastAsia" w:ascii="宋体" w:hAnsi="宋体" w:cs="宋体"/>
                <w:b/>
                <w:bCs/>
                <w:color w:val="000000" w:themeColor="text1"/>
                <w:szCs w:val="21"/>
                <w:highlight w:val="none"/>
                <w:u w:val="single"/>
                <w14:textFill>
                  <w14:solidFill>
                    <w14:schemeClr w14:val="tx1"/>
                  </w14:solidFill>
                </w14:textFill>
              </w:rPr>
              <w:t xml:space="preserve"> 肆佰陆拾玖万肆仟柒佰元整（¥4694700元）。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3.2.9</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投标报价其他要求</w:t>
            </w:r>
          </w:p>
        </w:tc>
        <w:tc>
          <w:tcPr>
            <w:tcW w:w="6404" w:type="dxa"/>
            <w:vAlign w:val="center"/>
          </w:tcPr>
          <w:p>
            <w:pPr>
              <w:ind w:left="113"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272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6404" w:type="dxa"/>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5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投标保证金</w:t>
            </w:r>
          </w:p>
        </w:tc>
        <w:tc>
          <w:tcPr>
            <w:tcW w:w="6404" w:type="dxa"/>
            <w:tcBorders>
              <w:top w:val="single" w:color="000000" w:sz="4" w:space="0"/>
              <w:left w:val="single" w:color="000000" w:sz="4" w:space="0"/>
              <w:bottom w:val="single" w:color="000000" w:sz="4" w:space="0"/>
              <w:right w:val="single" w:color="000000" w:sz="12" w:space="0"/>
            </w:tcBorders>
            <w:vAlign w:val="center"/>
          </w:tcPr>
          <w:p>
            <w:pPr>
              <w:pStyle w:val="80"/>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是否要求投标人递交投标保证金：</w:t>
            </w:r>
          </w:p>
          <w:p>
            <w:pPr>
              <w:pStyle w:val="57"/>
              <w:spacing w:line="400" w:lineRule="exact"/>
              <w:ind w:firstLine="105" w:firstLineChars="5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☑要求，投标保证金为人民币：</w:t>
            </w:r>
            <w:r>
              <w:rPr>
                <w:rFonts w:hint="eastAsia" w:ascii="宋体" w:hAnsi="宋体" w:cs="宋体"/>
                <w:color w:val="000000" w:themeColor="text1"/>
                <w:sz w:val="21"/>
                <w:szCs w:val="21"/>
                <w:highlight w:val="none"/>
                <w:u w:val="single"/>
                <w14:textFill>
                  <w14:solidFill>
                    <w14:schemeClr w14:val="tx1"/>
                  </w14:solidFill>
                </w14:textFill>
              </w:rPr>
              <w:t>8万元</w:t>
            </w:r>
            <w:r>
              <w:rPr>
                <w:rFonts w:hint="eastAsia" w:ascii="宋体" w:hAnsi="宋体" w:cs="宋体"/>
                <w:color w:val="000000" w:themeColor="text1"/>
                <w:sz w:val="21"/>
                <w:szCs w:val="21"/>
                <w:highlight w:val="none"/>
                <w14:textFill>
                  <w14:solidFill>
                    <w14:schemeClr w14:val="tx1"/>
                  </w14:solidFill>
                </w14:textFill>
              </w:rPr>
              <w:t>。</w:t>
            </w:r>
          </w:p>
          <w:p>
            <w:pPr>
              <w:pStyle w:val="57"/>
              <w:spacing w:line="400" w:lineRule="exact"/>
              <w:ind w:firstLine="105" w:firstLineChars="5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投标保证金的有关说明： </w:t>
            </w:r>
          </w:p>
          <w:p>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1、投标保证的形式包括投标保证金、投标保证担保、投标保证保险三种，由投标人自主选择。</w:t>
            </w:r>
          </w:p>
          <w:p>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用投标保证担保的，投标人应提交有效的银行保函，银行保函的有效期不得短于投标有效期。投标人必须在投标保证担保截止时间（见“重要事项时间地点一览表””）前，在交易平台完成网上办理电子保函。</w:t>
            </w:r>
          </w:p>
          <w:p>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采用投标保证保险的，投标人须在投标保证保险投保截止时间（见“重要事项时间地点一览表””）前，在交易平台完成网上投保。投标人可在交易平台选择保险机构、录入投保信息、支付保费、打印电子保单，电子保单的有效期不得短于投标有效期。</w:t>
            </w:r>
          </w:p>
          <w:p>
            <w:pPr>
              <w:pStyle w:val="80"/>
              <w:spacing w:line="420" w:lineRule="exact"/>
              <w:ind w:right="136"/>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pPr>
              <w:pStyle w:val="53"/>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80"/>
              <w:ind w:left="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投标保证金的利息计算原则</w:t>
            </w:r>
          </w:p>
        </w:tc>
        <w:tc>
          <w:tcPr>
            <w:tcW w:w="6404" w:type="dxa"/>
            <w:tcBorders>
              <w:top w:val="single" w:color="000000" w:sz="4" w:space="0"/>
              <w:left w:val="single" w:color="000000" w:sz="4" w:space="0"/>
              <w:bottom w:val="single" w:color="000000" w:sz="4" w:space="0"/>
              <w:right w:val="single" w:color="000000" w:sz="12" w:space="0"/>
            </w:tcBorders>
            <w:vAlign w:val="center"/>
          </w:tcPr>
          <w:p>
            <w:pPr>
              <w:pStyle w:val="80"/>
              <w:ind w:left="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利息退还方式按韶关市公共资源交易中心相关规定办理。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其他可以不予退还投标保证金的情形</w:t>
            </w:r>
          </w:p>
        </w:tc>
        <w:tc>
          <w:tcPr>
            <w:tcW w:w="6404" w:type="dxa"/>
            <w:tcBorders>
              <w:top w:val="single" w:color="000000" w:sz="4" w:space="0"/>
              <w:left w:val="single" w:color="000000" w:sz="4" w:space="0"/>
              <w:bottom w:val="single" w:color="000000" w:sz="4" w:space="0"/>
              <w:right w:val="single" w:color="000000" w:sz="12" w:space="0"/>
            </w:tcBorders>
            <w:vAlign w:val="center"/>
          </w:tcPr>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（4）串通投标；或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（5）评标、中标候选人公示、签订合同前等环节因作假而被取消中标资格；或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（6）因投诉属实取消投标资格的；或</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（7）其他违反规定、妨碍公平竞争准则的行为；或</w:t>
            </w:r>
          </w:p>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pPr>
              <w:ind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☑有，具体要求：投标人提供的各类证照复印件均指彩色扫描件或彩色复印件，其他资料的复印件可为黑白扫描或黑白复印件。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近年财务状况的年份要求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2020年～ 2022年（近三个年度）</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近年完成的类似项目情况的时间要求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2019年1月1日</w:t>
            </w:r>
            <w:r>
              <w:rPr>
                <w:rFonts w:hint="eastAsia" w:ascii="宋体" w:hAnsi="宋体" w:cs="宋体"/>
                <w:color w:val="000000" w:themeColor="text1"/>
                <w:kern w:val="0"/>
                <w:szCs w:val="21"/>
                <w:highlight w:val="none"/>
                <w14:textFill>
                  <w14:solidFill>
                    <w14:schemeClr w14:val="tx1"/>
                  </w14:solidFill>
                </w14:textFill>
              </w:rPr>
              <w:t>至</w:t>
            </w:r>
            <w:r>
              <w:rPr>
                <w:rFonts w:hint="eastAsia" w:ascii="宋体" w:hAnsi="宋体" w:cs="宋体"/>
                <w:color w:val="000000" w:themeColor="text1"/>
                <w:szCs w:val="21"/>
                <w:highlight w:val="none"/>
                <w14:textFill>
                  <w14:solidFill>
                    <w14:schemeClr w14:val="tx1"/>
                  </w14:solidFill>
                </w14:textFill>
              </w:rPr>
              <w:t>投标文件递交截止之日止（近五年）以“全国公路建设市场监督管理系统”上的交工验收或未交工验收一次性竣工验收的时间为准。</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6404" w:type="dxa"/>
            <w:tcBorders>
              <w:top w:val="single" w:color="000000" w:sz="4" w:space="0"/>
              <w:left w:val="single" w:color="000000" w:sz="4" w:space="0"/>
              <w:bottom w:val="single" w:color="000000" w:sz="4" w:space="0"/>
              <w:right w:val="single" w:color="000000" w:sz="12" w:space="0"/>
            </w:tcBorders>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不允许</w:t>
            </w:r>
          </w:p>
          <w:p>
            <w:pPr>
              <w:ind w:right="113" w:firstLine="1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投标文件副本份数及其他要求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装订的其他要求</w:t>
            </w:r>
          </w:p>
        </w:tc>
        <w:tc>
          <w:tcPr>
            <w:tcW w:w="6404" w:type="dxa"/>
            <w:tcBorders>
              <w:top w:val="single" w:color="000000" w:sz="4" w:space="0"/>
              <w:left w:val="single" w:color="000000" w:sz="4" w:space="0"/>
              <w:bottom w:val="single" w:color="000000" w:sz="4" w:space="0"/>
              <w:right w:val="single" w:color="000000" w:sz="12" w:space="0"/>
            </w:tcBorders>
            <w:vAlign w:val="center"/>
          </w:tcPr>
          <w:p>
            <w:pPr>
              <w:pStyle w:val="57"/>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封套上应载明的信息</w:t>
            </w:r>
          </w:p>
        </w:tc>
        <w:tc>
          <w:tcPr>
            <w:tcW w:w="6404" w:type="dxa"/>
            <w:tcBorders>
              <w:top w:val="single" w:color="000000" w:sz="4" w:space="0"/>
              <w:left w:val="single" w:color="000000" w:sz="4" w:space="0"/>
              <w:bottom w:val="single" w:color="000000" w:sz="4" w:space="0"/>
              <w:right w:val="single" w:color="000000" w:sz="12" w:space="0"/>
            </w:tcBorders>
            <w:vAlign w:val="center"/>
          </w:tcPr>
          <w:p>
            <w:pPr>
              <w:pStyle w:val="80"/>
              <w:tabs>
                <w:tab w:val="left" w:pos="733"/>
                <w:tab w:val="left" w:pos="2587"/>
              </w:tabs>
              <w:spacing w:before="85" w:line="314" w:lineRule="auto"/>
              <w:ind w:right="10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是否退还投标文件</w:t>
            </w:r>
          </w:p>
        </w:tc>
        <w:tc>
          <w:tcPr>
            <w:tcW w:w="6404" w:type="dxa"/>
            <w:tcBorders>
              <w:top w:val="single" w:color="auto" w:sz="4" w:space="0"/>
              <w:left w:val="single" w:color="auto" w:sz="4" w:space="0"/>
              <w:bottom w:val="single" w:color="auto" w:sz="4" w:space="0"/>
              <w:right w:val="single" w:color="auto" w:sz="12" w:space="0"/>
            </w:tcBorders>
            <w:vAlign w:val="center"/>
          </w:tcPr>
          <w:p>
            <w:pPr>
              <w:spacing w:line="276" w:lineRule="auto"/>
              <w:ind w:right="118" w:rightChars="5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□是，退还时间：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开标时间和地点</w:t>
            </w:r>
          </w:p>
        </w:tc>
        <w:tc>
          <w:tcPr>
            <w:tcW w:w="6404"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投标文件第一信封（商务及技术文件）</w:t>
            </w:r>
            <w:r>
              <w:rPr>
                <w:rFonts w:hint="eastAsia" w:ascii="宋体" w:hAnsi="宋体" w:cs="宋体"/>
                <w:color w:val="000000" w:themeColor="text1"/>
                <w:kern w:val="0"/>
                <w:szCs w:val="21"/>
                <w:highlight w:val="none"/>
                <w14:textFill>
                  <w14:solidFill>
                    <w14:schemeClr w14:val="tx1"/>
                  </w14:solidFill>
                </w14:textFill>
              </w:rPr>
              <w:t>开标时间：同投标截止时间</w:t>
            </w:r>
          </w:p>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开标地点：韶关市公共资源交易中心，地址：广东省韶关市武江区西联镇，具体房间号以当日现场通知为准。</w:t>
            </w:r>
          </w:p>
          <w:p>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投标文件第二信封（报价文件）开标时间</w:t>
            </w:r>
            <w:r>
              <w:rPr>
                <w:rFonts w:hint="eastAsia" w:ascii="宋体" w:hAnsi="宋体" w:cs="宋体"/>
                <w:color w:val="000000" w:themeColor="text1"/>
                <w:kern w:val="0"/>
                <w:szCs w:val="21"/>
                <w:highlight w:val="none"/>
                <w14:textFill>
                  <w14:solidFill>
                    <w14:schemeClr w14:val="tx1"/>
                  </w14:solidFill>
                </w14:textFill>
              </w:rPr>
              <w:t>：同投标截止时间，且在宣布通过商务文件和技术文件的投标人名单后。</w:t>
            </w:r>
          </w:p>
          <w:p>
            <w:pPr>
              <w:autoSpaceDE w:val="0"/>
              <w:autoSpaceDN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开标地点：韶关市公共资源交易中心，地址：广东省韶关市武江区西联镇，具体房间号以当日现场通知为准。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第一个信封（商务及技术文件）开标程序</w:t>
            </w:r>
          </w:p>
        </w:tc>
        <w:tc>
          <w:tcPr>
            <w:tcW w:w="6404"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exac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pPr>
              <w:autoSpaceDE w:val="0"/>
              <w:autoSpaceDN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对投标截止时间前上传的电子投标文件随机开标，先对投标文件第一信封（商务及技术文件）进行开标，并检查投标保证。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5.2.3</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第二个信封（报价文件）开标程序</w:t>
            </w:r>
          </w:p>
        </w:tc>
        <w:tc>
          <w:tcPr>
            <w:tcW w:w="6404" w:type="dxa"/>
            <w:tcBorders>
              <w:top w:val="single" w:color="auto" w:sz="4" w:space="0"/>
              <w:left w:val="single" w:color="auto" w:sz="4" w:space="0"/>
              <w:bottom w:val="single" w:color="auto" w:sz="4" w:space="0"/>
              <w:right w:val="single" w:color="auto" w:sz="12" w:space="0"/>
            </w:tcBorders>
            <w:vAlign w:val="center"/>
          </w:tcPr>
          <w:p>
            <w:pPr>
              <w:autoSpaceDE w:val="0"/>
              <w:autoSpaceDN w:val="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通过了投标文件第一信封（商务及技术文件）评审（是指第一信封（商务及技术文件）通过了评标办法规定的资格审查和初步评审，未出现废标情况）的投标人的电子投标文件第二信封（报价文件）进行随机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评标委员会的组建</w:t>
            </w:r>
          </w:p>
        </w:tc>
        <w:tc>
          <w:tcPr>
            <w:tcW w:w="6404" w:type="dxa"/>
            <w:tcBorders>
              <w:top w:val="single" w:color="auto" w:sz="4" w:space="0"/>
              <w:left w:val="single" w:color="auto" w:sz="4" w:space="0"/>
              <w:bottom w:val="single" w:color="auto" w:sz="4" w:space="0"/>
              <w:right w:val="single" w:color="auto" w:sz="12" w:space="0"/>
            </w:tcBorders>
            <w:vAlign w:val="center"/>
          </w:tcPr>
          <w:p>
            <w:pPr>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评标委员会构成：</w:t>
            </w:r>
            <w:r>
              <w:rPr>
                <w:rFonts w:hint="eastAsia" w:ascii="宋体" w:hAnsi="宋体" w:cs="宋体"/>
                <w:color w:val="000000" w:themeColor="text1"/>
                <w:szCs w:val="21"/>
                <w:highlight w:val="none"/>
                <w:u w:val="single"/>
                <w14:textFill>
                  <w14:solidFill>
                    <w14:schemeClr w14:val="tx1"/>
                  </w14:solidFill>
                </w14:textFill>
              </w:rPr>
              <w:t>5人</w:t>
            </w:r>
            <w:r>
              <w:rPr>
                <w:rFonts w:hint="eastAsia" w:ascii="宋体" w:hAnsi="宋体" w:cs="宋体"/>
                <w:color w:val="000000" w:themeColor="text1"/>
                <w:szCs w:val="21"/>
                <w:highlight w:val="none"/>
                <w14:textFill>
                  <w14:solidFill>
                    <w14:schemeClr w14:val="tx1"/>
                  </w14:solidFill>
                </w14:textFill>
              </w:rPr>
              <w:t>，其中招标人代表</w:t>
            </w:r>
            <w:r>
              <w:rPr>
                <w:rFonts w:hint="eastAsia" w:ascii="宋体" w:hAnsi="宋体" w:cs="宋体"/>
                <w:color w:val="000000" w:themeColor="text1"/>
                <w:szCs w:val="21"/>
                <w:highlight w:val="none"/>
                <w:u w:val="singl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人，专家</w:t>
            </w:r>
            <w:r>
              <w:rPr>
                <w:rFonts w:hint="eastAsia" w:ascii="宋体" w:hAnsi="宋体" w:cs="宋体"/>
                <w:color w:val="000000" w:themeColor="text1"/>
                <w:szCs w:val="21"/>
                <w:highlight w:val="none"/>
                <w:u w:val="singl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人；</w:t>
            </w:r>
          </w:p>
          <w:p>
            <w:pPr>
              <w:ind w:right="113"/>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专家确定方式：从广东省综合评标评审专家库--韶关市区域中随机抽取。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评标委员会推荐中标候选人的人数</w:t>
            </w:r>
          </w:p>
        </w:tc>
        <w:tc>
          <w:tcPr>
            <w:tcW w:w="6404" w:type="dxa"/>
            <w:tcBorders>
              <w:top w:val="single" w:color="auto" w:sz="4" w:space="0"/>
              <w:left w:val="single" w:color="auto" w:sz="4" w:space="0"/>
              <w:bottom w:val="single" w:color="auto" w:sz="4" w:space="0"/>
              <w:right w:val="single" w:color="auto" w:sz="12" w:space="0"/>
            </w:tcBorders>
            <w:vAlign w:val="center"/>
          </w:tcPr>
          <w:p>
            <w:pPr>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 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中标候选人公示媒介</w:t>
            </w:r>
          </w:p>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及期限</w:t>
            </w:r>
          </w:p>
        </w:tc>
        <w:tc>
          <w:tcPr>
            <w:tcW w:w="6404" w:type="dxa"/>
            <w:tcBorders>
              <w:top w:val="single" w:color="auto" w:sz="4" w:space="0"/>
              <w:left w:val="single" w:color="auto" w:sz="4" w:space="0"/>
              <w:bottom w:val="single" w:color="auto" w:sz="4" w:space="0"/>
              <w:right w:val="single" w:color="auto" w:sz="12" w:space="0"/>
            </w:tcBorders>
            <w:vAlign w:val="center"/>
          </w:tcPr>
          <w:p>
            <w:pPr>
              <w:wordWrap w:val="0"/>
              <w:spacing w:line="276" w:lineRule="auto"/>
              <w:ind w:left="147" w:leftChars="7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p>
          <w:p>
            <w:pPr>
              <w:spacing w:line="276" w:lineRule="auto"/>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公示期限：</w:t>
            </w:r>
            <w:r>
              <w:rPr>
                <w:rFonts w:hint="eastAsia" w:ascii="宋体" w:hAnsi="宋体" w:cs="宋体"/>
                <w:color w:val="000000" w:themeColor="text1"/>
                <w:szCs w:val="21"/>
                <w:highlight w:val="none"/>
                <w:u w:val="single"/>
                <w14:textFill>
                  <w14:solidFill>
                    <w14:schemeClr w14:val="tx1"/>
                  </w14:solidFill>
                </w14:textFill>
              </w:rPr>
              <w:t xml:space="preserve"> 3 日</w:t>
            </w:r>
          </w:p>
          <w:p>
            <w:pPr>
              <w:ind w:left="145" w:leftChars="6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公示的其他内容：</w:t>
            </w:r>
            <w:r>
              <w:rPr>
                <w:rFonts w:hint="eastAsia" w:ascii="宋体" w:hAnsi="宋体" w:cs="宋体"/>
                <w:color w:val="000000" w:themeColor="text1"/>
                <w:szCs w:val="21"/>
                <w:highlight w:val="none"/>
                <w:u w:val="thick"/>
                <w14:textFill>
                  <w14:solidFill>
                    <w14:schemeClr w14:val="tx1"/>
                  </w14:solidFill>
                </w14:textFill>
              </w:rPr>
              <w:t>最新年度信用等级使用情况及所有承诺使用最新年度 AA、A 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是否授权评标委员会确定中标人</w:t>
            </w:r>
          </w:p>
        </w:tc>
        <w:tc>
          <w:tcPr>
            <w:tcW w:w="6404"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pPr>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中标通知书和中标结果通知发出的形式</w:t>
            </w:r>
          </w:p>
        </w:tc>
        <w:tc>
          <w:tcPr>
            <w:tcW w:w="6404"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中标结果公告媒介</w:t>
            </w:r>
          </w:p>
        </w:tc>
        <w:tc>
          <w:tcPr>
            <w:tcW w:w="6404" w:type="dxa"/>
            <w:tcBorders>
              <w:top w:val="single" w:color="auto" w:sz="4" w:space="0"/>
              <w:left w:val="single" w:color="auto" w:sz="4" w:space="0"/>
              <w:bottom w:val="single" w:color="auto" w:sz="4" w:space="0"/>
              <w:right w:val="single" w:color="auto" w:sz="12" w:space="0"/>
            </w:tcBorders>
            <w:vAlign w:val="center"/>
          </w:tcPr>
          <w:p>
            <w:pPr>
              <w:pStyle w:val="80"/>
              <w:spacing w:before="78"/>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404" w:type="dxa"/>
            <w:tcBorders>
              <w:top w:val="single" w:color="auto" w:sz="4" w:space="0"/>
              <w:left w:val="single" w:color="auto" w:sz="4" w:space="0"/>
              <w:bottom w:val="single" w:color="auto" w:sz="4" w:space="0"/>
              <w:right w:val="single" w:color="auto" w:sz="12" w:space="0"/>
            </w:tcBorders>
            <w:vAlign w:val="center"/>
          </w:tcPr>
          <w:p>
            <w:pPr>
              <w:ind w:right="113"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是否要求中标人提交履约保证金：</w:t>
            </w:r>
          </w:p>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要求，履约担保形式：</w:t>
            </w:r>
            <w:r>
              <w:rPr>
                <w:rFonts w:hint="eastAsia" w:ascii="宋体" w:hAnsi="宋体" w:cs="宋体"/>
                <w:color w:val="000000" w:themeColor="text1"/>
                <w:szCs w:val="21"/>
                <w:highlight w:val="none"/>
                <w:u w:val="single"/>
                <w14:textFill>
                  <w14:solidFill>
                    <w14:schemeClr w14:val="tx1"/>
                  </w14:solidFill>
                </w14:textFill>
              </w:rPr>
              <w:t>由投标人自主选择采用现金（或支票）、或银行保函或其他合法形式。</w:t>
            </w:r>
          </w:p>
          <w:p>
            <w:pPr>
              <w:ind w:left="105" w:leftChars="50"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履约担保金额：</w:t>
            </w:r>
            <w:r>
              <w:rPr>
                <w:rFonts w:hint="eastAsia" w:ascii="宋体" w:hAnsi="宋体" w:cs="宋体"/>
                <w:color w:val="000000" w:themeColor="text1"/>
                <w:szCs w:val="21"/>
                <w:highlight w:val="none"/>
                <w:u w:val="single"/>
                <w14:textFill>
                  <w14:solidFill>
                    <w14:schemeClr w14:val="tx1"/>
                  </w14:solidFill>
                </w14:textFill>
              </w:rPr>
              <w:t>中标合同额的10%。</w:t>
            </w:r>
          </w:p>
          <w:p>
            <w:pPr>
              <w:ind w:left="105" w:leftChars="50"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采用银行保函时，</w:t>
            </w:r>
            <w:r>
              <w:rPr>
                <w:rFonts w:hint="eastAsia" w:ascii="宋体" w:hAnsi="宋体" w:cs="宋体"/>
                <w:color w:val="000000" w:themeColor="text1"/>
                <w:szCs w:val="21"/>
                <w:highlight w:val="none"/>
                <w:u w:val="single"/>
                <w14:textFill>
                  <w14:solidFill>
                    <w14:schemeClr w14:val="tx1"/>
                  </w14:solidFill>
                </w14:textFill>
              </w:rPr>
              <w:t>出具履约担保的银行级别：投标人公司注册所在地的全国性国有商业银行或股份制商业银行的分支机构。</w:t>
            </w:r>
          </w:p>
          <w:p>
            <w:pPr>
              <w:ind w:left="105" w:leftChars="50" w:right="113"/>
              <w:rPr>
                <w:rFonts w:ascii="宋体" w:hAnsi="宋体" w:cs="宋体"/>
                <w:color w:val="000000" w:themeColor="text1"/>
                <w:szCs w:val="21"/>
                <w:highlight w:val="none"/>
                <w14:textFill>
                  <w14:solidFill>
                    <w14:schemeClr w14:val="tx1"/>
                  </w14:solidFill>
                </w14:textFill>
              </w:rPr>
            </w:pPr>
          </w:p>
          <w:p>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监督部门</w:t>
            </w:r>
          </w:p>
        </w:tc>
        <w:tc>
          <w:tcPr>
            <w:tcW w:w="6404" w:type="dxa"/>
            <w:tcBorders>
              <w:top w:val="single" w:color="auto" w:sz="4" w:space="0"/>
              <w:left w:val="single" w:color="auto" w:sz="4" w:space="0"/>
              <w:bottom w:val="single" w:color="auto" w:sz="4" w:space="0"/>
              <w:right w:val="single" w:color="auto" w:sz="12" w:space="0"/>
            </w:tcBorders>
            <w:vAlign w:val="center"/>
          </w:tcPr>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监督部门：韶关市交通运输局 </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址：广东省韶关市东河执信路1号</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电    话：0751-8877330 </w:t>
            </w:r>
          </w:p>
          <w:p>
            <w:pPr>
              <w:ind w:left="113" w:right="113"/>
              <w:rPr>
                <w:rFonts w:ascii="宋体" w:hAnsi="宋体" w:cs="宋体"/>
                <w:color w:val="000000" w:themeColor="text1"/>
                <w:szCs w:val="21"/>
                <w:highlight w:val="none"/>
                <w14:textFill>
                  <w14:solidFill>
                    <w14:schemeClr w14:val="tx1"/>
                  </w14:solidFill>
                </w14:textFill>
              </w:rPr>
            </w:pPr>
            <w:bookmarkStart w:id="33" w:name="OLE_LINK7"/>
            <w:bookmarkEnd w:id="33"/>
            <w:r>
              <w:rPr>
                <w:rFonts w:hint="eastAsia" w:ascii="宋体" w:hAnsi="宋体" w:cs="宋体"/>
                <w:color w:val="000000" w:themeColor="text1"/>
                <w:szCs w:val="21"/>
                <w:highlight w:val="none"/>
                <w14:textFill>
                  <w14:solidFill>
                    <w14:schemeClr w14:val="tx1"/>
                  </w14:solidFill>
                </w14:textFill>
              </w:rPr>
              <w:t xml:space="preserve">邮政编码：512000  </w:t>
            </w:r>
          </w:p>
          <w:p>
            <w:pPr>
              <w:ind w:left="113" w:right="113"/>
              <w:rPr>
                <w:rFonts w:ascii="宋体" w:hAnsi="宋体" w:cs="宋体"/>
                <w:color w:val="000000" w:themeColor="text1"/>
                <w:szCs w:val="21"/>
                <w:highlight w:val="none"/>
                <w14:textFill>
                  <w14:solidFill>
                    <w14:schemeClr w14:val="tx1"/>
                  </w14:solidFill>
                </w14:textFill>
              </w:rPr>
            </w:pP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项目上级管理单位：韶关市公路事务中心</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址：广东省韶关市东河执信路1号</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话：0751-8866397</w:t>
            </w:r>
          </w:p>
          <w:p>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邮政编码：512000</w:t>
            </w:r>
          </w:p>
          <w:p>
            <w:pPr>
              <w:ind w:left="113" w:right="113"/>
              <w:rPr>
                <w:rFonts w:ascii="宋体" w:hAnsi="宋体" w:cs="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728"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是否采用电子招标投标</w:t>
            </w:r>
          </w:p>
        </w:tc>
        <w:tc>
          <w:tcPr>
            <w:tcW w:w="6404" w:type="dxa"/>
            <w:tcBorders>
              <w:top w:val="single" w:color="auto" w:sz="4" w:space="0"/>
              <w:left w:val="single" w:color="auto" w:sz="4" w:space="0"/>
              <w:bottom w:val="single" w:color="auto" w:sz="4" w:space="0"/>
              <w:right w:val="single" w:color="auto" w:sz="12" w:space="0"/>
            </w:tcBorders>
            <w:vAlign w:val="center"/>
          </w:tcPr>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fldChar w:fldCharType="begin"/>
            </w:r>
            <w:r>
              <w:rPr>
                <w:rFonts w:hint="eastAsia" w:ascii="宋体" w:hAnsi="宋体" w:cs="宋体"/>
                <w:color w:val="000000" w:themeColor="text1"/>
                <w:kern w:val="0"/>
                <w:szCs w:val="21"/>
                <w:highlight w:val="none"/>
                <w14:textFill>
                  <w14:solidFill>
                    <w14:schemeClr w14:val="tx1"/>
                  </w14:solidFill>
                </w14:textFill>
              </w:rPr>
              <w:instrText xml:space="preserve">eq \o\ac(</w:instrText>
            </w:r>
            <w:r>
              <w:rPr>
                <w:rFonts w:hint="eastAsia" w:ascii="宋体" w:hAnsi="宋体" w:cs="宋体"/>
                <w:color w:val="000000" w:themeColor="text1"/>
                <w:kern w:val="0"/>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是，具体要求：</w:t>
            </w:r>
          </w:p>
          <w:p>
            <w:pPr>
              <w:pStyle w:val="82"/>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u w:val="single"/>
                <w14:textFill>
                  <w14:solidFill>
                    <w14:schemeClr w14:val="tx1"/>
                  </w14:solidFill>
                </w14:textFill>
              </w:rPr>
              <w:t>投标人必须在规定的截止时间前使用建设工程交易平台完成电子投标(包括缴纳投标保证金)。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100" w:type="dxa"/>
            <w:gridSpan w:val="3"/>
            <w:tcBorders>
              <w:top w:val="single" w:color="auto" w:sz="4" w:space="0"/>
              <w:left w:val="single" w:color="auto" w:sz="12" w:space="0"/>
              <w:bottom w:val="single" w:color="auto" w:sz="4" w:space="0"/>
              <w:right w:val="single" w:color="auto" w:sz="12" w:space="0"/>
            </w:tcBorders>
            <w:vAlign w:val="center"/>
          </w:tcPr>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1.4.4</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投标人须知正文</w:t>
            </w:r>
          </w:p>
          <w:p>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 项中（1）目中的“招标项目所在地”指“广东省”。</w:t>
            </w:r>
          </w:p>
          <w:p>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1.4.4（6）目内容细化如下：</w:t>
            </w:r>
          </w:p>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（6）投标人及其法定代表人、拟委任的项目经理（含备选，如有）、项目总工（含备选，如有）在近三年内有行贿犯罪行为的（以投标人投标函中的承诺为准）。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57"/>
              <w:spacing w:line="380" w:lineRule="exact"/>
              <w:jc w:val="both"/>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在投标人须知范本原文增加内容如下：</w:t>
            </w:r>
          </w:p>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2.2.5 澄清和修改内容将以编号的补遗书形式在全国公共资源交易平台 （广东省·韶关市）（https://ygp.gdzwfw.gov.cn/ggzy-portal/#/440200/index）建设工程栏目的公告公示上发布。补遗书作为招标文件的组成部分，对所有投标人均具有约束力。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autoSpaceDE w:val="0"/>
              <w:autoSpaceDN w:val="0"/>
              <w:adjustRightInd w:val="0"/>
              <w:spacing w:before="51" w:line="269" w:lineRule="auto"/>
              <w:ind w:right="17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投标人须知正文第2.3款内容修改如下：</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2.3.1在投标人须知前附表规定的截止投标时间15天前，招标人可以书面修改招标文件，并在</w:t>
            </w:r>
            <w:r>
              <w:rPr>
                <w:rFonts w:hint="eastAsia" w:ascii="宋体" w:hAnsi="宋体" w:cs="宋体"/>
                <w:color w:val="000000" w:themeColor="text1"/>
                <w:kern w:val="0"/>
                <w:szCs w:val="21"/>
                <w:highlight w:val="none"/>
                <w:u w:val="single"/>
                <w14:textFill>
                  <w14:solidFill>
                    <w14:schemeClr w14:val="tx1"/>
                  </w14:solidFill>
                </w14:textFill>
              </w:rPr>
              <w:t>全国公共资源交易平台 （广东省·韶关市）</w:t>
            </w:r>
            <w:r>
              <w:rPr>
                <w:rFonts w:hint="eastAsia" w:ascii="宋体" w:hAnsi="宋体" w:cs="宋体"/>
                <w:color w:val="000000" w:themeColor="text1"/>
                <w:kern w:val="0"/>
                <w:szCs w:val="21"/>
                <w:highlight w:val="none"/>
                <w14:textFill>
                  <w14:solidFill>
                    <w14:schemeClr w14:val="tx1"/>
                  </w14:solidFill>
                </w14:textFill>
              </w:rPr>
              <w:t>网站上</w:t>
            </w:r>
            <w:r>
              <w:rPr>
                <w:rFonts w:hint="eastAsia" w:ascii="宋体" w:hAnsi="宋体" w:cs="宋体"/>
                <w:color w:val="000000" w:themeColor="text1"/>
                <w:szCs w:val="21"/>
                <w:highlight w:val="none"/>
                <w14:textFill>
                  <w14:solidFill>
                    <w14:schemeClr w14:val="tx1"/>
                  </w14:solidFill>
                </w14:textFill>
              </w:rPr>
              <w:t>发布。如果修改招标文件的时间超出规定的截止时间，相应延长投标截止时间。</w:t>
            </w: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2.3.2招标文件的修改及有关补充通知一经在全国公共资源交易平台 （广东省·韶关市）网站上发布，视作已发放给所有投标人。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将投标人须知原文3.1.1款修改如下：</w:t>
            </w:r>
          </w:p>
          <w:p>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3.1.1 投标文件应包括下列内容：</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第一个信封（商务及技术文件）</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（1）投标函及投标函附录</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（2）授权委托书或法定代表人身份证明</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（3）投标保证金</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（4）施工组织设计</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（5）项目管理机构</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（6）拟分包项目情况表</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（7）资格审查资料(适用于未进行资格预审的)</w:t>
            </w:r>
          </w:p>
          <w:p>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（8）其他资料</w:t>
            </w:r>
          </w:p>
          <w:p>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第二个封信（报价文件）</w:t>
            </w:r>
          </w:p>
          <w:p>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投标函；</w:t>
            </w:r>
          </w:p>
          <w:p>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已标价工程量清单。</w:t>
            </w:r>
          </w:p>
          <w:p>
            <w:pPr>
              <w:pStyle w:val="53"/>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80"/>
              <w:spacing w:before="19" w:line="380" w:lineRule="exact"/>
              <w:ind w:left="103" w:right="-2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投标人须知正文第3.2.1项部分内容细化如下：</w:t>
            </w:r>
          </w:p>
          <w:p>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本项目招标由招标人提供工程量清单（已报名的投标单位可在全国公共资源交易平台 （广东省·韶关市）系统下载），投标人应按照招标人提供的工程量清单填写本合同各工程子目的单价、合价和总额价。投标人未在工程量清单中填入单价或总额价的工程子目，将被认为其已包含在工程量清单其他子目的单价和总额价中，招标人将不予支付。评标委员会将按照第三章“评标办法”规定对投标价进行算术性错误修正及其它错误修正。</w:t>
            </w:r>
          </w:p>
          <w:p>
            <w:pPr>
              <w:pStyle w:val="80"/>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增加以下内容：</w:t>
            </w:r>
          </w:p>
          <w:p>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投标报价的所有单价取小数点后两位，所有合价和总价应四舍五入取整数</w:t>
            </w:r>
            <w:r>
              <w:rPr>
                <w:rFonts w:hint="eastAsia" w:ascii="宋体" w:hAnsi="宋体" w:cs="宋体"/>
                <w:color w:val="000000" w:themeColor="text1"/>
                <w:szCs w:val="21"/>
                <w:highlight w:val="none"/>
                <w14:textFill>
                  <w14:solidFill>
                    <w14:schemeClr w14:val="tx1"/>
                  </w14:solidFill>
                </w14:textFill>
              </w:rPr>
              <w:t>。工程量清单不需要附单价分析表、项目清单、分项清单，但投标人中标后，发包人可要求中标人提交项目清单、分项清单及单价分析表，中标人不得拒绝。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3.4</w:t>
            </w:r>
            <w:r>
              <w:rPr>
                <w:rFonts w:hint="eastAsia" w:ascii="宋体" w:hAnsi="宋体" w:cs="宋体"/>
                <w:color w:val="000000" w:themeColor="text1"/>
                <w:szCs w:val="21"/>
                <w:highlight w:val="none"/>
                <w:lang w:bidi="zh-CN"/>
                <w14:textFill>
                  <w14:solidFill>
                    <w14:schemeClr w14:val="tx1"/>
                  </w14:solidFill>
                </w14:textFill>
              </w:rPr>
              <w:t>.3</w:t>
            </w:r>
          </w:p>
        </w:tc>
        <w:tc>
          <w:tcPr>
            <w:tcW w:w="9132" w:type="dxa"/>
            <w:gridSpan w:val="2"/>
            <w:tcBorders>
              <w:top w:val="single" w:color="auto" w:sz="4" w:space="0"/>
              <w:left w:val="single" w:color="auto" w:sz="2" w:space="0"/>
              <w:bottom w:val="single" w:color="auto" w:sz="4" w:space="0"/>
              <w:right w:val="single" w:color="auto" w:sz="12" w:space="0"/>
            </w:tcBorders>
          </w:tcPr>
          <w:p>
            <w:pPr>
              <w:spacing w:line="276" w:lineRule="auto"/>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投标人须知正文3.4.3</w:t>
            </w:r>
            <w:r>
              <w:rPr>
                <w:rFonts w:hint="eastAsia" w:ascii="宋体" w:hAnsi="宋体" w:cs="宋体"/>
                <w:b/>
                <w:bCs/>
                <w:color w:val="000000" w:themeColor="text1"/>
                <w:szCs w:val="21"/>
                <w:highlight w:val="none"/>
                <w14:textFill>
                  <w14:solidFill>
                    <w14:schemeClr w14:val="tx1"/>
                  </w14:solidFill>
                </w14:textFill>
              </w:rPr>
              <w:t>项</w:t>
            </w:r>
            <w:r>
              <w:rPr>
                <w:rFonts w:hint="eastAsia" w:ascii="宋体" w:hAnsi="宋体" w:cs="宋体"/>
                <w:b/>
                <w:bCs/>
                <w:color w:val="000000" w:themeColor="text1"/>
                <w:szCs w:val="21"/>
                <w:highlight w:val="none"/>
                <w:lang w:val="zh-CN"/>
                <w14:textFill>
                  <w14:solidFill>
                    <w14:schemeClr w14:val="tx1"/>
                  </w14:solidFill>
                </w14:textFill>
              </w:rPr>
              <w:t xml:space="preserve">修改如下：     </w:t>
            </w:r>
          </w:p>
          <w:p>
            <w:pPr>
              <w:pStyle w:val="53"/>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3.4.3（</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3.5.1</w:t>
            </w:r>
          </w:p>
        </w:tc>
        <w:tc>
          <w:tcPr>
            <w:tcW w:w="9132"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b/>
                <w:bCs/>
                <w:color w:val="000000" w:themeColor="text1"/>
                <w:szCs w:val="21"/>
                <w:highlight w:val="none"/>
                <w:lang w:val="zh-CN" w:bidi="zh-CN"/>
                <w14:textFill>
                  <w14:solidFill>
                    <w14:schemeClr w14:val="tx1"/>
                  </w14:solidFill>
                </w14:textFill>
              </w:rPr>
            </w:pPr>
            <w:r>
              <w:rPr>
                <w:rFonts w:hint="eastAsia" w:ascii="宋体" w:hAnsi="宋体" w:cs="宋体"/>
                <w:b/>
                <w:bCs/>
                <w:color w:val="000000" w:themeColor="text1"/>
                <w:szCs w:val="21"/>
                <w:highlight w:val="none"/>
                <w:lang w:val="zh-CN" w:bidi="zh-CN"/>
                <w14:textFill>
                  <w14:solidFill>
                    <w14:schemeClr w14:val="tx1"/>
                  </w14:solidFill>
                </w14:textFill>
              </w:rPr>
              <w:t xml:space="preserve">投标人须知正文第 3.5.1 项内容修改如下： </w:t>
            </w:r>
          </w:p>
          <w:p>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投标人须知正文第 3.5.1 项内容修改如下：</w:t>
            </w:r>
          </w:p>
          <w:p>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监督管理系统”公路工程施工资质企业名录中的网页截图复印件，以及投标人在“国家企业信用信息公示系统”中基础信息（体现股东及出资详细信息）的网页截图复印件。</w:t>
            </w:r>
          </w:p>
          <w:p>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 3.5.2 项内容修改如下：</w:t>
            </w:r>
          </w:p>
          <w:p>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表”具体年份要求见投标人须知前附表，近年财务信息以投标人提供的“全国公路建设市场监督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3.5.3</w:t>
            </w:r>
          </w:p>
          <w:p>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22" w:firstLineChars="20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投标人须知正文第 3.5.3 项内容修改如下：</w:t>
            </w:r>
          </w:p>
          <w:p>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“近年完成的类似项目”应是已列入交通运输部“全国公路建设市场监督管理系统”并公开的总包已建业绩或分包（不包括劳务分包）已建业绩，具体时间要求见投标人须知前附表。</w:t>
            </w:r>
          </w:p>
          <w:p>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情况表”应附在交通运输部“全国公路建设市场监督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如投标人未提供相关项目网页截图复印件或相关项目网页截图中的信息无法证实投标人满足招标文件规定的资格审查条件（业绩最低要求）或评标办法评分标准（如有），则该项目业绩不予认定。</w:t>
            </w:r>
          </w:p>
          <w:p>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3.5.4</w:t>
            </w:r>
          </w:p>
        </w:tc>
        <w:tc>
          <w:tcPr>
            <w:tcW w:w="9132" w:type="dxa"/>
            <w:gridSpan w:val="2"/>
            <w:tcBorders>
              <w:top w:val="single" w:color="auto" w:sz="4" w:space="0"/>
              <w:left w:val="single" w:color="auto" w:sz="2" w:space="0"/>
              <w:bottom w:val="single" w:color="auto" w:sz="4" w:space="0"/>
              <w:right w:val="single" w:color="auto" w:sz="12" w:space="0"/>
            </w:tcBorders>
          </w:tcPr>
          <w:p>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投标人须知正文第 3.5.4 项内容修改如下： </w:t>
            </w:r>
          </w:p>
          <w:p>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“投标人的信誉情况”应附投标人在“国家企业信用信息公示系统”中未被列入严重违法失信企业名单、在“信用中国”网站中未被列入失信被执行人名单的网页截图复印件。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132" w:type="dxa"/>
            <w:gridSpan w:val="2"/>
            <w:tcBorders>
              <w:top w:val="single" w:color="auto" w:sz="4" w:space="0"/>
              <w:left w:val="single" w:color="auto" w:sz="2" w:space="0"/>
              <w:bottom w:val="single" w:color="auto" w:sz="4" w:space="0"/>
              <w:right w:val="single" w:color="auto" w:sz="12" w:space="0"/>
            </w:tcBorders>
          </w:tcPr>
          <w:p>
            <w:pPr>
              <w:spacing w:line="42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删除原 3.5.5 项内容，修改如下： </w:t>
            </w:r>
          </w:p>
          <w:p>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委任的项目经理和项目总工资历表”应同时附①交通运输部“全国公路建设市场监督管理系统”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以及备选人，如有）和项目总工（以及备选人，如有）参加社保的缴费明细复印件（社保时段为投标文件递交截止日前半年时间内连续不少于三个月）。</w:t>
            </w:r>
          </w:p>
          <w:p>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建造师注册信息以②的证明材料为准，安全生产考核信息以③的证明材料为准。</w:t>
            </w:r>
          </w:p>
          <w:p>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除上述资料外，投标人无需再提供任何证明材料。</w:t>
            </w:r>
          </w:p>
          <w:p>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如项目经理（以及备选人，如有）和项目总工（以及备选人，如有）目前仍在其他项目上任职，则投标人应按投标函的格式承诺上述人员能够从该项目撤离。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3.5.7</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widowControl/>
              <w:jc w:val="left"/>
              <w:rPr>
                <w:b/>
                <w:color w:val="000000" w:themeColor="text1"/>
                <w:highlight w:val="none"/>
                <w14:textFill>
                  <w14:solidFill>
                    <w14:schemeClr w14:val="tx1"/>
                  </w14:solidFill>
                </w14:textFill>
              </w:rPr>
            </w:pPr>
            <w:r>
              <w:rPr>
                <w:rFonts w:hint="eastAsia" w:ascii="宋体" w:hAnsi="宋体" w:cs="宋体"/>
                <w:b/>
                <w:color w:val="000000" w:themeColor="text1"/>
                <w:kern w:val="0"/>
                <w:sz w:val="20"/>
                <w:szCs w:val="20"/>
                <w:highlight w:val="none"/>
                <w14:textFill>
                  <w14:solidFill>
                    <w14:schemeClr w14:val="tx1"/>
                  </w14:solidFill>
                </w14:textFill>
              </w:rPr>
              <w:t xml:space="preserve">删除原 3.5.7 项内容，修改如下： </w:t>
            </w:r>
          </w:p>
          <w:p>
            <w:pPr>
              <w:widowControl/>
              <w:ind w:firstLine="40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57"/>
              <w:spacing w:line="380" w:lineRule="exact"/>
              <w:jc w:val="both"/>
              <w:rPr>
                <w:rFonts w:ascii="宋体" w:hAnsi="宋体" w:cs="宋体"/>
                <w:b/>
                <w:color w:val="000000" w:themeColor="text1"/>
                <w:kern w:val="2"/>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删除原 3.7.4、3.7.5项内容，修改如下：</w:t>
            </w:r>
          </w:p>
          <w:p>
            <w:pPr>
              <w:pStyle w:val="57"/>
              <w:spacing w:line="3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3.7.4</w:t>
            </w:r>
            <w:r>
              <w:rPr>
                <w:rFonts w:hint="eastAsia" w:ascii="宋体" w:hAnsi="宋体" w:cs="宋体"/>
                <w:color w:val="000000" w:themeColor="text1"/>
                <w:sz w:val="21"/>
                <w:szCs w:val="21"/>
                <w:highlight w:val="none"/>
                <w14:textFill>
                  <w14:solidFill>
                    <w14:schemeClr w14:val="tx1"/>
                  </w14:solidFill>
                </w14:textFill>
              </w:rPr>
              <w:t>本项目采用全流程电子投标，不需要提交纸质版的投标文件</w:t>
            </w:r>
            <w:r>
              <w:rPr>
                <w:rFonts w:hint="eastAsia" w:ascii="宋体" w:hAnsi="宋体" w:cs="宋体"/>
                <w:color w:val="000000" w:themeColor="text1"/>
                <w:kern w:val="2"/>
                <w:sz w:val="21"/>
                <w:szCs w:val="21"/>
                <w:highlight w:val="none"/>
                <w14:textFill>
                  <w14:solidFill>
                    <w14:schemeClr w14:val="tx1"/>
                  </w14:solidFill>
                </w14:textFill>
              </w:rPr>
              <w:t>，投标单位没有成功</w:t>
            </w:r>
            <w:r>
              <w:rPr>
                <w:rFonts w:hint="eastAsia" w:ascii="宋体" w:hAnsi="宋体" w:cs="宋体"/>
                <w:bCs/>
                <w:color w:val="000000" w:themeColor="text1"/>
                <w:sz w:val="21"/>
                <w:szCs w:val="21"/>
                <w:highlight w:val="none"/>
                <w14:textFill>
                  <w14:solidFill>
                    <w14:schemeClr w14:val="tx1"/>
                  </w14:solidFill>
                </w14:textFill>
              </w:rPr>
              <w:t>完成电子投标（包括缴纳投标保证金）</w:t>
            </w:r>
            <w:r>
              <w:rPr>
                <w:rFonts w:hint="eastAsia" w:ascii="宋体" w:hAnsi="宋体" w:cs="宋体"/>
                <w:color w:val="000000" w:themeColor="text1"/>
                <w:kern w:val="2"/>
                <w:sz w:val="21"/>
                <w:szCs w:val="21"/>
                <w:highlight w:val="none"/>
                <w14:textFill>
                  <w14:solidFill>
                    <w14:schemeClr w14:val="tx1"/>
                  </w14:solidFill>
                </w14:textFill>
              </w:rPr>
              <w:t>，则视为无效，按无效标书处理。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4.1 项内容修改如下：</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本项目采用全流程电子投标，不需要提交纸质版的投标文件。投标单位</w:t>
            </w:r>
            <w:r>
              <w:rPr>
                <w:rFonts w:hint="eastAsia" w:ascii="宋体" w:hAnsi="宋体" w:cs="Arial"/>
                <w:color w:val="000000" w:themeColor="text1"/>
                <w:szCs w:val="21"/>
                <w:highlight w:val="none"/>
                <w14:textFill>
                  <w14:solidFill>
                    <w14:schemeClr w14:val="tx1"/>
                  </w14:solidFill>
                </w14:textFill>
              </w:rPr>
              <w:t>中标后须提交</w:t>
            </w:r>
            <w:r>
              <w:rPr>
                <w:rFonts w:hint="eastAsia" w:ascii="宋体" w:hAnsi="宋体" w:cs="宋体"/>
                <w:bCs/>
                <w:color w:val="000000" w:themeColor="text1"/>
                <w:kern w:val="0"/>
                <w:szCs w:val="21"/>
                <w:highlight w:val="none"/>
                <w14:textFill>
                  <w14:solidFill>
                    <w14:schemeClr w14:val="tx1"/>
                  </w14:solidFill>
                </w14:textFill>
              </w:rPr>
              <w:t>一正两副的纸质版投标文件。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4.2 项内容修改如下：</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本项目采用全流程电子投标，不需要提交纸质版的投标文件。投标人应在规定的截止时间前登录建设工程交易平台完成电子投标（包括缴纳投标保证金），方为有效投标。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4.3 项内容修改如下：</w:t>
            </w:r>
          </w:p>
          <w:p>
            <w:pPr>
              <w:spacing w:line="380" w:lineRule="exact"/>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4.3电子投标文件的修改、撤回：</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5.1 项内容修改如下：</w:t>
            </w:r>
          </w:p>
          <w:p>
            <w:pPr>
              <w:spacing w:line="380" w:lineRule="exact"/>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5.1开标时间和地点</w:t>
            </w:r>
          </w:p>
          <w:p>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5.2.1</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276"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删除投标人须知正文第5.2.1（4）款，并对序号进行修改。</w:t>
            </w:r>
          </w:p>
          <w:p>
            <w:pPr>
              <w:spacing w:line="276"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投标人须知正文第5.2.1（5）款修改为：</w:t>
            </w:r>
          </w:p>
          <w:p>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主持人组织，在交易场所工作人员的见证下，招标代理机构对投标人的电子投标信息进行解密，解密成功后查看各投标人投标保证金缴纳情况及第一个信封（商务及技术文件）开标一览表。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5.2.2项内容修改如下：</w:t>
            </w:r>
          </w:p>
          <w:p>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  在投标文件第一个信封（商务及技术文件）开标现场，投标文件第二个信封（报价文件）不予开标。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5.2.3</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276"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删除投标人须知正文第5.2.3（4）和（7）款，并对序号进行修改。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6.1.2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投标人须知正文6.1.2 项末增加如下内容：</w:t>
            </w:r>
          </w:p>
          <w:p>
            <w:pPr>
              <w:pStyle w:val="57"/>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招标人及其子公司、招标人下属单位、招标人的上级主管部门或者控股公司、招标代理机构的工作人员或者退休人员不得以专家身份参与本单位招标或者招标代理项目的评标。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7.8.6</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pStyle w:val="80"/>
              <w:spacing w:before="6" w:line="380" w:lineRule="exact"/>
              <w:ind w:right="134"/>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增加 7.8.6 项“不平衡报价的处理”：</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中标人如果存在不平衡报价，招标人可以在保证投标总价不变的前提下予以合理调整，中标人应无条件接受。不平衡报价处理的具体条款如下：</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在签订合同前，招标人组织人员对中标人的工程量清单报价进行审核：</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（1）若中标人的工程量清单报价，超过如下范围：招标人招标清单预算相应单价与（1-中标人中标价下浮率）乘积的 85 %～ 115 %，则视为存在不平衡报价。</w:t>
            </w:r>
          </w:p>
          <w:p>
            <w:pPr>
              <w:pStyle w:val="80"/>
              <w:spacing w:before="6" w:line="380" w:lineRule="exact"/>
              <w:ind w:right="134"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（2）为使调整后的投标总价保持不变，对处于招标人招标清单预算相应单价与（1- 中标人中标价下浮率）乘积的 85 %～ 115 %内的报价，招标人有权根据本项第（1）条调整原则进行报价调整。</w:t>
            </w:r>
          </w:p>
          <w:p>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中标人中标价下浮率指中标人中标价较造价管理部门核备的清单预算之下浮比例。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w:t>
            </w:r>
          </w:p>
        </w:tc>
        <w:tc>
          <w:tcPr>
            <w:tcW w:w="9132" w:type="dxa"/>
            <w:gridSpan w:val="2"/>
            <w:tcBorders>
              <w:top w:val="single" w:color="auto" w:sz="4" w:space="0"/>
              <w:left w:val="single" w:color="auto" w:sz="2" w:space="0"/>
              <w:bottom w:val="single" w:color="auto" w:sz="4" w:space="0"/>
              <w:right w:val="single" w:color="auto" w:sz="12" w:space="0"/>
            </w:tcBorders>
          </w:tcPr>
          <w:p>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投标人须知范本原文第 8.5.1 项细化如下：</w:t>
            </w:r>
          </w:p>
          <w:p>
            <w:pPr>
              <w:pStyle w:val="57"/>
              <w:spacing w:line="380" w:lineRule="exact"/>
              <w:ind w:firstLine="630" w:firstLineChars="300"/>
              <w:jc w:val="left"/>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10.1</w:t>
            </w:r>
          </w:p>
        </w:tc>
        <w:tc>
          <w:tcPr>
            <w:tcW w:w="9132" w:type="dxa"/>
            <w:gridSpan w:val="2"/>
            <w:tcBorders>
              <w:top w:val="single" w:color="auto" w:sz="4" w:space="0"/>
              <w:left w:val="single" w:color="auto" w:sz="2" w:space="0"/>
              <w:bottom w:val="single" w:color="auto" w:sz="4" w:space="0"/>
              <w:right w:val="single" w:color="auto" w:sz="12" w:space="0"/>
            </w:tcBorders>
          </w:tcPr>
          <w:p>
            <w:pPr>
              <w:pStyle w:val="57"/>
              <w:spacing w:line="380" w:lineRule="exact"/>
              <w:ind w:firstLine="422" w:firstLineChars="200"/>
              <w:jc w:val="lef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在 10.1 款后增加如下条款：10.2 款、10.3 款、10.4 款、10.5 款、10.6 款、10.7、10.8 款、10.9 款。</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 信用等级的确定原则：</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10.2.1 招标文件中的信用等级指的是广东省交通运输厅最新年度的信用评价。如无广东省最新年度信用等级而有上一年度广东省信用等级的，则其原信用等级可延续一年，但在递交资审申请文件（资格后审的为投标文件）时信用等级的使用次数应按上一年度公布的信用评价结果顺延上一年度的使用次数。具体使用次数有关规定如下：</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1.对于信用等级为 AA 级的从业单位:</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(1)仅最新一年度信用等级为 AA 级的从业单位在参加广东省公路工程建设项目投标活动（以递交资格预审申请文件或资格后审递交投标文件时间为准）时，可申请使用 AA 级分值 8 次，用完 8 次后信用等级分值将按 A 级分值取定；</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(2)连续最近两个年度信用等级为 AA 级的单位在参加广东省公路工程投标活动（以递交资格预审申请文件或资格后审递交投标文件时间为准）时，可申请使用 AA级分值 12 次，用完 12 次后信用等级分值将按 A 级取定；</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2.对于信用等级为 A 级的从业单位:当年度信用等级 A 级单位在参加广东省公路工程建设项目招投标活动（以递交资格预审申请文件或资格后审递交投标文件时间为准）时，可申请使用 A 级分值 12 次，用完 12 次后信用等级分值将按 B 级分值取定。</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3.当年度信用等级为 AA、A 级的从业单位未承诺使用的信用等级分值的，AA 级信用等级企业按 A 级对待、A 级信用等级企业按 B 级对待。</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4.若从业企业在信用评价年度信用等级由 AA 降级为 A 级时，AA 级信用等级已使用次数纳入 A 级信用等级使用次数合并累计。</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10.2.2 信用等级延续 1 年后仍无信用评价等级的，按照初次进入广东省确定，原则上按 B 级对待，但下列情况除外：最新年度的全国公路从业单位（施工单位）信用评价结果为 C 级或 D 级的，则按最新年度的全国公路从业单位（施工单位）信用评价结果对待；或最新年度的全国公路从业单位（施工单位）信用评价结果未被评为 C级或 D 级的，但在广东省最近年度原评价等级为 D 级的，则按 C 级对待。</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10.2.3 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截止日的信用等级作比较，按“就低原则”认定等级，即降低等级的按低等级认定、升高等级的仍维持资审时的申请等级。）</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10.2.4 在招标评标中，信用评价等级采用按次、按标段或标类（指资格预审时未明确具体标段的情形）申请使用的原则，即在同一次招标中的多个标段的投标，可对其中部分或全部标段申请使用 AA 或 A 级信用等级，无论中标与否，均应根据递交投标（或申请）文件情况按标段计算使用次数（非投标人原因导致招标失败的情况除外）。</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10.2.5 招标项目为一个标段类别时，投标人以联合体形式投标的，信用等级以联合体中信用等级较低的为准。</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10.2.6 如招标内容包含了多个标段类别（如机电工程+交通安全设施工程类），招标项目的资质条件设置不止一个资质时投标人的信用等级认定原则：</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就低不就高模式：</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独立投标的，按各类别招标内容相对应的投标人的信用等级，按就低不就高的原则确定投标人的最终信用等级得分；以联合体形式投标的，联合体成员按联合体协议书中约定承担的专业工程对应相应的信用等级按就低不就高的原则确定投标人的最终信用等级得分。</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举例：招标文件约定的机电工程所占的比例为 70%，交通安全设施工程所占的比例为30%，联合体形式投标的情形：单位甲为机电专业，其信用等级分值为机电工程A 级，单位乙为交通安全设施工程专业，其信用等级分值为交通安全设施工程 B 级。结合招标文件中约定的信用等级 A 级对应分值为 4.75 分，B 级对应分值为 4.45 分，则按方法一计算的联合体信用等级分值为：4.45 分。</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10.4 如果开标后至中标通知书发出前，第一中标候选人发生投标人须知 1.4.4（1）至（7）的情形及中标候选人信用等级被广东省交通运输厅直接降为 D 级的情形，则取消其中标资格，招标人按推荐中标候选人排名顺序依次确定中标人，或重新组织招标。</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10.5 本招标文件中所有“类似工程”均指</w:t>
            </w:r>
            <w:r>
              <w:rPr>
                <w:rFonts w:hint="eastAsia" w:ascii="宋体" w:hAnsi="宋体" w:cs="宋体"/>
                <w:b/>
                <w:color w:val="000000" w:themeColor="text1"/>
                <w:sz w:val="21"/>
                <w:szCs w:val="21"/>
                <w:highlight w:val="none"/>
                <w:u w:val="single"/>
                <w14:textFill>
                  <w14:solidFill>
                    <w14:schemeClr w14:val="tx1"/>
                  </w14:solidFill>
                </w14:textFill>
              </w:rPr>
              <w:t>新建或改、扩建、路面改造、路面预防养护二级以上（含二级）</w:t>
            </w:r>
            <w:r>
              <w:rPr>
                <w:rFonts w:hint="eastAsia" w:ascii="宋体" w:hAnsi="宋体" w:cs="宋体"/>
                <w:color w:val="000000" w:themeColor="text1"/>
                <w:sz w:val="21"/>
                <w:szCs w:val="21"/>
                <w:highlight w:val="none"/>
                <w14:textFill>
                  <w14:solidFill>
                    <w14:schemeClr w14:val="tx1"/>
                  </w14:solidFill>
                </w14:textFill>
              </w:rPr>
              <w:t>公路施工项目。在采用新建公路项目完工业绩时，对于同公路等级改、扩建中的新建桥梁或隧道工程业绩也应认可。</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 有关业绩的说明</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10.6.1</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a、特大桥及大桥按国家最新颁布的标准进行划分；</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b、完成整座桥梁的半幅或整座桥梁其中的一部分工作内容达到特大桥或大桥对应技术标准的，按相应标段标准以座计算；</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c、同一投标人的单座桥梁仅能计一次，只完成整个工程部分分部工程不参与计算业绩。</w:t>
            </w:r>
          </w:p>
          <w:p>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10.6.2</w:t>
            </w:r>
          </w:p>
          <w:p>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长隧道：单座隧道单洞（即左洞加右洞）总长大于 2000 米且不大于 6000 米的，或完成单座隧道的一部分且该部分的单洞累计长度大于2000 米且不大于6000 米的，均按 1 座计；</w:t>
            </w:r>
          </w:p>
          <w:p>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同一座隧道同时满足条件的，同一投标人只计算一次业绩；特长隧道可计为长隧道。</w:t>
            </w:r>
          </w:p>
          <w:p>
            <w:pPr>
              <w:pStyle w:val="57"/>
              <w:spacing w:line="380" w:lineRule="exact"/>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10.7 招标文件中如无特别说明，业绩里程累计长度均不扣除桥隧等构造物长度。</w:t>
            </w:r>
          </w:p>
          <w:p>
            <w:pPr>
              <w:pStyle w:val="57"/>
              <w:spacing w:line="380" w:lineRule="exact"/>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9132"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投标人须知正文增加第11款内容：</w:t>
            </w:r>
          </w:p>
          <w:p>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11.招标代理服务费等费用：本项目的招标代理费由中标人支付，招标代理费</w:t>
            </w:r>
            <w:r>
              <w:rPr>
                <w:rFonts w:hint="eastAsia" w:ascii="宋体" w:hAnsi="宋体"/>
                <w:color w:val="000000" w:themeColor="text1"/>
                <w:highlight w:val="none"/>
                <w14:textFill>
                  <w14:solidFill>
                    <w14:schemeClr w14:val="tx1"/>
                  </w14:solidFill>
                </w14:textFill>
              </w:rPr>
              <w:t>依据国家计委计价格［2002］1980号文（施工类）差额定率累进累计法进行收费，以施工中标价为计算基数</w:t>
            </w:r>
            <w:r>
              <w:rPr>
                <w:rFonts w:hint="eastAsia" w:ascii="宋体" w:hAnsi="宋体" w:cs="宋体"/>
                <w:color w:val="000000" w:themeColor="text1"/>
                <w:szCs w:val="21"/>
                <w:highlight w:val="none"/>
                <w14:textFill>
                  <w14:solidFill>
                    <w14:schemeClr w14:val="tx1"/>
                  </w14:solidFill>
                </w14:textFill>
              </w:rPr>
              <w:t>。投标人在投标时，必须综合考虑缴交招标代理费，并计入投标成本报价中，中标人须在中标公告公示期结束后，领取《中标通知书》前，向招标代理机构缴纳招标代理服务费。本项目招标的评标费及复评费用（如有）由招标代理机构先垫付（评标专家费含评审费及差旅费等费用），由中标人在领取中标通知书之前缴纳给招标代理机构。投标人在投标时综合考虑该费用并含在投标报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w:t>
            </w:r>
          </w:p>
        </w:tc>
        <w:tc>
          <w:tcPr>
            <w:tcW w:w="9132"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投标人须知正文增加第12款内容：</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12电子投标及投标解密失败及突发情况的补救方案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12.1按照交易平台关于全流程电子化项目的相关指南进行操作。详见全国公共资源交易平台（广东省·韶关市）发布的最新版操作指引。</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12.3补救方案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（1）投标文件解密失败的补救方案：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（2）评标时突发情况的补救方案</w:t>
            </w:r>
          </w:p>
          <w:p>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100" w:type="dxa"/>
            <w:gridSpan w:val="3"/>
            <w:tcBorders>
              <w:top w:val="single" w:color="auto" w:sz="4" w:space="0"/>
              <w:left w:val="single" w:color="auto" w:sz="12" w:space="0"/>
              <w:bottom w:val="single" w:color="auto" w:sz="4" w:space="0"/>
              <w:right w:val="single" w:color="auto" w:sz="12" w:space="0"/>
            </w:tcBorders>
            <w:vAlign w:val="center"/>
          </w:tcPr>
          <w:p>
            <w:pPr>
              <w:pStyle w:val="16"/>
              <w:spacing w:line="3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备注：“投标人须知”前附表是“投标人须知”正文内容的补充、细化和修改，投标人应结合“投标人须知”正文与“投标人须知”前附表两部分内容仔细阅读“投标人须知”。</w:t>
            </w:r>
          </w:p>
        </w:tc>
      </w:tr>
    </w:tbl>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4" w:name="_Toc7714"/>
      <w:bookmarkStart w:id="35" w:name="_Toc43475663"/>
      <w:r>
        <w:rPr>
          <w:rFonts w:hint="eastAsia" w:ascii="宋体" w:hAnsi="宋体" w:cs="黑体"/>
          <w:bCs w:val="0"/>
          <w:color w:val="000000" w:themeColor="text1"/>
          <w:sz w:val="30"/>
          <w:szCs w:val="30"/>
          <w:highlight w:val="none"/>
          <w14:textFill>
            <w14:solidFill>
              <w14:schemeClr w14:val="tx1"/>
            </w14:solidFill>
          </w14:textFill>
        </w:rPr>
        <w:br w:type="page"/>
      </w: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6" w:name="_Toc20937"/>
      <w:r>
        <w:rPr>
          <w:rFonts w:hint="eastAsia" w:ascii="宋体" w:hAnsi="宋体" w:cs="黑体"/>
          <w:bCs w:val="0"/>
          <w:color w:val="000000" w:themeColor="text1"/>
          <w:sz w:val="30"/>
          <w:szCs w:val="30"/>
          <w:highlight w:val="none"/>
          <w14:textFill>
            <w14:solidFill>
              <w14:schemeClr w14:val="tx1"/>
            </w14:solidFill>
          </w14:textFill>
        </w:rPr>
        <w:t>附录1  资格审查条件（资质最低要求）</w:t>
      </w:r>
      <w:bookmarkEnd w:id="36"/>
    </w:p>
    <w:tbl>
      <w:tblPr>
        <w:tblStyle w:val="43"/>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pPr>
              <w:pStyle w:val="16"/>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投标人须具备《建筑业企业资质标准》（建市[2014]159号）规定的公路工程施工总承包三级以上（含三级）资质。</w:t>
            </w:r>
          </w:p>
        </w:tc>
      </w:tr>
    </w:tbl>
    <w:p>
      <w:pPr>
        <w:rPr>
          <w:color w:val="000000" w:themeColor="text1"/>
          <w:highlight w:val="none"/>
          <w14:textFill>
            <w14:solidFill>
              <w14:schemeClr w14:val="tx1"/>
            </w14:solidFill>
          </w14:textFill>
        </w:rPr>
      </w:pPr>
      <w:bookmarkStart w:id="37" w:name="_Toc466575329"/>
      <w:bookmarkStart w:id="38" w:name="_Toc18853"/>
      <w:bookmarkStart w:id="39" w:name="_Toc451261208"/>
      <w:bookmarkStart w:id="40" w:name="_Toc393546205"/>
      <w:bookmarkStart w:id="41" w:name="_Toc330406140"/>
      <w:bookmarkStart w:id="42" w:name="_Toc238804055"/>
      <w:r>
        <w:rPr>
          <w:color w:val="000000" w:themeColor="text1"/>
          <w:highlight w:val="none"/>
          <w14:textFill>
            <w14:solidFill>
              <w14:schemeClr w14:val="tx1"/>
            </w14:solidFill>
          </w14:textFill>
        </w:rPr>
        <w:t>注：投标人应根据投标文件第二章“投标人须知”第 3.5.1 项的要求附相关证明材料。</w:t>
      </w:r>
    </w:p>
    <w:p>
      <w:pPr>
        <w:rPr>
          <w:color w:val="000000" w:themeColor="text1"/>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3" w:name="_Toc23973"/>
      <w:r>
        <w:rPr>
          <w:rFonts w:hint="eastAsia" w:ascii="宋体" w:hAnsi="宋体" w:cs="黑体"/>
          <w:bCs w:val="0"/>
          <w:color w:val="000000" w:themeColor="text1"/>
          <w:sz w:val="30"/>
          <w:szCs w:val="30"/>
          <w:highlight w:val="none"/>
          <w14:textFill>
            <w14:solidFill>
              <w14:schemeClr w14:val="tx1"/>
            </w14:solidFill>
          </w14:textFill>
        </w:rPr>
        <w:t>附录2  资格审查条件（财务最低要求）</w:t>
      </w:r>
      <w:bookmarkEnd w:id="37"/>
      <w:bookmarkEnd w:id="38"/>
      <w:bookmarkEnd w:id="39"/>
      <w:bookmarkEnd w:id="43"/>
    </w:p>
    <w:tbl>
      <w:tblPr>
        <w:tblStyle w:val="43"/>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vAlign w:val="center"/>
          </w:tcPr>
          <w:p>
            <w:pPr>
              <w:pStyle w:val="16"/>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财 务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vAlign w:val="center"/>
          </w:tcPr>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1、企业净资产（总资产-总负债）不少于</w:t>
            </w: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000万元人民币； </w:t>
            </w:r>
          </w:p>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2、营运资金（流动资产－流动负债）不少于</w:t>
            </w:r>
            <w:r>
              <w:rPr>
                <w:rFonts w:hint="eastAsia" w:ascii="宋体" w:hAnsi="宋体"/>
                <w:color w:val="000000" w:themeColor="text1"/>
                <w:sz w:val="24"/>
                <w:highlight w:val="none"/>
                <w14:textFill>
                  <w14:solidFill>
                    <w14:schemeClr w14:val="tx1"/>
                  </w14:solidFill>
                </w14:textFill>
              </w:rPr>
              <w:t>10</w:t>
            </w:r>
            <w:r>
              <w:rPr>
                <w:rFonts w:ascii="宋体" w:hAnsi="宋体"/>
                <w:color w:val="000000" w:themeColor="text1"/>
                <w:sz w:val="24"/>
                <w:highlight w:val="none"/>
                <w14:textFill>
                  <w14:solidFill>
                    <w14:schemeClr w14:val="tx1"/>
                  </w14:solidFill>
                </w14:textFill>
              </w:rPr>
              <w:t xml:space="preserve">00万元人民币；  </w:t>
            </w:r>
          </w:p>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近三个年度的年平均营业总收入不少于</w:t>
            </w:r>
            <w:r>
              <w:rPr>
                <w:rFonts w:hint="eastAsia" w:ascii="宋体" w:hAnsi="宋体"/>
                <w:color w:val="000000" w:themeColor="text1"/>
                <w:sz w:val="24"/>
                <w:highlight w:val="none"/>
                <w14:textFill>
                  <w14:solidFill>
                    <w14:schemeClr w14:val="tx1"/>
                  </w14:solidFill>
                </w14:textFill>
              </w:rPr>
              <w:t>30</w:t>
            </w:r>
            <w:r>
              <w:rPr>
                <w:rFonts w:ascii="宋体" w:hAnsi="宋体"/>
                <w:color w:val="000000" w:themeColor="text1"/>
                <w:sz w:val="24"/>
                <w:highlight w:val="none"/>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万元人民币</w:t>
            </w:r>
            <w:r>
              <w:rPr>
                <w:rFonts w:hint="eastAsia" w:ascii="宋体" w:hAnsi="宋体"/>
                <w:color w:val="000000" w:themeColor="text1"/>
                <w:sz w:val="24"/>
                <w:highlight w:val="none"/>
                <w14:textFill>
                  <w14:solidFill>
                    <w14:schemeClr w14:val="tx1"/>
                  </w14:solidFill>
                </w14:textFill>
              </w:rPr>
              <w:t>；</w:t>
            </w:r>
          </w:p>
          <w:p>
            <w:pPr>
              <w:pStyle w:val="16"/>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4、近三个年度至少有2年盈利。</w:t>
            </w:r>
          </w:p>
        </w:tc>
      </w:tr>
      <w:bookmarkEnd w:id="40"/>
      <w:bookmarkEnd w:id="41"/>
      <w:bookmarkEnd w:id="42"/>
    </w:tbl>
    <w:p>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44" w:name="_Toc18126"/>
      <w:r>
        <w:rPr>
          <w:rFonts w:hint="eastAsia" w:ascii="宋体" w:hAnsi="宋体"/>
          <w:color w:val="000000" w:themeColor="text1"/>
          <w:szCs w:val="21"/>
          <w:highlight w:val="none"/>
          <w14:textFill>
            <w14:solidFill>
              <w14:schemeClr w14:val="tx1"/>
            </w14:solidFill>
          </w14:textFill>
        </w:rPr>
        <w:t>注：1、企业净资产、营运资金是按交通运输部“全国公路建设市场监督管理系统”登记的最新年度（近三个年度的最后一年，下同）数据计算得出。近三个年度是指2020年、2021、2022年。</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2、投标人应根据招标文件第二章“投标人须知”第 3.5.2 项的要求附相关证明材料。</w:t>
      </w:r>
    </w:p>
    <w:p>
      <w:pPr>
        <w:pStyle w:val="11"/>
        <w:rPr>
          <w:color w:val="000000" w:themeColor="text1"/>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5" w:name="_Toc24636"/>
      <w:r>
        <w:rPr>
          <w:rFonts w:hint="eastAsia" w:ascii="宋体" w:hAnsi="宋体" w:cs="黑体"/>
          <w:bCs w:val="0"/>
          <w:color w:val="000000" w:themeColor="text1"/>
          <w:sz w:val="30"/>
          <w:szCs w:val="30"/>
          <w:highlight w:val="none"/>
          <w14:textFill>
            <w14:solidFill>
              <w14:schemeClr w14:val="tx1"/>
            </w14:solidFill>
          </w14:textFill>
        </w:rPr>
        <w:t>附录3  资格审查条件（业绩最低要求）</w:t>
      </w:r>
      <w:bookmarkEnd w:id="44"/>
      <w:bookmarkEnd w:id="45"/>
    </w:p>
    <w:tbl>
      <w:tblPr>
        <w:tblStyle w:val="43"/>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pPr>
              <w:pStyle w:val="16"/>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pPr>
              <w:widowControl/>
              <w:spacing w:line="360" w:lineRule="auto"/>
              <w:ind w:firstLine="480" w:firstLineChars="200"/>
              <w:textAlignment w:val="baseline"/>
              <w:rPr>
                <w:rStyle w:val="113"/>
                <w:rFonts w:ascii="宋体" w:hAnsi="宋体"/>
                <w:color w:val="000000" w:themeColor="text1"/>
                <w:sz w:val="24"/>
                <w:highlight w:val="none"/>
                <w14:textFill>
                  <w14:solidFill>
                    <w14:schemeClr w14:val="tx1"/>
                  </w14:solidFill>
                </w14:textFill>
              </w:rPr>
            </w:pPr>
            <w:r>
              <w:rPr>
                <w:rStyle w:val="113"/>
                <w:rFonts w:ascii="宋体" w:hAnsi="宋体"/>
                <w:color w:val="000000" w:themeColor="text1"/>
                <w:sz w:val="24"/>
                <w:highlight w:val="none"/>
                <w14:textFill>
                  <w14:solidFill>
                    <w14:schemeClr w14:val="tx1"/>
                  </w14:solidFill>
                </w14:textFill>
              </w:rPr>
              <w:t>近</w:t>
            </w:r>
            <w:r>
              <w:rPr>
                <w:rStyle w:val="113"/>
                <w:rFonts w:hint="eastAsia" w:ascii="宋体" w:hAnsi="宋体"/>
                <w:color w:val="000000" w:themeColor="text1"/>
                <w:sz w:val="24"/>
                <w:highlight w:val="none"/>
                <w14:textFill>
                  <w14:solidFill>
                    <w14:schemeClr w14:val="tx1"/>
                  </w14:solidFill>
                </w14:textFill>
              </w:rPr>
              <w:t>五</w:t>
            </w:r>
            <w:r>
              <w:rPr>
                <w:rStyle w:val="113"/>
                <w:rFonts w:ascii="宋体" w:hAnsi="宋体"/>
                <w:color w:val="000000" w:themeColor="text1"/>
                <w:sz w:val="24"/>
                <w:highlight w:val="none"/>
                <w14:textFill>
                  <w14:solidFill>
                    <w14:schemeClr w14:val="tx1"/>
                  </w14:solidFill>
                </w14:textFill>
              </w:rPr>
              <w:t>年</w:t>
            </w:r>
            <w:r>
              <w:rPr>
                <w:rStyle w:val="113"/>
                <w:rFonts w:hint="eastAsia" w:ascii="宋体" w:hAnsi="宋体"/>
                <w:color w:val="000000" w:themeColor="text1"/>
                <w:sz w:val="24"/>
                <w:highlight w:val="none"/>
                <w14:textFill>
                  <w14:solidFill>
                    <w14:schemeClr w14:val="tx1"/>
                  </w14:solidFill>
                </w14:textFill>
              </w:rPr>
              <w:t>内，成功完成：</w:t>
            </w:r>
          </w:p>
          <w:p>
            <w:pPr>
              <w:widowControl/>
              <w:spacing w:line="360" w:lineRule="auto"/>
              <w:ind w:firstLine="480" w:firstLineChars="200"/>
              <w:textAlignment w:val="baseline"/>
              <w:rPr>
                <w:rFonts w:ascii="宋体" w:hAnsi="宋体"/>
                <w:color w:val="000000" w:themeColor="text1"/>
                <w:kern w:val="0"/>
                <w:sz w:val="24"/>
                <w:highlight w:val="none"/>
                <w14:textFill>
                  <w14:solidFill>
                    <w14:schemeClr w14:val="tx1"/>
                  </w14:solidFill>
                </w14:textFill>
              </w:rPr>
            </w:pPr>
            <w:r>
              <w:rPr>
                <w:rStyle w:val="113"/>
                <w:rFonts w:hint="eastAsia" w:ascii="宋体" w:hAnsi="宋体"/>
                <w:color w:val="000000" w:themeColor="text1"/>
                <w:sz w:val="24"/>
                <w:highlight w:val="none"/>
                <w14:textFill>
                  <w14:solidFill>
                    <w14:schemeClr w14:val="tx1"/>
                  </w14:solidFill>
                </w14:textFill>
              </w:rPr>
              <w:t xml:space="preserve">类似工程沥青混凝土路面工程至少 </w:t>
            </w:r>
            <w:r>
              <w:rPr>
                <w:rStyle w:val="113"/>
                <w:rFonts w:hint="eastAsia" w:ascii="宋体" w:hAnsi="宋体"/>
                <w:color w:val="000000" w:themeColor="text1"/>
                <w:sz w:val="24"/>
                <w:highlight w:val="none"/>
                <w:u w:val="single"/>
                <w14:textFill>
                  <w14:solidFill>
                    <w14:schemeClr w14:val="tx1"/>
                  </w14:solidFill>
                </w14:textFill>
              </w:rPr>
              <w:t xml:space="preserve">3 </w:t>
            </w:r>
            <w:r>
              <w:rPr>
                <w:rStyle w:val="113"/>
                <w:rFonts w:hint="eastAsia" w:ascii="宋体" w:hAnsi="宋体"/>
                <w:color w:val="000000" w:themeColor="text1"/>
                <w:sz w:val="24"/>
                <w:highlight w:val="none"/>
                <w14:textFill>
                  <w14:solidFill>
                    <w14:schemeClr w14:val="tx1"/>
                  </w14:solidFill>
                </w14:textFill>
              </w:rPr>
              <w:t>个标段（其中有一个标段里程不少于</w:t>
            </w:r>
            <w:r>
              <w:rPr>
                <w:rStyle w:val="113"/>
                <w:rFonts w:hint="eastAsia" w:ascii="宋体" w:hAnsi="宋体"/>
                <w:color w:val="000000" w:themeColor="text1"/>
                <w:sz w:val="24"/>
                <w:highlight w:val="none"/>
                <w:u w:val="single"/>
                <w14:textFill>
                  <w14:solidFill>
                    <w14:schemeClr w14:val="tx1"/>
                  </w14:solidFill>
                </w14:textFill>
              </w:rPr>
              <w:t>6</w:t>
            </w:r>
            <w:r>
              <w:rPr>
                <w:rStyle w:val="113"/>
                <w:rFonts w:hint="eastAsia" w:ascii="宋体" w:hAnsi="宋体"/>
                <w:color w:val="000000" w:themeColor="text1"/>
                <w:sz w:val="24"/>
                <w:highlight w:val="none"/>
                <w14:textFill>
                  <w14:solidFill>
                    <w14:schemeClr w14:val="tx1"/>
                  </w14:solidFill>
                </w14:textFill>
              </w:rPr>
              <w:t>km），且类似工程累计里程不少于</w:t>
            </w:r>
            <w:r>
              <w:rPr>
                <w:rStyle w:val="113"/>
                <w:rFonts w:hint="eastAsia" w:ascii="宋体" w:hAnsi="宋体"/>
                <w:color w:val="000000" w:themeColor="text1"/>
                <w:sz w:val="24"/>
                <w:highlight w:val="none"/>
                <w:u w:val="single"/>
                <w14:textFill>
                  <w14:solidFill>
                    <w14:schemeClr w14:val="tx1"/>
                  </w14:solidFill>
                </w14:textFill>
              </w:rPr>
              <w:t>20</w:t>
            </w:r>
            <w:r>
              <w:rPr>
                <w:rStyle w:val="113"/>
                <w:rFonts w:hint="eastAsia" w:ascii="宋体" w:hAnsi="宋体"/>
                <w:color w:val="000000" w:themeColor="text1"/>
                <w:sz w:val="24"/>
                <w:highlight w:val="none"/>
                <w14:textFill>
                  <w14:solidFill>
                    <w14:schemeClr w14:val="tx1"/>
                  </w14:solidFill>
                </w14:textFill>
              </w:rPr>
              <w:t>km。</w:t>
            </w:r>
          </w:p>
        </w:tc>
      </w:tr>
    </w:tbl>
    <w:p>
      <w:pPr>
        <w:spacing w:line="360" w:lineRule="auto"/>
        <w:ind w:left="105" w:hanging="105" w:hanging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注：1、本附录所要求的业绩仅限中华人民共和国境内业绩。 </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2、投标人应根据招标文件第二章“投标人须知”第 3.5.3 项的要求附相关证明材料。</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3、近五年是指：2019年1月1日至投标文件递交截止之日止。</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4、类似工程是指：指新建或改、扩建、路面改造、路面预防养护二级以上（含二级）公路施工项目。在采用新建的公路项目完工业绩时，对于同公路等级改、扩建中的新建桥梁或隧道工程业绩也应认可。</w:t>
      </w:r>
    </w:p>
    <w:p>
      <w:pPr>
        <w:pStyle w:val="16"/>
        <w:spacing w:line="360" w:lineRule="auto"/>
        <w:jc w:val="left"/>
        <w:rPr>
          <w:rFonts w:ascii="宋体" w:hAnsi="宋体" w:cs="宋体"/>
          <w:color w:val="000000" w:themeColor="text1"/>
          <w:kern w:val="0"/>
          <w:sz w:val="24"/>
          <w:highlight w:val="none"/>
          <w14:textFill>
            <w14:solidFill>
              <w14:schemeClr w14:val="tx1"/>
            </w14:solidFill>
          </w14:textFill>
        </w:rPr>
      </w:pPr>
    </w:p>
    <w:p>
      <w:pPr>
        <w:rPr>
          <w:color w:val="000000" w:themeColor="text1"/>
          <w:highlight w:val="none"/>
          <w14:textFill>
            <w14:solidFill>
              <w14:schemeClr w14:val="tx1"/>
            </w14:solidFill>
          </w14:textFill>
        </w:rPr>
      </w:pPr>
      <w:bookmarkStart w:id="46" w:name="_Toc27756"/>
      <w:bookmarkStart w:id="47" w:name="_Toc25225"/>
      <w:bookmarkStart w:id="48" w:name="_Toc451261211"/>
      <w:bookmarkStart w:id="49" w:name="_Toc466575333"/>
    </w:p>
    <w:p>
      <w:pPr>
        <w:pStyle w:val="4"/>
        <w:jc w:val="center"/>
        <w:rPr>
          <w:color w:val="000000" w:themeColor="text1"/>
          <w:highlight w:val="none"/>
          <w14:textFill>
            <w14:solidFill>
              <w14:schemeClr w14:val="tx1"/>
            </w14:solidFill>
          </w14:textFill>
        </w:rPr>
      </w:pPr>
      <w:bookmarkStart w:id="50" w:name="_Toc933"/>
      <w:r>
        <w:rPr>
          <w:rFonts w:hint="eastAsia"/>
          <w:color w:val="000000" w:themeColor="text1"/>
          <w:highlight w:val="none"/>
          <w14:textFill>
            <w14:solidFill>
              <w14:schemeClr w14:val="tx1"/>
            </w14:solidFill>
          </w14:textFill>
        </w:rPr>
        <w:t>附录4  资格审查条件(信誉最低要求)</w:t>
      </w:r>
      <w:bookmarkEnd w:id="46"/>
      <w:bookmarkEnd w:id="50"/>
    </w:p>
    <w:tbl>
      <w:tblPr>
        <w:tblStyle w:val="43"/>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pPr>
              <w:pStyle w:val="57"/>
              <w:spacing w:line="360" w:lineRule="auto"/>
              <w:ind w:firstLine="480"/>
              <w:jc w:val="both"/>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在最新年度广东省公路工程从业单位（施工单位）信用评价（含无最新年度而上一年度有信用评价）中，信用等级未被评为 D 级；</w:t>
            </w:r>
          </w:p>
          <w:p>
            <w:pPr>
              <w:pStyle w:val="57"/>
              <w:spacing w:line="360" w:lineRule="auto"/>
              <w:ind w:firstLine="480"/>
              <w:jc w:val="both"/>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初次进入广东省的投标人，在最新年度的全国公路从业单位（施工单位）信用评价结果中未被评为 D 级。</w:t>
            </w:r>
          </w:p>
        </w:tc>
      </w:tr>
    </w:tbl>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注：1、信用等级的确定原则遵循投标人须知前附表 10.2 款的规定。</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2、投标人应根据第九章“投标文件格式”中“八、资格审查资料 (五) 投标人的信誉情况</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表”填写情况说明。</w:t>
      </w: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51" w:name="_Toc32466"/>
      <w:r>
        <w:rPr>
          <w:rFonts w:hint="eastAsia" w:ascii="宋体" w:hAnsi="宋体" w:cs="黑体"/>
          <w:bCs w:val="0"/>
          <w:color w:val="000000" w:themeColor="text1"/>
          <w:sz w:val="30"/>
          <w:szCs w:val="30"/>
          <w:highlight w:val="none"/>
          <w14:textFill>
            <w14:solidFill>
              <w14:schemeClr w14:val="tx1"/>
            </w14:solidFill>
          </w14:textFill>
        </w:rPr>
        <w:t>附录5  资格审查条件(项目经理和项目总工最低要求)</w:t>
      </w:r>
      <w:bookmarkEnd w:id="47"/>
      <w:bookmarkEnd w:id="48"/>
      <w:bookmarkEnd w:id="49"/>
      <w:bookmarkEnd w:id="51"/>
    </w:p>
    <w:tbl>
      <w:tblPr>
        <w:tblStyle w:val="43"/>
        <w:tblW w:w="100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155"/>
        <w:gridCol w:w="203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  员</w:t>
            </w:r>
          </w:p>
        </w:tc>
        <w:tc>
          <w:tcPr>
            <w:tcW w:w="720" w:type="dxa"/>
            <w:tcBorders>
              <w:tl2br w:val="nil"/>
              <w:tr2bl w:val="nil"/>
            </w:tcBorders>
            <w:vAlign w:val="center"/>
          </w:tcPr>
          <w:p>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6155" w:type="dxa"/>
            <w:tcBorders>
              <w:tl2br w:val="nil"/>
              <w:tr2bl w:val="nil"/>
            </w:tcBorders>
            <w:vAlign w:val="center"/>
          </w:tcPr>
          <w:p>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 格 要 求</w:t>
            </w:r>
          </w:p>
        </w:tc>
        <w:tc>
          <w:tcPr>
            <w:tcW w:w="2033" w:type="dxa"/>
            <w:tcBorders>
              <w:tl2br w:val="nil"/>
              <w:tr2bl w:val="nil"/>
            </w:tcBorders>
            <w:vAlign w:val="center"/>
          </w:tcPr>
          <w:p>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岗 要 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03" w:hRule="atLeast"/>
          <w:jc w:val="center"/>
        </w:trPr>
        <w:tc>
          <w:tcPr>
            <w:tcW w:w="1184" w:type="dxa"/>
            <w:tcBorders>
              <w:tl2br w:val="nil"/>
              <w:tr2bl w:val="nil"/>
            </w:tcBorders>
            <w:vAlign w:val="center"/>
          </w:tcPr>
          <w:p>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720" w:type="dxa"/>
            <w:tcBorders>
              <w:tl2br w:val="nil"/>
              <w:tr2bl w:val="nil"/>
            </w:tcBorders>
            <w:vAlign w:val="center"/>
          </w:tcPr>
          <w:p>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pPr>
              <w:spacing w:line="360" w:lineRule="auto"/>
              <w:ind w:right="6" w:rightChars="3"/>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工程师，担任类似工程项目经理（或项目副经理或项目总工）岗位累计</w:t>
            </w:r>
            <w:r>
              <w:rPr>
                <w:rFonts w:hint="eastAsia" w:ascii="宋体" w:hAnsi="宋体" w:cs="宋体"/>
                <w:color w:val="000000" w:themeColor="text1"/>
                <w:sz w:val="24"/>
                <w:highlight w:val="none"/>
                <w:u w:val="single"/>
                <w14:textFill>
                  <w14:solidFill>
                    <w14:schemeClr w14:val="tx1"/>
                  </w14:solidFill>
                </w14:textFill>
              </w:rPr>
              <w:t>24个月</w:t>
            </w:r>
            <w:r>
              <w:rPr>
                <w:rFonts w:hint="eastAsia" w:ascii="宋体" w:hAnsi="宋体" w:cs="宋体"/>
                <w:color w:val="000000" w:themeColor="text1"/>
                <w:sz w:val="24"/>
                <w:highlight w:val="none"/>
                <w14:textFill>
                  <w14:solidFill>
                    <w14:schemeClr w14:val="tx1"/>
                  </w14:solidFill>
                </w14:textFill>
              </w:rPr>
              <w:t>，并持有住房和城乡建设部颁发的公路工程专业二级建造师注册证书，具有交通主管部门颁发的有效安全生产“三类人员”B 类证书。</w:t>
            </w:r>
          </w:p>
        </w:tc>
        <w:tc>
          <w:tcPr>
            <w:tcW w:w="2033" w:type="dxa"/>
            <w:vMerge w:val="restart"/>
            <w:tcBorders>
              <w:tl2br w:val="nil"/>
              <w:tr2bl w:val="nil"/>
            </w:tcBorders>
            <w:vAlign w:val="center"/>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无在岗项目（指目前未在其他项目上任职，或虽在其他项目上任职但本项目中标后能够从该项目撤离）。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28" w:hRule="atLeast"/>
          <w:jc w:val="center"/>
        </w:trPr>
        <w:tc>
          <w:tcPr>
            <w:tcW w:w="1184" w:type="dxa"/>
            <w:tcBorders>
              <w:tl2br w:val="nil"/>
              <w:tr2bl w:val="nil"/>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720" w:type="dxa"/>
            <w:tcBorders>
              <w:tl2br w:val="nil"/>
              <w:tr2bl w:val="nil"/>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pPr>
              <w:spacing w:line="360" w:lineRule="auto"/>
              <w:ind w:firstLine="480" w:firstLineChars="200"/>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路桥相关专业高级工程师，主管类似工程技术工作岗位累计</w:t>
            </w:r>
            <w:r>
              <w:rPr>
                <w:rFonts w:hint="eastAsia" w:ascii="宋体" w:hAnsi="宋体" w:cs="宋体"/>
                <w:color w:val="000000" w:themeColor="text1"/>
                <w:sz w:val="24"/>
                <w:highlight w:val="none"/>
                <w:u w:val="single"/>
                <w14:textFill>
                  <w14:solidFill>
                    <w14:schemeClr w14:val="tx1"/>
                  </w14:solidFill>
                </w14:textFill>
              </w:rPr>
              <w:t>24个月</w:t>
            </w:r>
            <w:r>
              <w:rPr>
                <w:rFonts w:hint="eastAsia" w:ascii="宋体" w:hAnsi="宋体" w:cs="宋体"/>
                <w:color w:val="000000" w:themeColor="text1"/>
                <w:sz w:val="24"/>
                <w:highlight w:val="none"/>
                <w14:textFill>
                  <w14:solidFill>
                    <w14:schemeClr w14:val="tx1"/>
                  </w14:solidFill>
                </w14:textFill>
              </w:rPr>
              <w:t>，具有交通主管部门颁发的有效安全生产“三类人员”B类证书。</w:t>
            </w:r>
          </w:p>
        </w:tc>
        <w:tc>
          <w:tcPr>
            <w:tcW w:w="2033" w:type="dxa"/>
            <w:vMerge w:val="continue"/>
            <w:tcBorders>
              <w:tl2br w:val="nil"/>
              <w:tr2bl w:val="nil"/>
            </w:tcBorders>
            <w:vAlign w:val="center"/>
          </w:tcPr>
          <w:p>
            <w:pPr>
              <w:spacing w:line="360" w:lineRule="auto"/>
              <w:rPr>
                <w:rFonts w:ascii="Calibri" w:hAnsi="Calibri"/>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注：1．资格要求的人员建造师注册证书、安全生产“三类人员”B 类证书均应在投标人所在单位，否则视为无效。</w:t>
      </w:r>
    </w:p>
    <w:p>
      <w:pPr>
        <w:numPr>
          <w:ilvl w:val="0"/>
          <w:numId w:val="8"/>
        </w:numPr>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主管技术工作指：担任过项目经理、项目副经理、项目总工、项目副总工、质检负责人、工程部门负责人。担任类似工程项目经理（或项目副经理或项目总工）岗位经验累计时间、主管类似工程技术工作岗位经验累计时间统计至月，计算时尾数如不少于 15 天的按 1 个月计，不足 15 天部分不计。</w:t>
      </w:r>
    </w:p>
    <w:p>
      <w:pPr>
        <w:numPr>
          <w:ilvl w:val="0"/>
          <w:numId w:val="8"/>
        </w:numPr>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投标人应根据招标文件第二章“投标人须知”第 3.5.5 项的要求附相关证明材料。</w:t>
      </w:r>
    </w:p>
    <w:p>
      <w:pPr>
        <w:pStyle w:val="53"/>
        <w:rPr>
          <w:color w:val="000000" w:themeColor="text1"/>
          <w:highlight w:val="none"/>
          <w14:textFill>
            <w14:solidFill>
              <w14:schemeClr w14:val="tx1"/>
            </w14:solidFill>
          </w14:textFill>
        </w:rPr>
      </w:pPr>
    </w:p>
    <w:p>
      <w:pPr>
        <w:pStyle w:val="4"/>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52" w:name="_Toc26687"/>
      <w:bookmarkStart w:id="53" w:name="_Toc8287"/>
      <w:r>
        <w:rPr>
          <w:rFonts w:hint="eastAsia" w:ascii="宋体" w:hAnsi="宋体" w:cs="黑体"/>
          <w:bCs w:val="0"/>
          <w:color w:val="000000" w:themeColor="text1"/>
          <w:sz w:val="30"/>
          <w:szCs w:val="30"/>
          <w:highlight w:val="none"/>
          <w14:textFill>
            <w14:solidFill>
              <w14:schemeClr w14:val="tx1"/>
            </w14:solidFill>
          </w14:textFill>
        </w:rPr>
        <w:t>附录6  资格审查条件(</w:t>
      </w:r>
      <w:bookmarkStart w:id="54" w:name="OLE_LINK1"/>
      <w:r>
        <w:rPr>
          <w:rFonts w:hint="eastAsia" w:ascii="宋体" w:hAnsi="宋体" w:cs="黑体"/>
          <w:bCs w:val="0"/>
          <w:color w:val="000000" w:themeColor="text1"/>
          <w:sz w:val="30"/>
          <w:szCs w:val="30"/>
          <w:highlight w:val="none"/>
          <w14:textFill>
            <w14:solidFill>
              <w14:schemeClr w14:val="tx1"/>
            </w14:solidFill>
          </w14:textFill>
        </w:rPr>
        <w:t>其他管理人员和技术人员最低要求</w:t>
      </w:r>
      <w:bookmarkEnd w:id="54"/>
      <w:r>
        <w:rPr>
          <w:rFonts w:hint="eastAsia" w:ascii="宋体" w:hAnsi="宋体" w:cs="黑体"/>
          <w:bCs w:val="0"/>
          <w:color w:val="000000" w:themeColor="text1"/>
          <w:sz w:val="30"/>
          <w:szCs w:val="30"/>
          <w:highlight w:val="none"/>
          <w14:textFill>
            <w14:solidFill>
              <w14:schemeClr w14:val="tx1"/>
            </w14:solidFill>
          </w14:textFill>
        </w:rPr>
        <w:t>)</w:t>
      </w:r>
      <w:bookmarkEnd w:id="52"/>
      <w:bookmarkEnd w:id="53"/>
    </w:p>
    <w:tbl>
      <w:tblPr>
        <w:tblStyle w:val="43"/>
        <w:tblW w:w="9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690"/>
        <w:gridCol w:w="7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exact"/>
          <w:jc w:val="center"/>
        </w:trPr>
        <w:tc>
          <w:tcPr>
            <w:tcW w:w="187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  员</w:t>
            </w:r>
          </w:p>
        </w:tc>
        <w:tc>
          <w:tcPr>
            <w:tcW w:w="69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8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质检工程师</w:t>
            </w:r>
          </w:p>
        </w:tc>
        <w:tc>
          <w:tcPr>
            <w:tcW w:w="690"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路桥相关专业工程师，累计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道路工程师</w:t>
            </w:r>
          </w:p>
        </w:tc>
        <w:tc>
          <w:tcPr>
            <w:tcW w:w="690"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路桥相关专业工程师，累计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测量工程师</w:t>
            </w:r>
          </w:p>
        </w:tc>
        <w:tc>
          <w:tcPr>
            <w:tcW w:w="690"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工程师，累计 3 年</w:t>
            </w:r>
            <w:r>
              <w:rPr>
                <w:rFonts w:hint="eastAsia" w:ascii="宋体" w:hAnsi="宋体" w:cs="宋体"/>
                <w:bCs/>
                <w:color w:val="000000" w:themeColor="text1"/>
                <w:kern w:val="0"/>
                <w:sz w:val="24"/>
                <w:highlight w:val="none"/>
                <w14:textFill>
                  <w14:solidFill>
                    <w14:schemeClr w14:val="tx1"/>
                  </w14:solidFill>
                </w14:textFill>
              </w:rPr>
              <w:t>从事</w:t>
            </w:r>
            <w:r>
              <w:rPr>
                <w:rFonts w:hint="eastAsia" w:ascii="宋体" w:hAnsi="宋体" w:cs="宋体"/>
                <w:color w:val="000000" w:themeColor="text1"/>
                <w:sz w:val="24"/>
                <w:highlight w:val="none"/>
                <w14:textFill>
                  <w14:solidFill>
                    <w14:schemeClr w14:val="tx1"/>
                  </w14:solidFill>
                </w14:textFill>
              </w:rPr>
              <w:t>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试验工程师</w:t>
            </w:r>
          </w:p>
        </w:tc>
        <w:tc>
          <w:tcPr>
            <w:tcW w:w="690"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持有行政主管部门核发的公路工程试验检测师资格证书或试验检测工程师资格证书，累计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财务负责人</w:t>
            </w:r>
          </w:p>
        </w:tc>
        <w:tc>
          <w:tcPr>
            <w:tcW w:w="690" w:type="dxa"/>
            <w:vAlign w:val="center"/>
          </w:tcPr>
          <w:p>
            <w:pPr>
              <w:spacing w:line="32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w:t>
            </w:r>
          </w:p>
        </w:tc>
        <w:tc>
          <w:tcPr>
            <w:tcW w:w="690"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具有交通主管部门颁发的有效安全生产“三类人员” C 类证书，累计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资料员</w:t>
            </w:r>
          </w:p>
        </w:tc>
        <w:tc>
          <w:tcPr>
            <w:tcW w:w="690"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资料员，累计 3 年从事类似工作经验。</w:t>
            </w:r>
          </w:p>
        </w:tc>
      </w:tr>
    </w:tbl>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1、附录 6 所要求人员须按投标文件投标函的格式承诺，中标人在进场前向招标人提交实际投入的人员。</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2、投标人中标后专职安全生产管理人员的配备应按照交通部《公路水运工程安全生产监督管理办法》的要求执行。招标人可根据项目的工期和进度，按规定设置最低的专职安全生产管理人员数量要求。</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3、计划工程师的造价人员证书的等级结合项目属性按规定合理设定。</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4、试验相关人员的配备应符合《广东省公路工程施工标准化指南》的要求。</w:t>
      </w:r>
    </w:p>
    <w:p>
      <w:pPr>
        <w:pStyle w:val="53"/>
        <w:rPr>
          <w:rFonts w:ascii="宋体" w:hAnsi="宋体" w:cs="宋体"/>
          <w:color w:val="000000" w:themeColor="text1"/>
          <w:sz w:val="21"/>
          <w:szCs w:val="21"/>
          <w:highlight w:val="none"/>
          <w14:textFill>
            <w14:solidFill>
              <w14:schemeClr w14:val="tx1"/>
            </w14:solidFill>
          </w14:textFill>
        </w:rPr>
      </w:pPr>
    </w:p>
    <w:p>
      <w:pPr>
        <w:pStyle w:val="4"/>
        <w:jc w:val="center"/>
        <w:rPr>
          <w:rFonts w:ascii="宋体" w:hAnsi="宋体" w:cs="黑体"/>
          <w:color w:val="000000" w:themeColor="text1"/>
          <w:sz w:val="30"/>
          <w:szCs w:val="30"/>
          <w:highlight w:val="none"/>
          <w14:textFill>
            <w14:solidFill>
              <w14:schemeClr w14:val="tx1"/>
            </w14:solidFill>
          </w14:textFill>
        </w:rPr>
      </w:pPr>
    </w:p>
    <w:p>
      <w:pPr>
        <w:pStyle w:val="4"/>
        <w:jc w:val="center"/>
        <w:rPr>
          <w:rFonts w:ascii="宋体" w:hAnsi="宋体" w:cs="黑体"/>
          <w:color w:val="000000" w:themeColor="text1"/>
          <w:sz w:val="30"/>
          <w:szCs w:val="30"/>
          <w:highlight w:val="none"/>
          <w14:textFill>
            <w14:solidFill>
              <w14:schemeClr w14:val="tx1"/>
            </w14:solidFill>
          </w14:textFill>
        </w:rPr>
      </w:pPr>
      <w:r>
        <w:rPr>
          <w:rFonts w:hint="eastAsia" w:ascii="宋体" w:hAnsi="宋体" w:cs="黑体"/>
          <w:color w:val="000000" w:themeColor="text1"/>
          <w:sz w:val="30"/>
          <w:szCs w:val="30"/>
          <w:highlight w:val="none"/>
          <w14:textFill>
            <w14:solidFill>
              <w14:schemeClr w14:val="tx1"/>
            </w14:solidFill>
          </w14:textFill>
        </w:rPr>
        <w:br w:type="page"/>
      </w:r>
    </w:p>
    <w:p>
      <w:pPr>
        <w:pStyle w:val="4"/>
        <w:jc w:val="center"/>
        <w:rPr>
          <w:rFonts w:ascii="宋体" w:hAnsi="宋体" w:cs="黑体"/>
          <w:color w:val="000000" w:themeColor="text1"/>
          <w:sz w:val="30"/>
          <w:szCs w:val="30"/>
          <w:highlight w:val="none"/>
          <w14:textFill>
            <w14:solidFill>
              <w14:schemeClr w14:val="tx1"/>
            </w14:solidFill>
          </w14:textFill>
        </w:rPr>
      </w:pPr>
      <w:bookmarkStart w:id="55" w:name="_Toc14728"/>
      <w:r>
        <w:rPr>
          <w:rFonts w:hint="eastAsia" w:ascii="宋体" w:hAnsi="宋体" w:cs="黑体"/>
          <w:color w:val="000000" w:themeColor="text1"/>
          <w:sz w:val="30"/>
          <w:szCs w:val="30"/>
          <w:highlight w:val="none"/>
          <w14:textFill>
            <w14:solidFill>
              <w14:schemeClr w14:val="tx1"/>
            </w14:solidFill>
          </w14:textFill>
        </w:rPr>
        <w:t>附录7  资格审查条件（主要设备最低要求）</w:t>
      </w:r>
      <w:bookmarkEnd w:id="55"/>
    </w:p>
    <w:tbl>
      <w:tblPr>
        <w:tblStyle w:val="43"/>
        <w:tblpPr w:leftFromText="180" w:rightFromText="180" w:vertAnchor="text" w:horzAnchor="page" w:tblpXSpec="center" w:tblpY="109"/>
        <w:tblOverlap w:val="never"/>
        <w:tblW w:w="8765" w:type="dxa"/>
        <w:tblInd w:w="0" w:type="dxa"/>
        <w:tblLayout w:type="fixed"/>
        <w:tblCellMar>
          <w:top w:w="0" w:type="dxa"/>
          <w:left w:w="0" w:type="dxa"/>
          <w:bottom w:w="0" w:type="dxa"/>
          <w:right w:w="0" w:type="dxa"/>
        </w:tblCellMar>
      </w:tblPr>
      <w:tblGrid>
        <w:gridCol w:w="772"/>
        <w:gridCol w:w="2736"/>
        <w:gridCol w:w="2972"/>
        <w:gridCol w:w="842"/>
        <w:gridCol w:w="1443"/>
      </w:tblGrid>
      <w:tr>
        <w:tblPrEx>
          <w:tblCellMar>
            <w:top w:w="0" w:type="dxa"/>
            <w:left w:w="0" w:type="dxa"/>
            <w:bottom w:w="0" w:type="dxa"/>
            <w:right w:w="0" w:type="dxa"/>
          </w:tblCellMar>
        </w:tblPrEx>
        <w:trPr>
          <w:trHeight w:val="565" w:hRule="exact"/>
        </w:trPr>
        <w:tc>
          <w:tcPr>
            <w:tcW w:w="772" w:type="dxa"/>
            <w:tcBorders>
              <w:top w:val="single" w:color="000000" w:sz="12" w:space="0"/>
              <w:left w:val="single" w:color="000000" w:sz="12"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振动压路机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双钢轮压路机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胶轮压路机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装载机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挖掘机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自卸汽车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r>
      <w:tr>
        <w:tblPrEx>
          <w:tblCellMar>
            <w:top w:w="0" w:type="dxa"/>
            <w:left w:w="0" w:type="dxa"/>
            <w:bottom w:w="0" w:type="dxa"/>
            <w:right w:w="0" w:type="dxa"/>
          </w:tblCellMar>
        </w:tblPrEx>
        <w:trPr>
          <w:trHeight w:val="550"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洒水车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8" w:hRule="atLeas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沥青混合料摊铺机</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≥6m</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沥青洒布车</w:t>
            </w: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路面铣刨机</w:t>
            </w: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≥2000mm</w:t>
            </w: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r>
      <w:tr>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widowControl/>
        <w:jc w:val="left"/>
        <w:rPr>
          <w:rFonts w:ascii="宋体" w:hAnsi="宋体"/>
          <w:color w:val="000000" w:themeColor="text1"/>
          <w:sz w:val="24"/>
          <w:highlight w:val="none"/>
          <w14:textFill>
            <w14:solidFill>
              <w14:schemeClr w14:val="tx1"/>
            </w14:solidFill>
          </w14:textFill>
        </w:rPr>
      </w:pPr>
    </w:p>
    <w:p>
      <w:pPr>
        <w:widowControl/>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1、投标人须按投标文件投标函的格式承诺。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2、招标人有权根据标段的工程特点、工程量及工程进度情况要求增加或调整相应的施工设备。</w:t>
      </w:r>
    </w:p>
    <w:p>
      <w:pPr>
        <w:ind w:left="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bookmarkEnd w:id="34"/>
    <w:bookmarkEnd w:id="35"/>
    <w:p>
      <w:pPr>
        <w:pStyle w:val="69"/>
        <w:spacing w:before="156"/>
        <w:rPr>
          <w:color w:val="000000" w:themeColor="text1"/>
          <w:highlight w:val="none"/>
          <w14:textFill>
            <w14:solidFill>
              <w14:schemeClr w14:val="tx1"/>
            </w14:solidFill>
          </w14:textFill>
        </w:rPr>
      </w:pPr>
      <w:bookmarkStart w:id="56" w:name="_Toc2293"/>
      <w:bookmarkEnd w:id="56"/>
      <w:bookmarkStart w:id="57" w:name="_Toc43475670"/>
      <w:bookmarkEnd w:id="57"/>
      <w:bookmarkStart w:id="58" w:name="_Toc11325"/>
      <w:bookmarkEnd w:id="58"/>
      <w:r>
        <w:rPr>
          <w:rFonts w:hint="eastAsia"/>
          <w:color w:val="000000" w:themeColor="text1"/>
          <w:highlight w:val="none"/>
          <w14:textFill>
            <w14:solidFill>
              <w14:schemeClr w14:val="tx1"/>
            </w14:solidFill>
          </w14:textFill>
        </w:rPr>
        <w:t>总则</w:t>
      </w:r>
    </w:p>
    <w:p>
      <w:pPr>
        <w:pStyle w:val="71"/>
        <w:rPr>
          <w:color w:val="000000" w:themeColor="text1"/>
          <w:highlight w:val="none"/>
          <w14:textFill>
            <w14:solidFill>
              <w14:schemeClr w14:val="tx1"/>
            </w14:solidFill>
          </w14:textFill>
        </w:rPr>
      </w:pPr>
      <w:bookmarkStart w:id="59" w:name="_Toc4935"/>
      <w:bookmarkEnd w:id="59"/>
      <w:bookmarkStart w:id="60" w:name="_Toc43475671"/>
      <w:bookmarkEnd w:id="60"/>
      <w:bookmarkStart w:id="61" w:name="_Toc13126"/>
      <w:bookmarkEnd w:id="61"/>
      <w:r>
        <w:rPr>
          <w:rFonts w:hint="eastAsia"/>
          <w:color w:val="000000" w:themeColor="text1"/>
          <w:highlight w:val="none"/>
          <w14:textFill>
            <w14:solidFill>
              <w14:schemeClr w14:val="tx1"/>
            </w14:solidFill>
          </w14:textFill>
        </w:rPr>
        <w:t>项目概况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 本招标项目招标人：见投标人须知前附表。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 本标段招标代理机构：见投标人须知前附表。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 本招标项目名称：见投标人须知前附表。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1.1.5 本标段建设地点：见投标人须知前附表。</w:t>
      </w:r>
    </w:p>
    <w:p>
      <w:pPr>
        <w:pStyle w:val="71"/>
        <w:rPr>
          <w:color w:val="000000" w:themeColor="text1"/>
          <w:highlight w:val="none"/>
          <w14:textFill>
            <w14:solidFill>
              <w14:schemeClr w14:val="tx1"/>
            </w14:solidFill>
          </w14:textFill>
        </w:rPr>
      </w:pPr>
      <w:bookmarkStart w:id="62" w:name="_Toc9325"/>
      <w:bookmarkEnd w:id="62"/>
      <w:bookmarkStart w:id="63" w:name="_Toc43475672"/>
      <w:bookmarkEnd w:id="63"/>
      <w:bookmarkStart w:id="64" w:name="_Toc31619"/>
      <w:bookmarkEnd w:id="64"/>
      <w:r>
        <w:rPr>
          <w:rFonts w:hint="eastAsia"/>
          <w:color w:val="000000" w:themeColor="text1"/>
          <w:highlight w:val="none"/>
          <w14:textFill>
            <w14:solidFill>
              <w14:schemeClr w14:val="tx1"/>
            </w14:solidFill>
          </w14:textFill>
        </w:rPr>
        <w:t>招标项目的资金来源和落实情况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 资金来源及比例：见投标人须知前附表。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 资金落实情况：见投标人须知前附表。</w:t>
      </w:r>
    </w:p>
    <w:p>
      <w:pPr>
        <w:pStyle w:val="71"/>
        <w:rPr>
          <w:color w:val="000000" w:themeColor="text1"/>
          <w:highlight w:val="none"/>
          <w14:textFill>
            <w14:solidFill>
              <w14:schemeClr w14:val="tx1"/>
            </w14:solidFill>
          </w14:textFill>
        </w:rPr>
      </w:pPr>
      <w:bookmarkStart w:id="65" w:name="_Toc13421"/>
      <w:bookmarkEnd w:id="65"/>
      <w:bookmarkStart w:id="66" w:name="_Toc43475673"/>
      <w:bookmarkEnd w:id="66"/>
      <w:bookmarkStart w:id="67" w:name="_Toc11165"/>
      <w:bookmarkEnd w:id="67"/>
      <w:r>
        <w:rPr>
          <w:rFonts w:hint="eastAsia"/>
          <w:color w:val="000000" w:themeColor="text1"/>
          <w:highlight w:val="none"/>
          <w14:textFill>
            <w14:solidFill>
              <w14:schemeClr w14:val="tx1"/>
            </w14:solidFill>
          </w14:textFill>
        </w:rPr>
        <w:t>招标范围、计划工期、质量要求和安全目标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1.3.1 本标段的招标范围：见投标人须知前附表。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 本标段的计划工期：见投标人须知前附表。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 本标段的质量要求：见投标人须知前附表。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1.3.4 本标段的安全</w:t>
      </w:r>
      <w:r>
        <w:rPr>
          <w:rFonts w:hint="eastAsia"/>
          <w:color w:val="000000" w:themeColor="text1"/>
          <w:highlight w:val="none"/>
          <w14:textFill>
            <w14:solidFill>
              <w14:schemeClr w14:val="tx1"/>
            </w14:solidFill>
          </w14:textFill>
        </w:rPr>
        <w:t>目标：</w:t>
      </w:r>
      <w:r>
        <w:rPr>
          <w:rFonts w:hint="eastAsia" w:ascii="宋体" w:hAnsi="宋体" w:cs="宋体"/>
          <w:color w:val="000000" w:themeColor="text1"/>
          <w:highlight w:val="none"/>
          <w14:textFill>
            <w14:solidFill>
              <w14:schemeClr w14:val="tx1"/>
            </w14:solidFill>
          </w14:textFill>
        </w:rPr>
        <w:t>见投标人须知前附表。</w:t>
      </w:r>
    </w:p>
    <w:p>
      <w:pPr>
        <w:pStyle w:val="71"/>
        <w:rPr>
          <w:color w:val="000000" w:themeColor="text1"/>
          <w:highlight w:val="none"/>
          <w14:textFill>
            <w14:solidFill>
              <w14:schemeClr w14:val="tx1"/>
            </w14:solidFill>
          </w14:textFill>
        </w:rPr>
      </w:pPr>
      <w:bookmarkStart w:id="68" w:name="_Toc32214"/>
      <w:bookmarkEnd w:id="68"/>
      <w:bookmarkStart w:id="69" w:name="_Toc24385"/>
      <w:bookmarkEnd w:id="69"/>
      <w:bookmarkStart w:id="70" w:name="_Toc43475674"/>
      <w:bookmarkEnd w:id="70"/>
      <w:r>
        <w:rPr>
          <w:rFonts w:hint="eastAsia"/>
          <w:color w:val="000000" w:themeColor="text1"/>
          <w:highlight w:val="none"/>
          <w14:textFill>
            <w14:solidFill>
              <w14:schemeClr w14:val="tx1"/>
            </w14:solidFill>
          </w14:textFill>
        </w:rPr>
        <w:t>投标人资格要求（适用于未进行资格预审的）</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投标人应具备承担本标段施工的资质条件、能力和信誉。</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（1）资质要求：见投标人须知前附表；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（2）财务要求：见投标人须知前附表；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（3）业绩要求：见投标人须知前附表；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（4）信誉要求：见投标人须知前附表；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（5）项目经理和项目总工资格：见投标人须知前附表；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（6）其他要求：见投标人须知前附表。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需要提交的相关</w:t>
      </w:r>
      <w:r>
        <w:rPr>
          <w:rFonts w:hint="eastAsia" w:ascii="宋体" w:hAnsi="宋体" w:cs="宋体"/>
          <w:color w:val="000000" w:themeColor="text1"/>
          <w:highlight w:val="none"/>
          <w14:textFill>
            <w14:solidFill>
              <w14:schemeClr w14:val="tx1"/>
            </w14:solidFill>
          </w14:textFill>
        </w:rPr>
        <w:t>证明</w:t>
      </w:r>
      <w:r>
        <w:rPr>
          <w:color w:val="000000" w:themeColor="text1"/>
          <w:highlight w:val="none"/>
          <w14:textFill>
            <w14:solidFill>
              <w14:schemeClr w14:val="tx1"/>
            </w14:solidFill>
          </w14:textFill>
        </w:rPr>
        <w:t>材料见本章第</w:t>
      </w:r>
      <w:r>
        <w:rPr>
          <w:rFonts w:eastAsia="Times New Roman"/>
          <w:color w:val="000000" w:themeColor="text1"/>
          <w:highlight w:val="none"/>
          <w14:textFill>
            <w14:solidFill>
              <w14:schemeClr w14:val="tx1"/>
            </w14:solidFill>
          </w14:textFill>
        </w:rPr>
        <w:t xml:space="preserve">3.5 </w:t>
      </w:r>
      <w:r>
        <w:rPr>
          <w:color w:val="000000" w:themeColor="text1"/>
          <w:highlight w:val="none"/>
          <w14:textFill>
            <w14:solidFill>
              <w14:schemeClr w14:val="tx1"/>
            </w14:solidFill>
          </w14:textFill>
        </w:rPr>
        <w:t>款的规定</w:t>
      </w:r>
      <w:r>
        <w:rPr>
          <w:rFonts w:hint="eastAsia"/>
          <w:color w:val="000000" w:themeColor="text1"/>
          <w:highlight w:val="none"/>
          <w14:textFill>
            <w14:solidFill>
              <w14:schemeClr w14:val="tx1"/>
            </w14:solidFill>
          </w14:textFill>
        </w:rPr>
        <w:t>。</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 投标人须知前附表规定接受联合体投标的，联合体除应符合本章第 1.4.1项和投标人须知前附表的要求外，还应遵守以下规定：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（2）由同一专业的单位组成的联合体，按照资质等级较低的单位确定资质等级；</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（3）联合体各方不得再以自己名义单独或参加其他联合体在同一标段中投标；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（5）尽管委任了联合体牵头人，但联合体各成员在投标、签订合同与履行合同过程中，仍负有连带的和各自的法律责任。</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1.4.3 投标人（包括联合体各成员）不得与本标段相关单位存在下列关联关系：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（1）为招标人不具有独立法人资格的附属机构（单位）；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（2）与招标人存在利害关系且可能影响招标公正性；</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（3）与本标段的其他投标人同为一个单位负责人；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（4）与本标段的其他投标人存在控股、管理关系；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（5）为本标段前期准备提供设计或咨询服务的法人或其任何附属机构（单位）；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（6）为本标段的监理人；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（7）为本标段的代建人；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（8）为本标段的招标代理机构；</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（9）与本标段的监理人或代建人或招标代理机构同为一个法定代表人；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（10）与本标段的监理人或代建人或招标代理机构存在控股或参股关系；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（11）法律法规或投标人须知前附表规定的其他情形。</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1.4.4 投标人（包括联合体各成员）不得存在下列不良状况或不良信用记录：</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（1）被省级及以上交通运输主管部门取消招标项目所在地的投标资格且处于有效期内；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（2）被责令停业，暂扣或吊销执照，或吊销资质证书；</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（3）进入清算程序，或被宣告破产，或其他丧失履约能力的情形；</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（4）在国家企业信用信息公示系统（http://www.gsxt.gov.cn/）中被列入严重违法失信企业名单；</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（5）在“信用中国”网站（http://www.creditchina.gov.cn/）中被列入失信被执行人名单；</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（6）投标人或其法定代表人、拟委任的项目经理在近三年内有行贿犯罪行为的（行贿犯罪行为的认定以检察机关职务犯罪预防部门出具的查询结果为准）；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（7）法律法规或投标人须知前附表规定的其他情形。</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p>
    <w:p>
      <w:pPr>
        <w:pStyle w:val="71"/>
        <w:rPr>
          <w:color w:val="000000" w:themeColor="text1"/>
          <w:highlight w:val="none"/>
          <w14:textFill>
            <w14:solidFill>
              <w14:schemeClr w14:val="tx1"/>
            </w14:solidFill>
          </w14:textFill>
        </w:rPr>
      </w:pPr>
      <w:bookmarkStart w:id="71" w:name="_Toc43475675"/>
      <w:bookmarkEnd w:id="71"/>
      <w:bookmarkStart w:id="72" w:name="_Toc32451"/>
      <w:bookmarkEnd w:id="72"/>
      <w:bookmarkStart w:id="73" w:name="_Toc18622"/>
      <w:bookmarkEnd w:id="73"/>
      <w:r>
        <w:rPr>
          <w:rFonts w:hint="eastAsia"/>
          <w:color w:val="000000" w:themeColor="text1"/>
          <w:highlight w:val="none"/>
          <w14:textFill>
            <w14:solidFill>
              <w14:schemeClr w14:val="tx1"/>
            </w14:solidFill>
          </w14:textFill>
        </w:rPr>
        <w:t>费用承担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投标人准备和参加投标活动发生的费用自理。</w:t>
      </w:r>
    </w:p>
    <w:p>
      <w:pPr>
        <w:pStyle w:val="71"/>
        <w:rPr>
          <w:color w:val="000000" w:themeColor="text1"/>
          <w:highlight w:val="none"/>
          <w14:textFill>
            <w14:solidFill>
              <w14:schemeClr w14:val="tx1"/>
            </w14:solidFill>
          </w14:textFill>
        </w:rPr>
      </w:pPr>
      <w:bookmarkStart w:id="74" w:name="_Toc7728"/>
      <w:bookmarkEnd w:id="74"/>
      <w:bookmarkStart w:id="75" w:name="_Toc43475676"/>
      <w:bookmarkEnd w:id="75"/>
      <w:bookmarkStart w:id="76" w:name="_Toc30845"/>
      <w:bookmarkEnd w:id="76"/>
      <w:r>
        <w:rPr>
          <w:rFonts w:hint="eastAsia"/>
          <w:color w:val="000000" w:themeColor="text1"/>
          <w:highlight w:val="none"/>
          <w14:textFill>
            <w14:solidFill>
              <w14:schemeClr w14:val="tx1"/>
            </w14:solidFill>
          </w14:textFill>
        </w:rPr>
        <w:t>保密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参与招标投标活动的各方应对招标文件和投标文件中的商业和技术等秘密保密， 否则应承担相应的法律责任。</w:t>
      </w:r>
    </w:p>
    <w:p>
      <w:pPr>
        <w:pStyle w:val="71"/>
        <w:rPr>
          <w:color w:val="000000" w:themeColor="text1"/>
          <w:highlight w:val="none"/>
          <w14:textFill>
            <w14:solidFill>
              <w14:schemeClr w14:val="tx1"/>
            </w14:solidFill>
          </w14:textFill>
        </w:rPr>
      </w:pPr>
      <w:bookmarkStart w:id="77" w:name="_Toc27711"/>
      <w:bookmarkEnd w:id="77"/>
      <w:bookmarkStart w:id="78" w:name="_Toc43475677"/>
      <w:bookmarkEnd w:id="78"/>
      <w:bookmarkStart w:id="79" w:name="_Toc30800"/>
      <w:bookmarkEnd w:id="79"/>
      <w:r>
        <w:rPr>
          <w:rFonts w:hint="eastAsia"/>
          <w:color w:val="000000" w:themeColor="text1"/>
          <w:highlight w:val="none"/>
          <w14:textFill>
            <w14:solidFill>
              <w14:schemeClr w14:val="tx1"/>
            </w14:solidFill>
          </w14:textFill>
        </w:rPr>
        <w:t>语言文字</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招标投标文件使用的语言文字为中文。专用术语使用外文的，应附有中文注释</w:t>
      </w:r>
      <w:r>
        <w:rPr>
          <w:rFonts w:hint="eastAsia" w:ascii="宋体" w:hAnsi="宋体" w:cs="宋体"/>
          <w:color w:val="000000" w:themeColor="text1"/>
          <w:highlight w:val="none"/>
          <w14:textFill>
            <w14:solidFill>
              <w14:schemeClr w14:val="tx1"/>
            </w14:solidFill>
          </w14:textFill>
        </w:rPr>
        <w:t>。</w:t>
      </w:r>
    </w:p>
    <w:p>
      <w:pPr>
        <w:pStyle w:val="71"/>
        <w:rPr>
          <w:color w:val="000000" w:themeColor="text1"/>
          <w:highlight w:val="none"/>
          <w14:textFill>
            <w14:solidFill>
              <w14:schemeClr w14:val="tx1"/>
            </w14:solidFill>
          </w14:textFill>
        </w:rPr>
      </w:pPr>
      <w:bookmarkStart w:id="80" w:name="_Toc43475678"/>
      <w:bookmarkEnd w:id="80"/>
      <w:bookmarkStart w:id="81" w:name="_Toc19075"/>
      <w:bookmarkEnd w:id="81"/>
      <w:bookmarkStart w:id="82" w:name="_Toc19030"/>
      <w:bookmarkEnd w:id="82"/>
      <w:r>
        <w:rPr>
          <w:rFonts w:hint="eastAsia"/>
          <w:color w:val="000000" w:themeColor="text1"/>
          <w:highlight w:val="none"/>
          <w14:textFill>
            <w14:solidFill>
              <w14:schemeClr w14:val="tx1"/>
            </w14:solidFill>
          </w14:textFill>
        </w:rPr>
        <w:t>计量单位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所有计量均采用中华人民共和国法定计量单位。</w:t>
      </w:r>
    </w:p>
    <w:p>
      <w:pPr>
        <w:pStyle w:val="71"/>
        <w:rPr>
          <w:color w:val="000000" w:themeColor="text1"/>
          <w:highlight w:val="none"/>
          <w14:textFill>
            <w14:solidFill>
              <w14:schemeClr w14:val="tx1"/>
            </w14:solidFill>
          </w14:textFill>
        </w:rPr>
      </w:pPr>
      <w:bookmarkStart w:id="83" w:name="_Toc43475679"/>
      <w:bookmarkEnd w:id="83"/>
      <w:bookmarkStart w:id="84" w:name="_Toc11791"/>
      <w:bookmarkEnd w:id="84"/>
      <w:bookmarkStart w:id="85" w:name="_Toc9140"/>
      <w:bookmarkEnd w:id="85"/>
      <w:r>
        <w:rPr>
          <w:rFonts w:hint="eastAsia"/>
          <w:color w:val="000000" w:themeColor="text1"/>
          <w:highlight w:val="none"/>
          <w14:textFill>
            <w14:solidFill>
              <w14:schemeClr w14:val="tx1"/>
            </w14:solidFill>
          </w14:textFill>
        </w:rPr>
        <w:t>踏勘现场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1.9.2 投标人踏勘现场发生的费用自理。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1.9.3 除招标人的原因外，投标人自行负责在踏勘现场中所发生的人员伤亡和财产损失。</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71"/>
        <w:rPr>
          <w:color w:val="000000" w:themeColor="text1"/>
          <w:highlight w:val="none"/>
          <w14:textFill>
            <w14:solidFill>
              <w14:schemeClr w14:val="tx1"/>
            </w14:solidFill>
          </w14:textFill>
        </w:rPr>
      </w:pPr>
      <w:bookmarkStart w:id="86" w:name="_Toc16718"/>
      <w:bookmarkEnd w:id="86"/>
      <w:bookmarkStart w:id="87" w:name="_Toc7547"/>
      <w:bookmarkEnd w:id="87"/>
      <w:bookmarkStart w:id="88" w:name="_Toc43475680"/>
      <w:bookmarkEnd w:id="88"/>
      <w:r>
        <w:rPr>
          <w:rFonts w:hint="eastAsia"/>
          <w:color w:val="000000" w:themeColor="text1"/>
          <w:highlight w:val="none"/>
          <w14:textFill>
            <w14:solidFill>
              <w14:schemeClr w14:val="tx1"/>
            </w14:solidFill>
          </w14:textFill>
        </w:rPr>
        <w:t>投标预备会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1.10.1 第一章“招标公告”或“投标邀请书”规定召开投标预备会的，招标人按规定的时间和地点召开投标预备会，澄清投标人提出的问题。</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1.10.2 投标人应按投标人须知前附表规定的时间和形式将提出的问题送达招标人，以便招标人在会议期间澄清。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1.10.3 投标预备会后，招标人将对投标人所提问题的澄清，以本章第 2.2 款规定的形式通知所有购买招标文件的投标人。该澄清内容为招标文件的组成部分。</w:t>
      </w:r>
    </w:p>
    <w:p>
      <w:pPr>
        <w:pStyle w:val="71"/>
        <w:rPr>
          <w:color w:val="000000" w:themeColor="text1"/>
          <w:highlight w:val="none"/>
          <w14:textFill>
            <w14:solidFill>
              <w14:schemeClr w14:val="tx1"/>
            </w14:solidFill>
          </w14:textFill>
        </w:rPr>
      </w:pPr>
      <w:bookmarkStart w:id="89" w:name="_Toc25367"/>
      <w:bookmarkEnd w:id="89"/>
      <w:bookmarkStart w:id="90" w:name="_Toc496"/>
      <w:bookmarkEnd w:id="90"/>
      <w:bookmarkStart w:id="91" w:name="_Toc43475681"/>
      <w:bookmarkEnd w:id="91"/>
      <w:r>
        <w:rPr>
          <w:rFonts w:hint="eastAsia"/>
          <w:color w:val="000000" w:themeColor="text1"/>
          <w:highlight w:val="none"/>
          <w14:textFill>
            <w14:solidFill>
              <w14:schemeClr w14:val="tx1"/>
            </w14:solidFill>
          </w14:textFill>
        </w:rPr>
        <w:t>分包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1.11.1投标人拟在中标后将中标项目的部分非主体、非关键性工作进行分包的， 应符合以下规定：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（1）分包内容要求：允许分包的工程范围仅限于非关键性工程或适合专业化队伍施工的专项工程。招标人允许分包或不允许分包的专项工程（如有）应在投标人须知前附表中载明。</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（2）接受分包的第三人资格要求：分包人的资格能力应与其分包工程的标准和规模相适应，且具备投标人须知前附表中规定的资格条件。</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（3）其他要求：投标人如有分包计划，应按第九章“投标文件格式”的要求填写“拟分包项目情况表”，明确拟分包的工程及规模，且投标人中标后的分包应满足合同条款第4.3 款的相关要求。</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1.11.2中标人不得向他人转让中标项目，接受分包的人不得再次分包。中标人应就分包项目向招标人负责，接受分包的人就分包项目承担连带责任。</w:t>
      </w:r>
    </w:p>
    <w:p>
      <w:pPr>
        <w:pStyle w:val="71"/>
        <w:rPr>
          <w:color w:val="000000" w:themeColor="text1"/>
          <w:highlight w:val="none"/>
          <w14:textFill>
            <w14:solidFill>
              <w14:schemeClr w14:val="tx1"/>
            </w14:solidFill>
          </w14:textFill>
        </w:rPr>
      </w:pPr>
      <w:bookmarkStart w:id="92" w:name="_Toc43475682"/>
      <w:bookmarkEnd w:id="92"/>
      <w:bookmarkStart w:id="93" w:name="_Toc29923"/>
      <w:bookmarkEnd w:id="93"/>
      <w:bookmarkStart w:id="94" w:name="_Toc27550"/>
      <w:bookmarkEnd w:id="94"/>
      <w:r>
        <w:rPr>
          <w:rFonts w:hint="eastAsia"/>
          <w:color w:val="000000" w:themeColor="text1"/>
          <w:highlight w:val="none"/>
          <w14:textFill>
            <w14:solidFill>
              <w14:schemeClr w14:val="tx1"/>
            </w14:solidFill>
          </w14:textFill>
        </w:rPr>
        <w:t>响应和偏差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1.12.1投标文件偏离招标文件某些要求，视为投标文件存在偏差。偏差包括重大偏差和细微偏差。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1.12.2投标文件应对招标文件的实质性要求和条件作出满足性或更有利于招标人的响应，否则，视为投标文件存在重大偏差，投标人的投标将被否决。</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投标文件存在第三章“评标办法”中所列任一否决投标情形的，均属于存在重大偏差。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1.12.3投标文件中的下列偏差为细微偏差：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（2）施工组织设计（含关键工程技术方案）和项目管理机构不够完善；</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（3）投标文件页码不连续、采用活页夹装订、个别文字有遗漏错误等不影响投标文件实质性内容的偏差。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1.12.4评标委员会对投标文件中的细微偏差按如下规定处理：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（1）对于本章第 1.12.3 项（1）目所述的细微偏差，按照第三章“评标办法”的规定予以修正并要求投标人进行澄清；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（3）对于本章第 1.12.3 项（3）目所述的细微偏差，可要求投标人对细微偏差进行澄清。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1.12.5投标人应根据招标文件的要求提供施工组织设计等内容以对招标文件作出响应。</w:t>
      </w:r>
    </w:p>
    <w:p>
      <w:pPr>
        <w:pStyle w:val="69"/>
        <w:spacing w:before="156"/>
        <w:rPr>
          <w:color w:val="000000" w:themeColor="text1"/>
          <w:highlight w:val="none"/>
          <w14:textFill>
            <w14:solidFill>
              <w14:schemeClr w14:val="tx1"/>
            </w14:solidFill>
          </w14:textFill>
        </w:rPr>
      </w:pPr>
      <w:bookmarkStart w:id="95" w:name="_Toc18201"/>
      <w:bookmarkEnd w:id="95"/>
      <w:bookmarkStart w:id="96" w:name="_Toc14851"/>
      <w:bookmarkEnd w:id="96"/>
      <w:bookmarkStart w:id="97" w:name="_Toc43475683"/>
      <w:bookmarkEnd w:id="97"/>
      <w:r>
        <w:rPr>
          <w:rFonts w:hint="eastAsia"/>
          <w:color w:val="000000" w:themeColor="text1"/>
          <w:highlight w:val="none"/>
          <w14:textFill>
            <w14:solidFill>
              <w14:schemeClr w14:val="tx1"/>
            </w14:solidFill>
          </w14:textFill>
        </w:rPr>
        <w:t>招标文件</w:t>
      </w:r>
    </w:p>
    <w:p>
      <w:pPr>
        <w:pStyle w:val="71"/>
        <w:rPr>
          <w:color w:val="000000" w:themeColor="text1"/>
          <w:highlight w:val="none"/>
          <w14:textFill>
            <w14:solidFill>
              <w14:schemeClr w14:val="tx1"/>
            </w14:solidFill>
          </w14:textFill>
        </w:rPr>
      </w:pPr>
      <w:bookmarkStart w:id="98" w:name="_Toc21484"/>
      <w:bookmarkEnd w:id="98"/>
      <w:bookmarkStart w:id="99" w:name="_Toc43475684"/>
      <w:bookmarkEnd w:id="99"/>
      <w:bookmarkStart w:id="100" w:name="_Toc22888"/>
      <w:bookmarkEnd w:id="100"/>
      <w:r>
        <w:rPr>
          <w:rFonts w:hint="eastAsia"/>
          <w:color w:val="000000" w:themeColor="text1"/>
          <w:highlight w:val="none"/>
          <w14:textFill>
            <w14:solidFill>
              <w14:schemeClr w14:val="tx1"/>
            </w14:solidFill>
          </w14:textFill>
        </w:rPr>
        <w:t>招标文件的组成</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本招标文件包括：</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（1）招标公告（或投标邀请书）；</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（2）投标人须知；</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（3）评标办法；</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（4）合同条款及格式；</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（5）工程量清单；</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（6）图纸；</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（7）技术规范；</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（8）工程量清单计量规则；</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（9）投标文件格式；</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（10）投标人须知前附表规定的其他资料。</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根据本章第 1.10 款、第 2.2 款和第 2.3 款对招标文件所作的澄清、修改，构成招标文件的组成部分。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当招标文件、招标文件的澄清或修改等在同一内容的表述上不一致时，以最后发出的书面文件为准。</w:t>
      </w:r>
    </w:p>
    <w:p>
      <w:pPr>
        <w:pStyle w:val="71"/>
        <w:rPr>
          <w:color w:val="000000" w:themeColor="text1"/>
          <w:highlight w:val="none"/>
          <w14:textFill>
            <w14:solidFill>
              <w14:schemeClr w14:val="tx1"/>
            </w14:solidFill>
          </w14:textFill>
        </w:rPr>
      </w:pPr>
      <w:bookmarkStart w:id="101" w:name="_Toc16577"/>
      <w:bookmarkEnd w:id="101"/>
      <w:bookmarkStart w:id="102" w:name="_Toc43475685"/>
      <w:bookmarkEnd w:id="102"/>
      <w:bookmarkStart w:id="103" w:name="_Toc26732"/>
      <w:bookmarkEnd w:id="103"/>
      <w:r>
        <w:rPr>
          <w:rFonts w:hint="eastAsia"/>
          <w:color w:val="000000" w:themeColor="text1"/>
          <w:highlight w:val="none"/>
          <w14:textFill>
            <w14:solidFill>
              <w14:schemeClr w14:val="tx1"/>
            </w14:solidFill>
          </w14:textFill>
        </w:rPr>
        <w:t>招标文件的澄清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2.2.3投标人在收到澄清后，应按投标人须知前附表规定的时间和形式通知招标人，确认已收到该澄清。</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2.2.4除非招标人认为确有必要答复，否则，招标人有权拒绝回复投标人在本章第 2.2.1 项规定的时间后提出的任何澄清要求。</w:t>
      </w:r>
    </w:p>
    <w:p>
      <w:pPr>
        <w:pStyle w:val="71"/>
        <w:rPr>
          <w:color w:val="000000" w:themeColor="text1"/>
          <w:highlight w:val="none"/>
          <w14:textFill>
            <w14:solidFill>
              <w14:schemeClr w14:val="tx1"/>
            </w14:solidFill>
          </w14:textFill>
        </w:rPr>
      </w:pPr>
      <w:bookmarkStart w:id="104" w:name="_Toc10051"/>
      <w:bookmarkEnd w:id="104"/>
      <w:bookmarkStart w:id="105" w:name="_Toc43475686"/>
      <w:bookmarkEnd w:id="105"/>
      <w:bookmarkStart w:id="106" w:name="_Toc3321"/>
      <w:bookmarkEnd w:id="106"/>
      <w:r>
        <w:rPr>
          <w:rFonts w:hint="eastAsia"/>
          <w:color w:val="000000" w:themeColor="text1"/>
          <w:highlight w:val="none"/>
          <w14:textFill>
            <w14:solidFill>
              <w14:schemeClr w14:val="tx1"/>
            </w14:solidFill>
          </w14:textFill>
        </w:rPr>
        <w:t>招标文件的修改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2.3.2投标人收到修改内容后，应按投标人须知前附表规定的时间和形式通知招标人，确认已收到该修改。</w:t>
      </w:r>
    </w:p>
    <w:p>
      <w:pPr>
        <w:pStyle w:val="71"/>
        <w:rPr>
          <w:color w:val="000000" w:themeColor="text1"/>
          <w:highlight w:val="none"/>
          <w14:textFill>
            <w14:solidFill>
              <w14:schemeClr w14:val="tx1"/>
            </w14:solidFill>
          </w14:textFill>
        </w:rPr>
      </w:pPr>
      <w:bookmarkStart w:id="107" w:name="_Toc54"/>
      <w:bookmarkEnd w:id="107"/>
      <w:bookmarkStart w:id="108" w:name="_Toc43475687"/>
      <w:bookmarkEnd w:id="108"/>
      <w:bookmarkStart w:id="109" w:name="_Toc5802"/>
      <w:bookmarkEnd w:id="109"/>
      <w:r>
        <w:rPr>
          <w:rFonts w:hint="eastAsia"/>
          <w:color w:val="000000" w:themeColor="text1"/>
          <w:highlight w:val="none"/>
          <w14:textFill>
            <w14:solidFill>
              <w14:schemeClr w14:val="tx1"/>
            </w14:solidFill>
          </w14:textFill>
        </w:rPr>
        <w:t>招标文件的异议</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投标人或其他利害关系人对招标文件有异议的，应在投标截止时间 10 日前以书面形式提出。招标人将在收到异议之日起 3 日内作出答复；作出答复前，将暂停招标投标活动。</w:t>
      </w:r>
    </w:p>
    <w:p>
      <w:pPr>
        <w:pStyle w:val="69"/>
        <w:spacing w:before="156"/>
        <w:rPr>
          <w:color w:val="000000" w:themeColor="text1"/>
          <w:highlight w:val="none"/>
          <w14:textFill>
            <w14:solidFill>
              <w14:schemeClr w14:val="tx1"/>
            </w14:solidFill>
          </w14:textFill>
        </w:rPr>
      </w:pPr>
      <w:bookmarkStart w:id="110" w:name="_Toc17093"/>
      <w:bookmarkEnd w:id="110"/>
      <w:bookmarkStart w:id="111" w:name="_Toc8676"/>
      <w:bookmarkEnd w:id="111"/>
      <w:bookmarkStart w:id="112" w:name="_Toc43475688"/>
      <w:bookmarkEnd w:id="112"/>
      <w:r>
        <w:rPr>
          <w:rFonts w:hint="eastAsia"/>
          <w:color w:val="000000" w:themeColor="text1"/>
          <w:highlight w:val="none"/>
          <w14:textFill>
            <w14:solidFill>
              <w14:schemeClr w14:val="tx1"/>
            </w14:solidFill>
          </w14:textFill>
        </w:rPr>
        <w:t>投标文件</w:t>
      </w:r>
    </w:p>
    <w:p>
      <w:pPr>
        <w:pStyle w:val="71"/>
        <w:rPr>
          <w:color w:val="000000" w:themeColor="text1"/>
          <w:highlight w:val="none"/>
          <w14:textFill>
            <w14:solidFill>
              <w14:schemeClr w14:val="tx1"/>
            </w14:solidFill>
          </w14:textFill>
        </w:rPr>
      </w:pPr>
      <w:bookmarkStart w:id="113" w:name="_Toc10611"/>
      <w:bookmarkEnd w:id="113"/>
      <w:bookmarkStart w:id="114" w:name="_Toc27990"/>
      <w:bookmarkEnd w:id="114"/>
      <w:bookmarkStart w:id="115" w:name="_Toc43475689"/>
      <w:bookmarkEnd w:id="115"/>
      <w:r>
        <w:rPr>
          <w:rFonts w:hint="eastAsia"/>
          <w:color w:val="000000" w:themeColor="text1"/>
          <w:highlight w:val="none"/>
          <w14:textFill>
            <w14:solidFill>
              <w14:schemeClr w14:val="tx1"/>
            </w14:solidFill>
          </w14:textFill>
        </w:rPr>
        <w:t>投标文件的组成</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根据投标人须知前附表规定的不同形式，投标文件的组成应满足相应条款要求。</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3.1.1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3.1.1投标文件应包括下列内容：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（5）施工组织设计；</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（6）项目管理机构；</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（7）拟分包项目情况表；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（8）资格审查资料；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（9）投标人须知前附表规定的其他资料。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第二个信封（报价文件）：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（1）调价函及调价后的工程量清单；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（2）投标函；</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（3）已标价工程量清单；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（4）合同用款估算表。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3.1.1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投标文件应包括下列内容：</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（5）已标价工程量清单；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（6）施工组织设计；</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（7）项目管理机构；</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（8）拟分包项目情况表；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（9）资格审查资料；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（10）调价函及调价后的工程量清单（如有）；</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（11）投标人须知前附表规定的其他资料。</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3.1.2投标人须知前附表规定不接受联合体投标的，或投标人没有组成联合体的，投标文件不包括本章第 3.1.1（3）目所指的联合体协议书。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投标人须知前附表未要求提交投标保证金的，投标文件不包括本章第 3.1.1（4）目所指的投标保证金。</w:t>
      </w:r>
    </w:p>
    <w:p>
      <w:pPr>
        <w:pStyle w:val="71"/>
        <w:rPr>
          <w:color w:val="000000" w:themeColor="text1"/>
          <w:highlight w:val="none"/>
          <w14:textFill>
            <w14:solidFill>
              <w14:schemeClr w14:val="tx1"/>
            </w14:solidFill>
          </w14:textFill>
        </w:rPr>
      </w:pPr>
      <w:bookmarkStart w:id="116" w:name="_Toc8391"/>
      <w:bookmarkEnd w:id="116"/>
      <w:bookmarkStart w:id="117" w:name="_Toc43475690"/>
      <w:bookmarkEnd w:id="117"/>
      <w:bookmarkStart w:id="118" w:name="_Toc5966"/>
      <w:bookmarkEnd w:id="118"/>
      <w:r>
        <w:rPr>
          <w:rFonts w:hint="eastAsia"/>
          <w:color w:val="000000" w:themeColor="text1"/>
          <w:highlight w:val="none"/>
          <w14:textFill>
            <w14:solidFill>
              <w14:schemeClr w14:val="tx1"/>
            </w14:solidFill>
          </w14:textFill>
        </w:rPr>
        <w:t>投标报价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3.2.1投标报价应包括国家规定的增值税税金，除投标人须知前附表另有规定外， 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3.2.2投标人应充分了解本项目的总体情况以及影响投标报价的其他要素。</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3.2.3本项目的报价方式见投标人须知前附表。投标人在投标截止时间前修改投标函中的投标总报价，应同时修改投标文件“已标价工程量清单”中的相应报价。此修改须符合本章第 4.3 款的有关要求。</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（2）工程量清单中招标人指定的报价不允许调价；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3.2.8招标人设有最高投标限价的，投标人的投标报价不得超过最高投标限价， 最高投标限价在投标人须知前附表中载明。</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3.2.9投标报价的其他要求见投标人须知前附表。</w:t>
      </w:r>
    </w:p>
    <w:p>
      <w:pPr>
        <w:pStyle w:val="71"/>
        <w:rPr>
          <w:color w:val="000000" w:themeColor="text1"/>
          <w:highlight w:val="none"/>
          <w14:textFill>
            <w14:solidFill>
              <w14:schemeClr w14:val="tx1"/>
            </w14:solidFill>
          </w14:textFill>
        </w:rPr>
      </w:pPr>
      <w:bookmarkStart w:id="119" w:name="_Toc14703"/>
      <w:bookmarkEnd w:id="119"/>
      <w:bookmarkStart w:id="120" w:name="_Toc21854"/>
      <w:bookmarkEnd w:id="120"/>
      <w:bookmarkStart w:id="121" w:name="_Toc43475691"/>
      <w:bookmarkEnd w:id="121"/>
      <w:r>
        <w:rPr>
          <w:rFonts w:hint="eastAsia"/>
          <w:color w:val="000000" w:themeColor="text1"/>
          <w:highlight w:val="none"/>
          <w14:textFill>
            <w14:solidFill>
              <w14:schemeClr w14:val="tx1"/>
            </w14:solidFill>
          </w14:textFill>
        </w:rPr>
        <w:t>投标有效期</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3.3.1除投标人须知前附表另有规定外，投标有效期为 90 日。</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3.3.2在投标有效期内，投标人撤销投标文件的，应承担招标文件和法律规定的责任。</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71"/>
        <w:rPr>
          <w:color w:val="000000" w:themeColor="text1"/>
          <w:highlight w:val="none"/>
          <w14:textFill>
            <w14:solidFill>
              <w14:schemeClr w14:val="tx1"/>
            </w14:solidFill>
          </w14:textFill>
        </w:rPr>
      </w:pPr>
      <w:bookmarkStart w:id="122" w:name="_Toc43475692"/>
      <w:bookmarkEnd w:id="122"/>
      <w:bookmarkStart w:id="123" w:name="_Toc25629"/>
      <w:bookmarkEnd w:id="123"/>
      <w:bookmarkStart w:id="124" w:name="_Toc20948"/>
      <w:bookmarkEnd w:id="124"/>
      <w:r>
        <w:rPr>
          <w:rFonts w:hint="eastAsia"/>
          <w:color w:val="000000" w:themeColor="text1"/>
          <w:highlight w:val="none"/>
          <w14:textFill>
            <w14:solidFill>
              <w14:schemeClr w14:val="tx1"/>
            </w14:solidFill>
          </w14:textFill>
        </w:rPr>
        <w:t>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投标保证金应采用现金、支票、银行保函或招标人在投标人须知前附表规定的其他形式。</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无论采取何种形式的投标保证金，投标保证金有效期均应与投标有效期一致。招标人如果按本章第 3.3.3 项的规定延长了投标有效期，则投标保证金的有效期也相应延长。</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3.4.2投标人不按本章第 3.4.1 项要求提交投标保证金的，评标委员会将否决其投标。</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利息计算原则见投标人须知前附表。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3.4.4有下列情形之一的，投标保证金将不予退还：</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（1）投标人在投标有效期内撤销投标文件；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（3）发生投标人须知前附表规定的其他可以不予退还投标保证金的情形。</w:t>
      </w:r>
    </w:p>
    <w:p>
      <w:pPr>
        <w:pStyle w:val="71"/>
        <w:spacing w:line="480" w:lineRule="exact"/>
        <w:rPr>
          <w:color w:val="000000" w:themeColor="text1"/>
          <w:highlight w:val="none"/>
          <w14:textFill>
            <w14:solidFill>
              <w14:schemeClr w14:val="tx1"/>
            </w14:solidFill>
          </w14:textFill>
        </w:rPr>
      </w:pPr>
      <w:bookmarkStart w:id="125" w:name="_Toc4081"/>
      <w:bookmarkEnd w:id="125"/>
      <w:bookmarkStart w:id="126" w:name="_Toc7507"/>
      <w:bookmarkEnd w:id="126"/>
      <w:bookmarkStart w:id="127" w:name="_Toc43475693"/>
      <w:bookmarkEnd w:id="127"/>
      <w:r>
        <w:rPr>
          <w:rFonts w:hint="eastAsia"/>
          <w:color w:val="000000" w:themeColor="text1"/>
          <w:highlight w:val="none"/>
          <w14:textFill>
            <w14:solidFill>
              <w14:schemeClr w14:val="tx1"/>
            </w14:solidFill>
          </w14:textFill>
        </w:rPr>
        <w:t>资格审查资料（适用于未进行资格预审的）</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监督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3.5.3“近年完成的类似项目”应是已列入交通运输主管部门“公路建设市场信用信息管理系统”并公开的主包已建业绩或分包已建业绩，具体时间要求见投标人须知前附表。</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“近年完成的类似项目情况表”应附在交通运输部“全国公路建设市场监督管理系统”（网址：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"http://glxy.mot.gov.cn/BM/）中查询到的企业"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https://hwdms.mot.gov.cn/BMWebSite/</w:t>
      </w:r>
      <w:r>
        <w:rPr>
          <w:rStyle w:val="50"/>
          <w:rFonts w:hint="eastAsia" w:ascii="宋体" w:hAnsi="宋体" w:cs="宋体"/>
          <w:color w:val="000000" w:themeColor="text1"/>
          <w:sz w:val="24"/>
          <w:szCs w:val="24"/>
          <w:highlight w:val="none"/>
          <w14:textFill>
            <w14:solidFill>
              <w14:schemeClr w14:val="tx1"/>
            </w14:solidFill>
          </w14:textFill>
        </w:rPr>
        <w:t>）中查询到的企业“业绩信息”相关项目网页截图复印件，即包括“项目名称”“标段类型”“合同价”“主要工程量”“项目主要管理人员”等栏目在内的项目详细信息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50"/>
          <w:rFonts w:hint="eastAsia" w:ascii="宋体" w:hAnsi="宋体" w:cs="宋体"/>
          <w:color w:val="000000" w:themeColor="text1"/>
          <w:sz w:val="24"/>
          <w:szCs w:val="24"/>
          <w:highlight w:val="none"/>
          <w14:textFill>
            <w14:solidFill>
              <w14:schemeClr w14:val="tx1"/>
            </w14:solidFill>
          </w14:textFill>
        </w:rPr>
        <w:fldChar w:fldCharType="end"/>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如投标人未提供相关项目网页截图复印件或相关项目网页截图的信息无法证实投标人满足招标文件规定的资格审查条件（业绩最低要求），则该项目业绩不予认定。</w:t>
      </w:r>
    </w:p>
    <w:p>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3.5.4“投标人的信誉情况表”应附投标人在国家企业信用信息公示系统中未被列入严重违法失信企业名单、在“信用中国”网站中未被列入失信被执行人名单的网页截图复印件。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委任的项目经理和项目总工资历表”还应附交通运输部“全国公路建设市场监督管理系统”中载明的、能够证明项目经理和项目总工具有相关业绩的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3.5.6“拟委任的其他管理和技术人员汇总表”（如有）应填报满足投标人须知前附表附录 6 规定的其他人员的相关信息。                                           </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3.5.8投标人须知前附表规定接受联合体投标的，本章第 3.5.1 项至第 3.5.7 项规定的表格和资料应包括联合体各方相关情况。</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3.5.9除合同条款约定的特殊情形外，投标人在投标文件中填报的项目经理和项目总工不允许更换。</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71"/>
        <w:spacing w:line="499" w:lineRule="exact"/>
        <w:rPr>
          <w:color w:val="000000" w:themeColor="text1"/>
          <w:highlight w:val="none"/>
          <w14:textFill>
            <w14:solidFill>
              <w14:schemeClr w14:val="tx1"/>
            </w14:solidFill>
          </w14:textFill>
        </w:rPr>
      </w:pPr>
      <w:bookmarkStart w:id="128" w:name="_Toc16547"/>
      <w:bookmarkEnd w:id="128"/>
      <w:bookmarkStart w:id="129" w:name="_Toc43475694"/>
      <w:bookmarkEnd w:id="129"/>
      <w:bookmarkStart w:id="130" w:name="_Toc29836"/>
      <w:bookmarkEnd w:id="130"/>
      <w:r>
        <w:rPr>
          <w:rFonts w:hint="eastAsia"/>
          <w:color w:val="000000" w:themeColor="text1"/>
          <w:highlight w:val="none"/>
          <w14:textFill>
            <w14:solidFill>
              <w14:schemeClr w14:val="tx1"/>
            </w14:solidFill>
          </w14:textFill>
        </w:rPr>
        <w:t>备选投标方案</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3.6.1除投标人须知前附表规定允许外，投标人不得递交备选投标方案，否则其投标将被否决。</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3.6.3投标人提供两个或两个以上投标报价，或在投标文件中提供一个报价，但同时提供两个或两个以上施工组织设计的，视为提供备选方案。</w:t>
      </w:r>
    </w:p>
    <w:p>
      <w:pPr>
        <w:pStyle w:val="71"/>
        <w:spacing w:line="499" w:lineRule="exact"/>
        <w:rPr>
          <w:color w:val="000000" w:themeColor="text1"/>
          <w:highlight w:val="none"/>
          <w14:textFill>
            <w14:solidFill>
              <w14:schemeClr w14:val="tx1"/>
            </w14:solidFill>
          </w14:textFill>
        </w:rPr>
      </w:pPr>
      <w:bookmarkStart w:id="131" w:name="_Toc32152"/>
      <w:bookmarkEnd w:id="131"/>
      <w:bookmarkStart w:id="132" w:name="_Toc43475695"/>
      <w:bookmarkEnd w:id="132"/>
      <w:bookmarkStart w:id="133" w:name="_Toc14793"/>
      <w:bookmarkEnd w:id="133"/>
      <w:r>
        <w:rPr>
          <w:rFonts w:hint="eastAsia"/>
          <w:color w:val="000000" w:themeColor="text1"/>
          <w:highlight w:val="none"/>
          <w14:textFill>
            <w14:solidFill>
              <w14:schemeClr w14:val="tx1"/>
            </w14:solidFill>
          </w14:textFill>
        </w:rPr>
        <w:t>投标文件的编制</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3.7.1投标文件应按第九章“投标文件格式”进行编写，如有必要，可以增加附页， 作为投标文件的组成部分。其中，投标函附录在满足招标文件实质性要求的基础上， 可以提出比招标文件要求更有利于招标人的承诺。</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3.7.2投标文件应对招标文件有关工期、投标有效期、质量要求、安全目标、技术标准和要求、招标范围等实质性内容作出响应。</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如果投标文件由委托代理人签署，则投标人须提交授权委托书，授权委托书应按第九章“投标文件格式”的要求出具，并由法定代表人和委托代理人亲笔签名，不得使用印章、签名章或其他电子制版签名代替。</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如果由投标人的法定代表人亲自签署投标文件，则投标人须提交法定代表人身份证明，身份证明应符合第九章“投标文件格式”的要求。</w:t>
      </w:r>
    </w:p>
    <w:p>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以联合体形式参与投标的，投标文件由联合体牵头人的法定代表人或其委托代理人按上述规定签署并加盖联合体牵头人单位章。法定代表人授权委托书或法定代表人身份证明须由</w:t>
      </w:r>
    </w:p>
    <w:p>
      <w:pPr>
        <w:adjustRightInd w:val="0"/>
        <w:snapToGrid w:val="0"/>
        <w:spacing w:line="499"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联合体牵头人按上述规定出具。</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投标文件应尽量避免涂改、行间插字或删除。如果出现上述情况，改动之处应由投标人的法定代表人或其授权的代理人签字或盖单位章。</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pStyle w:val="69"/>
        <w:spacing w:before="156"/>
        <w:rPr>
          <w:color w:val="000000" w:themeColor="text1"/>
          <w:highlight w:val="none"/>
          <w14:textFill>
            <w14:solidFill>
              <w14:schemeClr w14:val="tx1"/>
            </w14:solidFill>
          </w14:textFill>
        </w:rPr>
      </w:pPr>
      <w:bookmarkStart w:id="134" w:name="_Toc30022"/>
      <w:bookmarkEnd w:id="134"/>
      <w:bookmarkStart w:id="135" w:name="_Toc43475696"/>
      <w:bookmarkEnd w:id="135"/>
      <w:bookmarkStart w:id="136" w:name="_Toc17102"/>
      <w:bookmarkEnd w:id="136"/>
      <w:r>
        <w:rPr>
          <w:rFonts w:hint="eastAsia"/>
          <w:color w:val="000000" w:themeColor="text1"/>
          <w:highlight w:val="none"/>
          <w14:textFill>
            <w14:solidFill>
              <w14:schemeClr w14:val="tx1"/>
            </w14:solidFill>
          </w14:textFill>
        </w:rPr>
        <w:t>投标</w:t>
      </w:r>
    </w:p>
    <w:p>
      <w:pPr>
        <w:pStyle w:val="71"/>
        <w:rPr>
          <w:color w:val="000000" w:themeColor="text1"/>
          <w:highlight w:val="none"/>
          <w14:textFill>
            <w14:solidFill>
              <w14:schemeClr w14:val="tx1"/>
            </w14:solidFill>
          </w14:textFill>
        </w:rPr>
      </w:pPr>
      <w:bookmarkStart w:id="137" w:name="_Toc7543"/>
      <w:bookmarkEnd w:id="137"/>
      <w:bookmarkStart w:id="138" w:name="_Toc846"/>
      <w:bookmarkEnd w:id="138"/>
      <w:bookmarkStart w:id="139" w:name="_Toc43475697"/>
      <w:bookmarkEnd w:id="139"/>
      <w:r>
        <w:rPr>
          <w:rFonts w:hint="eastAsia"/>
          <w:color w:val="000000" w:themeColor="text1"/>
          <w:highlight w:val="none"/>
          <w14:textFill>
            <w14:solidFill>
              <w14:schemeClr w14:val="tx1"/>
            </w14:solidFill>
          </w14:textFill>
        </w:rPr>
        <w:t>投标文件的密封和标识</w:t>
      </w:r>
    </w:p>
    <w:p>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若采用双信封形式，第 4.1.1 项和第 4.1.2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4.1.2投标文件第一个信封（商务及技术文件）、第二个信封（报价文件）以及银行保函封套上应写明的内容见投标人须知前附表。</w:t>
      </w:r>
    </w:p>
    <w:p>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若采用单信封形式，第 4.1.1 项和第 4.1.2 项采用以下条款：</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4.1.2投标文件以及银行保函封套上应写明的内容见投标人须知前附表。</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4.1.3未按本章第 4.1.1 项要求密封的投标文件，招标人将予以拒收。</w:t>
      </w:r>
    </w:p>
    <w:p>
      <w:pPr>
        <w:pStyle w:val="71"/>
        <w:rPr>
          <w:color w:val="000000" w:themeColor="text1"/>
          <w:highlight w:val="none"/>
          <w14:textFill>
            <w14:solidFill>
              <w14:schemeClr w14:val="tx1"/>
            </w14:solidFill>
          </w14:textFill>
        </w:rPr>
      </w:pPr>
      <w:bookmarkStart w:id="140" w:name="_Toc26267"/>
      <w:bookmarkEnd w:id="140"/>
      <w:bookmarkStart w:id="141" w:name="_Toc43475698"/>
      <w:bookmarkEnd w:id="141"/>
      <w:bookmarkStart w:id="142" w:name="_Toc15836"/>
      <w:bookmarkEnd w:id="142"/>
      <w:r>
        <w:rPr>
          <w:rFonts w:hint="eastAsia"/>
          <w:color w:val="000000" w:themeColor="text1"/>
          <w:highlight w:val="none"/>
          <w14:textFill>
            <w14:solidFill>
              <w14:schemeClr w14:val="tx1"/>
            </w14:solidFill>
          </w14:textFill>
        </w:rPr>
        <w:t>投标文件的递交</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4.2.1投标人应在第一章“招标公告”或“投标邀请书”规定的投标截止时间前递交投标文件。</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4.2.2投标人递交投标文件的地点：见第一章“招标公告”或“投标邀请书”。</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4.2.3除投标人须知前附表另有规定外，投标人所递交的投标文件不予退还。投标人少于 3 个的，投标文件当场退还给投标人。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4.2.4招标人收到投标文件后，向投标人出具签收凭证。</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4.2.5逾期送达的或未送达指定地点的投标文件，招标人将予以拒收。</w:t>
      </w:r>
    </w:p>
    <w:p>
      <w:pPr>
        <w:pStyle w:val="71"/>
        <w:rPr>
          <w:color w:val="000000" w:themeColor="text1"/>
          <w:highlight w:val="none"/>
          <w14:textFill>
            <w14:solidFill>
              <w14:schemeClr w14:val="tx1"/>
            </w14:solidFill>
          </w14:textFill>
        </w:rPr>
      </w:pPr>
      <w:bookmarkStart w:id="143" w:name="_Toc4348"/>
      <w:bookmarkEnd w:id="143"/>
      <w:bookmarkStart w:id="144" w:name="_Toc43475699"/>
      <w:bookmarkEnd w:id="144"/>
      <w:bookmarkStart w:id="145" w:name="_Toc21683"/>
      <w:bookmarkEnd w:id="145"/>
      <w:r>
        <w:rPr>
          <w:rFonts w:hint="eastAsia"/>
          <w:color w:val="000000" w:themeColor="text1"/>
          <w:highlight w:val="none"/>
          <w14:textFill>
            <w14:solidFill>
              <w14:schemeClr w14:val="tx1"/>
            </w14:solidFill>
          </w14:textFill>
        </w:rPr>
        <w:t>投标文件的修改与撤回</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4.3.1在本章第 4.2.1 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4.3.3投标人撤回投标文件的，招标人自收到投标人书面撤回通知之日起 5 日内退还已收取的投标保证金。</w:t>
      </w:r>
    </w:p>
    <w:p>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4.3.4修改的内容为投标文件的组成部分。修改的投标文件应按照本章第 3 条、第 4 条的规定进行编制、密封、标记和递交，并标明“修改”字样。</w:t>
      </w:r>
    </w:p>
    <w:p>
      <w:pPr>
        <w:pStyle w:val="69"/>
        <w:spacing w:before="156"/>
        <w:rPr>
          <w:color w:val="000000" w:themeColor="text1"/>
          <w:highlight w:val="none"/>
          <w14:textFill>
            <w14:solidFill>
              <w14:schemeClr w14:val="tx1"/>
            </w14:solidFill>
          </w14:textFill>
        </w:rPr>
      </w:pPr>
      <w:bookmarkStart w:id="146" w:name="_Toc43475700"/>
      <w:bookmarkEnd w:id="146"/>
      <w:bookmarkStart w:id="147" w:name="_Toc24477"/>
      <w:bookmarkEnd w:id="147"/>
      <w:bookmarkStart w:id="148" w:name="_Toc19606"/>
      <w:bookmarkEnd w:id="148"/>
      <w:r>
        <w:rPr>
          <w:rFonts w:hint="eastAsia"/>
          <w:color w:val="000000" w:themeColor="text1"/>
          <w:highlight w:val="none"/>
          <w14:textFill>
            <w14:solidFill>
              <w14:schemeClr w14:val="tx1"/>
            </w14:solidFill>
          </w14:textFill>
        </w:rPr>
        <w:t>开标</w:t>
      </w:r>
    </w:p>
    <w:p>
      <w:pPr>
        <w:pStyle w:val="16"/>
        <w:spacing w:before="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5.1 款采用以下条款：</w:t>
      </w:r>
    </w:p>
    <w:p>
      <w:pPr>
        <w:pStyle w:val="71"/>
        <w:numPr>
          <w:ilvl w:val="0"/>
          <w:numId w:val="0"/>
        </w:numPr>
        <w:spacing w:line="360" w:lineRule="auto"/>
        <w:rPr>
          <w:color w:val="000000" w:themeColor="text1"/>
          <w:highlight w:val="none"/>
          <w14:textFill>
            <w14:solidFill>
              <w14:schemeClr w14:val="tx1"/>
            </w14:solidFill>
          </w14:textFill>
        </w:rPr>
      </w:pPr>
      <w:bookmarkStart w:id="149" w:name="_Toc43475701"/>
      <w:bookmarkEnd w:id="149"/>
      <w:bookmarkStart w:id="150" w:name="_bookmark61"/>
      <w:bookmarkEnd w:id="150"/>
      <w:bookmarkStart w:id="151" w:name="_Toc16362"/>
      <w:bookmarkEnd w:id="151"/>
      <w:bookmarkStart w:id="152" w:name="_Toc11481"/>
      <w:bookmarkEnd w:id="152"/>
      <w:r>
        <w:rPr>
          <w:rFonts w:hint="eastAsia"/>
          <w:color w:val="000000" w:themeColor="text1"/>
          <w:highlight w:val="none"/>
          <w14:textFill>
            <w14:solidFill>
              <w14:schemeClr w14:val="tx1"/>
            </w14:solidFill>
          </w14:textFill>
        </w:rPr>
        <w:t>5.1 开标时间和地点</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w:t>
      </w:r>
      <w:r>
        <w:rPr>
          <w:rFonts w:hint="eastAsia" w:ascii="宋体" w:hAnsi="宋体" w:cs="宋体"/>
          <w:color w:val="000000" w:themeColor="text1"/>
          <w:spacing w:val="-2"/>
          <w:highlight w:val="none"/>
          <w14:textFill>
            <w14:solidFill>
              <w14:schemeClr w14:val="tx1"/>
            </w14:solidFill>
          </w14:textFill>
        </w:rPr>
        <w:t>规定的地点对</w:t>
      </w:r>
      <w:r>
        <w:rPr>
          <w:rFonts w:hint="eastAsia" w:ascii="宋体" w:hAnsi="宋体" w:cs="宋体"/>
          <w:color w:val="000000" w:themeColor="text1"/>
          <w:highlight w:val="none"/>
          <w14:textFill>
            <w14:solidFill>
              <w14:schemeClr w14:val="tx1"/>
            </w14:solidFill>
          </w14:textFill>
        </w:rPr>
        <w:t>收到</w:t>
      </w:r>
      <w:r>
        <w:rPr>
          <w:rFonts w:hint="eastAsia" w:ascii="宋体" w:hAnsi="宋体" w:cs="宋体"/>
          <w:color w:val="000000" w:themeColor="text1"/>
          <w:spacing w:val="-2"/>
          <w:highlight w:val="none"/>
          <w14:textFill>
            <w14:solidFill>
              <w14:schemeClr w14:val="tx1"/>
            </w14:solidFill>
          </w14:textFill>
        </w:rPr>
        <w:t>的投标文件</w:t>
      </w:r>
      <w:r>
        <w:rPr>
          <w:rFonts w:hint="eastAsia" w:ascii="宋体" w:hAnsi="宋体" w:cs="宋体"/>
          <w:color w:val="000000" w:themeColor="text1"/>
          <w:highlight w:val="none"/>
          <w14:textFill>
            <w14:solidFill>
              <w14:schemeClr w14:val="tx1"/>
            </w14:solidFill>
          </w14:textFill>
        </w:rPr>
        <w:t>第一</w:t>
      </w:r>
      <w:r>
        <w:rPr>
          <w:rFonts w:hint="eastAsia" w:ascii="宋体" w:hAnsi="宋体" w:cs="宋体"/>
          <w:color w:val="000000" w:themeColor="text1"/>
          <w:spacing w:val="-2"/>
          <w:highlight w:val="none"/>
          <w14:textFill>
            <w14:solidFill>
              <w14:schemeClr w14:val="tx1"/>
            </w14:solidFill>
          </w14:textFill>
        </w:rPr>
        <w:t>个信封</w:t>
      </w:r>
      <w:r>
        <w:rPr>
          <w:rFonts w:hint="eastAsia" w:ascii="宋体" w:hAnsi="宋体" w:cs="宋体"/>
          <w:color w:val="000000" w:themeColor="text1"/>
          <w:highlight w:val="none"/>
          <w14:textFill>
            <w14:solidFill>
              <w14:schemeClr w14:val="tx1"/>
            </w14:solidFill>
          </w14:textFill>
        </w:rPr>
        <w:t>（商务及技术文件</w:t>
      </w:r>
      <w:r>
        <w:rPr>
          <w:rFonts w:hint="eastAsia" w:ascii="宋体" w:hAnsi="宋体" w:cs="宋体"/>
          <w:color w:val="000000" w:themeColor="text1"/>
          <w:spacing w:val="-32"/>
          <w:highlight w:val="none"/>
          <w14:textFill>
            <w14:solidFill>
              <w14:schemeClr w14:val="tx1"/>
            </w14:solidFill>
          </w14:textFill>
        </w:rPr>
        <w:t>）</w:t>
      </w:r>
      <w:r>
        <w:rPr>
          <w:rFonts w:hint="eastAsia" w:ascii="宋体" w:hAnsi="宋体" w:cs="宋体"/>
          <w:color w:val="000000" w:themeColor="text1"/>
          <w:spacing w:val="-6"/>
          <w:highlight w:val="none"/>
          <w14:textFill>
            <w14:solidFill>
              <w14:schemeClr w14:val="tx1"/>
            </w14:solidFill>
          </w14:textFill>
        </w:rPr>
        <w:t>公开开标，并邀请所有投标人的法定代表人或其委托代理人准时</w:t>
      </w:r>
      <w:r>
        <w:rPr>
          <w:rFonts w:hint="eastAsia" w:ascii="宋体" w:hAnsi="宋体" w:cs="宋体"/>
          <w:color w:val="000000" w:themeColor="text1"/>
          <w:highlight w:val="none"/>
          <w14:textFill>
            <w14:solidFill>
              <w14:schemeClr w14:val="tx1"/>
            </w14:solidFill>
          </w14:textFill>
        </w:rPr>
        <w:t>参加</w:t>
      </w:r>
      <w:r>
        <w:rPr>
          <w:rFonts w:hint="eastAsia" w:ascii="宋体" w:hAnsi="宋体" w:cs="宋体"/>
          <w:color w:val="000000" w:themeColor="text1"/>
          <w:spacing w:val="-6"/>
          <w:highlight w:val="none"/>
          <w14:textFill>
            <w14:solidFill>
              <w14:schemeClr w14:val="tx1"/>
            </w14:solidFill>
          </w14:textFill>
        </w:rPr>
        <w:t>。</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招标人在投标人须知前附表规定的时间和地点对投标文件第二个信封（报价文件）公开开标，并邀请所有投标人的法定代表人或其委托代理人准时参加。</w:t>
      </w:r>
    </w:p>
    <w:p>
      <w:pPr>
        <w:pStyle w:val="59"/>
        <w:spacing w:line="360" w:lineRule="auto"/>
        <w:ind w:firstLine="464"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投标人若未派</w:t>
      </w: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5.1 款采用以下条款：</w:t>
      </w:r>
    </w:p>
    <w:p>
      <w:pPr>
        <w:pStyle w:val="71"/>
        <w:numPr>
          <w:ilvl w:val="0"/>
          <w:numId w:val="0"/>
        </w:numPr>
        <w:spacing w:line="360" w:lineRule="auto"/>
        <w:rPr>
          <w:color w:val="000000" w:themeColor="text1"/>
          <w:highlight w:val="none"/>
          <w14:textFill>
            <w14:solidFill>
              <w14:schemeClr w14:val="tx1"/>
            </w14:solidFill>
          </w14:textFill>
        </w:rPr>
      </w:pPr>
      <w:bookmarkStart w:id="153" w:name="_Toc43475702"/>
      <w:bookmarkEnd w:id="153"/>
      <w:bookmarkStart w:id="154" w:name="_bookmark62"/>
      <w:bookmarkEnd w:id="154"/>
      <w:bookmarkStart w:id="155" w:name="_Toc29307"/>
      <w:bookmarkEnd w:id="155"/>
      <w:bookmarkStart w:id="156" w:name="_Toc25702"/>
      <w:bookmarkEnd w:id="156"/>
      <w:r>
        <w:rPr>
          <w:rFonts w:hint="eastAsia"/>
          <w:color w:val="000000" w:themeColor="text1"/>
          <w:highlight w:val="none"/>
          <w14:textFill>
            <w14:solidFill>
              <w14:schemeClr w14:val="tx1"/>
            </w14:solidFill>
          </w14:textFill>
        </w:rPr>
        <w:t>5.1 开标时间和地点</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项规定的投标截止时间（开标时间）和投标人须知前附表规定的地点公开开标，并邀请所有投标人的法定代表人或其委托代理人准时参加。</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投标人若未派法定代表人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5.2 款采用以下条款：</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57" w:name="_Toc43475703"/>
      <w:bookmarkEnd w:id="157"/>
      <w:bookmarkStart w:id="158" w:name="_bookmark63"/>
      <w:bookmarkEnd w:id="158"/>
      <w:bookmarkStart w:id="159" w:name="_Toc3383"/>
      <w:bookmarkEnd w:id="159"/>
      <w:bookmarkStart w:id="160" w:name="_Toc20358"/>
      <w:bookmarkEnd w:id="160"/>
      <w:r>
        <w:rPr>
          <w:rFonts w:hint="eastAsia" w:ascii="宋体" w:hAnsi="宋体" w:cs="宋体"/>
          <w:color w:val="000000" w:themeColor="text1"/>
          <w:highlight w:val="none"/>
          <w14:textFill>
            <w14:solidFill>
              <w14:schemeClr w14:val="tx1"/>
            </w14:solidFill>
          </w14:textFill>
        </w:rPr>
        <w:t>5.2 开标程序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主持人按下列程序对投标文件第一个信封（商务及技术文件）进行开标：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（5）按照投标人须知前附表规定的开标顺序当众开标，公布标段名称、投标人名称、投标保证金的递交情况、工期及其他内容，并记录在案；</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（6）投标人代表、招标人代表、记录人等有关人员在开标记录上签字确认；</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（7）开标结束。</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在投标文件第一个信封（商务及技术文件）开标现场，投标文件第二个信封（报价文件）不予开封，由招标人密封保存。</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招标人将按照本章第 5.1 款规定的时间和地点对投标文件第二个信封（报价文件）进行开标。主持人按下列程序进行开标：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（2）当众拆开投标文件第一个信封（商务及技术文件）评审结果的密封袋，宣布通过投标文件第一个信封（商务及技术文件）评审的投标人名单；</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（7）将未通过投标文件第一个信封（商务及技术文件）评审的投标文件第二个信封（报价文件）退还给投标人；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（8）投标人代表、招标人代表、记录人等有关人员在开标记录上签字确认；</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（9）开标结束。</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000000" w:themeColor="text1"/>
          <w:spacing w:val="-7"/>
          <w:highlight w:val="none"/>
          <w14:textFill>
            <w14:solidFill>
              <w14:schemeClr w14:val="tx1"/>
            </w14:solidFill>
          </w14:textFill>
        </w:rPr>
        <w:t>经招标人当场核查确认之后，可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7"/>
          <w:highlight w:val="none"/>
          <w14:textFill>
            <w14:solidFill>
              <w14:schemeClr w14:val="tx1"/>
            </w14:solidFill>
          </w14:textFill>
        </w:rPr>
        <w:t>宣读其投标文件。若投标人现场未提出疑问，则</w:t>
      </w:r>
      <w:r>
        <w:rPr>
          <w:rFonts w:hint="eastAsia" w:ascii="宋体" w:hAnsi="宋体" w:cs="宋体"/>
          <w:color w:val="000000" w:themeColor="text1"/>
          <w:highlight w:val="none"/>
          <w14:textFill>
            <w14:solidFill>
              <w14:schemeClr w14:val="tx1"/>
            </w14:solidFill>
          </w14:textFill>
        </w:rPr>
        <w:t>认为投标人已确认招标人宣读的内容。</w:t>
      </w:r>
    </w:p>
    <w:p>
      <w:pPr>
        <w:pStyle w:val="16"/>
        <w:spacing w:line="307" w:lineRule="exact"/>
        <w:ind w:left="849"/>
        <w:rPr>
          <w:rFonts w:ascii="宋体" w:hAnsi="宋体" w:cs="宋体"/>
          <w:b/>
          <w:bCs/>
          <w:color w:val="000000" w:themeColor="text1"/>
          <w:sz w:val="24"/>
          <w:highlight w:val="none"/>
          <w14:textFill>
            <w14:solidFill>
              <w14:schemeClr w14:val="tx1"/>
            </w14:solidFill>
          </w14:textFill>
        </w:rPr>
      </w:pPr>
    </w:p>
    <w:p>
      <w:pPr>
        <w:pStyle w:val="16"/>
        <w:spacing w:line="307"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5.2 款采用以下条款：</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1" w:name="_bookmark64"/>
      <w:bookmarkEnd w:id="161"/>
      <w:bookmarkStart w:id="162" w:name="_Toc43475704"/>
      <w:bookmarkEnd w:id="162"/>
      <w:bookmarkStart w:id="163" w:name="_Toc19648"/>
      <w:bookmarkEnd w:id="163"/>
      <w:bookmarkStart w:id="164" w:name="_Toc23268"/>
      <w:bookmarkEnd w:id="164"/>
      <w:r>
        <w:rPr>
          <w:rFonts w:hint="eastAsia" w:ascii="宋体" w:hAnsi="宋体" w:cs="宋体"/>
          <w:color w:val="000000" w:themeColor="text1"/>
          <w:highlight w:val="none"/>
          <w14:textFill>
            <w14:solidFill>
              <w14:schemeClr w14:val="tx1"/>
            </w14:solidFill>
          </w14:textFill>
        </w:rPr>
        <w:t>5.2 开标程序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主持人按下列程序进行开标：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（5）按照投标人须知前附表规定的开标顺序当众开标，公布标段名称、投标人名称、投标保证金的递交情况、投标报价、工期及其他内容，并记录在案；</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（7）投标人代表、招标人代表、记录人等有关人员在开标记录上签字确认；</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（8）开标结束。</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若采用合理低价法或综合评分法，在开标现场，招标人将按第三章“评标办法”规定的原则计算并宣布评标基准价。若招标人发现投标文件出现以下任一情况， 其投标报价将不再参加评标基准价的计算：</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pPr>
        <w:pStyle w:val="59"/>
        <w:spacing w:line="360" w:lineRule="auto"/>
        <w:ind w:firstLine="476"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r>
        <w:rPr>
          <w:rFonts w:hint="eastAsia" w:ascii="宋体" w:hAnsi="宋体" w:cs="宋体"/>
          <w:color w:val="000000" w:themeColor="text1"/>
          <w:spacing w:val="-12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pPr>
        <w:pStyle w:val="59"/>
        <w:spacing w:line="360" w:lineRule="auto"/>
        <w:ind w:firstLine="46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如果投标人认为某一标段的评标基准价计算有误，有权在开标现场提出，经招标</w:t>
      </w:r>
      <w:r>
        <w:rPr>
          <w:rFonts w:hint="eastAsia" w:ascii="宋体" w:hAnsi="宋体" w:cs="宋体"/>
          <w:color w:val="000000" w:themeColor="text1"/>
          <w:spacing w:val="-12"/>
          <w:highlight w:val="none"/>
          <w14:textFill>
            <w14:solidFill>
              <w14:schemeClr w14:val="tx1"/>
            </w14:solidFill>
          </w14:textFill>
        </w:rPr>
        <w:t>人当场核实确认之后，可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12"/>
          <w:highlight w:val="none"/>
          <w14:textFill>
            <w14:solidFill>
              <w14:schemeClr w14:val="tx1"/>
            </w14:solidFill>
          </w14:textFill>
        </w:rPr>
        <w:t>宣布评标基准价。开标现场宣布的评标基准价除计算有误经评标委员会修正外，在整个评标期间保持不变，不随任何因素发生变化。</w:t>
      </w:r>
    </w:p>
    <w:p>
      <w:pPr>
        <w:pStyle w:val="59"/>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若</w:t>
      </w:r>
      <w:r>
        <w:rPr>
          <w:color w:val="000000" w:themeColor="text1"/>
          <w:highlight w:val="none"/>
          <w14:textFill>
            <w14:solidFill>
              <w14:schemeClr w14:val="tx1"/>
            </w14:solidFill>
          </w14:textFill>
        </w:rPr>
        <w:t>招标人宣读的内容与投标文件不符，投标人有权在开标现场提出疑问，</w:t>
      </w:r>
      <w:r>
        <w:rPr>
          <w:color w:val="000000" w:themeColor="text1"/>
          <w:spacing w:val="-7"/>
          <w:highlight w:val="none"/>
          <w14:textFill>
            <w14:solidFill>
              <w14:schemeClr w14:val="tx1"/>
            </w14:solidFill>
          </w14:textFill>
        </w:rPr>
        <w:t>经招标人当场核查确认之后，可重新宣读其投标文件。若投标人现场未提出疑问，则</w:t>
      </w:r>
      <w:r>
        <w:rPr>
          <w:color w:val="000000" w:themeColor="text1"/>
          <w:highlight w:val="none"/>
          <w14:textFill>
            <w14:solidFill>
              <w14:schemeClr w14:val="tx1"/>
            </w14:solidFill>
          </w14:textFill>
        </w:rPr>
        <w:t>认为投标人已确认招标人宣读的内容。</w:t>
      </w:r>
    </w:p>
    <w:p>
      <w:pPr>
        <w:pStyle w:val="59"/>
        <w:spacing w:line="360" w:lineRule="auto"/>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5.3 开标异议</w:t>
      </w:r>
    </w:p>
    <w:p>
      <w:pPr>
        <w:pStyle w:val="59"/>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投标人对开标有异议的，应在开标现场提出，招标人当场作出答复，并制作记录，有异议的投标人代表、招标人代表、记录人等有关人员在记录上签字确认。</w:t>
      </w:r>
    </w:p>
    <w:p>
      <w:pPr>
        <w:pStyle w:val="69"/>
        <w:spacing w:before="156"/>
        <w:rPr>
          <w:color w:val="000000" w:themeColor="text1"/>
          <w:highlight w:val="none"/>
          <w14:textFill>
            <w14:solidFill>
              <w14:schemeClr w14:val="tx1"/>
            </w14:solidFill>
          </w14:textFill>
        </w:rPr>
      </w:pPr>
      <w:bookmarkStart w:id="165" w:name="_Toc14516"/>
      <w:bookmarkEnd w:id="165"/>
      <w:bookmarkStart w:id="166" w:name="_Toc43475705"/>
      <w:bookmarkEnd w:id="166"/>
      <w:bookmarkStart w:id="167" w:name="_Toc32113"/>
      <w:bookmarkEnd w:id="167"/>
      <w:r>
        <w:rPr>
          <w:rFonts w:hint="eastAsia"/>
          <w:color w:val="000000" w:themeColor="text1"/>
          <w:highlight w:val="none"/>
          <w14:textFill>
            <w14:solidFill>
              <w14:schemeClr w14:val="tx1"/>
            </w14:solidFill>
          </w14:textFill>
        </w:rPr>
        <w:t>评标</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8" w:name="_Toc11570"/>
      <w:bookmarkEnd w:id="168"/>
      <w:bookmarkStart w:id="169" w:name="_Toc43475706"/>
      <w:bookmarkEnd w:id="169"/>
      <w:bookmarkStart w:id="170" w:name="_Toc494"/>
      <w:bookmarkEnd w:id="170"/>
      <w:r>
        <w:rPr>
          <w:rFonts w:hint="eastAsia" w:ascii="宋体" w:hAnsi="宋体" w:cs="宋体"/>
          <w:color w:val="000000" w:themeColor="text1"/>
          <w:highlight w:val="none"/>
          <w14:textFill>
            <w14:solidFill>
              <w14:schemeClr w14:val="tx1"/>
            </w14:solidFill>
          </w14:textFill>
        </w:rPr>
        <w:t>6.1 评标委员会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6.1.2 评标委员会成员有下列情形之一的，应当回避：</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（1）为负责招标项目监督管理的交通运输主管部门的工作人员；</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（2）与投标人法定代表人或其委托代理人有近亲属关系；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（3）为投标人的工作人员或退休人员；</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（4）与投标人有其他利害关系，可能影响评标活动公正性；</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（5）在与招标投标有关的活动中有过违法违规行为、曾受过行政处罚或刑事处罚。</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1" w:name="_Toc16826"/>
      <w:bookmarkEnd w:id="171"/>
      <w:bookmarkStart w:id="172" w:name="_Toc16027"/>
      <w:bookmarkEnd w:id="172"/>
      <w:bookmarkStart w:id="173" w:name="_Toc43475707"/>
      <w:bookmarkEnd w:id="173"/>
      <w:r>
        <w:rPr>
          <w:rFonts w:hint="eastAsia" w:ascii="宋体" w:hAnsi="宋体" w:cs="宋体"/>
          <w:color w:val="000000" w:themeColor="text1"/>
          <w:highlight w:val="none"/>
          <w14:textFill>
            <w14:solidFill>
              <w14:schemeClr w14:val="tx1"/>
            </w14:solidFill>
          </w14:textFill>
        </w:rPr>
        <w:t>6.2 评标原则</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评标活动遵循公平、公正、科学和择优的原则。</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4" w:name="_Toc13218"/>
      <w:bookmarkEnd w:id="174"/>
      <w:bookmarkStart w:id="175" w:name="_Toc43475708"/>
      <w:bookmarkEnd w:id="175"/>
      <w:bookmarkStart w:id="176" w:name="_Toc10176"/>
      <w:bookmarkEnd w:id="176"/>
      <w:r>
        <w:rPr>
          <w:rFonts w:hint="eastAsia" w:ascii="宋体" w:hAnsi="宋体" w:cs="宋体"/>
          <w:color w:val="000000" w:themeColor="text1"/>
          <w:highlight w:val="none"/>
          <w14:textFill>
            <w14:solidFill>
              <w14:schemeClr w14:val="tx1"/>
            </w14:solidFill>
          </w14:textFill>
        </w:rPr>
        <w:t>6.3 评标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6.3.2评标完成后，评标委员会应向招标人提交书面评标报告和中标候选人名单。评标委员会推荐中标候选人的人数见投标人须知前附表。</w:t>
      </w:r>
    </w:p>
    <w:p>
      <w:pPr>
        <w:pStyle w:val="69"/>
        <w:spacing w:before="156"/>
        <w:rPr>
          <w:color w:val="000000" w:themeColor="text1"/>
          <w:highlight w:val="none"/>
          <w14:textFill>
            <w14:solidFill>
              <w14:schemeClr w14:val="tx1"/>
            </w14:solidFill>
          </w14:textFill>
        </w:rPr>
      </w:pPr>
      <w:bookmarkStart w:id="177" w:name="_Toc7643"/>
      <w:bookmarkEnd w:id="177"/>
      <w:bookmarkStart w:id="178" w:name="_Toc43475709"/>
      <w:bookmarkEnd w:id="178"/>
      <w:bookmarkStart w:id="179" w:name="_Toc14072"/>
      <w:bookmarkEnd w:id="179"/>
      <w:r>
        <w:rPr>
          <w:rFonts w:hint="eastAsia"/>
          <w:color w:val="000000" w:themeColor="text1"/>
          <w:highlight w:val="none"/>
          <w14:textFill>
            <w14:solidFill>
              <w14:schemeClr w14:val="tx1"/>
            </w14:solidFill>
          </w14:textFill>
        </w:rPr>
        <w:t>合同授予</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0" w:name="_Toc43475710"/>
      <w:bookmarkEnd w:id="180"/>
      <w:bookmarkStart w:id="181" w:name="_Toc14770"/>
      <w:bookmarkEnd w:id="181"/>
      <w:bookmarkStart w:id="182" w:name="_Toc11047"/>
      <w:bookmarkEnd w:id="182"/>
      <w:r>
        <w:rPr>
          <w:rFonts w:hint="eastAsia" w:ascii="宋体" w:hAnsi="宋体" w:cs="宋体"/>
          <w:color w:val="000000" w:themeColor="text1"/>
          <w:highlight w:val="none"/>
          <w14:textFill>
            <w14:solidFill>
              <w14:schemeClr w14:val="tx1"/>
            </w14:solidFill>
          </w14:textFill>
        </w:rPr>
        <w:t>7.1中标候选人公示</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招标人在收到评标报告之日起 3 日内，按照投标人须知前附表规定的公示媒介和期限公示中标候选人，公示期不得少于 3 日，公示内容包括：</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（1）中标候选人排序、名称、投标报价，对工程质量要求、安全目标和工期的响应情况；</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（2）中标候选人在投标文件中承诺的项目经理和项目总工姓名、个人业绩、相关证书名称和编号；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（3）中标候选人在投标文件中填报的项目业绩；</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（4）被否决投标的投标人名称、否决依据和原因；</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（5）提出异议的渠道和方式；</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（6）投标人须知前附表规定公示的其他内容。</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3" w:name="_Toc9144"/>
      <w:bookmarkEnd w:id="183"/>
      <w:bookmarkStart w:id="184" w:name="_Toc18347"/>
      <w:bookmarkEnd w:id="184"/>
      <w:bookmarkStart w:id="185" w:name="_Toc43475711"/>
      <w:bookmarkEnd w:id="185"/>
      <w:r>
        <w:rPr>
          <w:rFonts w:hint="eastAsia" w:ascii="宋体" w:hAnsi="宋体" w:cs="宋体"/>
          <w:color w:val="000000" w:themeColor="text1"/>
          <w:highlight w:val="none"/>
          <w14:textFill>
            <w14:solidFill>
              <w14:schemeClr w14:val="tx1"/>
            </w14:solidFill>
          </w14:textFill>
        </w:rPr>
        <w:t>7.2评标结果异议</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投标人或其他利害关系人对依法必须进行招标的项目的评标结果有异议的，应在中标候选人公示期间提出。招标人将在收到异议之日起 3 日内作出答复；作出答复前， 将暂停招标投标活动。</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6" w:name="_Toc9592"/>
      <w:bookmarkEnd w:id="186"/>
      <w:bookmarkStart w:id="187" w:name="_Toc2966"/>
      <w:bookmarkEnd w:id="187"/>
      <w:bookmarkStart w:id="188" w:name="_Toc43475712"/>
      <w:bookmarkEnd w:id="188"/>
      <w:r>
        <w:rPr>
          <w:rFonts w:hint="eastAsia" w:ascii="宋体" w:hAnsi="宋体" w:cs="宋体"/>
          <w:color w:val="000000" w:themeColor="text1"/>
          <w:highlight w:val="none"/>
          <w14:textFill>
            <w14:solidFill>
              <w14:schemeClr w14:val="tx1"/>
            </w14:solidFill>
          </w14:textFill>
        </w:rPr>
        <w:t>7.3中标候选人履约能力审查</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9" w:name="_Toc11384"/>
      <w:bookmarkEnd w:id="189"/>
      <w:bookmarkStart w:id="190" w:name="_Toc43475713"/>
      <w:bookmarkEnd w:id="190"/>
      <w:bookmarkStart w:id="191" w:name="_Toc12376"/>
      <w:bookmarkEnd w:id="191"/>
      <w:r>
        <w:rPr>
          <w:rFonts w:hint="eastAsia" w:ascii="宋体" w:hAnsi="宋体" w:cs="宋体"/>
          <w:color w:val="000000" w:themeColor="text1"/>
          <w:highlight w:val="none"/>
          <w14:textFill>
            <w14:solidFill>
              <w14:schemeClr w14:val="tx1"/>
            </w14:solidFill>
          </w14:textFill>
        </w:rPr>
        <w:t>7.4定标</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按照投标人须知前附表的规定，招标人或招标人授权的评标委员会依法确定中标人。</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2" w:name="_Toc12433"/>
      <w:bookmarkEnd w:id="192"/>
      <w:bookmarkStart w:id="193" w:name="_Toc43475714"/>
      <w:bookmarkEnd w:id="193"/>
      <w:bookmarkStart w:id="194" w:name="_Toc6352"/>
      <w:bookmarkEnd w:id="194"/>
      <w:r>
        <w:rPr>
          <w:rFonts w:hint="eastAsia" w:ascii="宋体" w:hAnsi="宋体" w:cs="宋体"/>
          <w:color w:val="000000" w:themeColor="text1"/>
          <w:highlight w:val="none"/>
          <w14:textFill>
            <w14:solidFill>
              <w14:schemeClr w14:val="tx1"/>
            </w14:solidFill>
          </w14:textFill>
        </w:rPr>
        <w:t>7.5中标通知</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在本章第 3.3 款规定的投标有效期内，招标人以投标人须知前附表规定的形式向中标人发出中标通知书，同时将中标结果通知未中标的投标人。</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5" w:name="_Toc43475715"/>
      <w:bookmarkEnd w:id="195"/>
      <w:bookmarkStart w:id="196" w:name="_Toc25675"/>
      <w:bookmarkEnd w:id="196"/>
      <w:bookmarkStart w:id="197" w:name="_Toc7550"/>
      <w:bookmarkEnd w:id="197"/>
      <w:r>
        <w:rPr>
          <w:rFonts w:hint="eastAsia" w:ascii="宋体" w:hAnsi="宋体" w:cs="宋体"/>
          <w:color w:val="000000" w:themeColor="text1"/>
          <w:highlight w:val="none"/>
          <w14:textFill>
            <w14:solidFill>
              <w14:schemeClr w14:val="tx1"/>
            </w14:solidFill>
          </w14:textFill>
        </w:rPr>
        <w:t>7.6中标结果公告</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招标人在确定中标人之日起 3 日内，按照投标人须知前附表规定的公告媒介和期限公告中标结果，公告期不得少于 3 日。公告内容包括中标人名称、中标价。</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8" w:name="_Toc20034"/>
      <w:bookmarkEnd w:id="198"/>
      <w:bookmarkStart w:id="199" w:name="_Toc43475716"/>
      <w:bookmarkEnd w:id="199"/>
      <w:bookmarkStart w:id="200" w:name="_Toc10013"/>
      <w:bookmarkEnd w:id="200"/>
      <w:r>
        <w:rPr>
          <w:rFonts w:hint="eastAsia" w:ascii="宋体" w:hAnsi="宋体" w:cs="宋体"/>
          <w:color w:val="000000" w:themeColor="text1"/>
          <w:highlight w:val="none"/>
          <w14:textFill>
            <w14:solidFill>
              <w14:schemeClr w14:val="tx1"/>
            </w14:solidFill>
          </w14:textFill>
        </w:rPr>
        <w:t>7.7履约保证金</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%。联合体中标的，其履约保证金以联合体各方或联合体中牵头人的名义提交。</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采用银行保函时，应由符合投标人须知前附表规定级别的银行开具，所需的费用由中标人承担，中标人应保证银行保函有效。</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7.7.2中标人不能按本章第 7.7.1 项要求提交履约保证金的，视为放弃中标，其投标保证金不予退还，给招标人造成的损失超过投标保证金数额的，中标人还应对超过部分予以赔偿。</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1" w:name="_Toc43475717"/>
      <w:bookmarkEnd w:id="201"/>
      <w:bookmarkStart w:id="202" w:name="_Toc27583"/>
      <w:bookmarkEnd w:id="202"/>
      <w:bookmarkStart w:id="203" w:name="_Toc4886"/>
      <w:bookmarkEnd w:id="203"/>
      <w:r>
        <w:rPr>
          <w:rFonts w:hint="eastAsia" w:ascii="宋体" w:hAnsi="宋体" w:cs="宋体"/>
          <w:color w:val="000000" w:themeColor="text1"/>
          <w:highlight w:val="none"/>
          <w14:textFill>
            <w14:solidFill>
              <w14:schemeClr w14:val="tx1"/>
            </w14:solidFill>
          </w14:textFill>
        </w:rPr>
        <w:t>7.8签订合同</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7.8.2发出中标通知书后，招标人无正当理由拒签合同，或在签订合同时向中标人提出附加条件的，招标人向中标人退还投标保证金；给中标人造成损失的，还应赔偿损失。</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7.8.3签约合同价的确定原则如下：</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（1）按照评标办法规定对投标报价进行修正后，若修正后的最终投标报价小于开标时的投标函大写金额报价，则签订合同时以修正后的最终投标报价为准；</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7.8.4联合体中标的，联合体各方应共同与招标人签订合同，就中标项目向招标人承担连带责任。</w:t>
      </w:r>
    </w:p>
    <w:p>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7.8.5招标人和中标人在签订合同协议书的同时，须按照本招标文件规定的格式和要求签订廉政合同及安全生产合同，明确双方在廉政建设和安全生产方面的权利和义务以及应承担的违约责任。</w:t>
      </w:r>
    </w:p>
    <w:p>
      <w:pPr>
        <w:pStyle w:val="69"/>
        <w:spacing w:before="156"/>
        <w:rPr>
          <w:color w:val="000000" w:themeColor="text1"/>
          <w:highlight w:val="none"/>
          <w14:textFill>
            <w14:solidFill>
              <w14:schemeClr w14:val="tx1"/>
            </w14:solidFill>
          </w14:textFill>
        </w:rPr>
      </w:pPr>
      <w:bookmarkStart w:id="204" w:name="_Toc43475718"/>
      <w:bookmarkEnd w:id="204"/>
      <w:bookmarkStart w:id="205" w:name="_Toc32608"/>
      <w:bookmarkEnd w:id="205"/>
      <w:bookmarkStart w:id="206" w:name="_Toc1683"/>
      <w:bookmarkEnd w:id="206"/>
      <w:r>
        <w:rPr>
          <w:rFonts w:hint="eastAsia"/>
          <w:color w:val="000000" w:themeColor="text1"/>
          <w:highlight w:val="none"/>
          <w14:textFill>
            <w14:solidFill>
              <w14:schemeClr w14:val="tx1"/>
            </w14:solidFill>
          </w14:textFill>
        </w:rPr>
        <w:t>纪律和监督</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7" w:name="_Toc18388"/>
      <w:bookmarkEnd w:id="207"/>
      <w:bookmarkStart w:id="208" w:name="_Toc43475719"/>
      <w:bookmarkEnd w:id="208"/>
      <w:bookmarkStart w:id="209" w:name="_Toc19942"/>
      <w:bookmarkEnd w:id="209"/>
      <w:r>
        <w:rPr>
          <w:rFonts w:hint="eastAsia" w:ascii="宋体" w:hAnsi="宋体" w:cs="宋体"/>
          <w:color w:val="000000" w:themeColor="text1"/>
          <w:highlight w:val="none"/>
          <w14:textFill>
            <w14:solidFill>
              <w14:schemeClr w14:val="tx1"/>
            </w14:solidFill>
          </w14:textFill>
        </w:rPr>
        <w:t>8.1对招标人的纪律要求</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招标人不得泄露招标投标活动中应保密的情况和资料，不得与投标人串通损害国家利益、社会公共利益或他人合法权益。</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0" w:name="_Toc43475720"/>
      <w:bookmarkEnd w:id="210"/>
      <w:bookmarkStart w:id="211" w:name="_Toc11030"/>
      <w:bookmarkEnd w:id="211"/>
      <w:bookmarkStart w:id="212" w:name="_Toc7432"/>
      <w:bookmarkEnd w:id="212"/>
      <w:r>
        <w:rPr>
          <w:rFonts w:hint="eastAsia" w:ascii="宋体" w:hAnsi="宋体" w:cs="宋体"/>
          <w:color w:val="000000" w:themeColor="text1"/>
          <w:highlight w:val="none"/>
          <w14:textFill>
            <w14:solidFill>
              <w14:schemeClr w14:val="tx1"/>
            </w14:solidFill>
          </w14:textFill>
        </w:rPr>
        <w:t>8.2对投标人的纪律要求</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3" w:name="_Toc43475721"/>
      <w:bookmarkEnd w:id="213"/>
      <w:bookmarkStart w:id="214" w:name="_Toc15026"/>
      <w:bookmarkEnd w:id="214"/>
      <w:bookmarkStart w:id="215" w:name="_Toc23985"/>
      <w:bookmarkEnd w:id="215"/>
      <w:r>
        <w:rPr>
          <w:rFonts w:hint="eastAsia" w:ascii="宋体" w:hAnsi="宋体" w:cs="宋体"/>
          <w:color w:val="000000" w:themeColor="text1"/>
          <w:highlight w:val="none"/>
          <w14:textFill>
            <w14:solidFill>
              <w14:schemeClr w14:val="tx1"/>
            </w14:solidFill>
          </w14:textFill>
        </w:rPr>
        <w:t>8.3对评标委员会成员的纪律要求</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6" w:name="_Toc31858"/>
      <w:bookmarkEnd w:id="216"/>
      <w:bookmarkStart w:id="217" w:name="_Toc20211"/>
      <w:bookmarkEnd w:id="217"/>
      <w:bookmarkStart w:id="218" w:name="_Toc43475722"/>
      <w:bookmarkEnd w:id="218"/>
      <w:r>
        <w:rPr>
          <w:rFonts w:hint="eastAsia" w:ascii="宋体" w:hAnsi="宋体" w:cs="宋体"/>
          <w:color w:val="000000" w:themeColor="text1"/>
          <w:highlight w:val="none"/>
          <w14:textFill>
            <w14:solidFill>
              <w14:schemeClr w14:val="tx1"/>
            </w14:solidFill>
          </w14:textFill>
        </w:rPr>
        <w:t>8.4对与评标活动有关的工作人员的纪律要求</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9" w:name="_Toc24359"/>
      <w:bookmarkEnd w:id="219"/>
      <w:bookmarkStart w:id="220" w:name="_Toc43475723"/>
      <w:bookmarkEnd w:id="220"/>
      <w:bookmarkStart w:id="221" w:name="_Toc22887"/>
      <w:bookmarkEnd w:id="221"/>
      <w:r>
        <w:rPr>
          <w:rFonts w:hint="eastAsia" w:ascii="宋体" w:hAnsi="宋体" w:cs="宋体"/>
          <w:color w:val="000000" w:themeColor="text1"/>
          <w:highlight w:val="none"/>
          <w14:textFill>
            <w14:solidFill>
              <w14:schemeClr w14:val="tx1"/>
            </w14:solidFill>
          </w14:textFill>
        </w:rPr>
        <w:t>8.5投诉</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8.5.1投标人或其他利害关系人认为招标投标活动不符合法律、行政法规规定的， 可以自知道或应当知道之日起 10 日内向有关行政监督部门投诉。投诉应有明确的请求和必要的证明材料。</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监督部门的联系方式见投标人须知前附表。</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8.5.2投标人或其他利害关系人对招标文件、开标和评标结果提出投诉的，应按照本章第 2.4 款、第 5.3 款和第 7.2 款的规定先向招标人提出异议。异议答复期间不计算在第 8.5.1 项规定的期限内。</w:t>
      </w:r>
    </w:p>
    <w:p>
      <w:pPr>
        <w:pStyle w:val="69"/>
        <w:spacing w:before="156"/>
        <w:rPr>
          <w:color w:val="000000" w:themeColor="text1"/>
          <w:highlight w:val="none"/>
          <w14:textFill>
            <w14:solidFill>
              <w14:schemeClr w14:val="tx1"/>
            </w14:solidFill>
          </w14:textFill>
        </w:rPr>
      </w:pPr>
      <w:bookmarkStart w:id="222" w:name="_Toc16397"/>
      <w:bookmarkEnd w:id="222"/>
      <w:bookmarkStart w:id="223" w:name="_Toc43475724"/>
      <w:bookmarkEnd w:id="223"/>
      <w:bookmarkStart w:id="224" w:name="_Toc18834"/>
      <w:bookmarkEnd w:id="224"/>
      <w:r>
        <w:rPr>
          <w:rFonts w:hint="eastAsia"/>
          <w:color w:val="000000" w:themeColor="text1"/>
          <w:highlight w:val="none"/>
          <w14:textFill>
            <w14:solidFill>
              <w14:schemeClr w14:val="tx1"/>
            </w14:solidFill>
          </w14:textFill>
        </w:rPr>
        <w:t>是否采用电子招标投标</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本招标项目是否采用电子招标投标方式，见投标人须知前附表。</w:t>
      </w:r>
    </w:p>
    <w:p>
      <w:pPr>
        <w:pStyle w:val="69"/>
        <w:spacing w:before="156"/>
        <w:rPr>
          <w:rFonts w:ascii="宋体" w:hAnsi="宋体" w:cs="宋体"/>
          <w:color w:val="000000" w:themeColor="text1"/>
          <w:highlight w:val="none"/>
          <w14:textFill>
            <w14:solidFill>
              <w14:schemeClr w14:val="tx1"/>
            </w14:solidFill>
          </w14:textFill>
        </w:rPr>
      </w:pPr>
      <w:bookmarkStart w:id="225" w:name="_Toc29544"/>
      <w:bookmarkEnd w:id="225"/>
      <w:bookmarkStart w:id="226" w:name="_Toc43475725"/>
      <w:bookmarkEnd w:id="226"/>
      <w:bookmarkStart w:id="227" w:name="_Toc22521"/>
      <w:bookmarkEnd w:id="227"/>
      <w:r>
        <w:rPr>
          <w:rFonts w:hint="eastAsia" w:ascii="宋体" w:hAnsi="宋体" w:cs="宋体"/>
          <w:color w:val="000000" w:themeColor="text1"/>
          <w:highlight w:val="none"/>
          <w14:textFill>
            <w14:solidFill>
              <w14:schemeClr w14:val="tx1"/>
            </w14:solidFill>
          </w14:textFill>
        </w:rPr>
        <w:t>需要补充的其他内容</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需要补充的其他内容：见投标人须知前附表。</w:t>
      </w:r>
    </w:p>
    <w:p>
      <w:pPr>
        <w:pStyle w:val="58"/>
        <w:spacing w:line="360" w:lineRule="auto"/>
        <w:ind w:firstLine="0" w:firstLineChars="0"/>
        <w:rPr>
          <w:rFonts w:ascii="宋体" w:hAnsi="宋体" w:cs="宋体"/>
          <w:color w:val="000000" w:themeColor="text1"/>
          <w:highlight w:val="none"/>
          <w14:textFill>
            <w14:solidFill>
              <w14:schemeClr w14:val="tx1"/>
            </w14:solidFill>
          </w14:textFill>
        </w:rPr>
      </w:pPr>
    </w:p>
    <w:p>
      <w:pPr>
        <w:pStyle w:val="58"/>
        <w:rPr>
          <w:rFonts w:ascii="宋体" w:hAnsi="宋体" w:cs="宋体"/>
          <w:color w:val="000000" w:themeColor="text1"/>
          <w:highlight w:val="none"/>
          <w14:textFill>
            <w14:solidFill>
              <w14:schemeClr w14:val="tx1"/>
            </w14:solidFill>
          </w14:textFill>
        </w:rPr>
      </w:pPr>
    </w:p>
    <w:p>
      <w:pPr>
        <w:pStyle w:val="58"/>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28" w:name="_Toc19478"/>
      <w:bookmarkEnd w:id="228"/>
      <w:bookmarkStart w:id="229" w:name="_Toc43475726"/>
      <w:bookmarkEnd w:id="229"/>
      <w:bookmarkStart w:id="230" w:name="_Toc8014"/>
      <w:bookmarkEnd w:id="230"/>
      <w:r>
        <w:rPr>
          <w:rFonts w:hint="eastAsia" w:ascii="宋体" w:hAnsi="宋体" w:cs="宋体"/>
          <w:color w:val="000000" w:themeColor="text1"/>
          <w:highlight w:val="none"/>
          <w14:textFill>
            <w14:solidFill>
              <w14:schemeClr w14:val="tx1"/>
            </w14:solidFill>
          </w14:textFill>
        </w:rPr>
        <w:t>附件一：开标记录表</w:t>
      </w:r>
    </w:p>
    <w:p>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第一个信封（商务及技术文件）</w:t>
      </w:r>
    </w:p>
    <w:p>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开标记录表</w:t>
      </w:r>
    </w:p>
    <w:p>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3"/>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39"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6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197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投标保证金</w:t>
            </w: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递交情况</w:t>
            </w:r>
          </w:p>
        </w:tc>
        <w:tc>
          <w:tcPr>
            <w:tcW w:w="9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w:t>
            </w: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目标</w:t>
            </w:r>
          </w:p>
        </w:tc>
        <w:tc>
          <w:tcPr>
            <w:tcW w:w="8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w:t>
            </w:r>
          </w:p>
        </w:tc>
        <w:tc>
          <w:tcPr>
            <w:tcW w:w="1241"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241" w:type="dxa"/>
          </w:tcPr>
          <w:p>
            <w:pPr>
              <w:pStyle w:val="80"/>
              <w:rPr>
                <w:rFonts w:ascii="Calibri" w:hAnsi="Calibri"/>
                <w:color w:val="000000" w:themeColor="text1"/>
                <w:sz w:val="20"/>
                <w:highlight w:val="none"/>
                <w14:textFill>
                  <w14:solidFill>
                    <w14:schemeClr w14:val="tx1"/>
                  </w14:solidFill>
                </w14:textFill>
              </w:rPr>
            </w:pP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bl>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第二个信封（报价文件）</w:t>
      </w:r>
    </w:p>
    <w:p>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开标记录表</w:t>
      </w:r>
    </w:p>
    <w:p>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3"/>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22"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80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2155"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投标报价（元）</w:t>
            </w:r>
          </w:p>
        </w:tc>
        <w:tc>
          <w:tcPr>
            <w:tcW w:w="17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是否超过最高投标限价</w:t>
            </w:r>
          </w:p>
        </w:tc>
        <w:tc>
          <w:tcPr>
            <w:tcW w:w="803"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193"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招标人编制的最高投标限价（如有）</w:t>
            </w:r>
          </w:p>
        </w:tc>
        <w:tc>
          <w:tcPr>
            <w:tcW w:w="5947" w:type="dxa"/>
            <w:gridSpan w:val="4"/>
            <w:vAlign w:val="center"/>
          </w:tcPr>
          <w:p>
            <w:pPr>
              <w:pStyle w:val="58"/>
              <w:spacing w:line="360" w:lineRule="auto"/>
              <w:ind w:firstLine="0" w:firstLineChars="0"/>
              <w:rPr>
                <w:rFonts w:ascii="宋体" w:hAnsi="宋体" w:cs="宋体"/>
                <w:color w:val="000000" w:themeColor="text1"/>
                <w:highlight w:val="none"/>
                <w14:textFill>
                  <w14:solidFill>
                    <w14:schemeClr w14:val="tx1"/>
                  </w14:solidFill>
                </w14:textFill>
              </w:rPr>
            </w:pPr>
          </w:p>
        </w:tc>
      </w:tr>
    </w:tbl>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1" w:name="_Toc1011"/>
      <w:bookmarkEnd w:id="231"/>
      <w:bookmarkStart w:id="232" w:name="_Toc43475727"/>
      <w:bookmarkEnd w:id="232"/>
      <w:bookmarkStart w:id="233" w:name="_Toc19245"/>
      <w:bookmarkEnd w:id="233"/>
      <w:r>
        <w:rPr>
          <w:rFonts w:hint="eastAsia" w:ascii="宋体" w:hAnsi="宋体" w:cs="宋体"/>
          <w:color w:val="000000" w:themeColor="text1"/>
          <w:highlight w:val="none"/>
          <w14:textFill>
            <w14:solidFill>
              <w14:schemeClr w14:val="tx1"/>
            </w14:solidFill>
          </w14:textFill>
        </w:rPr>
        <w:t>附件二：问题澄清通知</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问题澄清通知</w:t>
      </w:r>
    </w:p>
    <w:p>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（项目名称） </w:t>
      </w:r>
      <w:r>
        <w:rPr>
          <w:rFonts w:hint="eastAsia" w:ascii="宋体" w:hAnsi="宋体" w:cs="宋体"/>
          <w:color w:val="000000" w:themeColor="text1"/>
          <w:highlight w:val="none"/>
          <w14:textFill>
            <w14:solidFill>
              <w14:schemeClr w14:val="tx1"/>
            </w14:solidFill>
          </w14:textFill>
        </w:rPr>
        <w:t>招标的评标委员会，对你方的投标文件进行了仔细的审查，现需你方对下列问题以书面形式予以澄清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pPr>
        <w:pStyle w:val="58"/>
        <w:spacing w:line="360" w:lineRule="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请将上述问题的澄清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于年   月   日时前递交至（详细地址）或传真至（传真号码）</w:t>
      </w:r>
      <w:r>
        <w:rPr>
          <w:color w:val="000000" w:themeColor="text1"/>
          <w:highlight w:val="none"/>
          <w14:textFill>
            <w14:solidFill>
              <w14:schemeClr w14:val="tx1"/>
            </w14:solidFill>
          </w14:textFill>
        </w:rPr>
        <w:t>或通过下载招标文件的电子招标交易平台上传</w:t>
      </w:r>
      <w:r>
        <w:rPr>
          <w:rFonts w:hint="eastAsia"/>
          <w:color w:val="000000" w:themeColor="text1"/>
          <w:spacing w:val="-108"/>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采用传真方式的，应在年   月   日时分前将原件递交至</w:t>
      </w:r>
      <w:r>
        <w:rPr>
          <w:rFonts w:hint="eastAsia" w:ascii="宋体" w:hAnsi="宋体" w:cs="宋体"/>
          <w:color w:val="000000" w:themeColor="text1"/>
          <w:highlight w:val="none"/>
          <w:u w:val="single"/>
          <w14:textFill>
            <w14:solidFill>
              <w14:schemeClr w14:val="tx1"/>
            </w14:solidFill>
          </w14:textFill>
        </w:rPr>
        <w:t xml:space="preserve"> （详细地址）。</w:t>
      </w:r>
    </w:p>
    <w:p>
      <w:pPr>
        <w:pStyle w:val="58"/>
        <w:spacing w:line="360" w:lineRule="auto"/>
        <w:rPr>
          <w:rFonts w:ascii="宋体" w:hAnsi="宋体" w:cs="宋体"/>
          <w:color w:val="000000" w:themeColor="text1"/>
          <w:highlight w:val="none"/>
          <w14:textFill>
            <w14:solidFill>
              <w14:schemeClr w14:val="tx1"/>
            </w14:solidFill>
          </w14:textFill>
        </w:rPr>
      </w:pPr>
    </w:p>
    <w:p>
      <w:pPr>
        <w:pStyle w:val="59"/>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评标委员会授权的招标人或招标代理机构：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（签字或盖单位章）</w:t>
      </w:r>
    </w:p>
    <w:p>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59"/>
        <w:ind w:left="4536" w:leftChars="2160" w:firstLine="1200" w:firstLineChars="500"/>
        <w:rPr>
          <w:rFonts w:ascii="宋体" w:hAnsi="宋体" w:cs="宋体"/>
          <w:color w:val="000000" w:themeColor="text1"/>
          <w:highlight w:val="none"/>
          <w14:textFill>
            <w14:solidFill>
              <w14:schemeClr w14:val="tx1"/>
            </w14:solidFill>
          </w14:textFill>
        </w:rPr>
      </w:pP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4" w:name="_Toc43475728"/>
      <w:bookmarkEnd w:id="234"/>
      <w:bookmarkStart w:id="235" w:name="_Toc11846"/>
      <w:bookmarkEnd w:id="235"/>
      <w:bookmarkStart w:id="236" w:name="_Toc20337"/>
      <w:bookmarkEnd w:id="236"/>
      <w:r>
        <w:rPr>
          <w:rFonts w:hint="eastAsia" w:ascii="宋体" w:hAnsi="宋体" w:cs="宋体"/>
          <w:color w:val="000000" w:themeColor="text1"/>
          <w:highlight w:val="none"/>
          <w14:textFill>
            <w14:solidFill>
              <w14:schemeClr w14:val="tx1"/>
            </w14:solidFill>
          </w14:textFill>
        </w:rPr>
        <w:t>附件三：问题的澄清</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问题的澄清</w:t>
      </w:r>
    </w:p>
    <w:p>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 招标评标委员会：</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问题澄清通知（编号：）已收悉，现澄清、说明如下：</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上述问题澄清或说明，不改变我方投标文件的实质性内容，构成我方投标文件的组成部分。</w:t>
      </w:r>
    </w:p>
    <w:p>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法定代表人或其委托代理人：（签字）</w:t>
      </w:r>
    </w:p>
    <w:p>
      <w:pPr>
        <w:pStyle w:val="58"/>
        <w:spacing w:line="360" w:lineRule="auto"/>
        <w:ind w:left="4536" w:leftChars="2160" w:firstLine="1440" w:firstLineChars="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7" w:name="_Toc10043"/>
      <w:bookmarkEnd w:id="237"/>
      <w:bookmarkStart w:id="238" w:name="_Toc43475729"/>
      <w:bookmarkEnd w:id="238"/>
      <w:bookmarkStart w:id="239" w:name="_Toc19958"/>
      <w:bookmarkEnd w:id="239"/>
      <w:r>
        <w:rPr>
          <w:rFonts w:hint="eastAsia" w:ascii="宋体" w:hAnsi="宋体" w:cs="宋体"/>
          <w:color w:val="000000" w:themeColor="text1"/>
          <w:highlight w:val="none"/>
          <w14:textFill>
            <w14:solidFill>
              <w14:schemeClr w14:val="tx1"/>
            </w14:solidFill>
          </w14:textFill>
        </w:rPr>
        <w:t>附件四：中标通知书</w:t>
      </w:r>
    </w:p>
    <w:p>
      <w:pPr>
        <w:pStyle w:val="58"/>
        <w:spacing w:line="360" w:lineRule="auto"/>
        <w:ind w:firstLine="6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中标通知书</w:t>
      </w:r>
    </w:p>
    <w:p>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提供的中标通知书格式）</w:t>
      </w:r>
    </w:p>
    <w:p>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40" w:name="_Toc23714"/>
      <w:bookmarkEnd w:id="240"/>
      <w:bookmarkStart w:id="241" w:name="_Toc30346"/>
      <w:bookmarkEnd w:id="241"/>
      <w:bookmarkStart w:id="242" w:name="_Toc43475730"/>
      <w:bookmarkEnd w:id="242"/>
      <w:r>
        <w:rPr>
          <w:rFonts w:hint="eastAsia" w:ascii="宋体" w:hAnsi="宋体" w:cs="宋体"/>
          <w:color w:val="000000" w:themeColor="text1"/>
          <w:highlight w:val="none"/>
          <w14:textFill>
            <w14:solidFill>
              <w14:schemeClr w14:val="tx1"/>
            </w14:solidFill>
          </w14:textFill>
        </w:rPr>
        <w:t>附件五：中标结果通知书</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中标结果通知书</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p>
    <w:p>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提供的中标结果通知书格式）</w:t>
      </w:r>
    </w:p>
    <w:p>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43" w:name="_Toc14151"/>
      <w:bookmarkEnd w:id="243"/>
      <w:bookmarkStart w:id="244" w:name="_Toc43475731"/>
      <w:bookmarkEnd w:id="244"/>
      <w:bookmarkStart w:id="245" w:name="_Toc19033"/>
      <w:bookmarkEnd w:id="245"/>
      <w:r>
        <w:rPr>
          <w:rFonts w:hint="eastAsia" w:ascii="宋体" w:hAnsi="宋体" w:cs="宋体"/>
          <w:color w:val="000000" w:themeColor="text1"/>
          <w:highlight w:val="none"/>
          <w14:textFill>
            <w14:solidFill>
              <w14:schemeClr w14:val="tx1"/>
            </w14:solidFill>
          </w14:textFill>
        </w:rPr>
        <w:t>附表六：确认通知</w:t>
      </w:r>
    </w:p>
    <w:p>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确认通知</w:t>
      </w:r>
    </w:p>
    <w:p>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（招标人名称）</w:t>
      </w:r>
      <w:r>
        <w:rPr>
          <w:rFonts w:hint="eastAsia" w:ascii="宋体" w:hAnsi="宋体" w:cs="宋体"/>
          <w:color w:val="000000" w:themeColor="text1"/>
          <w:highlight w:val="none"/>
          <w14:textFill>
            <w14:solidFill>
              <w14:schemeClr w14:val="tx1"/>
            </w14:solidFill>
          </w14:textFill>
        </w:rPr>
        <w:t>：</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我方与年   月   日发出的</w:t>
      </w:r>
      <w:r>
        <w:rPr>
          <w:rFonts w:hint="eastAsia" w:ascii="宋体" w:hAnsi="宋体" w:cs="宋体"/>
          <w:color w:val="000000" w:themeColor="text1"/>
          <w:highlight w:val="none"/>
          <w:u w:val="single"/>
          <w14:textFill>
            <w14:solidFill>
              <w14:schemeClr w14:val="tx1"/>
            </w14:solidFill>
          </w14:textFill>
        </w:rPr>
        <w:t xml:space="preserve">    （项目名称）</w:t>
      </w:r>
      <w:r>
        <w:rPr>
          <w:rFonts w:hint="eastAsia" w:ascii="宋体" w:hAnsi="宋体" w:cs="宋体"/>
          <w:color w:val="000000" w:themeColor="text1"/>
          <w:highlight w:val="none"/>
          <w14:textFill>
            <w14:solidFill>
              <w14:schemeClr w14:val="tx1"/>
            </w14:solidFill>
          </w14:textFill>
        </w:rPr>
        <w:t>招标关于招标文件澄清/修改的通知（第号补遗书，正文共页），我方已于年   月   日收到。</w:t>
      </w:r>
    </w:p>
    <w:p>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特此确认。</w:t>
      </w:r>
    </w:p>
    <w:p>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pPr>
        <w:pStyle w:val="58"/>
        <w:spacing w:line="360" w:lineRule="auto"/>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tabs>
          <w:tab w:val="left" w:pos="5219"/>
        </w:tabs>
        <w:spacing w:before="192"/>
        <w:rPr>
          <w:color w:val="000000" w:themeColor="text1"/>
          <w:spacing w:val="-20"/>
          <w:sz w:val="54"/>
          <w:highlight w:val="none"/>
          <w14:textFill>
            <w14:solidFill>
              <w14:schemeClr w14:val="tx1"/>
            </w14:solidFill>
          </w14:textFill>
        </w:rPr>
      </w:pPr>
    </w:p>
    <w:p>
      <w:pPr>
        <w:jc w:val="center"/>
        <w:rPr>
          <w:color w:val="000000" w:themeColor="text1"/>
          <w:sz w:val="54"/>
          <w:highlight w:val="none"/>
          <w14:textFill>
            <w14:solidFill>
              <w14:schemeClr w14:val="tx1"/>
            </w14:solidFill>
          </w14:textFill>
        </w:rPr>
      </w:pPr>
      <w:r>
        <w:rPr>
          <w:b/>
          <w:bCs/>
          <w:color w:val="000000" w:themeColor="text1"/>
          <w:spacing w:val="-20"/>
          <w:sz w:val="54"/>
          <w:highlight w:val="none"/>
          <w14:textFill>
            <w14:solidFill>
              <w14:schemeClr w14:val="tx1"/>
            </w14:solidFill>
          </w14:textFill>
        </w:rPr>
        <w:t>第三</w:t>
      </w:r>
      <w:r>
        <w:rPr>
          <w:b/>
          <w:bCs/>
          <w:color w:val="000000" w:themeColor="text1"/>
          <w:sz w:val="54"/>
          <w:highlight w:val="none"/>
          <w14:textFill>
            <w14:solidFill>
              <w14:schemeClr w14:val="tx1"/>
            </w14:solidFill>
          </w14:textFill>
        </w:rPr>
        <w:t>章</w:t>
      </w:r>
      <w:r>
        <w:rPr>
          <w:b/>
          <w:bCs/>
          <w:color w:val="000000" w:themeColor="text1"/>
          <w:spacing w:val="-20"/>
          <w:sz w:val="54"/>
          <w:highlight w:val="none"/>
          <w14:textFill>
            <w14:solidFill>
              <w14:schemeClr w14:val="tx1"/>
            </w14:solidFill>
          </w14:textFill>
        </w:rPr>
        <w:t>评标办法</w:t>
      </w:r>
    </w:p>
    <w:p>
      <w:pPr>
        <w:jc w:val="left"/>
        <w:rPr>
          <w:color w:val="000000" w:themeColor="text1"/>
          <w:sz w:val="54"/>
          <w:highlight w:val="none"/>
          <w14:textFill>
            <w14:solidFill>
              <w14:schemeClr w14:val="tx1"/>
            </w14:solidFill>
          </w14:textFill>
        </w:rPr>
        <w:sectPr>
          <w:footerReference r:id="rId8" w:type="default"/>
          <w:pgSz w:w="11910" w:h="16840"/>
          <w:pgMar w:top="940" w:right="720" w:bottom="1180" w:left="980" w:header="707" w:footer="998" w:gutter="0"/>
          <w:cols w:space="720" w:num="1"/>
        </w:sectPr>
      </w:pPr>
    </w:p>
    <w:p>
      <w:pPr>
        <w:jc w:val="center"/>
        <w:rPr>
          <w:rFonts w:ascii="宋体" w:hAnsi="宋体"/>
          <w:color w:val="000000" w:themeColor="text1"/>
          <w:sz w:val="72"/>
          <w:szCs w:val="72"/>
          <w:highlight w:val="none"/>
          <w14:textFill>
            <w14:solidFill>
              <w14:schemeClr w14:val="tx1"/>
            </w14:solidFill>
          </w14:textFill>
        </w:rPr>
      </w:pPr>
      <w:bookmarkStart w:id="246" w:name="_Toc43475732"/>
      <w:bookmarkEnd w:id="246"/>
    </w:p>
    <w:p>
      <w:pPr>
        <w:pStyle w:val="2"/>
        <w:jc w:val="center"/>
        <w:rPr>
          <w:rFonts w:ascii="黑体" w:eastAsia="黑体"/>
          <w:color w:val="000000" w:themeColor="text1"/>
          <w:highlight w:val="none"/>
          <w14:textFill>
            <w14:solidFill>
              <w14:schemeClr w14:val="tx1"/>
            </w14:solidFill>
          </w14:textFill>
        </w:rPr>
      </w:pPr>
      <w:bookmarkStart w:id="247" w:name="_Toc26510"/>
      <w:r>
        <w:rPr>
          <w:rFonts w:hint="eastAsia"/>
          <w:color w:val="000000" w:themeColor="text1"/>
          <w:highlight w:val="none"/>
          <w14:textFill>
            <w14:solidFill>
              <w14:schemeClr w14:val="tx1"/>
            </w14:solidFill>
          </w14:textFill>
        </w:rPr>
        <w:t>第三章评标办法（双信封的合理低价法）</w:t>
      </w:r>
      <w:bookmarkEnd w:id="247"/>
    </w:p>
    <w:p>
      <w:pPr>
        <w:pStyle w:val="3"/>
        <w:rPr>
          <w:color w:val="000000" w:themeColor="text1"/>
          <w:highlight w:val="none"/>
          <w14:textFill>
            <w14:solidFill>
              <w14:schemeClr w14:val="tx1"/>
            </w14:solidFill>
          </w14:textFill>
        </w:rPr>
      </w:pPr>
      <w:bookmarkStart w:id="248" w:name="_Toc13608"/>
      <w:r>
        <w:rPr>
          <w:color w:val="000000" w:themeColor="text1"/>
          <w:highlight w:val="none"/>
          <w14:textFill>
            <w14:solidFill>
              <w14:schemeClr w14:val="tx1"/>
            </w14:solidFill>
          </w14:textFill>
        </w:rPr>
        <w:t>评标办法前附表</w:t>
      </w:r>
      <w:bookmarkEnd w:id="248"/>
    </w:p>
    <w:tbl>
      <w:tblPr>
        <w:tblStyle w:val="4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460"/>
        <w:gridCol w:w="10"/>
        <w:gridCol w:w="1560"/>
        <w:gridCol w:w="5290"/>
        <w:gridCol w:w="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2361" w:type="dxa"/>
            <w:gridSpan w:val="3"/>
            <w:vAlign w:val="center"/>
          </w:tcPr>
          <w:p>
            <w:pPr>
              <w:spacing w:line="320" w:lineRule="exact"/>
              <w:jc w:val="center"/>
              <w:rPr>
                <w:rFonts w:ascii="宋体" w:hAnsi="宋体"/>
                <w:b/>
                <w:color w:val="000000" w:themeColor="text1"/>
                <w:sz w:val="24"/>
                <w:highlight w:val="none"/>
                <w14:textFill>
                  <w14:solidFill>
                    <w14:schemeClr w14:val="tx1"/>
                  </w14:solidFill>
                </w14:textFill>
              </w:rPr>
            </w:pPr>
            <w:bookmarkStart w:id="249" w:name="_Toc234382653"/>
            <w:bookmarkStart w:id="250" w:name="_Toc522725722"/>
            <w:r>
              <w:rPr>
                <w:rFonts w:hint="eastAsia" w:ascii="宋体" w:hAnsi="宋体"/>
                <w:b/>
                <w:color w:val="000000" w:themeColor="text1"/>
                <w:sz w:val="24"/>
                <w:highlight w:val="none"/>
                <w14:textFill>
                  <w14:solidFill>
                    <w14:schemeClr w14:val="tx1"/>
                  </w14:solidFill>
                </w14:textFill>
              </w:rPr>
              <w:t>条款号</w:t>
            </w:r>
          </w:p>
        </w:tc>
        <w:tc>
          <w:tcPr>
            <w:tcW w:w="6860" w:type="dxa"/>
            <w:gridSpan w:val="3"/>
            <w:vAlign w:val="center"/>
          </w:tcPr>
          <w:p>
            <w:pPr>
              <w:spacing w:line="32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评审因素与标准</w:t>
            </w:r>
          </w:p>
          <w:p>
            <w:pPr>
              <w:spacing w:line="32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893" w:hRule="atLeast"/>
          <w:jc w:val="center"/>
        </w:trPr>
        <w:tc>
          <w:tcPr>
            <w:tcW w:w="891" w:type="dxa"/>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460" w:type="dxa"/>
            <w:vAlign w:val="center"/>
          </w:tcPr>
          <w:p>
            <w:pPr>
              <w:snapToGrid w:val="0"/>
              <w:spacing w:line="320" w:lineRule="exact"/>
              <w:ind w:left="1" w:right="113" w:firstLine="36" w:firstLineChars="15"/>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评标方法</w:t>
            </w:r>
          </w:p>
        </w:tc>
        <w:tc>
          <w:tcPr>
            <w:tcW w:w="6860" w:type="dxa"/>
            <w:gridSpan w:val="3"/>
            <w:vAlign w:val="center"/>
          </w:tcPr>
          <w:p>
            <w:pPr>
              <w:spacing w:line="320" w:lineRule="exact"/>
              <w:ind w:left="113" w:right="11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综合评分相等时，评标委员会依次按照以下优先顺序推荐中标候选人或确定中标人：</w:t>
            </w:r>
          </w:p>
          <w:p>
            <w:pPr>
              <w:spacing w:line="320" w:lineRule="exact"/>
              <w:ind w:left="113" w:right="11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（1）评标价低的优先；</w:t>
            </w:r>
          </w:p>
          <w:p>
            <w:pPr>
              <w:spacing w:line="320" w:lineRule="exact"/>
              <w:ind w:left="113" w:right="11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（2）按招标文件规定被认定为最新年度广东省公路工程从业单位信用评价等级较高的投标人优先；</w:t>
            </w:r>
          </w:p>
          <w:p>
            <w:pPr>
              <w:spacing w:line="320" w:lineRule="exact"/>
              <w:ind w:left="113" w:right="11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【采用如下的优先顺序：承诺使用的 AA 级投标人、不承诺使用的 AA 级投标人、承诺使用的A 级投标人、不承诺使用的A 级投标人、B 级投标人、未参评且被确定为B 级投标人】</w:t>
            </w:r>
          </w:p>
          <w:p>
            <w:pPr>
              <w:spacing w:line="320" w:lineRule="exact"/>
              <w:ind w:left="113" w:right="11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（3）以投标人企业最新年度净资产较高的优先；</w:t>
            </w:r>
          </w:p>
          <w:p>
            <w:pPr>
              <w:spacing w:line="320" w:lineRule="exact"/>
              <w:ind w:left="113" w:right="113"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（4）评标委员会视投标人情况综合比较，投票确定其名次。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893" w:hRule="atLeast"/>
          <w:jc w:val="center"/>
        </w:trPr>
        <w:tc>
          <w:tcPr>
            <w:tcW w:w="891" w:type="dxa"/>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w:t>
            </w:r>
          </w:p>
        </w:tc>
        <w:tc>
          <w:tcPr>
            <w:tcW w:w="1460" w:type="dxa"/>
            <w:vAlign w:val="center"/>
          </w:tcPr>
          <w:p>
            <w:pPr>
              <w:snapToGrid w:val="0"/>
              <w:spacing w:line="320" w:lineRule="exact"/>
              <w:ind w:left="113" w:right="113" w:firstLine="2" w:firstLineChars="1"/>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形式评审与响应性评审标准</w:t>
            </w:r>
          </w:p>
        </w:tc>
        <w:tc>
          <w:tcPr>
            <w:tcW w:w="6860" w:type="dxa"/>
            <w:gridSpan w:val="3"/>
          </w:tcPr>
          <w:p>
            <w:pPr>
              <w:pStyle w:val="80"/>
              <w:tabs>
                <w:tab w:val="left" w:pos="804"/>
              </w:tabs>
              <w:overflowPunct w:val="0"/>
              <w:rPr>
                <w:rFonts w:ascii="宋体" w:hAnsi="宋体" w:cs="宋体"/>
                <w:b/>
                <w:color w:val="000000" w:themeColor="text1"/>
                <w:spacing w:val="-1"/>
                <w:sz w:val="24"/>
                <w:highlight w:val="none"/>
                <w14:textFill>
                  <w14:solidFill>
                    <w14:schemeClr w14:val="tx1"/>
                  </w14:solidFill>
                </w14:textFill>
              </w:rPr>
            </w:pPr>
            <w:r>
              <w:rPr>
                <w:rFonts w:hint="eastAsia" w:ascii="宋体" w:hAnsi="宋体" w:cs="宋体"/>
                <w:b/>
                <w:color w:val="000000" w:themeColor="text1"/>
                <w:spacing w:val="-1"/>
                <w:sz w:val="24"/>
                <w:highlight w:val="none"/>
                <w14:textFill>
                  <w14:solidFill>
                    <w14:schemeClr w14:val="tx1"/>
                  </w14:solidFill>
                </w14:textFill>
              </w:rPr>
              <w:t>第一个信封（商务及技术文件）评审标准：</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（1）投标文件按照招标文件规定的格式、内容填写，字迹清晰可辨；</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a.投标函按招标文件规定填报了项目名称、标段号( 如有)、补遗书编号（如有)、工期、工程质量要求及安全目标；</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b.投标函附录的所有数据均符合招标文件规定；</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c.投标文件组成齐全完整，内容均按规定填写。</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（2）投标文件上法定代表人或其委托代理人的签字、投标人的单位章盖章齐全，符合招标文件规定：</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（3）投标人按照招标文件的规定提供了投标保证金：</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a.投标保证金金额符合招标文件规定的金额，且投标保证金有效期不少于投标有效期；</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b.若投标保证金采用现金或支票形式提交，投标人应在投标人须知 3.4.1款规定的时间，将投标保证金由投标人的基本账户转入招标人指定账户；</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c.若投标保证金采用银行保函或投标人须知前附表 3.4.1 项规定的其他形式提交，应满足招标文件要求。</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（4）投标人法定代表人授权委托代理人签署投标文件的，需提交授权委托书，且授权人和被授权人均在授权委托书上签名，未使用印章、签名章或其他电子制版签名代替。</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（5）投标人法定代表人亲自签署投标文件的，提供了法定代表人身份证明，且法定代表人在法定代表人身份证明上签名，未使用印章、签名章或其他电子制版签名代替。</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（6）如投标人不具备拟分包工程所需的某专项工程相应资质或投标人如有分包计划，符合招标文件第二章“投标人须知”第 1.11款规定，且按招标文件第九章“投标文件格式”的要求填写了“拟分包项目情况表”。</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（7）同一投标人未提交两个以上不同的投标文件，但招标文件要求提交备选投标的除外。</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（8）投标文件中未出现有关投标报价的内容。</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（9）投标文件载明的招标项目完成期限未超过招标文件规定的时限。</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（10）投标文件对招标文件的实质性要求和条件作出响应。</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（11）权利义务符合招标文件规定：</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a.投标人应接受招标文件规定的风险划分原则，未提出新的风险划分办法；</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b.投标人未增加发包人的责任范围，或减少投标人义务；</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c.投标人未提出不同的工程验收、计量、支付办法；</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d.投标人对合同纠纷、事故处理办法未提出异议；</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e.投标人在投标活动中无欺诈行为；</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f.投标人未对合同条款有重要保留。</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（12）投标文件未附有招标人不能接受的条件。</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p>
          <w:p>
            <w:pPr>
              <w:pStyle w:val="80"/>
              <w:tabs>
                <w:tab w:val="left" w:pos="804"/>
              </w:tabs>
              <w:overflowPunct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第二个信封（报价文件）评审标准：</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（1）投标文件按照招标文件规定的格式、内容填写，字迹清晰可辨：</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a.投标函按招标文件规定填报了项目名称、标段号（如有)、补遗书编号（如有)、投标报价（包括大写金额和小写金额)；</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b.已标价工程量清单说明文字与招标文件规定一致，未进行实质性修改和删减；</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c.投标文件组成齐全完整，内容均按规定填写。</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（2）投标文件上法定代表人或其委托代理人的签字、投标人的单位章盖章齐全，符合招标文件规定。</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（3）投标总报价或调价函中的报价未超过招标文件设定的最高投标限价（如有)及最高评标限价（如有）。</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（4）投标总报价或调价函中报价的大写金额能够确定具体数值。</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（5）同一投标人未提交两个以上不同的投标文件，但招标文件要求提交备选投标的除外。 </w:t>
            </w:r>
          </w:p>
          <w:p>
            <w:pPr>
              <w:pStyle w:val="80"/>
              <w:tabs>
                <w:tab w:val="left" w:pos="804"/>
              </w:tabs>
              <w:overflowPunct w:val="0"/>
              <w:ind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44" w:hRule="atLeast"/>
          <w:jc w:val="center"/>
        </w:trPr>
        <w:tc>
          <w:tcPr>
            <w:tcW w:w="891" w:type="dxa"/>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w:t>
            </w:r>
          </w:p>
        </w:tc>
        <w:tc>
          <w:tcPr>
            <w:tcW w:w="1470" w:type="dxa"/>
            <w:gridSpan w:val="2"/>
            <w:vAlign w:val="center"/>
          </w:tcPr>
          <w:p>
            <w:pPr>
              <w:spacing w:line="320" w:lineRule="exact"/>
              <w:ind w:left="113" w:right="113" w:firstLine="4" w:firstLineChars="2"/>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资格评审标准</w:t>
            </w:r>
          </w:p>
        </w:tc>
        <w:tc>
          <w:tcPr>
            <w:tcW w:w="6860" w:type="dxa"/>
            <w:gridSpan w:val="3"/>
            <w:vAlign w:val="center"/>
          </w:tcPr>
          <w:p>
            <w:pPr>
              <w:spacing w:line="320" w:lineRule="exact"/>
              <w:ind w:left="113" w:right="113"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spacing w:line="320" w:lineRule="exact"/>
              <w:ind w:left="113" w:right="113"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（2）投标人的资质等级符合招标文件规定；</w:t>
            </w:r>
          </w:p>
          <w:p>
            <w:pPr>
              <w:spacing w:line="320" w:lineRule="exact"/>
              <w:ind w:left="113" w:right="113"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（3）投标人的财务状况符合招标文件规定；</w:t>
            </w:r>
          </w:p>
          <w:p>
            <w:pPr>
              <w:spacing w:line="320" w:lineRule="exact"/>
              <w:ind w:left="113" w:right="113"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（4）投标人的类似项目业绩符合招标文件规定；</w:t>
            </w:r>
          </w:p>
          <w:p>
            <w:pPr>
              <w:spacing w:line="320" w:lineRule="exact"/>
              <w:ind w:left="113" w:right="113"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（5）投标人的信誉符合招标文件规定；</w:t>
            </w:r>
          </w:p>
          <w:p>
            <w:pPr>
              <w:spacing w:line="320" w:lineRule="exact"/>
              <w:ind w:left="113" w:right="113"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（6）投标人的项目经理和项目总工资格、在岗情况符合招标文件规定，并按规定在投标文件中签字确认；</w:t>
            </w:r>
          </w:p>
          <w:p>
            <w:pPr>
              <w:spacing w:line="320" w:lineRule="exact"/>
              <w:ind w:left="113" w:right="113"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（7）投标人的其他要求符合招标文件规定；</w:t>
            </w:r>
          </w:p>
          <w:p>
            <w:pPr>
              <w:spacing w:line="320" w:lineRule="exact"/>
              <w:ind w:left="113" w:right="113"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（8）投标人不存在第二章“投标人须知”第 1.4.3 项或第 1.4.4 项规 定的任何一种情形；</w:t>
            </w:r>
          </w:p>
          <w:p>
            <w:pPr>
              <w:spacing w:line="320" w:lineRule="exact"/>
              <w:ind w:left="113" w:right="113"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（9）投标人符合第二章“投标人须知”第 1.4.5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spacing w:line="320" w:lineRule="exact"/>
              <w:ind w:right="113"/>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条款号</w:t>
            </w:r>
          </w:p>
        </w:tc>
        <w:tc>
          <w:tcPr>
            <w:tcW w:w="1560" w:type="dxa"/>
            <w:vAlign w:val="center"/>
          </w:tcPr>
          <w:p>
            <w:pPr>
              <w:spacing w:line="320" w:lineRule="exact"/>
              <w:ind w:right="113"/>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条款内容</w:t>
            </w:r>
          </w:p>
        </w:tc>
        <w:tc>
          <w:tcPr>
            <w:tcW w:w="5300" w:type="dxa"/>
            <w:gridSpan w:val="2"/>
            <w:vAlign w:val="center"/>
          </w:tcPr>
          <w:p>
            <w:pPr>
              <w:spacing w:line="320" w:lineRule="exact"/>
              <w:ind w:right="113"/>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spacing w:line="320" w:lineRule="exact"/>
              <w:ind w:right="113"/>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2.2.1</w:t>
            </w:r>
          </w:p>
        </w:tc>
        <w:tc>
          <w:tcPr>
            <w:tcW w:w="1560" w:type="dxa"/>
            <w:vAlign w:val="center"/>
          </w:tcPr>
          <w:p>
            <w:pPr>
              <w:spacing w:line="320" w:lineRule="exact"/>
              <w:ind w:right="113"/>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分值构成</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（总分100分）</w:t>
            </w:r>
          </w:p>
        </w:tc>
        <w:tc>
          <w:tcPr>
            <w:tcW w:w="5300" w:type="dxa"/>
            <w:gridSpan w:val="2"/>
            <w:vAlign w:val="center"/>
          </w:tcPr>
          <w:p>
            <w:pPr>
              <w:spacing w:line="320" w:lineRule="exact"/>
              <w:ind w:right="11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评标价：95 分</w:t>
            </w:r>
          </w:p>
          <w:p>
            <w:pPr>
              <w:spacing w:line="320" w:lineRule="exact"/>
              <w:ind w:right="11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其它因素：5 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78" w:hRule="atLeast"/>
          <w:jc w:val="center"/>
        </w:trPr>
        <w:tc>
          <w:tcPr>
            <w:tcW w:w="2361" w:type="dxa"/>
            <w:gridSpan w:val="3"/>
            <w:vAlign w:val="center"/>
          </w:tcPr>
          <w:p>
            <w:pPr>
              <w:spacing w:line="320" w:lineRule="exact"/>
              <w:ind w:right="113"/>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2.2.2</w:t>
            </w:r>
          </w:p>
        </w:tc>
        <w:tc>
          <w:tcPr>
            <w:tcW w:w="1560" w:type="dxa"/>
            <w:vAlign w:val="center"/>
          </w:tcPr>
          <w:p>
            <w:pPr>
              <w:spacing w:line="320" w:lineRule="exact"/>
              <w:ind w:left="92" w:leftChars="36" w:right="113" w:hanging="16" w:hangingChars="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评标基准价计算方法</w:t>
            </w:r>
          </w:p>
        </w:tc>
        <w:tc>
          <w:tcPr>
            <w:tcW w:w="5300" w:type="dxa"/>
            <w:gridSpan w:val="2"/>
            <w:vAlign w:val="center"/>
          </w:tcPr>
          <w:p>
            <w:pPr>
              <w:spacing w:line="320" w:lineRule="exact"/>
              <w:ind w:left="105" w:leftChars="50" w:right="28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评标基准价的计算：</w:t>
            </w:r>
          </w:p>
          <w:p>
            <w:pPr>
              <w:spacing w:line="320" w:lineRule="exact"/>
              <w:ind w:left="105" w:leftChars="50" w:right="28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在开标现场，招标人将当场计算并宣布评标基准价。</w:t>
            </w:r>
          </w:p>
          <w:p>
            <w:pPr>
              <w:spacing w:line="320" w:lineRule="exact"/>
              <w:ind w:left="105" w:leftChars="50" w:right="28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评标价的确定：</w:t>
            </w:r>
          </w:p>
          <w:p>
            <w:pPr>
              <w:spacing w:line="320" w:lineRule="exact"/>
              <w:ind w:left="105" w:leftChars="50" w:right="283"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评标价=投标函文字报价</w:t>
            </w:r>
          </w:p>
          <w:p>
            <w:pPr>
              <w:spacing w:line="320" w:lineRule="exact"/>
              <w:ind w:left="105" w:leftChars="50" w:right="28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最高评标限价的确定</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最高投标限价下浮率 (以下简称“下浮率”) 在第二个信封开标前在开标现场采取逐标段摇珠方式确定。</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方法的选择：1 号球代表方法一，2 号球代表方法二，采用随机摇珠的方式摇取 1 个球，摇出球对应的方法即为下一步采取的下浮率摇珠操作方法。</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下浮率摇珠操作方法如下：</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方法一：在下浮率摇珠范围内，以 0.1%为一档次增序确定摇珠号码，不少于 31 个球，每个标段各一次性摇取 1 个球，摇出球对应的下浮率即为本标段招标的下浮率。  (注：下浮率摇珠区间为0 - 3%，共31个球。)</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方法二：在下浮率摇珠范围内，以 0.1%为一档次增序确定摇珠号码， 不少于 31 个球，每个标段各一次性摇取 3 个球 (摇出的球不放回) ，摇出 3 个球对应的下浮率的平均值即为本标段招标的下浮率。  (注：下浮率摇珠区间为0 - 3%，共31个球，摇出三个下浮率的平均值四舍五入取整到 0.001％) 。</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最高评标限价＝最高投标限价× (1-下浮率)</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最高投标限价、下浮率有效范围可在投标文件递交截止日15 天前以书面补遗书的形式通知各投标人。</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有效评标价范围：</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有效评标价范围为：不大于最高评标限价的评标价为有效评标价。大于最高评标限价的评标价，将否决其投标。</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确定参与评标基准价计算的有效评标价的平均值计算：</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①参与评标基准价计算的评标价的范围：最高评标限价的85%≤参与评标基准价计算的评标价≤最高评标限价的 100% ，小于最高评标限价的 85% 的评标价不参与评标基准价的计算，但仍参与评标价的得分计算。</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②参与评标基准价计算的有效评标价的平均值计算：除按第二章“投标人须知”第 5.2.4 项规定开标现场被宣布为不进入评标基准价计算的投标报价之外，在上述确定的参与评标基准价计算的评标价中去掉一个最高值和一个最低值后的算术平均值即为参与评标基准价计算的有效评标价的平均值(如果参与评标价平均值计算的有效投标人少于 5 家时，则计算上述平均值时不去掉最高值和最低值)。</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若投标人的评标价均小于最高评标限价的85%时，则以最高评标限价的 85%为评标基准价。评标委员会可对评标价小于最高评标限价的85％的启动澄清程序，要求投标人作出书面说明并提供相关证明材料，若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pPr>
              <w:widowControl/>
              <w:kinsoku w:val="0"/>
              <w:autoSpaceDE w:val="0"/>
              <w:autoSpaceDN w:val="0"/>
              <w:snapToGrid w:val="0"/>
              <w:spacing w:line="320" w:lineRule="exact"/>
              <w:ind w:left="105" w:leftChars="50" w:right="28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即使某投标文件第二个信封未通过形式评审与响应性评审，如其报价处于参与评标基准价计算的有效评标价的范围内，其评标价仍应参与有效评标价平均值的计算。</w:t>
            </w:r>
          </w:p>
          <w:p>
            <w:pPr>
              <w:spacing w:line="320" w:lineRule="exact"/>
              <w:ind w:left="105" w:leftChars="50" w:right="28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(5) 评标基准价的确定：  </w:t>
            </w:r>
          </w:p>
          <w:p>
            <w:pPr>
              <w:spacing w:line="320" w:lineRule="exact"/>
              <w:ind w:left="105" w:leftChars="50" w:right="283"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M ×最高评标限价 + N ×参与评标基准价计算的有效评标价的平均值</w:t>
            </w:r>
          </w:p>
          <w:p>
            <w:pPr>
              <w:widowControl/>
              <w:kinsoku w:val="0"/>
              <w:autoSpaceDE w:val="0"/>
              <w:autoSpaceDN w:val="0"/>
              <w:snapToGrid w:val="0"/>
              <w:spacing w:line="320" w:lineRule="exact"/>
              <w:ind w:left="105" w:leftChars="50" w:right="283" w:firstLine="476" w:firstLineChars="200"/>
              <w:jc w:val="left"/>
              <w:rPr>
                <w:rFonts w:ascii="宋体" w:hAnsi="宋体"/>
                <w:color w:val="000000" w:themeColor="text1"/>
                <w:spacing w:val="-1"/>
                <w:kern w:val="0"/>
                <w:sz w:val="24"/>
                <w:highlight w:val="none"/>
                <w14:textFill>
                  <w14:solidFill>
                    <w14:schemeClr w14:val="tx1"/>
                  </w14:solidFill>
                </w14:textFill>
              </w:rPr>
            </w:pPr>
            <w:r>
              <w:rPr>
                <w:rFonts w:hint="eastAsia" w:ascii="宋体" w:hAnsi="宋体"/>
                <w:color w:val="000000" w:themeColor="text1"/>
                <w:spacing w:val="-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M</w:t>
            </w:r>
            <w:r>
              <w:rPr>
                <w:rFonts w:hint="eastAsia" w:ascii="宋体" w:hAnsi="宋体"/>
                <w:color w:val="000000" w:themeColor="text1"/>
                <w:spacing w:val="-1"/>
                <w:kern w:val="0"/>
                <w:sz w:val="24"/>
                <w:highlight w:val="none"/>
                <w14:textFill>
                  <w14:solidFill>
                    <w14:schemeClr w14:val="tx1"/>
                  </w14:solidFill>
                </w14:textFill>
              </w:rPr>
              <w:t xml:space="preserve"> = 0.7</w:t>
            </w:r>
            <w:r>
              <w:rPr>
                <w:rFonts w:hint="eastAsia" w:ascii="宋体" w:hAnsi="宋体"/>
                <w:color w:val="000000" w:themeColor="text1"/>
                <w:kern w:val="0"/>
                <w:sz w:val="24"/>
                <w:highlight w:val="none"/>
                <w14:textFill>
                  <w14:solidFill>
                    <w14:schemeClr w14:val="tx1"/>
                  </w14:solidFill>
                </w14:textFill>
              </w:rPr>
              <w:t>；N = 0.3)</w:t>
            </w:r>
          </w:p>
          <w:p>
            <w:pPr>
              <w:widowControl/>
              <w:kinsoku w:val="0"/>
              <w:autoSpaceDE w:val="0"/>
              <w:autoSpaceDN w:val="0"/>
              <w:snapToGrid w:val="0"/>
              <w:spacing w:line="320" w:lineRule="exact"/>
              <w:ind w:left="105" w:leftChars="50" w:right="283" w:firstLine="548" w:firstLineChars="200"/>
              <w:jc w:val="left"/>
              <w:rPr>
                <w:rFonts w:ascii="宋体" w:hAnsi="宋体"/>
                <w:color w:val="000000" w:themeColor="text1"/>
                <w:spacing w:val="17"/>
                <w:kern w:val="0"/>
                <w:sz w:val="24"/>
                <w:highlight w:val="none"/>
                <w14:textFill>
                  <w14:solidFill>
                    <w14:schemeClr w14:val="tx1"/>
                  </w14:solidFill>
                </w14:textFill>
              </w:rPr>
            </w:pPr>
            <w:r>
              <w:rPr>
                <w:rFonts w:hint="eastAsia" w:ascii="宋体" w:hAnsi="宋体"/>
                <w:color w:val="000000" w:themeColor="text1"/>
                <w:spacing w:val="17"/>
                <w:kern w:val="0"/>
                <w:sz w:val="24"/>
                <w:highlight w:val="none"/>
                <w14:textFill>
                  <w14:solidFill>
                    <w14:schemeClr w14:val="tx1"/>
                  </w14:solidFill>
                </w14:textFill>
              </w:rPr>
              <w:t>在</w:t>
            </w:r>
            <w:r>
              <w:rPr>
                <w:rFonts w:hint="eastAsia" w:ascii="宋体" w:hAnsi="宋体"/>
                <w:color w:val="000000" w:themeColor="text1"/>
                <w:spacing w:val="9"/>
                <w:kern w:val="0"/>
                <w:sz w:val="24"/>
                <w:highlight w:val="none"/>
                <w14:textFill>
                  <w14:solidFill>
                    <w14:schemeClr w14:val="tx1"/>
                  </w14:solidFill>
                </w14:textFill>
              </w:rPr>
              <w:t>评标过程中，评标委员会应对招标人计算的评标基准价进行复核，存</w:t>
            </w:r>
            <w:r>
              <w:rPr>
                <w:rFonts w:hint="eastAsia" w:ascii="宋体" w:hAnsi="宋体"/>
                <w:color w:val="000000" w:themeColor="text1"/>
                <w:spacing w:val="18"/>
                <w:kern w:val="0"/>
                <w:sz w:val="24"/>
                <w:highlight w:val="none"/>
                <w14:textFill>
                  <w14:solidFill>
                    <w14:schemeClr w14:val="tx1"/>
                  </w14:solidFill>
                </w14:textFill>
              </w:rPr>
              <w:t>在</w:t>
            </w:r>
            <w:r>
              <w:rPr>
                <w:rFonts w:hint="eastAsia" w:ascii="宋体" w:hAnsi="宋体"/>
                <w:color w:val="000000" w:themeColor="text1"/>
                <w:spacing w:val="10"/>
                <w:kern w:val="0"/>
                <w:sz w:val="24"/>
                <w:highlight w:val="none"/>
                <w14:textFill>
                  <w14:solidFill>
                    <w14:schemeClr w14:val="tx1"/>
                  </w14:solidFill>
                </w14:textFill>
              </w:rPr>
              <w:t>计</w:t>
            </w:r>
            <w:r>
              <w:rPr>
                <w:rFonts w:hint="eastAsia" w:ascii="宋体" w:hAnsi="宋体"/>
                <w:color w:val="000000" w:themeColor="text1"/>
                <w:spacing w:val="9"/>
                <w:kern w:val="0"/>
                <w:sz w:val="24"/>
                <w:highlight w:val="none"/>
                <w14:textFill>
                  <w14:solidFill>
                    <w14:schemeClr w14:val="tx1"/>
                  </w14:solidFill>
                </w14:textFill>
              </w:rPr>
              <w:t>算错误的应予以修正并在评标报告中作出说明。除此之外，评标基准价</w:t>
            </w:r>
            <w:r>
              <w:rPr>
                <w:rFonts w:hint="eastAsia" w:ascii="宋体" w:hAnsi="宋体"/>
                <w:color w:val="000000" w:themeColor="text1"/>
                <w:spacing w:val="12"/>
                <w:kern w:val="0"/>
                <w:sz w:val="24"/>
                <w:highlight w:val="none"/>
                <w14:textFill>
                  <w14:solidFill>
                    <w14:schemeClr w14:val="tx1"/>
                  </w14:solidFill>
                </w14:textFill>
              </w:rPr>
              <w:t>在</w:t>
            </w:r>
            <w:r>
              <w:rPr>
                <w:rFonts w:hint="eastAsia" w:ascii="宋体" w:hAnsi="宋体"/>
                <w:color w:val="000000" w:themeColor="text1"/>
                <w:spacing w:val="9"/>
                <w:kern w:val="0"/>
                <w:sz w:val="24"/>
                <w:highlight w:val="none"/>
                <w14:textFill>
                  <w14:solidFill>
                    <w14:schemeClr w14:val="tx1"/>
                  </w14:solidFill>
                </w14:textFill>
              </w:rPr>
              <w:t>整个评标期间保持不变，不随任何因素发生变化。</w:t>
            </w:r>
          </w:p>
          <w:p>
            <w:pPr>
              <w:pStyle w:val="115"/>
              <w:spacing w:before="0" w:after="0" w:line="320" w:lineRule="exact"/>
              <w:ind w:left="105" w:leftChars="50" w:right="283" w:firstLine="534" w:firstLineChars="200"/>
              <w:rPr>
                <w:rFonts w:ascii="宋体" w:hAnsi="宋体" w:eastAsia="宋体"/>
                <w:color w:val="000000" w:themeColor="text1"/>
                <w:spacing w:val="13"/>
                <w:kern w:val="0"/>
                <w:sz w:val="24"/>
                <w:szCs w:val="24"/>
                <w:highlight w:val="none"/>
                <w14:textFill>
                  <w14:solidFill>
                    <w14:schemeClr w14:val="tx1"/>
                  </w14:solidFill>
                </w14:textFill>
              </w:rPr>
            </w:pPr>
            <w:r>
              <w:rPr>
                <w:rFonts w:hint="eastAsia" w:ascii="宋体" w:hAnsi="宋体" w:eastAsia="宋体"/>
                <w:color w:val="000000" w:themeColor="text1"/>
                <w:spacing w:val="13"/>
                <w:kern w:val="0"/>
                <w:sz w:val="24"/>
                <w:szCs w:val="24"/>
                <w:highlight w:val="none"/>
                <w14:textFill>
                  <w14:solidFill>
                    <w14:schemeClr w14:val="tx1"/>
                  </w14:solidFill>
                </w14:textFill>
              </w:rPr>
              <w:t>备</w:t>
            </w:r>
            <w:r>
              <w:rPr>
                <w:rFonts w:hint="eastAsia" w:ascii="宋体" w:hAnsi="宋体" w:eastAsia="宋体"/>
                <w:color w:val="000000" w:themeColor="text1"/>
                <w:spacing w:val="9"/>
                <w:kern w:val="0"/>
                <w:sz w:val="24"/>
                <w:szCs w:val="24"/>
                <w:highlight w:val="none"/>
                <w14:textFill>
                  <w14:solidFill>
                    <w14:schemeClr w14:val="tx1"/>
                  </w14:solidFill>
                </w14:textFill>
              </w:rPr>
              <w:t>注：最高评标限价、评标基准价四舍五入至个位整数元。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spacing w:line="320" w:lineRule="exact"/>
              <w:ind w:right="113"/>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2.2.3</w:t>
            </w:r>
          </w:p>
        </w:tc>
        <w:tc>
          <w:tcPr>
            <w:tcW w:w="1560" w:type="dxa"/>
            <w:vAlign w:val="center"/>
          </w:tcPr>
          <w:p>
            <w:pPr>
              <w:spacing w:line="320" w:lineRule="exact"/>
              <w:ind w:left="60" w:leftChars="21" w:right="49" w:hanging="16" w:hangingChars="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评标价的偏差率计算公式</w:t>
            </w:r>
          </w:p>
        </w:tc>
        <w:tc>
          <w:tcPr>
            <w:tcW w:w="5300" w:type="dxa"/>
            <w:gridSpan w:val="2"/>
            <w:vAlign w:val="center"/>
          </w:tcPr>
          <w:p>
            <w:pPr>
              <w:spacing w:line="320" w:lineRule="exact"/>
              <w:ind w:left="113" w:right="11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偏差率=100% ×(投标人评标价一评标基准价）/评标基准价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spacing w:line="320" w:lineRule="exact"/>
              <w:ind w:right="113"/>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2.2.4（1）</w:t>
            </w:r>
          </w:p>
        </w:tc>
        <w:tc>
          <w:tcPr>
            <w:tcW w:w="1560" w:type="dxa"/>
            <w:vAlign w:val="center"/>
          </w:tcPr>
          <w:p>
            <w:pPr>
              <w:spacing w:line="320" w:lineRule="exact"/>
              <w:ind w:left="-3" w:leftChars="-9" w:right="113" w:hanging="16" w:hangingChars="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评标价</w:t>
            </w:r>
          </w:p>
        </w:tc>
        <w:tc>
          <w:tcPr>
            <w:tcW w:w="5300" w:type="dxa"/>
            <w:gridSpan w:val="2"/>
            <w:vAlign w:val="center"/>
          </w:tcPr>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95分</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方法一：适用于下浮率摇取 1 个球的情况：</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评标价得分计算公式示例：</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(1)如果投标人的评标价&gt;评标基准价，则评标价得分＝95－偏差率×100× D1；D1 取  3  ；</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(2)如果投标人的评标价≤评标基准价，则评标价得分＝95＋偏差率×100× D2；D2 取  1  。</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方法二：适用于下浮率摇取 3 个球的情况：</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评标价得分计算公式示例：</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(1)如果投标人的评标价&gt;评标基准价，则评标价得分＝95－偏差率×100× D1；D1 取 3 ；</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(2)如果投标人的评标价≤评标基准价，则评标价得分＝95＋偏差率×100× D2；D2 取 1 。</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注：评标价得分计算保留小数点后四位，小数点后第五位“四舍五入”。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361" w:type="dxa"/>
            <w:gridSpan w:val="3"/>
            <w:vAlign w:val="center"/>
          </w:tcPr>
          <w:p>
            <w:pPr>
              <w:spacing w:line="320" w:lineRule="exact"/>
              <w:ind w:right="113"/>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2.2.4(2)</w:t>
            </w:r>
          </w:p>
        </w:tc>
        <w:tc>
          <w:tcPr>
            <w:tcW w:w="1560" w:type="dxa"/>
            <w:vAlign w:val="center"/>
          </w:tcPr>
          <w:p>
            <w:pPr>
              <w:spacing w:line="320" w:lineRule="exact"/>
              <w:ind w:left="-3" w:leftChars="-9" w:right="113" w:hanging="16" w:hangingChars="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其他因素</w:t>
            </w:r>
          </w:p>
        </w:tc>
        <w:tc>
          <w:tcPr>
            <w:tcW w:w="5300" w:type="dxa"/>
            <w:gridSpan w:val="2"/>
            <w:vAlign w:val="center"/>
          </w:tcPr>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履约信誉情况：</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1.信用等级 (2.5 分)</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AA、A、B、C 级单位的信用等级分得分分别为 2.5、2.4、2.25、1.75 分。注：信用等级的确定原则遵循投标人须知前附表 10.2 款的规定。</w:t>
            </w:r>
          </w:p>
          <w:p>
            <w:pPr>
              <w:spacing w:line="320" w:lineRule="exact"/>
              <w:ind w:left="113" w:right="113" w:hanging="1"/>
              <w:rPr>
                <w:rFonts w:ascii="宋体" w:hAnsi="宋体"/>
                <w:color w:val="000000" w:themeColor="text1"/>
                <w:sz w:val="24"/>
                <w:highlight w:val="none"/>
                <w14:textFill>
                  <w14:solidFill>
                    <w14:schemeClr w14:val="tx1"/>
                  </w14:solidFill>
                </w14:textFill>
              </w:rPr>
            </w:pP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2.履约情况 (2.5 分)</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若没出现下述情形得满分，得满分 2.5 分。</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投标文件递交截止日前 1 年内，投标人因公路工程(含附属设施)质量、安全、履约或招标投标问题等原因被：</w:t>
            </w:r>
          </w:p>
          <w:p>
            <w:pPr>
              <w:numPr>
                <w:ilvl w:val="0"/>
                <w:numId w:val="10"/>
              </w:num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交通运输部行政处罚的，扣 2.5 分/次。</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广东省交通运输厅行政处罚的，扣 1.5 分/次。</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(3) 招标项目所在地地级以上市交通运输局行政处罚的，扣 0.75 分/次。</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广东省交通运输厅正式约谈的，扣 0.05 分/次。</w:t>
            </w:r>
          </w:p>
          <w:p>
            <w:pPr>
              <w:spacing w:line="320" w:lineRule="exact"/>
              <w:ind w:left="113" w:right="113" w:hanging="1"/>
              <w:rPr>
                <w:rFonts w:ascii="宋体" w:hAnsi="宋体"/>
                <w:color w:val="000000" w:themeColor="text1"/>
                <w:sz w:val="24"/>
                <w:highlight w:val="none"/>
                <w14:textFill>
                  <w14:solidFill>
                    <w14:schemeClr w14:val="tx1"/>
                  </w14:solidFill>
                </w14:textFill>
              </w:rPr>
            </w:pP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同一事项同时被多个部门行政处罚或正式约谈只按最高的扣分计算 1 次。</w:t>
            </w:r>
          </w:p>
          <w:p>
            <w:pPr>
              <w:spacing w:line="320" w:lineRule="exact"/>
              <w:ind w:left="113" w:right="113" w:hanging="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如果扣完本项分值，可以从总分中扣。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9221" w:type="dxa"/>
            <w:gridSpan w:val="6"/>
            <w:vAlign w:val="center"/>
          </w:tcPr>
          <w:p>
            <w:pPr>
              <w:spacing w:line="320" w:lineRule="exact"/>
              <w:ind w:right="113"/>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条款号</w:t>
            </w:r>
          </w:p>
        </w:tc>
        <w:tc>
          <w:tcPr>
            <w:tcW w:w="8330" w:type="dxa"/>
            <w:gridSpan w:val="5"/>
            <w:vAlign w:val="center"/>
          </w:tcPr>
          <w:p>
            <w:pPr>
              <w:widowControl/>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补充或修改的内容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spacing w:line="320" w:lineRule="exact"/>
              <w:ind w:left="113" w:right="113"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330" w:type="dxa"/>
            <w:gridSpan w:val="5"/>
            <w:vAlign w:val="center"/>
          </w:tcPr>
          <w:p>
            <w:pPr>
              <w:widowControl/>
              <w:kinsoku w:val="0"/>
              <w:autoSpaceDE w:val="0"/>
              <w:autoSpaceDN w:val="0"/>
              <w:snapToGrid w:val="0"/>
              <w:spacing w:before="31" w:line="320" w:lineRule="exact"/>
              <w:ind w:right="202"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将评标办法原文第 1 条“评标方法”改为“评标方法、组织及工作程序”，原文内容修改如下：</w:t>
            </w:r>
          </w:p>
          <w:p>
            <w:pPr>
              <w:widowControl/>
              <w:kinsoku w:val="0"/>
              <w:autoSpaceDE w:val="0"/>
              <w:autoSpaceDN w:val="0"/>
              <w:snapToGrid w:val="0"/>
              <w:spacing w:line="320" w:lineRule="exact"/>
              <w:ind w:left="14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1.评标方法、组织及工作程序</w:t>
            </w:r>
          </w:p>
          <w:p>
            <w:pPr>
              <w:widowControl/>
              <w:kinsoku w:val="0"/>
              <w:autoSpaceDE w:val="0"/>
              <w:autoSpaceDN w:val="0"/>
              <w:snapToGrid w:val="0"/>
              <w:spacing w:line="320" w:lineRule="exact"/>
              <w:ind w:left="14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评标方法</w:t>
            </w:r>
          </w:p>
          <w:p>
            <w:pPr>
              <w:widowControl/>
              <w:kinsoku w:val="0"/>
              <w:autoSpaceDE w:val="0"/>
              <w:autoSpaceDN w:val="0"/>
              <w:snapToGrid w:val="0"/>
              <w:spacing w:before="163" w:line="320" w:lineRule="exact"/>
              <w:ind w:left="129" w:right="126" w:firstLine="42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本次评标采用双信封的合理低价法。评标委员会对满足招标文件实质性要求的投标文件，按照本章第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widowControl/>
              <w:kinsoku w:val="0"/>
              <w:autoSpaceDE w:val="0"/>
              <w:autoSpaceDN w:val="0"/>
              <w:snapToGrid w:val="0"/>
              <w:spacing w:line="320" w:lineRule="exact"/>
              <w:ind w:left="14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评标组织</w:t>
            </w:r>
          </w:p>
          <w:p>
            <w:pPr>
              <w:widowControl/>
              <w:kinsoku w:val="0"/>
              <w:autoSpaceDE w:val="0"/>
              <w:autoSpaceDN w:val="0"/>
              <w:snapToGrid w:val="0"/>
              <w:spacing w:before="161" w:line="320" w:lineRule="exact"/>
              <w:ind w:left="14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协助工作组</w:t>
            </w:r>
          </w:p>
          <w:p>
            <w:pPr>
              <w:widowControl/>
              <w:kinsoku w:val="0"/>
              <w:autoSpaceDE w:val="0"/>
              <w:autoSpaceDN w:val="0"/>
              <w:snapToGrid w:val="0"/>
              <w:spacing w:before="159" w:line="320" w:lineRule="exact"/>
              <w:ind w:left="138" w:right="55" w:firstLine="41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招标人可在评标工作开始前成立协助工作组，选派熟悉招标工作、政治素质高的人员组成，协助评标委员会工作。协助工作组人员的具体数量由招标人视评标工作量确定。</w:t>
            </w:r>
          </w:p>
          <w:p>
            <w:pPr>
              <w:widowControl/>
              <w:kinsoku w:val="0"/>
              <w:autoSpaceDE w:val="0"/>
              <w:autoSpaceDN w:val="0"/>
              <w:snapToGrid w:val="0"/>
              <w:spacing w:line="320" w:lineRule="exact"/>
              <w:ind w:left="553"/>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招标人可以协助评标委员会开展下列工作并提供相关信息：</w:t>
            </w:r>
          </w:p>
          <w:p>
            <w:pPr>
              <w:widowControl/>
              <w:kinsoku w:val="0"/>
              <w:autoSpaceDE w:val="0"/>
              <w:autoSpaceDN w:val="0"/>
              <w:snapToGrid w:val="0"/>
              <w:spacing w:before="165" w:line="320" w:lineRule="exact"/>
              <w:ind w:left="56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根据招标文件，编制评标使用的相应表格；</w:t>
            </w:r>
          </w:p>
          <w:p>
            <w:pPr>
              <w:widowControl/>
              <w:kinsoku w:val="0"/>
              <w:autoSpaceDE w:val="0"/>
              <w:autoSpaceDN w:val="0"/>
              <w:snapToGrid w:val="0"/>
              <w:spacing w:before="164" w:line="320" w:lineRule="exact"/>
              <w:ind w:left="56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对投标报价进行算术性校核(如采用固化工程量清单，本步骤省略)；</w:t>
            </w:r>
          </w:p>
          <w:p>
            <w:pPr>
              <w:widowControl/>
              <w:kinsoku w:val="0"/>
              <w:autoSpaceDE w:val="0"/>
              <w:autoSpaceDN w:val="0"/>
              <w:snapToGrid w:val="0"/>
              <w:spacing w:before="162" w:line="320" w:lineRule="exact"/>
              <w:ind w:left="133" w:right="126" w:firstLine="429"/>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以评标标准和方法为依据，列出投标文件相对于招标文件的所有偏差，并进行归类汇总；</w:t>
            </w:r>
          </w:p>
          <w:p>
            <w:pPr>
              <w:widowControl/>
              <w:kinsoku w:val="0"/>
              <w:autoSpaceDE w:val="0"/>
              <w:autoSpaceDN w:val="0"/>
              <w:snapToGrid w:val="0"/>
              <w:spacing w:before="1" w:line="320" w:lineRule="exact"/>
              <w:ind w:left="56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查询全国公路建设市场监督管理系统，对投标人的资质、业绩、主要人员资历和目前在岗情况、信用等级进行核实。</w:t>
            </w:r>
          </w:p>
          <w:p>
            <w:pPr>
              <w:widowControl/>
              <w:kinsoku w:val="0"/>
              <w:autoSpaceDE w:val="0"/>
              <w:autoSpaceDN w:val="0"/>
              <w:snapToGrid w:val="0"/>
              <w:spacing w:before="31" w:line="320" w:lineRule="exact"/>
              <w:ind w:left="138" w:right="126" w:firstLine="41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招标人不得对投标文件作出任何评价，不得故意遗漏或者片面摘录，不得在评标委员会对所有偏差定性之前透露存有偏差的投标人名称。</w:t>
            </w:r>
          </w:p>
          <w:p>
            <w:pPr>
              <w:widowControl/>
              <w:kinsoku w:val="0"/>
              <w:autoSpaceDE w:val="0"/>
              <w:autoSpaceDN w:val="0"/>
              <w:snapToGrid w:val="0"/>
              <w:spacing w:line="320" w:lineRule="exact"/>
              <w:ind w:left="14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评标委员会</w:t>
            </w:r>
          </w:p>
          <w:p>
            <w:pPr>
              <w:widowControl/>
              <w:kinsoku w:val="0"/>
              <w:autoSpaceDE w:val="0"/>
              <w:autoSpaceDN w:val="0"/>
              <w:snapToGrid w:val="0"/>
              <w:spacing w:before="167" w:line="320" w:lineRule="exact"/>
              <w:ind w:left="130" w:right="219" w:firstLine="219"/>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评标委员会由招标人按国家、广东省等的有关规定依法组建。评标委员会的主要工作内容包括：</w:t>
            </w:r>
          </w:p>
          <w:p>
            <w:pPr>
              <w:widowControl/>
              <w:kinsoku w:val="0"/>
              <w:autoSpaceDE w:val="0"/>
              <w:autoSpaceDN w:val="0"/>
              <w:snapToGrid w:val="0"/>
              <w:spacing w:before="1" w:line="320" w:lineRule="exact"/>
              <w:ind w:left="131" w:right="126" w:firstLine="229"/>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评标委员会开始评标工作之前，首先听取招标人、协助工作组关于工程情况和辅助工作的说明，并认真研读招标文件，获取评标所需的重要信息和数据；</w:t>
            </w:r>
          </w:p>
          <w:p>
            <w:pPr>
              <w:widowControl/>
              <w:kinsoku w:val="0"/>
              <w:autoSpaceDE w:val="0"/>
              <w:autoSpaceDN w:val="0"/>
              <w:snapToGrid w:val="0"/>
              <w:spacing w:before="1" w:line="320" w:lineRule="exact"/>
              <w:ind w:left="36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对协助工作组提供的评标工作用表和评标内容进行核查；</w:t>
            </w:r>
          </w:p>
          <w:p>
            <w:pPr>
              <w:widowControl/>
              <w:kinsoku w:val="0"/>
              <w:autoSpaceDE w:val="0"/>
              <w:autoSpaceDN w:val="0"/>
              <w:snapToGrid w:val="0"/>
              <w:spacing w:before="162" w:line="320" w:lineRule="exact"/>
              <w:ind w:left="36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按照以下 1.3 款程序进行各项评审工作。</w:t>
            </w:r>
          </w:p>
          <w:p>
            <w:pPr>
              <w:widowControl/>
              <w:kinsoku w:val="0"/>
              <w:autoSpaceDE w:val="0"/>
              <w:autoSpaceDN w:val="0"/>
              <w:snapToGrid w:val="0"/>
              <w:spacing w:before="164" w:line="320" w:lineRule="exact"/>
              <w:ind w:left="145"/>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评审工作程序</w:t>
            </w:r>
          </w:p>
          <w:p>
            <w:pPr>
              <w:widowControl/>
              <w:kinsoku w:val="0"/>
              <w:autoSpaceDE w:val="0"/>
              <w:autoSpaceDN w:val="0"/>
              <w:snapToGrid w:val="0"/>
              <w:spacing w:before="1" w:line="320" w:lineRule="exact"/>
              <w:ind w:right="12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评标委员会将按以下程序开展评标工作：</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第一个信封(商务及技术文件)的评审：</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初步评审：包括对投标文件进行形式评审与响应性评审、资格评审(适用于未进行资格预审)；</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详细评审：评标委员会首先对通过初步评审的投标文件第一个信封(商务及技术文件)进行详细评审，对投标人的其他因素(信用等级、履约情况)得分评审与确认。</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第二个信封(报价文件)的评审：</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初步评审：</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①只有投标文件第一个信封通过详细评审的投标人才能继续参加第二个信封报价文件的形式评审与响应性评审；</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②报价算术性修正(如采用固化工程量清单，本步骤省略)。</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详细评审：计算评标基准价、评标价得分及综合得分。</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投标文件相关信息的核查。</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1.3.4 投标文件的澄清和说明(如有)。</w:t>
            </w:r>
          </w:p>
          <w:p>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 按评标办法规定推荐中标候选人，编写评标报告。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2" w:hRule="atLeast"/>
          <w:jc w:val="center"/>
        </w:trPr>
        <w:tc>
          <w:tcPr>
            <w:tcW w:w="891" w:type="dxa"/>
            <w:vAlign w:val="center"/>
          </w:tcPr>
          <w:p>
            <w:pPr>
              <w:spacing w:line="320" w:lineRule="exact"/>
              <w:ind w:left="113" w:right="113"/>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w:t>
            </w:r>
          </w:p>
        </w:tc>
        <w:tc>
          <w:tcPr>
            <w:tcW w:w="8330" w:type="dxa"/>
            <w:gridSpan w:val="5"/>
            <w:vAlign w:val="center"/>
          </w:tcPr>
          <w:p>
            <w:pPr>
              <w:autoSpaceDE w:val="0"/>
              <w:autoSpaceDN w:val="0"/>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分值构成</w:t>
            </w:r>
          </w:p>
          <w:p>
            <w:pPr>
              <w:spacing w:line="320" w:lineRule="exact"/>
              <w:ind w:right="1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评标价：见评标办法前附表。 </w:t>
            </w:r>
          </w:p>
          <w:p>
            <w:pPr>
              <w:spacing w:line="320" w:lineRule="exact"/>
              <w:ind w:right="1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其他因素：见评标办法前附表。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w:t>
            </w:r>
          </w:p>
        </w:tc>
        <w:tc>
          <w:tcPr>
            <w:tcW w:w="8330" w:type="dxa"/>
            <w:gridSpan w:val="5"/>
          </w:tcPr>
          <w:p>
            <w:pPr>
              <w:spacing w:line="320" w:lineRule="exact"/>
              <w:ind w:right="1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 评分标准</w:t>
            </w:r>
          </w:p>
          <w:p>
            <w:pPr>
              <w:spacing w:line="320" w:lineRule="exact"/>
              <w:ind w:right="1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评标价评分标准：见评标办法前附表。 </w:t>
            </w:r>
          </w:p>
          <w:p>
            <w:pPr>
              <w:spacing w:line="320" w:lineRule="exact"/>
              <w:ind w:right="1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其他因素评分标准：见评标办法前附表。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w:t>
            </w:r>
          </w:p>
        </w:tc>
        <w:tc>
          <w:tcPr>
            <w:tcW w:w="8330" w:type="dxa"/>
            <w:gridSpan w:val="5"/>
          </w:tcPr>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将评标办法范本原文第 3.3.2 款第(2)、 (3)、 (4)目修改为：</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(2)总价金额与依据单价计算出的结果不一致的，在保证投标总价不变的前提下予以合理调整单价。</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(3)当单价与数量相乘不等于合价时，应以标出的合价为准，同时对单价予以修正；</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(4)当各子目的合价累计不等于总价时，应以总价不变的前提下，修正各子目合价。</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（如采用固化工程量清单报价， 3.3.2～3.3.5 条款不适用。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w:t>
            </w:r>
          </w:p>
        </w:tc>
        <w:tc>
          <w:tcPr>
            <w:tcW w:w="8330" w:type="dxa"/>
            <w:gridSpan w:val="5"/>
          </w:tcPr>
          <w:p>
            <w:pPr>
              <w:spacing w:line="320" w:lineRule="exact"/>
              <w:ind w:right="1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将评标办法原文第 3.4.2 项修改如下：</w:t>
            </w:r>
          </w:p>
          <w:p>
            <w:pPr>
              <w:spacing w:line="320" w:lineRule="exact"/>
              <w:ind w:right="1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投标人得分分值计算保留小数点后四位，小数点后第五位“四舍五入”。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tcPr>
          <w:p>
            <w:pPr>
              <w:spacing w:line="320" w:lineRule="exact"/>
              <w:jc w:val="center"/>
              <w:rPr>
                <w:rFonts w:ascii="宋体" w:hAnsi="宋体" w:cs="宋体"/>
                <w:color w:val="000000" w:themeColor="text1"/>
                <w:sz w:val="24"/>
                <w:highlight w:val="none"/>
                <w14:textFill>
                  <w14:solidFill>
                    <w14:schemeClr w14:val="tx1"/>
                  </w14:solidFill>
                </w14:textFill>
              </w:rPr>
            </w:pPr>
          </w:p>
          <w:p>
            <w:pPr>
              <w:spacing w:line="320" w:lineRule="exact"/>
              <w:jc w:val="center"/>
              <w:rPr>
                <w:rFonts w:ascii="宋体" w:hAnsi="宋体" w:cs="宋体"/>
                <w:color w:val="000000" w:themeColor="text1"/>
                <w:sz w:val="24"/>
                <w:highlight w:val="none"/>
                <w14:textFill>
                  <w14:solidFill>
                    <w14:schemeClr w14:val="tx1"/>
                  </w14:solidFill>
                </w14:textFill>
              </w:rPr>
            </w:pPr>
          </w:p>
          <w:p>
            <w:pPr>
              <w:spacing w:line="320" w:lineRule="exact"/>
              <w:jc w:val="center"/>
              <w:rPr>
                <w:rFonts w:ascii="宋体" w:hAnsi="宋体" w:cs="宋体"/>
                <w:color w:val="000000" w:themeColor="text1"/>
                <w:sz w:val="24"/>
                <w:highlight w:val="none"/>
                <w14:textFill>
                  <w14:solidFill>
                    <w14:schemeClr w14:val="tx1"/>
                  </w14:solidFill>
                </w14:textFill>
              </w:rPr>
            </w:pPr>
          </w:p>
          <w:p>
            <w:pPr>
              <w:spacing w:line="320" w:lineRule="exact"/>
              <w:jc w:val="center"/>
              <w:rPr>
                <w:rFonts w:ascii="宋体" w:hAnsi="宋体" w:cs="宋体"/>
                <w:color w:val="000000" w:themeColor="text1"/>
                <w:sz w:val="24"/>
                <w:highlight w:val="none"/>
                <w14:textFill>
                  <w14:solidFill>
                    <w14:schemeClr w14:val="tx1"/>
                  </w14:solidFill>
                </w14:textFill>
              </w:rPr>
            </w:pPr>
          </w:p>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w:t>
            </w:r>
          </w:p>
        </w:tc>
        <w:tc>
          <w:tcPr>
            <w:tcW w:w="8330" w:type="dxa"/>
            <w:gridSpan w:val="5"/>
          </w:tcPr>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项 (2) 目末增加以下条款：</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g.当一家以上投标人评标价相同时，若各投标人工程量清单细目单价也相同，视为 串标 ( 一个标段仅一工作细目报价的除外) 。</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h.广东省实施《中华人民共和国招标投标法》办法第十六条规定的情形。 </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 3.5.3 项：</w:t>
            </w:r>
          </w:p>
          <w:p>
            <w:pPr>
              <w:spacing w:line="320" w:lineRule="exact"/>
              <w:ind w:firstLine="240" w:firstLine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 依法必须进行招标的项目，除第一中标候选人或者中标人，其他投标人存在串通投标、弄虚作假、行贿情形且在评标过程中未被发现的，视为对中标结果没有造成实 质性影响，招标人可以依法继续开展招标活动。投标人的违法行为由行政监督部门依法处理。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w:t>
            </w:r>
          </w:p>
        </w:tc>
        <w:tc>
          <w:tcPr>
            <w:tcW w:w="8330" w:type="dxa"/>
            <w:gridSpan w:val="5"/>
            <w:vAlign w:val="center"/>
          </w:tcPr>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将评标办法范本原文第3.6.1款修改为：</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(1)投标文件中的下列偏差为细微偏差(采用固化工程量清单，则a—d步骤省略)：</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a、在算术性复核中发现的算术性差错；</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b、在招标人给定的工程量清单中漏报了某个工程细目的单价和合价；</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c、在招标人给定的工程量清单中多报了某个工程细目的单价和合价或所报单价增加或减少了报价范围；</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d、在招标人给定的工程量清单中修改了某些支付号的工程数量。</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(2)评标委员会对投标文件中的细微偏差按如下规定处理(采用固化工程量清单，则a—d步骤省略)：</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a、按本评标办法的规定对算术性错误予以修正；</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b、对于漏报的工程细目单价和合价或单价和合价减少的报价内容视为已含入其它工程细目的单价和合价之中；</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c、在保证投标总价不变的前提下，对于多报的工程细目报价或工程细目报价中增加的部分报价从投标报价中予以扣除，并对其它细目作相应的平衡性调整；</w:t>
            </w:r>
          </w:p>
          <w:p>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d、在保证投标总价不变的前提下，对与给定工程量清单数量不符的工程数量进行更正，并对其它细目作相应的平衡性调整。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91"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w:t>
            </w:r>
          </w:p>
        </w:tc>
        <w:tc>
          <w:tcPr>
            <w:tcW w:w="8330" w:type="dxa"/>
            <w:gridSpan w:val="5"/>
            <w:vAlign w:val="center"/>
          </w:tcPr>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增加 3.8.3～3.8.6 项： </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3.8.3 通过第一个信封商务及技术文件评审的投标人少于3 个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3.8.4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 </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3.8.5 如果发生无法确定推荐中标候选人的其他意外情况，评标委员会可建议招标人重新招标。 </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3.8.6 本招标文件规定的否决投标条款包含在以下条款：</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（1）招标公告第 3 点 投标人资格要求； </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（2）投标人须知 1.4.3 项、1.4.4 项、1.4.5 项、1.11.1 项、1.12.2 项、3.4.2项、3.5.11 项、3.6.1 项； </w:t>
            </w:r>
          </w:p>
          <w:p>
            <w:pPr>
              <w:spacing w:line="3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（3）本评标办法的否决条款。</w:t>
            </w:r>
          </w:p>
        </w:tc>
      </w:tr>
    </w:tbl>
    <w:p>
      <w:pPr>
        <w:pStyle w:val="4"/>
        <w:spacing w:beforeLines="50" w:line="400" w:lineRule="exact"/>
        <w:rPr>
          <w:rFonts w:ascii="宋体" w:hAnsi="宋体"/>
          <w:color w:val="000000" w:themeColor="text1"/>
          <w:sz w:val="24"/>
          <w:szCs w:val="24"/>
          <w:highlight w:val="none"/>
          <w14:textFill>
            <w14:solidFill>
              <w14:schemeClr w14:val="tx1"/>
            </w14:solidFill>
          </w14:textFill>
        </w:rPr>
      </w:pPr>
    </w:p>
    <w:bookmarkEnd w:id="249"/>
    <w:bookmarkEnd w:id="250"/>
    <w:p>
      <w:pPr>
        <w:pStyle w:val="3"/>
        <w:rPr>
          <w:color w:val="000000" w:themeColor="text1"/>
          <w:highlight w:val="none"/>
          <w14:textFill>
            <w14:solidFill>
              <w14:schemeClr w14:val="tx1"/>
            </w14:solidFill>
          </w14:textFill>
        </w:rPr>
      </w:pPr>
      <w:bookmarkStart w:id="251" w:name="_Toc5666"/>
      <w:bookmarkStart w:id="252" w:name="_Toc31795"/>
      <w:r>
        <w:rPr>
          <w:rFonts w:hint="eastAsia"/>
          <w:color w:val="000000" w:themeColor="text1"/>
          <w:highlight w:val="none"/>
          <w14:textFill>
            <w14:solidFill>
              <w14:schemeClr w14:val="tx1"/>
            </w14:solidFill>
          </w14:textFill>
        </w:rPr>
        <w:t>1. 评标方法</w:t>
      </w:r>
      <w:bookmarkEnd w:id="251"/>
      <w:bookmarkEnd w:id="252"/>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bookmarkStart w:id="253" w:name="_Toc522725731"/>
      <w:r>
        <w:rPr>
          <w:rFonts w:hint="eastAsia" w:ascii="宋体" w:hAnsi="宋体" w:cs="宋体"/>
          <w:color w:val="000000" w:themeColor="text1"/>
          <w:kern w:val="0"/>
          <w:sz w:val="24"/>
          <w:highlight w:val="none"/>
          <w14:textFill>
            <w14:solidFill>
              <w14:schemeClr w14:val="tx1"/>
            </w14:solidFill>
          </w14:textFill>
        </w:rPr>
        <w:t>本次评标采用合理低价法。评标委员会对满足招标文件实质性要求的投标文件，根据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line="400" w:lineRule="exact"/>
        <w:ind w:firstLine="482" w:firstLineChars="200"/>
        <w:rPr>
          <w:rFonts w:ascii="宋体" w:hAnsi="宋体" w:cs="宋体"/>
          <w:b/>
          <w:bCs/>
          <w:color w:val="000000" w:themeColor="text1"/>
          <w:kern w:val="0"/>
          <w:sz w:val="24"/>
          <w:highlight w:val="none"/>
          <w14:textFill>
            <w14:solidFill>
              <w14:schemeClr w14:val="tx1"/>
            </w14:solidFill>
          </w14:textFill>
        </w:rPr>
      </w:pPr>
      <w:bookmarkStart w:id="254" w:name="_Toc234382654"/>
      <w:bookmarkStart w:id="255" w:name="_Toc37868989"/>
      <w:r>
        <w:rPr>
          <w:rFonts w:hint="eastAsia" w:ascii="宋体" w:hAnsi="宋体" w:cs="宋体"/>
          <w:b/>
          <w:bCs/>
          <w:color w:val="000000" w:themeColor="text1"/>
          <w:kern w:val="0"/>
          <w:sz w:val="24"/>
          <w:highlight w:val="none"/>
          <w14:textFill>
            <w14:solidFill>
              <w14:schemeClr w14:val="tx1"/>
            </w14:solidFill>
          </w14:textFill>
        </w:rPr>
        <w:t>2.评审标准</w:t>
      </w:r>
      <w:bookmarkEnd w:id="254"/>
      <w:bookmarkEnd w:id="255"/>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bookmarkStart w:id="256" w:name="_Toc234382655"/>
      <w:bookmarkStart w:id="257" w:name="_Toc37868990"/>
      <w:r>
        <w:rPr>
          <w:rFonts w:hint="eastAsia" w:ascii="宋体" w:hAnsi="宋体" w:cs="宋体"/>
          <w:color w:val="000000" w:themeColor="text1"/>
          <w:kern w:val="0"/>
          <w:sz w:val="24"/>
          <w:highlight w:val="none"/>
          <w14:textFill>
            <w14:solidFill>
              <w14:schemeClr w14:val="tx1"/>
            </w14:solidFill>
          </w14:textFill>
        </w:rPr>
        <w:t>2.1初步评审标准</w:t>
      </w:r>
      <w:bookmarkEnd w:id="256"/>
      <w:bookmarkEnd w:id="257"/>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2.1.1形式评审标准：见评标办法前附表。</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2.1.2资格评审标准：见评标办法前附表。</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2.1.2 资格评审标准：见资格预审文件第三章“资格审查办法”详细审查标准（适用于已进行资格预审的）。</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2.1.3响应性评审标准：见评标办法前附表。</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bookmarkStart w:id="258" w:name="_Toc234382656"/>
      <w:bookmarkStart w:id="259" w:name="_Toc37868991"/>
      <w:r>
        <w:rPr>
          <w:rFonts w:hint="eastAsia" w:ascii="宋体" w:hAnsi="宋体" w:cs="宋体"/>
          <w:color w:val="000000" w:themeColor="text1"/>
          <w:kern w:val="0"/>
          <w:sz w:val="24"/>
          <w:highlight w:val="none"/>
          <w14:textFill>
            <w14:solidFill>
              <w14:schemeClr w14:val="tx1"/>
            </w14:solidFill>
          </w14:textFill>
        </w:rPr>
        <w:t>2.2分值构成与评分标准</w:t>
      </w:r>
      <w:bookmarkEnd w:id="258"/>
      <w:bookmarkEnd w:id="259"/>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2.2.1 分值构成</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评标价：见评标办法前附表。</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2.2.2评标基准价计算</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评标基准价计算方法：见评标办法前附表。</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2.2.3投标报价的偏差率计算</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投标报价的偏差率计算公式：见评标办法前附表。</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2.2.4评分标准</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评标价评分标准：见评标办法前附表。</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（1）评标价评分标准：见评标办法前附表。</w:t>
      </w:r>
    </w:p>
    <w:p>
      <w:pPr>
        <w:spacing w:line="400" w:lineRule="exact"/>
        <w:ind w:firstLine="482" w:firstLineChars="200"/>
        <w:rPr>
          <w:rFonts w:ascii="宋体" w:hAnsi="宋体" w:cs="宋体"/>
          <w:b/>
          <w:bCs/>
          <w:color w:val="000000" w:themeColor="text1"/>
          <w:kern w:val="0"/>
          <w:sz w:val="24"/>
          <w:highlight w:val="none"/>
          <w14:textFill>
            <w14:solidFill>
              <w14:schemeClr w14:val="tx1"/>
            </w14:solidFill>
          </w14:textFill>
        </w:rPr>
      </w:pPr>
      <w:bookmarkStart w:id="260" w:name="_Toc37868992"/>
      <w:r>
        <w:rPr>
          <w:rFonts w:hint="eastAsia" w:ascii="宋体" w:hAnsi="宋体" w:cs="宋体"/>
          <w:b/>
          <w:bCs/>
          <w:color w:val="000000" w:themeColor="text1"/>
          <w:kern w:val="0"/>
          <w:sz w:val="24"/>
          <w:highlight w:val="none"/>
          <w14:textFill>
            <w14:solidFill>
              <w14:schemeClr w14:val="tx1"/>
            </w14:solidFill>
          </w14:textFill>
        </w:rPr>
        <w:t>3.评标程序</w:t>
      </w:r>
      <w:bookmarkEnd w:id="260"/>
    </w:p>
    <w:p>
      <w:pPr>
        <w:spacing w:line="400" w:lineRule="exact"/>
        <w:ind w:firstLine="482" w:firstLineChars="200"/>
        <w:rPr>
          <w:rFonts w:ascii="宋体" w:hAnsi="宋体" w:cs="宋体"/>
          <w:b/>
          <w:bCs/>
          <w:color w:val="000000" w:themeColor="text1"/>
          <w:kern w:val="0"/>
          <w:sz w:val="24"/>
          <w:highlight w:val="none"/>
          <w14:textFill>
            <w14:solidFill>
              <w14:schemeClr w14:val="tx1"/>
            </w14:solidFill>
          </w14:textFill>
        </w:rPr>
      </w:pPr>
      <w:bookmarkStart w:id="261" w:name="_Toc37868993"/>
      <w:r>
        <w:rPr>
          <w:rFonts w:hint="eastAsia" w:ascii="宋体" w:hAnsi="宋体" w:cs="宋体"/>
          <w:b/>
          <w:bCs/>
          <w:color w:val="000000" w:themeColor="text1"/>
          <w:kern w:val="0"/>
          <w:sz w:val="24"/>
          <w:highlight w:val="none"/>
          <w14:textFill>
            <w14:solidFill>
              <w14:schemeClr w14:val="tx1"/>
            </w14:solidFill>
          </w14:textFill>
        </w:rPr>
        <w:t>3.1第一个信封初步评审</w:t>
      </w:r>
      <w:bookmarkEnd w:id="261"/>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spacing w:line="400" w:lineRule="exact"/>
        <w:ind w:firstLine="482" w:firstLineChars="200"/>
        <w:rPr>
          <w:rFonts w:ascii="宋体" w:hAnsi="宋体" w:cs="宋体"/>
          <w:color w:val="000000" w:themeColor="text1"/>
          <w:kern w:val="0"/>
          <w:sz w:val="24"/>
          <w:highlight w:val="none"/>
          <w14:textFill>
            <w14:solidFill>
              <w14:schemeClr w14:val="tx1"/>
            </w14:solidFill>
          </w14:textFill>
        </w:rPr>
      </w:pPr>
      <w:bookmarkStart w:id="262" w:name="_Toc37868994"/>
      <w:r>
        <w:rPr>
          <w:rFonts w:hint="eastAsia" w:ascii="宋体" w:hAnsi="宋体" w:cs="宋体"/>
          <w:b/>
          <w:bCs/>
          <w:color w:val="000000" w:themeColor="text1"/>
          <w:kern w:val="0"/>
          <w:sz w:val="24"/>
          <w:highlight w:val="none"/>
          <w14:textFill>
            <w14:solidFill>
              <w14:schemeClr w14:val="tx1"/>
            </w14:solidFill>
          </w14:textFill>
        </w:rPr>
        <w:t>3.2第二个信封开标</w:t>
      </w:r>
      <w:bookmarkEnd w:id="262"/>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第一个信封（商务及技术文件）评审结束后，招标人将按照第二章“投标人须知”第 5.1 款规定的时间和地点对通过投标文件第一个信封（商务及技术文件）评审的投标文件第二个信封（报价文件）进行开标。</w:t>
      </w:r>
    </w:p>
    <w:p>
      <w:pPr>
        <w:spacing w:line="400" w:lineRule="exact"/>
        <w:ind w:firstLine="482" w:firstLineChars="200"/>
        <w:rPr>
          <w:rFonts w:ascii="宋体" w:hAnsi="宋体" w:cs="宋体"/>
          <w:b/>
          <w:bCs/>
          <w:color w:val="000000" w:themeColor="text1"/>
          <w:kern w:val="0"/>
          <w:sz w:val="24"/>
          <w:highlight w:val="none"/>
          <w14:textFill>
            <w14:solidFill>
              <w14:schemeClr w14:val="tx1"/>
            </w14:solidFill>
          </w14:textFill>
        </w:rPr>
      </w:pPr>
      <w:bookmarkStart w:id="263" w:name="_Toc37868995"/>
      <w:r>
        <w:rPr>
          <w:rFonts w:hint="eastAsia" w:ascii="宋体" w:hAnsi="宋体" w:cs="宋体"/>
          <w:b/>
          <w:bCs/>
          <w:color w:val="000000" w:themeColor="text1"/>
          <w:kern w:val="0"/>
          <w:sz w:val="24"/>
          <w:highlight w:val="none"/>
          <w14:textFill>
            <w14:solidFill>
              <w14:schemeClr w14:val="tx1"/>
            </w14:solidFill>
          </w14:textFill>
        </w:rPr>
        <w:t>3.3第二个信封初步评审</w:t>
      </w:r>
      <w:bookmarkEnd w:id="263"/>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3.3.1评标委员会依据本章第2.1.1项、第2.1.3项规定的评审标准对投标文件第二个信封（报价文件）进行初步评审。有一项不符合评审标准的，评标委员会应否决其投标。</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3.3.2投标报价有算术错误的，评标委员会按以下原则对投标报价进行修正，修正的价格经投标人书面确认后具有约束力。投标人不接受修正价格的，评标委员会应否决其投标。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（1）投标文件中的大写金额与小写金额不一致的，以大写金额为准；</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（2）总价金额与依据单价计算出的结果不一致的，以单价金额为准修正总价，但单价金额小数点有明显错误的除外；</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（3）当单价与数量相乘不等于合价时，以单价计算为准，如果单价有明显的小数点位置差错，应以标出的合价为准，同时对单价予以修正；</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（4）当各子目的合价累计不等于总价时，应以各子目合价累计数为准，修正总价。</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工程量清单中的投标报价有其他错误的，评标委员会按以下原则对投标报价进行修正，修正的价格经投标人书面确认后具有约束力。投标人不接受修正价格的，评标委员会应否决其投标。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招标人给定的工程量清单中漏报了某个工程子目的单价、合价或总额价，或所报单价、合价或总额价减少了报价范围，则漏报的工程子目单价、合价和总额价或单价、合价和总额价中减少的报价内容视为己含入其他工程子目的单价、合价和总额价之中。</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招标人给定的工程量清单中多报了某个工程子目的单价、合价或总额价，或所报单价、合价或总额价增加了报价范围，则从投标报价中扣除多报的工程子目报价或工程子目报价中増加了报价范围的部分报价。</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（3）当单价与数量的乘积与合价（金额）虽然一致，但投标人修改了该子目的工程数量，则其合价按招标人给定的工程数量乘以投标人所报单价予以修正。</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3.3.4修正后的最终投标报价若超过最高投标限价(如有)，评标委员会应否决其投标。</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3.3.5修正后的最终投标报价仅作为签订合同的一个依据，不参与评标价得分的计算。</w:t>
      </w:r>
    </w:p>
    <w:p>
      <w:pPr>
        <w:spacing w:line="400" w:lineRule="exact"/>
        <w:ind w:firstLine="482" w:firstLineChars="200"/>
        <w:rPr>
          <w:rFonts w:ascii="宋体" w:hAnsi="宋体" w:cs="宋体"/>
          <w:b/>
          <w:bCs/>
          <w:color w:val="000000" w:themeColor="text1"/>
          <w:kern w:val="0"/>
          <w:sz w:val="24"/>
          <w:highlight w:val="none"/>
          <w14:textFill>
            <w14:solidFill>
              <w14:schemeClr w14:val="tx1"/>
            </w14:solidFill>
          </w14:textFill>
        </w:rPr>
      </w:pPr>
      <w:bookmarkStart w:id="264" w:name="_Toc37868996"/>
      <w:r>
        <w:rPr>
          <w:rFonts w:hint="eastAsia" w:ascii="宋体" w:hAnsi="宋体" w:cs="宋体"/>
          <w:b/>
          <w:bCs/>
          <w:color w:val="000000" w:themeColor="text1"/>
          <w:kern w:val="0"/>
          <w:sz w:val="24"/>
          <w:highlight w:val="none"/>
          <w14:textFill>
            <w14:solidFill>
              <w14:schemeClr w14:val="tx1"/>
            </w14:solidFill>
          </w14:textFill>
        </w:rPr>
        <w:t>3.4第二个信封详细评审</w:t>
      </w:r>
      <w:bookmarkEnd w:id="264"/>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3.4.1评标委员会按本章第2.2款规定的量化因素和分值进行打分，并计算出综合评估得分（即评标价得分）。</w:t>
      </w:r>
    </w:p>
    <w:p>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3.4.2投标人得分分值计算保留小数点后两位，小数点后第三位“四舍五入”。</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5" w:name="_Toc16154"/>
      <w:bookmarkStart w:id="266" w:name="_Toc13396"/>
      <w:r>
        <w:rPr>
          <w:rFonts w:hint="eastAsia" w:ascii="宋体" w:hAnsi="宋体" w:cs="宋体"/>
          <w:color w:val="000000" w:themeColor="text1"/>
          <w:highlight w:val="none"/>
          <w14:textFill>
            <w14:solidFill>
              <w14:schemeClr w14:val="tx1"/>
            </w14:solidFill>
          </w14:textFill>
        </w:rPr>
        <w:t>3.5 投标文件相关信息的核查</w:t>
      </w:r>
      <w:bookmarkEnd w:id="253"/>
      <w:bookmarkEnd w:id="265"/>
      <w:bookmarkEnd w:id="266"/>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在评标过程中，评标委员会应査询交通运输主管部门“全国公路建设市场监督管理系统”，对投标人的资质、业绩、主要人员资历和目前在岗情况、信用等级等信息进行核实。若投标文件载明的信息与交通运输主管部门“全国公路建设市场监督管理系统”公布的信息不符，使得投标人的资格条件不符合招标文件规定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（1）有下列情形之一的，属于投标人相互串通投标：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a.投标人之间协商投标报价等投标文件的实质性内容；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b.投标人之间约定中标人；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c.投标人之间约定部分投标人放弃投标或中标；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d.属于同一集团、协会、商会等组织成员的投标人按照该组织要求协同投标；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e.投标人之间为谋取中标或排斥特定投标人而采取的其他联合行动。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（2）有下列情形之一的，视为投标人相互串通投标：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a.不同投标人的投标文件由同一单位或个人编制；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b.不同投标人委托同一单位或个人办理投标事宜；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c.不同投标人的投标文件载明的项目管理成员为同一人；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d.不同投标人的投标文件异常一致或投标报价呈规律性差异；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e.不同投标人的投标文件相互混装；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f.不同投标人的投标保证金从同一单位或个人的账户转出。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（3）有下列情形之一的，属于招标人与投标人串通投标：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a.招标人在开标前开启投标文件并将有关信息泄露给其他投标人；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b.招标人直接或间接向投标人泄露标底、评标委员会成员等信息；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c.招标人明示或暗示投标人压低或抬高投标报价；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d.招标人授意投标人撤換、修改投标文件；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e.招标人明示或暗示投标人为特定投标人中标提供方便；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f.招标人与投标人为谋求特定投标人中标而采取的其他串通行为。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（4）投标人有下列情形之一的，属于弄虚作假的行为：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a.使用通过受让或租借等方式获取的资格、资质证书投标；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b.使用伪造、变造的许可证件；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c.提供虚假的财务状况或业绩；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d.提供虚假的项目负责人或主要技术人员简历、劳动关系证明；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e.提供虚假的信用状况；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f.具他弄虚作假的行为。</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7" w:name="_Toc21295"/>
      <w:bookmarkStart w:id="268" w:name="_Toc18611"/>
      <w:bookmarkStart w:id="269" w:name="_Toc522725732"/>
      <w:r>
        <w:rPr>
          <w:rFonts w:hint="eastAsia" w:ascii="宋体" w:hAnsi="宋体" w:cs="宋体"/>
          <w:color w:val="000000" w:themeColor="text1"/>
          <w:highlight w:val="none"/>
          <w14:textFill>
            <w14:solidFill>
              <w14:schemeClr w14:val="tx1"/>
            </w14:solidFill>
          </w14:textFill>
        </w:rPr>
        <w:t>3.6 投标文件的澄清和说明</w:t>
      </w:r>
      <w:bookmarkEnd w:id="267"/>
      <w:bookmarkEnd w:id="268"/>
      <w:bookmarkEnd w:id="269"/>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澄清和说明不得超出投标文件的范围或改变招标文件的实质性内容（算术性错误修正的除外）。投标人的书面澄清、说明属于投标文件的组成部分。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3.6.4 凡超出招标文件规定的或给发包人带来未曾要求的利益的变化、偏差或其他因素在评标时不予考虑。</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0" w:name="_Toc26033"/>
      <w:bookmarkStart w:id="271" w:name="_Toc5475"/>
      <w:bookmarkStart w:id="272" w:name="_Toc522725733"/>
      <w:r>
        <w:rPr>
          <w:rFonts w:hint="eastAsia" w:ascii="宋体" w:hAnsi="宋体" w:cs="宋体"/>
          <w:color w:val="000000" w:themeColor="text1"/>
          <w:highlight w:val="none"/>
          <w14:textFill>
            <w14:solidFill>
              <w14:schemeClr w14:val="tx1"/>
            </w14:solidFill>
          </w14:textFill>
        </w:rPr>
        <w:t>3.7 不得否决投标的情形</w:t>
      </w:r>
      <w:bookmarkEnd w:id="270"/>
      <w:bookmarkEnd w:id="271"/>
      <w:bookmarkEnd w:id="272"/>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投标文件存在第二章“投标人须知”第1.12.3项所列情形的，均视为细微偏差，评标委员会不得否决投标人的投标， 应按照第二章“投标人须知”第1.12.4项规定的原则处理。</w:t>
      </w:r>
    </w:p>
    <w:p>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3" w:name="_Toc25428"/>
      <w:bookmarkStart w:id="274" w:name="_Toc14369"/>
      <w:bookmarkStart w:id="275" w:name="_Toc522725734"/>
      <w:r>
        <w:rPr>
          <w:rFonts w:hint="eastAsia" w:ascii="宋体" w:hAnsi="宋体" w:cs="宋体"/>
          <w:color w:val="000000" w:themeColor="text1"/>
          <w:highlight w:val="none"/>
          <w14:textFill>
            <w14:solidFill>
              <w14:schemeClr w14:val="tx1"/>
            </w14:solidFill>
          </w14:textFill>
        </w:rPr>
        <w:t>3.8 评标结果</w:t>
      </w:r>
      <w:bookmarkEnd w:id="273"/>
      <w:bookmarkEnd w:id="274"/>
      <w:bookmarkEnd w:id="275"/>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3.8.1除第二章“投标人须知”前附表授权直接确定中标人外，评标委员会按照得分由高到低的顺序推荐中标候选人，并标明排序。</w:t>
      </w:r>
    </w:p>
    <w:p>
      <w:pPr>
        <w:pStyle w:val="53"/>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3.8.2 评标委员会完成评标后，应向招标人提交书面评标报告。</w:t>
      </w:r>
    </w:p>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adjustRightInd w:val="0"/>
        <w:snapToGrid w:val="0"/>
        <w:spacing w:line="360" w:lineRule="auto"/>
        <w:rPr>
          <w:rFonts w:ascii="宋体" w:hAnsi="宋体"/>
          <w:color w:val="000000" w:themeColor="text1"/>
          <w:highlight w:val="none"/>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276" w:name="_Toc43475747"/>
    </w:p>
    <w:p>
      <w:pPr>
        <w:pStyle w:val="2"/>
        <w:jc w:val="center"/>
        <w:rPr>
          <w:color w:val="000000" w:themeColor="text1"/>
          <w:highlight w:val="none"/>
          <w14:textFill>
            <w14:solidFill>
              <w14:schemeClr w14:val="tx1"/>
            </w14:solidFill>
          </w14:textFill>
        </w:rPr>
      </w:pPr>
    </w:p>
    <w:p>
      <w:pPr>
        <w:pStyle w:val="2"/>
        <w:jc w:val="center"/>
        <w:rPr>
          <w:color w:val="000000" w:themeColor="text1"/>
          <w:highlight w:val="none"/>
          <w14:textFill>
            <w14:solidFill>
              <w14:schemeClr w14:val="tx1"/>
            </w14:solidFill>
          </w14:textFill>
        </w:rPr>
      </w:pPr>
    </w:p>
    <w:p>
      <w:pPr>
        <w:pStyle w:val="2"/>
        <w:jc w:val="center"/>
        <w:rPr>
          <w:color w:val="000000" w:themeColor="text1"/>
          <w:highlight w:val="none"/>
          <w14:textFill>
            <w14:solidFill>
              <w14:schemeClr w14:val="tx1"/>
            </w14:solidFill>
          </w14:textFill>
        </w:rPr>
      </w:pPr>
    </w:p>
    <w:bookmarkEnd w:id="276"/>
    <w:p>
      <w:pPr>
        <w:pStyle w:val="2"/>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第四章合同条款及格式</w:t>
      </w:r>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br w:type="page"/>
      </w:r>
    </w:p>
    <w:p>
      <w:pPr>
        <w:pStyle w:val="3"/>
        <w:spacing w:after="120" w:line="240" w:lineRule="auto"/>
        <w:jc w:val="center"/>
        <w:rPr>
          <w:rFonts w:ascii="宋体" w:hAnsi="宋体"/>
          <w:color w:val="000000" w:themeColor="text1"/>
          <w:highlight w:val="none"/>
          <w14:textFill>
            <w14:solidFill>
              <w14:schemeClr w14:val="tx1"/>
            </w14:solidFill>
          </w14:textFill>
        </w:rPr>
      </w:pPr>
      <w:bookmarkStart w:id="277" w:name="_Toc505844394"/>
      <w:bookmarkEnd w:id="277"/>
      <w:bookmarkStart w:id="278" w:name="_Toc26318"/>
      <w:bookmarkEnd w:id="278"/>
      <w:bookmarkStart w:id="279" w:name="_Toc43475748"/>
      <w:bookmarkEnd w:id="279"/>
      <w:r>
        <w:rPr>
          <w:rFonts w:hint="eastAsia" w:ascii="宋体" w:hAnsi="宋体"/>
          <w:color w:val="000000" w:themeColor="text1"/>
          <w:sz w:val="44"/>
          <w:szCs w:val="44"/>
          <w:highlight w:val="none"/>
          <w14:textFill>
            <w14:solidFill>
              <w14:schemeClr w14:val="tx1"/>
            </w14:solidFill>
          </w14:textFill>
        </w:rPr>
        <w:t>第一节通用合同条款</w:t>
      </w:r>
    </w:p>
    <w:p>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（通用合同条款的内容与《中华人民共和国交通运输部公路工程标准施工招标文件》（2018年版）不一致时，以《中华人民共和国交通运输部公路工程标准施工招标文件》（2018年版）为准）</w:t>
      </w:r>
    </w:p>
    <w:p>
      <w:pPr>
        <w:spacing w:line="400" w:lineRule="exact"/>
        <w:jc w:val="center"/>
        <w:rPr>
          <w:rFonts w:ascii="宋体" w:hAnsi="宋体" w:cs="宋体"/>
          <w:color w:val="000000" w:themeColor="text1"/>
          <w:sz w:val="30"/>
          <w:szCs w:val="30"/>
          <w:highlight w:val="none"/>
          <w14:textFill>
            <w14:solidFill>
              <w14:schemeClr w14:val="tx1"/>
            </w14:solidFill>
          </w14:textFill>
        </w:rPr>
      </w:pPr>
    </w:p>
    <w:p>
      <w:pPr>
        <w:spacing w:before="240" w:line="400" w:lineRule="exact"/>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通用合同条款</w:t>
      </w:r>
    </w:p>
    <w:p>
      <w:pPr>
        <w:pStyle w:val="78"/>
        <w:rPr>
          <w:rFonts w:ascii="宋体" w:hAnsi="宋体"/>
          <w:color w:val="000000" w:themeColor="text1"/>
          <w:sz w:val="24"/>
          <w:szCs w:val="24"/>
          <w:highlight w:val="none"/>
          <w14:textFill>
            <w14:solidFill>
              <w14:schemeClr w14:val="tx1"/>
            </w14:solidFill>
          </w14:textFill>
        </w:rPr>
      </w:pPr>
      <w:bookmarkStart w:id="280" w:name="_Toc43475749"/>
      <w:bookmarkEnd w:id="280"/>
      <w:bookmarkStart w:id="281" w:name="_Toc179632629"/>
      <w:bookmarkEnd w:id="281"/>
      <w:bookmarkStart w:id="282" w:name="_Toc330406216"/>
      <w:bookmarkEnd w:id="282"/>
      <w:bookmarkStart w:id="283" w:name="_Toc144974579"/>
      <w:bookmarkEnd w:id="283"/>
      <w:bookmarkStart w:id="284" w:name="_Toc152045611"/>
      <w:bookmarkEnd w:id="284"/>
      <w:bookmarkStart w:id="285" w:name="_Toc152042389"/>
      <w:bookmarkEnd w:id="285"/>
      <w:bookmarkStart w:id="286" w:name="_Toc393546275"/>
      <w:bookmarkEnd w:id="286"/>
      <w:bookmarkStart w:id="287" w:name="_Toc386467021"/>
      <w:bookmarkEnd w:id="287"/>
      <w:r>
        <w:rPr>
          <w:rFonts w:hint="eastAsia" w:ascii="宋体" w:hAnsi="宋体"/>
          <w:color w:val="000000" w:themeColor="text1"/>
          <w:sz w:val="24"/>
          <w:szCs w:val="24"/>
          <w:highlight w:val="none"/>
          <w14:textFill>
            <w14:solidFill>
              <w14:schemeClr w14:val="tx1"/>
            </w14:solidFill>
          </w14:textFill>
        </w:rPr>
        <w:t>1. 一般约定</w:t>
      </w:r>
    </w:p>
    <w:p>
      <w:pPr>
        <w:pStyle w:val="67"/>
        <w:ind w:firstLine="118"/>
        <w:rPr>
          <w:rFonts w:ascii="宋体" w:eastAsia="宋体"/>
          <w:b/>
          <w:bCs/>
          <w:color w:val="000000" w:themeColor="text1"/>
          <w:szCs w:val="24"/>
          <w:highlight w:val="none"/>
          <w14:textFill>
            <w14:solidFill>
              <w14:schemeClr w14:val="tx1"/>
            </w14:solidFill>
          </w14:textFill>
        </w:rPr>
      </w:pPr>
      <w:bookmarkStart w:id="288" w:name="_Toc393546276"/>
      <w:bookmarkEnd w:id="288"/>
      <w:bookmarkStart w:id="289" w:name="_Toc386467022"/>
      <w:bookmarkEnd w:id="289"/>
      <w:bookmarkStart w:id="290" w:name="_Toc43475750"/>
      <w:bookmarkEnd w:id="290"/>
      <w:r>
        <w:rPr>
          <w:rFonts w:hint="eastAsia" w:ascii="宋体" w:eastAsia="宋体"/>
          <w:b/>
          <w:bCs/>
          <w:color w:val="000000" w:themeColor="text1"/>
          <w:szCs w:val="24"/>
          <w:highlight w:val="none"/>
          <w14:textFill>
            <w14:solidFill>
              <w14:schemeClr w14:val="tx1"/>
            </w14:solidFill>
          </w14:textFill>
        </w:rPr>
        <w:t>1.1 词语定义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通用合同条款、专用合同条款中的下列词语应具有本款所赋予的含义。</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 合同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合同协议书：指第1.5款所指的合同协议书。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中标通知书：指发包人通知承包人中标的函件。</w:t>
      </w:r>
    </w:p>
    <w:p>
      <w:pPr>
        <w:spacing w:line="400" w:lineRule="exact"/>
        <w:ind w:firstLine="820" w:firstLineChars="342"/>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投标函：指构成合同文件组成部分的由承包人填写并签署的投标函。</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 投标函附录：指附在投标函后构成合同文件的投标函附录。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 技术标准和要求：指构成合同文件组成部分的名为技术标准和要求的文件，包括合同双方当事人约定对其所作的修改或补充。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1.1.1.7图纸：指包含在合同中的工程图纸，以及由发包人按合同约定提供的任何补充和修改的图纸，包括配套的说明。</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1.1.1.8 已标价工程量清单：指构成合同文件组成部分的由承包人按照规定的格式和要求填写并标明价格的工程量清单。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1.1.1.9 其他合同文件：指经合同双方当事人确认构成合同文件的其他文件。</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 合同当事人和人员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合同当事人：指发包人和（或）承包人。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发包人：指专用合同条款中指明并与承包人在合同协议书中签字的当事人。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 承包人：指与发包人签订合同协议书的当事人。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 承包人项目经理：指承包人派驻施工场地的全权负责人。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分包人：指从承包人处分包合同中某一部分工程，并与其签订分包合同的分包人。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 监理人：指在专用合同条款中指明的，受发包人委托对合同履行实施管理的法人或其他组织。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 总监理工程师（总监）：指由监理人委派常驻施工场地对合同履行实施管理的全权负责人。</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1.1.3 工程和设备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 工程：指永久工程和（或）临时工程。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永久工程：指按合同约定建造并移交给发包人的工程，包括工程设备。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 临时工程：指为完成合同约定的永久工程所修建的各类临时性工程，不包括施工设备。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 单位工程：指专用合同条款中指明特定范围的永久工程。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 工程设备：指构成或计划构成永久工程一部分的机电设备、金属结构设备、仪器装置及其他类似的设备和装置。</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1.1.3.6 施工设备：指为完成合同约定的各项工作所需的设备、器具和其他物品，不包括临时工程和材料。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临时设施：指为完成合同约定的各项工作所服务的临时性生产和生活设施。</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1.1.3.8 承包人设备：指承包人自带的施工设备。</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永久占地：指专用合同条款中指明为实施合同工程需永久占用的土地。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1.1.3.11 临时占地：指专用合同条款中指明为实施合同工程需临时占用的土地。</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1.1.4 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1.1.4.1 开工通知：指监理人按第11.1款通知承包人开工的函件。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1.1.4.2 开工日期：指监理人按第11.1款发出的开工通知中写明的开工日期。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1.1.4.3工期：指承包人在投标函中承诺的完成合同工程所需的期限，包括按第11.3款、第11.4款和第11.6款约定所作的变更。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1.1.4.4 竣工日期：指第1.1.4.3目约定工期届满时的日期。实际竣工日期以工程接收证书中写明的日期为准。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1.1.4.5 缺陷责任期：指履行第19.2款约定的缺陷责任的期限，具体期限由专用合同条款约定，包括根据第19.3款约定所作的延长。</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1.1.4.6 基准日期：指投标截止时间前28天的日期。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1.1.4.7 天：除特别指明外，指日历天。合同中按天计算时间的，开始当天不计入，从次日开始计算。期限最后一天的截止时间为当天24:00。</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1.1.5 合同价格和费用</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1.1.5.1 签约合同价：指签定合同时合同协议书中写明的，包括了暂列金额、暂估价的合同总金额。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1.1.5.3 费用：指为履行合同所发生的或将要发生的所有合理开支，包括管理费和应分摊的其他费用，但不包括利润。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1.1.5.5暂估价：指发包人在工程量清单中给定的用于支付必然发生但暂时不能确定价格的材料、设备以及专业工程的金额。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1.1.5.6 计日工：指对零星工作采取的一种计价方式，按合同中的计日工子目及其单价计价付款。</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1.1.5.7 质量保证金（或称保留金）：指按第17.4.1项约定用于保证在缺陷责任期内履行缺陷修复义务的金额。</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1.1.6 其他</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 书面形式：指合同文件、信函、电报、传真等可以有形地表现所载内容的形式。</w:t>
      </w:r>
    </w:p>
    <w:p>
      <w:pPr>
        <w:pStyle w:val="67"/>
        <w:ind w:firstLine="118"/>
        <w:rPr>
          <w:rFonts w:ascii="宋体" w:eastAsia="宋体"/>
          <w:b/>
          <w:bCs/>
          <w:color w:val="000000" w:themeColor="text1"/>
          <w:szCs w:val="24"/>
          <w:highlight w:val="none"/>
          <w14:textFill>
            <w14:solidFill>
              <w14:schemeClr w14:val="tx1"/>
            </w14:solidFill>
          </w14:textFill>
        </w:rPr>
      </w:pPr>
      <w:bookmarkStart w:id="291" w:name="_Toc152042391"/>
      <w:bookmarkEnd w:id="291"/>
      <w:bookmarkStart w:id="292" w:name="_Toc152045613"/>
      <w:bookmarkEnd w:id="292"/>
      <w:bookmarkStart w:id="293" w:name="_Toc179632631"/>
      <w:bookmarkEnd w:id="293"/>
      <w:bookmarkStart w:id="294" w:name="_Toc330406218"/>
      <w:bookmarkEnd w:id="294"/>
      <w:bookmarkStart w:id="295" w:name="_Toc144974581"/>
      <w:bookmarkEnd w:id="295"/>
      <w:bookmarkStart w:id="296" w:name="_Toc43475751"/>
      <w:bookmarkEnd w:id="296"/>
      <w:bookmarkStart w:id="297" w:name="_Toc393546277"/>
      <w:bookmarkEnd w:id="297"/>
      <w:bookmarkStart w:id="298" w:name="_Toc386467023"/>
      <w:bookmarkEnd w:id="298"/>
      <w:r>
        <w:rPr>
          <w:rFonts w:hint="eastAsia" w:ascii="宋体" w:eastAsia="宋体"/>
          <w:b/>
          <w:bCs/>
          <w:color w:val="000000" w:themeColor="text1"/>
          <w:szCs w:val="24"/>
          <w:highlight w:val="none"/>
          <w14:textFill>
            <w14:solidFill>
              <w14:schemeClr w14:val="tx1"/>
            </w14:solidFill>
          </w14:textFill>
        </w:rPr>
        <w:t>1.2 语言文字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除专用术语外，合同使用的语言文字为中文。必要时专用术语应附有中文注释。</w:t>
      </w:r>
    </w:p>
    <w:p>
      <w:pPr>
        <w:pStyle w:val="67"/>
        <w:ind w:firstLine="118"/>
        <w:rPr>
          <w:rFonts w:ascii="宋体" w:eastAsia="宋体"/>
          <w:b/>
          <w:bCs/>
          <w:color w:val="000000" w:themeColor="text1"/>
          <w:szCs w:val="24"/>
          <w:highlight w:val="none"/>
          <w14:textFill>
            <w14:solidFill>
              <w14:schemeClr w14:val="tx1"/>
            </w14:solidFill>
          </w14:textFill>
        </w:rPr>
      </w:pPr>
      <w:bookmarkStart w:id="299" w:name="_Toc330406219"/>
      <w:bookmarkEnd w:id="299"/>
      <w:bookmarkStart w:id="300" w:name="_Toc386467024"/>
      <w:bookmarkEnd w:id="300"/>
      <w:bookmarkStart w:id="301" w:name="_Toc152042392"/>
      <w:bookmarkEnd w:id="301"/>
      <w:bookmarkStart w:id="302" w:name="_Toc393546278"/>
      <w:bookmarkEnd w:id="302"/>
      <w:bookmarkStart w:id="303" w:name="_Toc179632632"/>
      <w:bookmarkEnd w:id="303"/>
      <w:bookmarkStart w:id="304" w:name="_Toc144974582"/>
      <w:bookmarkEnd w:id="304"/>
      <w:bookmarkStart w:id="305" w:name="_Toc152045614"/>
      <w:bookmarkEnd w:id="305"/>
      <w:bookmarkStart w:id="306" w:name="_Toc43475752"/>
      <w:bookmarkEnd w:id="306"/>
      <w:r>
        <w:rPr>
          <w:rFonts w:hint="eastAsia" w:ascii="宋体" w:eastAsia="宋体"/>
          <w:b/>
          <w:bCs/>
          <w:color w:val="000000" w:themeColor="text1"/>
          <w:szCs w:val="24"/>
          <w:highlight w:val="none"/>
          <w14:textFill>
            <w14:solidFill>
              <w14:schemeClr w14:val="tx1"/>
            </w14:solidFill>
          </w14:textFill>
        </w:rPr>
        <w:t>1.3 法律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适用于合同的法律包括中华人民共和国法律、行政法规、部门规章，以及工程所在地的地方法规、自治条例、单行条例和地方政府规章。</w:t>
      </w:r>
    </w:p>
    <w:p>
      <w:pPr>
        <w:pStyle w:val="67"/>
        <w:ind w:firstLine="118"/>
        <w:rPr>
          <w:rFonts w:ascii="宋体" w:eastAsia="宋体"/>
          <w:b/>
          <w:bCs/>
          <w:color w:val="000000" w:themeColor="text1"/>
          <w:szCs w:val="24"/>
          <w:highlight w:val="none"/>
          <w14:textFill>
            <w14:solidFill>
              <w14:schemeClr w14:val="tx1"/>
            </w14:solidFill>
          </w14:textFill>
        </w:rPr>
      </w:pPr>
      <w:bookmarkStart w:id="307" w:name="_Toc43475753"/>
      <w:bookmarkEnd w:id="307"/>
      <w:bookmarkStart w:id="308" w:name="_Toc393546279"/>
      <w:bookmarkEnd w:id="308"/>
      <w:bookmarkStart w:id="309" w:name="_Toc386467025"/>
      <w:bookmarkEnd w:id="309"/>
      <w:r>
        <w:rPr>
          <w:rFonts w:hint="eastAsia" w:ascii="宋体" w:eastAsia="宋体"/>
          <w:b/>
          <w:bCs/>
          <w:color w:val="000000" w:themeColor="text1"/>
          <w:szCs w:val="24"/>
          <w:highlight w:val="none"/>
          <w14:textFill>
            <w14:solidFill>
              <w14:schemeClr w14:val="tx1"/>
            </w14:solidFill>
          </w14:textFill>
        </w:rPr>
        <w:t>1.4 合同文件的优先顺序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组成合同的各项文件应互相解释，互为说明。除专用合同条款另有约定外，解释合同文件的优先顺序如下：</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（4）专用合同条款；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（5）通用合同条款；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（6）技术标准和要求；</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（7）图纸；</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（8）已标价工程量清单；</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（9）其他合同文件。</w:t>
      </w:r>
    </w:p>
    <w:p>
      <w:pPr>
        <w:pStyle w:val="67"/>
        <w:ind w:firstLine="118"/>
        <w:rPr>
          <w:rFonts w:ascii="宋体" w:eastAsia="宋体"/>
          <w:b/>
          <w:bCs/>
          <w:color w:val="000000" w:themeColor="text1"/>
          <w:szCs w:val="24"/>
          <w:highlight w:val="none"/>
          <w14:textFill>
            <w14:solidFill>
              <w14:schemeClr w14:val="tx1"/>
            </w14:solidFill>
          </w14:textFill>
        </w:rPr>
      </w:pPr>
      <w:bookmarkStart w:id="310" w:name="_Toc386467026"/>
      <w:bookmarkEnd w:id="310"/>
      <w:bookmarkStart w:id="311" w:name="_Toc43475754"/>
      <w:bookmarkEnd w:id="311"/>
      <w:bookmarkStart w:id="312" w:name="_Toc393546280"/>
      <w:bookmarkEnd w:id="312"/>
      <w:r>
        <w:rPr>
          <w:rFonts w:hint="eastAsia" w:ascii="宋体" w:eastAsia="宋体"/>
          <w:b/>
          <w:bCs/>
          <w:color w:val="000000" w:themeColor="text1"/>
          <w:szCs w:val="24"/>
          <w:highlight w:val="none"/>
          <w14:textFill>
            <w14:solidFill>
              <w14:schemeClr w14:val="tx1"/>
            </w14:solidFill>
          </w14:textFill>
        </w:rPr>
        <w:t>1.5 合同协议书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pPr>
        <w:pStyle w:val="67"/>
        <w:ind w:firstLine="118"/>
        <w:rPr>
          <w:rFonts w:ascii="宋体" w:eastAsia="宋体"/>
          <w:b/>
          <w:bCs/>
          <w:color w:val="000000" w:themeColor="text1"/>
          <w:szCs w:val="24"/>
          <w:highlight w:val="none"/>
          <w14:textFill>
            <w14:solidFill>
              <w14:schemeClr w14:val="tx1"/>
            </w14:solidFill>
          </w14:textFill>
        </w:rPr>
      </w:pPr>
      <w:bookmarkStart w:id="313" w:name="_Toc43475755"/>
      <w:bookmarkEnd w:id="313"/>
      <w:bookmarkStart w:id="314" w:name="_Toc393546281"/>
      <w:bookmarkEnd w:id="314"/>
      <w:bookmarkStart w:id="315" w:name="_Toc386467027"/>
      <w:bookmarkEnd w:id="315"/>
      <w:r>
        <w:rPr>
          <w:rFonts w:hint="eastAsia" w:ascii="宋体" w:eastAsia="宋体"/>
          <w:b/>
          <w:bCs/>
          <w:color w:val="000000" w:themeColor="text1"/>
          <w:szCs w:val="24"/>
          <w:highlight w:val="none"/>
          <w14:textFill>
            <w14:solidFill>
              <w14:schemeClr w14:val="tx1"/>
            </w14:solidFill>
          </w14:textFill>
        </w:rPr>
        <w:t>1.6 图纸和承包人文件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1.6.1图纸的提供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除专用合同条款另有约定外，图纸应在合理的期限内按照合同约定的数量提供给承包人。由于发包人未按时提供图纸造成工期延误的，按第11.3款的约定办理。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承包人提供的文件</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承包人发现发包人提供的图纸存在明显错误或疏忽，应及时通知监理人。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图纸和承包人文件的保管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监理人和承包人均应在施工场地各保存一套完整的包含第1.6.1项、第1.6.2项、第1.6.3项约定内容的图纸和承包人文件。</w:t>
      </w:r>
    </w:p>
    <w:p>
      <w:pPr>
        <w:pStyle w:val="67"/>
        <w:ind w:firstLine="118"/>
        <w:rPr>
          <w:rFonts w:ascii="宋体" w:eastAsia="宋体"/>
          <w:b/>
          <w:bCs/>
          <w:color w:val="000000" w:themeColor="text1"/>
          <w:szCs w:val="24"/>
          <w:highlight w:val="none"/>
          <w14:textFill>
            <w14:solidFill>
              <w14:schemeClr w14:val="tx1"/>
            </w14:solidFill>
          </w14:textFill>
        </w:rPr>
      </w:pPr>
      <w:bookmarkStart w:id="316" w:name="_Toc179632636"/>
      <w:bookmarkEnd w:id="316"/>
      <w:bookmarkStart w:id="317" w:name="_Toc144974586"/>
      <w:bookmarkEnd w:id="317"/>
      <w:bookmarkStart w:id="318" w:name="_Toc393546282"/>
      <w:bookmarkEnd w:id="318"/>
      <w:bookmarkStart w:id="319" w:name="_Toc152045618"/>
      <w:bookmarkEnd w:id="319"/>
      <w:bookmarkStart w:id="320" w:name="_Toc43475756"/>
      <w:bookmarkEnd w:id="320"/>
      <w:bookmarkStart w:id="321" w:name="_Toc330406223"/>
      <w:bookmarkEnd w:id="321"/>
      <w:bookmarkStart w:id="322" w:name="_Toc152042396"/>
      <w:bookmarkEnd w:id="322"/>
      <w:bookmarkStart w:id="323" w:name="_Toc386467028"/>
      <w:bookmarkEnd w:id="323"/>
      <w:r>
        <w:rPr>
          <w:rFonts w:hint="eastAsia" w:ascii="宋体" w:eastAsia="宋体"/>
          <w:b/>
          <w:bCs/>
          <w:color w:val="000000" w:themeColor="text1"/>
          <w:szCs w:val="24"/>
          <w:highlight w:val="none"/>
          <w14:textFill>
            <w14:solidFill>
              <w14:schemeClr w14:val="tx1"/>
            </w14:solidFill>
          </w14:textFill>
        </w:rPr>
        <w:t>1.7 联络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与合同有关的通知、批准、证明、证书、指示、要求、请求、同意、意见、确定和决定等，均应采用书面形式。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第1.7.1项中的通知、批准、证明、证书、指示、要求、请求、同意、意见、确定和决定等来往函件，均应在合同约定的期限内送达指定地点和接收人，并办理签收手续。</w:t>
      </w:r>
    </w:p>
    <w:p>
      <w:pPr>
        <w:pStyle w:val="67"/>
        <w:ind w:firstLine="118"/>
        <w:rPr>
          <w:rFonts w:ascii="宋体" w:eastAsia="宋体"/>
          <w:b/>
          <w:bCs/>
          <w:color w:val="000000" w:themeColor="text1"/>
          <w:szCs w:val="24"/>
          <w:highlight w:val="none"/>
          <w14:textFill>
            <w14:solidFill>
              <w14:schemeClr w14:val="tx1"/>
            </w14:solidFill>
          </w14:textFill>
        </w:rPr>
      </w:pPr>
      <w:bookmarkStart w:id="324" w:name="_Toc144974587"/>
      <w:bookmarkEnd w:id="324"/>
      <w:bookmarkStart w:id="325" w:name="_Toc152042397"/>
      <w:bookmarkEnd w:id="325"/>
      <w:bookmarkStart w:id="326" w:name="_Toc152045619"/>
      <w:bookmarkEnd w:id="326"/>
      <w:bookmarkStart w:id="327" w:name="_Toc386467029"/>
      <w:bookmarkEnd w:id="327"/>
      <w:bookmarkStart w:id="328" w:name="_Toc179632637"/>
      <w:bookmarkEnd w:id="328"/>
      <w:bookmarkStart w:id="329" w:name="_Toc393546283"/>
      <w:bookmarkEnd w:id="329"/>
      <w:bookmarkStart w:id="330" w:name="_Toc43475757"/>
      <w:bookmarkEnd w:id="330"/>
      <w:bookmarkStart w:id="331" w:name="_Toc330406224"/>
      <w:bookmarkEnd w:id="331"/>
      <w:r>
        <w:rPr>
          <w:rFonts w:hint="eastAsia" w:ascii="宋体" w:eastAsia="宋体"/>
          <w:b/>
          <w:bCs/>
          <w:color w:val="000000" w:themeColor="text1"/>
          <w:szCs w:val="24"/>
          <w:highlight w:val="none"/>
          <w14:textFill>
            <w14:solidFill>
              <w14:schemeClr w14:val="tx1"/>
            </w14:solidFill>
          </w14:textFill>
        </w:rPr>
        <w:t>1.8 转让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除合同另有约定外，未经对方当事人同意，一方当事人不得将合同权利全部或部分转让给第三人，也不得全部或部分转移合同义务。</w:t>
      </w:r>
    </w:p>
    <w:p>
      <w:pPr>
        <w:pStyle w:val="67"/>
        <w:ind w:firstLine="118"/>
        <w:rPr>
          <w:rFonts w:ascii="宋体" w:eastAsia="宋体"/>
          <w:b/>
          <w:bCs/>
          <w:color w:val="000000" w:themeColor="text1"/>
          <w:szCs w:val="24"/>
          <w:highlight w:val="none"/>
          <w14:textFill>
            <w14:solidFill>
              <w14:schemeClr w14:val="tx1"/>
            </w14:solidFill>
          </w14:textFill>
        </w:rPr>
      </w:pPr>
      <w:bookmarkStart w:id="332" w:name="_Toc393546284"/>
      <w:bookmarkEnd w:id="332"/>
      <w:bookmarkStart w:id="333" w:name="_Toc43475758"/>
      <w:bookmarkEnd w:id="333"/>
      <w:bookmarkStart w:id="334" w:name="_Toc386467030"/>
      <w:bookmarkEnd w:id="334"/>
      <w:r>
        <w:rPr>
          <w:rFonts w:hint="eastAsia" w:ascii="宋体" w:eastAsia="宋体"/>
          <w:b/>
          <w:bCs/>
          <w:color w:val="000000" w:themeColor="text1"/>
          <w:szCs w:val="24"/>
          <w:highlight w:val="none"/>
          <w14:textFill>
            <w14:solidFill>
              <w14:schemeClr w14:val="tx1"/>
            </w14:solidFill>
          </w14:textFill>
        </w:rPr>
        <w:t>1.9 严禁贿赂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pPr>
        <w:pStyle w:val="67"/>
        <w:ind w:firstLine="118"/>
        <w:rPr>
          <w:rFonts w:ascii="宋体" w:eastAsia="宋体"/>
          <w:color w:val="000000" w:themeColor="text1"/>
          <w:szCs w:val="24"/>
          <w:highlight w:val="none"/>
          <w14:textFill>
            <w14:solidFill>
              <w14:schemeClr w14:val="tx1"/>
            </w14:solidFill>
          </w14:textFill>
        </w:rPr>
      </w:pPr>
      <w:bookmarkStart w:id="335" w:name="_Toc144974589"/>
      <w:bookmarkEnd w:id="335"/>
      <w:bookmarkStart w:id="336" w:name="_Toc152042399"/>
      <w:bookmarkEnd w:id="336"/>
      <w:bookmarkStart w:id="337" w:name="_Toc152045621"/>
      <w:bookmarkEnd w:id="337"/>
      <w:bookmarkStart w:id="338" w:name="_Toc43475759"/>
      <w:bookmarkEnd w:id="338"/>
      <w:bookmarkStart w:id="339" w:name="_Toc179632639"/>
      <w:bookmarkEnd w:id="339"/>
      <w:bookmarkStart w:id="340" w:name="_Toc330406226"/>
      <w:bookmarkEnd w:id="340"/>
      <w:bookmarkStart w:id="341" w:name="_Toc393546285"/>
      <w:bookmarkEnd w:id="341"/>
      <w:bookmarkStart w:id="342" w:name="_Toc386467031"/>
      <w:bookmarkEnd w:id="342"/>
      <w:r>
        <w:rPr>
          <w:rFonts w:hint="eastAsia" w:ascii="宋体" w:eastAsia="宋体"/>
          <w:b/>
          <w:bCs/>
          <w:color w:val="000000" w:themeColor="text1"/>
          <w:szCs w:val="24"/>
          <w:highlight w:val="none"/>
          <w14:textFill>
            <w14:solidFill>
              <w14:schemeClr w14:val="tx1"/>
            </w14:solidFill>
          </w14:textFill>
        </w:rPr>
        <w:t>1.10 化石、文物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 承包人发现文物后不及时报告或隐瞒不报，致使文物丢失或损坏的，应赔偿损失，并承担相应的法律责任。</w:t>
      </w:r>
    </w:p>
    <w:p>
      <w:pPr>
        <w:pStyle w:val="67"/>
        <w:ind w:firstLine="118"/>
        <w:rPr>
          <w:rFonts w:ascii="宋体" w:eastAsia="宋体"/>
          <w:b/>
          <w:bCs/>
          <w:color w:val="000000" w:themeColor="text1"/>
          <w:szCs w:val="24"/>
          <w:highlight w:val="none"/>
          <w14:textFill>
            <w14:solidFill>
              <w14:schemeClr w14:val="tx1"/>
            </w14:solidFill>
          </w14:textFill>
        </w:rPr>
      </w:pPr>
      <w:bookmarkStart w:id="343" w:name="_Toc152045622"/>
      <w:bookmarkEnd w:id="343"/>
      <w:bookmarkStart w:id="344" w:name="_Toc144974590"/>
      <w:bookmarkEnd w:id="344"/>
      <w:bookmarkStart w:id="345" w:name="_Toc386467032"/>
      <w:bookmarkEnd w:id="345"/>
      <w:bookmarkStart w:id="346" w:name="_Toc179632640"/>
      <w:bookmarkEnd w:id="346"/>
      <w:bookmarkStart w:id="347" w:name="_Toc330406227"/>
      <w:bookmarkEnd w:id="347"/>
      <w:bookmarkStart w:id="348" w:name="_Toc152042400"/>
      <w:bookmarkEnd w:id="348"/>
      <w:bookmarkStart w:id="349" w:name="_Toc393546286"/>
      <w:bookmarkEnd w:id="349"/>
      <w:bookmarkStart w:id="350" w:name="_Toc43475760"/>
      <w:bookmarkEnd w:id="350"/>
      <w:r>
        <w:rPr>
          <w:rFonts w:hint="eastAsia" w:ascii="宋体" w:eastAsia="宋体"/>
          <w:b/>
          <w:bCs/>
          <w:color w:val="000000" w:themeColor="text1"/>
          <w:szCs w:val="24"/>
          <w:highlight w:val="none"/>
          <w14:textFill>
            <w14:solidFill>
              <w14:schemeClr w14:val="tx1"/>
            </w14:solidFill>
          </w14:textFill>
        </w:rPr>
        <w:t>1.11 专利技术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承包人在投标文件中采用专利技术的，专利技术的使用费包含在投标报价内。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承包人的技术秘密和声明需要保密的资料和信息，发包人和监理人不得为合同以外的目的泄露给他人。</w:t>
      </w:r>
    </w:p>
    <w:p>
      <w:pPr>
        <w:pStyle w:val="67"/>
        <w:ind w:firstLine="118"/>
        <w:rPr>
          <w:rFonts w:ascii="宋体" w:eastAsia="宋体"/>
          <w:b/>
          <w:bCs/>
          <w:color w:val="000000" w:themeColor="text1"/>
          <w:szCs w:val="24"/>
          <w:highlight w:val="none"/>
          <w14:textFill>
            <w14:solidFill>
              <w14:schemeClr w14:val="tx1"/>
            </w14:solidFill>
          </w14:textFill>
        </w:rPr>
      </w:pPr>
      <w:bookmarkStart w:id="351" w:name="_Toc179632641"/>
      <w:bookmarkEnd w:id="351"/>
      <w:bookmarkStart w:id="352" w:name="_Toc386467033"/>
      <w:bookmarkEnd w:id="352"/>
      <w:bookmarkStart w:id="353" w:name="_Toc43475761"/>
      <w:bookmarkEnd w:id="353"/>
      <w:bookmarkStart w:id="354" w:name="_Toc152045623"/>
      <w:bookmarkEnd w:id="354"/>
      <w:bookmarkStart w:id="355" w:name="_Toc330406228"/>
      <w:bookmarkEnd w:id="355"/>
      <w:bookmarkStart w:id="356" w:name="_Toc152042401"/>
      <w:bookmarkEnd w:id="356"/>
      <w:bookmarkStart w:id="357" w:name="_Toc144974591"/>
      <w:bookmarkEnd w:id="357"/>
      <w:bookmarkStart w:id="358" w:name="_Toc393546287"/>
      <w:bookmarkEnd w:id="358"/>
      <w:r>
        <w:rPr>
          <w:rFonts w:hint="eastAsia" w:ascii="宋体" w:eastAsia="宋体"/>
          <w:b/>
          <w:bCs/>
          <w:color w:val="000000" w:themeColor="text1"/>
          <w:szCs w:val="24"/>
          <w:highlight w:val="none"/>
          <w14:textFill>
            <w14:solidFill>
              <w14:schemeClr w14:val="tx1"/>
            </w14:solidFill>
          </w14:textFill>
        </w:rPr>
        <w:t>1.12 图纸和文件的保密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发包人提供的图纸和文件，未经发包人同意，承包人不得为合同以外的目的泄露给他人或公开发表与引用。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承包人提供的文件，未经承包人同意，发包人和监理人不得为合同以外的目的泄露给他人或公开发表与引用。</w:t>
      </w:r>
    </w:p>
    <w:p>
      <w:pPr>
        <w:pStyle w:val="78"/>
        <w:rPr>
          <w:rFonts w:ascii="宋体" w:hAnsi="宋体"/>
          <w:color w:val="000000" w:themeColor="text1"/>
          <w:sz w:val="24"/>
          <w:szCs w:val="24"/>
          <w:highlight w:val="none"/>
          <w14:textFill>
            <w14:solidFill>
              <w14:schemeClr w14:val="tx1"/>
            </w14:solidFill>
          </w14:textFill>
        </w:rPr>
      </w:pPr>
      <w:bookmarkStart w:id="359" w:name="_Toc386467034"/>
      <w:bookmarkEnd w:id="359"/>
      <w:bookmarkStart w:id="360" w:name="_Toc393546288"/>
      <w:bookmarkEnd w:id="360"/>
      <w:bookmarkStart w:id="361" w:name="_Toc43475762"/>
      <w:bookmarkEnd w:id="361"/>
      <w:r>
        <w:rPr>
          <w:rFonts w:hint="eastAsia" w:ascii="宋体" w:hAnsi="宋体"/>
          <w:color w:val="000000" w:themeColor="text1"/>
          <w:sz w:val="24"/>
          <w:szCs w:val="24"/>
          <w:highlight w:val="none"/>
          <w14:textFill>
            <w14:solidFill>
              <w14:schemeClr w14:val="tx1"/>
            </w14:solidFill>
          </w14:textFill>
        </w:rPr>
        <w:t>2. 发包人义务</w:t>
      </w:r>
    </w:p>
    <w:p>
      <w:pPr>
        <w:pStyle w:val="67"/>
        <w:ind w:firstLine="118"/>
        <w:rPr>
          <w:rFonts w:ascii="宋体" w:eastAsia="宋体"/>
          <w:color w:val="000000" w:themeColor="text1"/>
          <w:szCs w:val="24"/>
          <w:highlight w:val="none"/>
          <w14:textFill>
            <w14:solidFill>
              <w14:schemeClr w14:val="tx1"/>
            </w14:solidFill>
          </w14:textFill>
        </w:rPr>
      </w:pPr>
      <w:bookmarkStart w:id="362" w:name="_Toc386467035"/>
      <w:bookmarkEnd w:id="362"/>
      <w:bookmarkStart w:id="363" w:name="_Toc144974593"/>
      <w:bookmarkEnd w:id="363"/>
      <w:bookmarkStart w:id="364" w:name="_Toc179632643"/>
      <w:bookmarkEnd w:id="364"/>
      <w:bookmarkStart w:id="365" w:name="_Toc330406230"/>
      <w:bookmarkEnd w:id="365"/>
      <w:bookmarkStart w:id="366" w:name="_Toc152042403"/>
      <w:bookmarkEnd w:id="366"/>
      <w:bookmarkStart w:id="367" w:name="_Toc393546289"/>
      <w:bookmarkEnd w:id="367"/>
      <w:bookmarkStart w:id="368" w:name="_Toc43475763"/>
      <w:bookmarkEnd w:id="368"/>
      <w:bookmarkStart w:id="369" w:name="_Toc152045625"/>
      <w:bookmarkEnd w:id="369"/>
      <w:r>
        <w:rPr>
          <w:rFonts w:hint="eastAsia" w:ascii="宋体" w:eastAsia="宋体"/>
          <w:color w:val="000000" w:themeColor="text1"/>
          <w:szCs w:val="24"/>
          <w:highlight w:val="none"/>
          <w14:textFill>
            <w14:solidFill>
              <w14:schemeClr w14:val="tx1"/>
            </w14:solidFill>
          </w14:textFill>
        </w:rPr>
        <w:t>2.1 遵守法律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发包人在履行合同过程中应遵守法律，并保证承包人免于承担因发包人违反法律而引起的任何责任。</w:t>
      </w:r>
    </w:p>
    <w:p>
      <w:pPr>
        <w:pStyle w:val="67"/>
        <w:ind w:firstLine="118"/>
        <w:rPr>
          <w:rFonts w:ascii="宋体" w:eastAsia="宋体"/>
          <w:color w:val="000000" w:themeColor="text1"/>
          <w:szCs w:val="24"/>
          <w:highlight w:val="none"/>
          <w14:textFill>
            <w14:solidFill>
              <w14:schemeClr w14:val="tx1"/>
            </w14:solidFill>
          </w14:textFill>
        </w:rPr>
      </w:pPr>
      <w:bookmarkStart w:id="370" w:name="_Toc393546290"/>
      <w:bookmarkEnd w:id="370"/>
      <w:bookmarkStart w:id="371" w:name="_Toc43475764"/>
      <w:bookmarkEnd w:id="371"/>
      <w:bookmarkStart w:id="372" w:name="_Toc152045626"/>
      <w:bookmarkEnd w:id="372"/>
      <w:bookmarkStart w:id="373" w:name="_Toc179632644"/>
      <w:bookmarkEnd w:id="373"/>
      <w:bookmarkStart w:id="374" w:name="_Toc152042404"/>
      <w:bookmarkEnd w:id="374"/>
      <w:bookmarkStart w:id="375" w:name="_Toc386467036"/>
      <w:bookmarkEnd w:id="375"/>
      <w:bookmarkStart w:id="376" w:name="_Toc144974594"/>
      <w:bookmarkEnd w:id="376"/>
      <w:bookmarkStart w:id="377" w:name="_Toc330406231"/>
      <w:bookmarkEnd w:id="377"/>
      <w:r>
        <w:rPr>
          <w:rFonts w:hint="eastAsia" w:ascii="宋体" w:eastAsia="宋体"/>
          <w:color w:val="000000" w:themeColor="text1"/>
          <w:szCs w:val="24"/>
          <w:highlight w:val="none"/>
          <w14:textFill>
            <w14:solidFill>
              <w14:schemeClr w14:val="tx1"/>
            </w14:solidFill>
          </w14:textFill>
        </w:rPr>
        <w:t>2.2 发出开工通知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发包人应委托监理人按第11.1款的约定向承包人发出开工通知。</w:t>
      </w:r>
    </w:p>
    <w:p>
      <w:pPr>
        <w:pStyle w:val="67"/>
        <w:ind w:firstLine="118"/>
        <w:rPr>
          <w:rFonts w:ascii="宋体" w:eastAsia="宋体"/>
          <w:color w:val="000000" w:themeColor="text1"/>
          <w:szCs w:val="24"/>
          <w:highlight w:val="none"/>
          <w14:textFill>
            <w14:solidFill>
              <w14:schemeClr w14:val="tx1"/>
            </w14:solidFill>
          </w14:textFill>
        </w:rPr>
      </w:pPr>
      <w:bookmarkStart w:id="378" w:name="_Toc393546291"/>
      <w:bookmarkEnd w:id="378"/>
      <w:bookmarkStart w:id="379" w:name="_Toc386467037"/>
      <w:bookmarkEnd w:id="379"/>
      <w:bookmarkStart w:id="380" w:name="_Toc43475765"/>
      <w:bookmarkEnd w:id="380"/>
      <w:r>
        <w:rPr>
          <w:rFonts w:hint="eastAsia" w:ascii="宋体" w:eastAsia="宋体"/>
          <w:color w:val="000000" w:themeColor="text1"/>
          <w:szCs w:val="24"/>
          <w:highlight w:val="none"/>
          <w14:textFill>
            <w14:solidFill>
              <w14:schemeClr w14:val="tx1"/>
            </w14:solidFill>
          </w14:textFill>
        </w:rPr>
        <w:t>2.3 提供施工场地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发包人应按专用合同条款约定向承包人提供施工场地，以及施工场地内地下管线和地下设施等有关资料，并保证资料的真实、准确、完整。</w:t>
      </w:r>
    </w:p>
    <w:p>
      <w:pPr>
        <w:pStyle w:val="67"/>
        <w:ind w:firstLine="118"/>
        <w:rPr>
          <w:rFonts w:ascii="宋体" w:eastAsia="宋体"/>
          <w:color w:val="000000" w:themeColor="text1"/>
          <w:szCs w:val="24"/>
          <w:highlight w:val="none"/>
          <w14:textFill>
            <w14:solidFill>
              <w14:schemeClr w14:val="tx1"/>
            </w14:solidFill>
          </w14:textFill>
        </w:rPr>
      </w:pPr>
      <w:bookmarkStart w:id="381" w:name="_Toc152042406"/>
      <w:bookmarkEnd w:id="381"/>
      <w:bookmarkStart w:id="382" w:name="_Toc393546292"/>
      <w:bookmarkEnd w:id="382"/>
      <w:bookmarkStart w:id="383" w:name="_Toc179632646"/>
      <w:bookmarkEnd w:id="383"/>
      <w:bookmarkStart w:id="384" w:name="_Toc330406233"/>
      <w:bookmarkEnd w:id="384"/>
      <w:bookmarkStart w:id="385" w:name="_Toc43475766"/>
      <w:bookmarkEnd w:id="385"/>
      <w:bookmarkStart w:id="386" w:name="_Toc386467038"/>
      <w:bookmarkEnd w:id="386"/>
      <w:bookmarkStart w:id="387" w:name="_Toc144974596"/>
      <w:bookmarkEnd w:id="387"/>
      <w:bookmarkStart w:id="388" w:name="_Toc152045628"/>
      <w:bookmarkEnd w:id="388"/>
      <w:r>
        <w:rPr>
          <w:rFonts w:hint="eastAsia" w:ascii="宋体" w:eastAsia="宋体"/>
          <w:color w:val="000000" w:themeColor="text1"/>
          <w:szCs w:val="24"/>
          <w:highlight w:val="none"/>
          <w14:textFill>
            <w14:solidFill>
              <w14:schemeClr w14:val="tx1"/>
            </w14:solidFill>
          </w14:textFill>
        </w:rPr>
        <w:t>2.4 协助承包人办理证件和批件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发包人应协助承包人办理法律规定的有关施工证件和批件。</w:t>
      </w:r>
    </w:p>
    <w:p>
      <w:pPr>
        <w:pStyle w:val="67"/>
        <w:ind w:firstLine="118"/>
        <w:rPr>
          <w:rFonts w:ascii="宋体" w:eastAsia="宋体"/>
          <w:color w:val="000000" w:themeColor="text1"/>
          <w:szCs w:val="24"/>
          <w:highlight w:val="none"/>
          <w14:textFill>
            <w14:solidFill>
              <w14:schemeClr w14:val="tx1"/>
            </w14:solidFill>
          </w14:textFill>
        </w:rPr>
      </w:pPr>
      <w:bookmarkStart w:id="389" w:name="_Toc144974597"/>
      <w:bookmarkEnd w:id="389"/>
      <w:bookmarkStart w:id="390" w:name="_Toc152042407"/>
      <w:bookmarkEnd w:id="390"/>
      <w:bookmarkStart w:id="391" w:name="_Toc386467039"/>
      <w:bookmarkEnd w:id="391"/>
      <w:bookmarkStart w:id="392" w:name="_Toc393546293"/>
      <w:bookmarkEnd w:id="392"/>
      <w:bookmarkStart w:id="393" w:name="_Toc179632647"/>
      <w:bookmarkEnd w:id="393"/>
      <w:bookmarkStart w:id="394" w:name="_Toc43475767"/>
      <w:bookmarkEnd w:id="394"/>
      <w:bookmarkStart w:id="395" w:name="_Toc152045629"/>
      <w:bookmarkEnd w:id="395"/>
      <w:bookmarkStart w:id="396" w:name="_Toc330406234"/>
      <w:bookmarkEnd w:id="396"/>
      <w:r>
        <w:rPr>
          <w:rFonts w:hint="eastAsia" w:ascii="宋体" w:eastAsia="宋体"/>
          <w:color w:val="000000" w:themeColor="text1"/>
          <w:szCs w:val="24"/>
          <w:highlight w:val="none"/>
          <w14:textFill>
            <w14:solidFill>
              <w14:schemeClr w14:val="tx1"/>
            </w14:solidFill>
          </w14:textFill>
        </w:rPr>
        <w:t>2.5 组织设计交底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发包人应根据合同进度计划，组织设计单位向承包人进行设计交底。</w:t>
      </w:r>
    </w:p>
    <w:p>
      <w:pPr>
        <w:pStyle w:val="67"/>
        <w:ind w:firstLine="118"/>
        <w:rPr>
          <w:rFonts w:ascii="宋体" w:eastAsia="宋体"/>
          <w:color w:val="000000" w:themeColor="text1"/>
          <w:szCs w:val="24"/>
          <w:highlight w:val="none"/>
          <w14:textFill>
            <w14:solidFill>
              <w14:schemeClr w14:val="tx1"/>
            </w14:solidFill>
          </w14:textFill>
        </w:rPr>
      </w:pPr>
      <w:bookmarkStart w:id="397" w:name="_Toc330406235"/>
      <w:bookmarkEnd w:id="397"/>
      <w:bookmarkStart w:id="398" w:name="_Toc152045630"/>
      <w:bookmarkEnd w:id="398"/>
      <w:bookmarkStart w:id="399" w:name="_Toc179632648"/>
      <w:bookmarkEnd w:id="399"/>
      <w:bookmarkStart w:id="400" w:name="_Toc393546294"/>
      <w:bookmarkEnd w:id="400"/>
      <w:bookmarkStart w:id="401" w:name="_Toc43475768"/>
      <w:bookmarkEnd w:id="401"/>
      <w:bookmarkStart w:id="402" w:name="_Toc152042408"/>
      <w:bookmarkEnd w:id="402"/>
      <w:bookmarkStart w:id="403" w:name="_Toc144974598"/>
      <w:bookmarkEnd w:id="403"/>
      <w:bookmarkStart w:id="404" w:name="_Toc386467040"/>
      <w:bookmarkEnd w:id="404"/>
      <w:r>
        <w:rPr>
          <w:rFonts w:hint="eastAsia" w:ascii="宋体" w:eastAsia="宋体"/>
          <w:color w:val="000000" w:themeColor="text1"/>
          <w:szCs w:val="24"/>
          <w:highlight w:val="none"/>
          <w14:textFill>
            <w14:solidFill>
              <w14:schemeClr w14:val="tx1"/>
            </w14:solidFill>
          </w14:textFill>
        </w:rPr>
        <w:t>2.6 支付合同价款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发包人应按合同约定向承包人及时支付合同价款。</w:t>
      </w:r>
    </w:p>
    <w:p>
      <w:pPr>
        <w:pStyle w:val="67"/>
        <w:ind w:firstLine="118"/>
        <w:rPr>
          <w:rFonts w:ascii="宋体" w:eastAsia="宋体"/>
          <w:color w:val="000000" w:themeColor="text1"/>
          <w:szCs w:val="24"/>
          <w:highlight w:val="none"/>
          <w14:textFill>
            <w14:solidFill>
              <w14:schemeClr w14:val="tx1"/>
            </w14:solidFill>
          </w14:textFill>
        </w:rPr>
      </w:pPr>
      <w:bookmarkStart w:id="405" w:name="_Toc144974599"/>
      <w:bookmarkEnd w:id="405"/>
      <w:bookmarkStart w:id="406" w:name="_Toc386467041"/>
      <w:bookmarkEnd w:id="406"/>
      <w:bookmarkStart w:id="407" w:name="_Toc179632649"/>
      <w:bookmarkEnd w:id="407"/>
      <w:bookmarkStart w:id="408" w:name="_Toc43475769"/>
      <w:bookmarkEnd w:id="408"/>
      <w:bookmarkStart w:id="409" w:name="_Toc152042409"/>
      <w:bookmarkEnd w:id="409"/>
      <w:bookmarkStart w:id="410" w:name="_Toc330406236"/>
      <w:bookmarkEnd w:id="410"/>
      <w:bookmarkStart w:id="411" w:name="_Toc393546295"/>
      <w:bookmarkEnd w:id="411"/>
      <w:bookmarkStart w:id="412" w:name="_Toc152045631"/>
      <w:bookmarkEnd w:id="412"/>
      <w:r>
        <w:rPr>
          <w:rFonts w:hint="eastAsia" w:ascii="宋体" w:eastAsia="宋体"/>
          <w:color w:val="000000" w:themeColor="text1"/>
          <w:szCs w:val="24"/>
          <w:highlight w:val="none"/>
          <w14:textFill>
            <w14:solidFill>
              <w14:schemeClr w14:val="tx1"/>
            </w14:solidFill>
          </w14:textFill>
        </w:rPr>
        <w:t>2.7 组织竣工验收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发包人应按合同约定及时组织竣工验收。</w:t>
      </w:r>
    </w:p>
    <w:p>
      <w:pPr>
        <w:pStyle w:val="67"/>
        <w:ind w:firstLine="118"/>
        <w:rPr>
          <w:rFonts w:ascii="宋体" w:eastAsia="宋体"/>
          <w:color w:val="000000" w:themeColor="text1"/>
          <w:szCs w:val="24"/>
          <w:highlight w:val="none"/>
          <w14:textFill>
            <w14:solidFill>
              <w14:schemeClr w14:val="tx1"/>
            </w14:solidFill>
          </w14:textFill>
        </w:rPr>
      </w:pPr>
      <w:bookmarkStart w:id="413" w:name="_Toc152042410"/>
      <w:bookmarkEnd w:id="413"/>
      <w:bookmarkStart w:id="414" w:name="_Toc152045632"/>
      <w:bookmarkEnd w:id="414"/>
      <w:bookmarkStart w:id="415" w:name="_Toc179632650"/>
      <w:bookmarkEnd w:id="415"/>
      <w:bookmarkStart w:id="416" w:name="_Toc386467042"/>
      <w:bookmarkEnd w:id="416"/>
      <w:bookmarkStart w:id="417" w:name="_Toc43475770"/>
      <w:bookmarkEnd w:id="417"/>
      <w:bookmarkStart w:id="418" w:name="_Toc144974600"/>
      <w:bookmarkEnd w:id="418"/>
      <w:bookmarkStart w:id="419" w:name="_Toc393546296"/>
      <w:bookmarkEnd w:id="419"/>
      <w:bookmarkStart w:id="420" w:name="_Toc330406237"/>
      <w:bookmarkEnd w:id="420"/>
      <w:r>
        <w:rPr>
          <w:rFonts w:hint="eastAsia" w:ascii="宋体" w:eastAsia="宋体"/>
          <w:color w:val="000000" w:themeColor="text1"/>
          <w:szCs w:val="24"/>
          <w:highlight w:val="none"/>
          <w14:textFill>
            <w14:solidFill>
              <w14:schemeClr w14:val="tx1"/>
            </w14:solidFill>
          </w14:textFill>
        </w:rPr>
        <w:t>2.8 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发包人应履行合同约定的其他义务。</w:t>
      </w:r>
    </w:p>
    <w:p>
      <w:pPr>
        <w:pStyle w:val="78"/>
        <w:rPr>
          <w:rFonts w:ascii="宋体" w:hAnsi="宋体"/>
          <w:color w:val="000000" w:themeColor="text1"/>
          <w:sz w:val="24"/>
          <w:szCs w:val="24"/>
          <w:highlight w:val="none"/>
          <w14:textFill>
            <w14:solidFill>
              <w14:schemeClr w14:val="tx1"/>
            </w14:solidFill>
          </w14:textFill>
        </w:rPr>
      </w:pPr>
      <w:bookmarkStart w:id="421" w:name="_Toc393546297"/>
      <w:bookmarkEnd w:id="421"/>
      <w:bookmarkStart w:id="422" w:name="_Toc386467043"/>
      <w:bookmarkEnd w:id="422"/>
      <w:bookmarkStart w:id="423" w:name="_Toc43475771"/>
      <w:bookmarkEnd w:id="423"/>
      <w:r>
        <w:rPr>
          <w:rFonts w:hint="eastAsia" w:ascii="宋体" w:hAnsi="宋体"/>
          <w:color w:val="000000" w:themeColor="text1"/>
          <w:sz w:val="24"/>
          <w:szCs w:val="24"/>
          <w:highlight w:val="none"/>
          <w14:textFill>
            <w14:solidFill>
              <w14:schemeClr w14:val="tx1"/>
            </w14:solidFill>
          </w14:textFill>
        </w:rPr>
        <w:t>3. 监理人</w:t>
      </w:r>
    </w:p>
    <w:p>
      <w:pPr>
        <w:pStyle w:val="67"/>
        <w:ind w:firstLine="118"/>
        <w:rPr>
          <w:rFonts w:ascii="宋体" w:eastAsia="宋体"/>
          <w:b/>
          <w:bCs/>
          <w:color w:val="000000" w:themeColor="text1"/>
          <w:szCs w:val="24"/>
          <w:highlight w:val="none"/>
          <w14:textFill>
            <w14:solidFill>
              <w14:schemeClr w14:val="tx1"/>
            </w14:solidFill>
          </w14:textFill>
        </w:rPr>
      </w:pPr>
      <w:bookmarkStart w:id="424" w:name="_Toc43475772"/>
      <w:bookmarkEnd w:id="424"/>
      <w:bookmarkStart w:id="425" w:name="_Toc386467044"/>
      <w:bookmarkEnd w:id="425"/>
      <w:bookmarkStart w:id="426" w:name="_Toc393546298"/>
      <w:bookmarkEnd w:id="426"/>
      <w:r>
        <w:rPr>
          <w:rFonts w:hint="eastAsia" w:ascii="宋体" w:eastAsia="宋体"/>
          <w:b/>
          <w:bCs/>
          <w:color w:val="000000" w:themeColor="text1"/>
          <w:szCs w:val="24"/>
          <w:highlight w:val="none"/>
          <w14:textFill>
            <w14:solidFill>
              <w14:schemeClr w14:val="tx1"/>
            </w14:solidFill>
          </w14:textFill>
        </w:rPr>
        <w:t>3.1 监理人的职责和权力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 监理人发出的任何指示应视为已得到发包人的批准，但监理人无权免除或变更合同约定的发包人和承包人的权利、义务和责任。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合同约定应由承包人承担的义务和责任，不因监理人对承包人提交文件的审查或批准，对工程、材料和设备的检查和检验，以及为实施监理作出的指示等职务行为而减轻或解除。</w:t>
      </w:r>
    </w:p>
    <w:p>
      <w:pPr>
        <w:pStyle w:val="67"/>
        <w:ind w:firstLine="118"/>
        <w:rPr>
          <w:rFonts w:ascii="宋体" w:eastAsia="宋体"/>
          <w:b/>
          <w:bCs/>
          <w:color w:val="000000" w:themeColor="text1"/>
          <w:szCs w:val="24"/>
          <w:highlight w:val="none"/>
          <w14:textFill>
            <w14:solidFill>
              <w14:schemeClr w14:val="tx1"/>
            </w14:solidFill>
          </w14:textFill>
        </w:rPr>
      </w:pPr>
      <w:bookmarkStart w:id="427" w:name="_Toc179632653"/>
      <w:bookmarkEnd w:id="427"/>
      <w:bookmarkStart w:id="428" w:name="_Toc386467045"/>
      <w:bookmarkEnd w:id="428"/>
      <w:bookmarkStart w:id="429" w:name="_Toc152045635"/>
      <w:bookmarkEnd w:id="429"/>
      <w:bookmarkStart w:id="430" w:name="_Toc152042413"/>
      <w:bookmarkEnd w:id="430"/>
      <w:bookmarkStart w:id="431" w:name="_Toc330406240"/>
      <w:bookmarkEnd w:id="431"/>
      <w:bookmarkStart w:id="432" w:name="_Toc144974603"/>
      <w:bookmarkEnd w:id="432"/>
      <w:bookmarkStart w:id="433" w:name="_Toc43475773"/>
      <w:bookmarkEnd w:id="433"/>
      <w:bookmarkStart w:id="434" w:name="_Toc393546299"/>
      <w:bookmarkEnd w:id="434"/>
      <w:r>
        <w:rPr>
          <w:rFonts w:hint="eastAsia" w:ascii="宋体" w:eastAsia="宋体"/>
          <w:b/>
          <w:bCs/>
          <w:color w:val="000000" w:themeColor="text1"/>
          <w:szCs w:val="24"/>
          <w:highlight w:val="none"/>
          <w14:textFill>
            <w14:solidFill>
              <w14:schemeClr w14:val="tx1"/>
            </w14:solidFill>
          </w14:textFill>
        </w:rPr>
        <w:t>3.2 总监理工程师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发包人应在发出开工通知前将总监理工程师的任命通知承包人。总监理工程师更换时，应在调离14天前通知承包人。总监理工程师短期离开施工场地的，应委派代表代行其职责，并通知承包人。</w:t>
      </w:r>
    </w:p>
    <w:p>
      <w:pPr>
        <w:pStyle w:val="67"/>
        <w:ind w:firstLine="118"/>
        <w:rPr>
          <w:rFonts w:ascii="宋体" w:eastAsia="宋体"/>
          <w:b/>
          <w:bCs/>
          <w:color w:val="000000" w:themeColor="text1"/>
          <w:szCs w:val="24"/>
          <w:highlight w:val="none"/>
          <w14:textFill>
            <w14:solidFill>
              <w14:schemeClr w14:val="tx1"/>
            </w14:solidFill>
          </w14:textFill>
        </w:rPr>
      </w:pPr>
      <w:bookmarkStart w:id="435" w:name="_Toc144974604"/>
      <w:bookmarkEnd w:id="435"/>
      <w:bookmarkStart w:id="436" w:name="_Toc152042414"/>
      <w:bookmarkEnd w:id="436"/>
      <w:bookmarkStart w:id="437" w:name="_Toc386467046"/>
      <w:bookmarkEnd w:id="437"/>
      <w:bookmarkStart w:id="438" w:name="_Toc330406241"/>
      <w:bookmarkEnd w:id="438"/>
      <w:bookmarkStart w:id="439" w:name="_Toc43475774"/>
      <w:bookmarkEnd w:id="439"/>
      <w:bookmarkStart w:id="440" w:name="_Toc179632654"/>
      <w:bookmarkEnd w:id="440"/>
      <w:bookmarkStart w:id="441" w:name="_Toc152045636"/>
      <w:bookmarkEnd w:id="441"/>
      <w:bookmarkStart w:id="442" w:name="_Toc393546300"/>
      <w:bookmarkEnd w:id="442"/>
      <w:r>
        <w:rPr>
          <w:rFonts w:hint="eastAsia" w:ascii="宋体" w:eastAsia="宋体"/>
          <w:b/>
          <w:bCs/>
          <w:color w:val="000000" w:themeColor="text1"/>
          <w:szCs w:val="24"/>
          <w:highlight w:val="none"/>
          <w14:textFill>
            <w14:solidFill>
              <w14:schemeClr w14:val="tx1"/>
            </w14:solidFill>
          </w14:textFill>
        </w:rPr>
        <w:t>3.3 监理人员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承包人对总监理工程师授权的监理人员发出的指示有疑问的，可向总监理工程师提出书面异议，总监理工程师应在48小时内对该指示予以确认、更改或撤销。</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除专用合同条款另有约定外，总监理工程师不应将第3.5款约定应由总监理工程师作出确定的权力授权或委托给其他监理人员。</w:t>
      </w:r>
    </w:p>
    <w:p>
      <w:pPr>
        <w:pStyle w:val="67"/>
        <w:ind w:firstLine="118"/>
        <w:rPr>
          <w:rFonts w:ascii="宋体" w:eastAsia="宋体"/>
          <w:b/>
          <w:bCs/>
          <w:color w:val="000000" w:themeColor="text1"/>
          <w:szCs w:val="24"/>
          <w:highlight w:val="none"/>
          <w14:textFill>
            <w14:solidFill>
              <w14:schemeClr w14:val="tx1"/>
            </w14:solidFill>
          </w14:textFill>
        </w:rPr>
      </w:pPr>
      <w:bookmarkStart w:id="443" w:name="_Toc393546301"/>
      <w:bookmarkEnd w:id="443"/>
      <w:bookmarkStart w:id="444" w:name="_Toc144974605"/>
      <w:bookmarkEnd w:id="444"/>
      <w:bookmarkStart w:id="445" w:name="_Toc152042415"/>
      <w:bookmarkEnd w:id="445"/>
      <w:bookmarkStart w:id="446" w:name="_Toc330406242"/>
      <w:bookmarkEnd w:id="446"/>
      <w:bookmarkStart w:id="447" w:name="_Toc152045637"/>
      <w:bookmarkEnd w:id="447"/>
      <w:bookmarkStart w:id="448" w:name="_Toc43475775"/>
      <w:bookmarkEnd w:id="448"/>
      <w:bookmarkStart w:id="449" w:name="_Toc386467047"/>
      <w:bookmarkEnd w:id="449"/>
      <w:bookmarkStart w:id="450" w:name="_Toc179632655"/>
      <w:bookmarkEnd w:id="450"/>
      <w:r>
        <w:rPr>
          <w:rFonts w:hint="eastAsia" w:ascii="宋体" w:eastAsia="宋体"/>
          <w:b/>
          <w:bCs/>
          <w:color w:val="000000" w:themeColor="text1"/>
          <w:szCs w:val="24"/>
          <w:highlight w:val="none"/>
          <w14:textFill>
            <w14:solidFill>
              <w14:schemeClr w14:val="tx1"/>
            </w14:solidFill>
          </w14:textFill>
        </w:rPr>
        <w:t>3.4 监理人的指示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承包人收到监理人按第3.4.1项作出的指示后应遵照执行。指示构成变更的，应按第15条处理。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除合同另有约定外，承包人只从总监理工程师或按第3.3.1项被授权的监理人员处取得指示。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3.4.5 由于监理人未能按合同约定发出指示、指示延误或指示错误而导致承包人费用增加和（或）工期延误的，由发包人承担赔偿责任。 </w:t>
      </w:r>
    </w:p>
    <w:p>
      <w:pPr>
        <w:pStyle w:val="67"/>
        <w:ind w:firstLine="118"/>
        <w:rPr>
          <w:rFonts w:ascii="宋体" w:eastAsia="宋体"/>
          <w:b/>
          <w:bCs/>
          <w:color w:val="000000" w:themeColor="text1"/>
          <w:szCs w:val="24"/>
          <w:highlight w:val="none"/>
          <w14:textFill>
            <w14:solidFill>
              <w14:schemeClr w14:val="tx1"/>
            </w14:solidFill>
          </w14:textFill>
        </w:rPr>
      </w:pPr>
      <w:bookmarkStart w:id="451" w:name="_Toc43475776"/>
      <w:bookmarkEnd w:id="451"/>
      <w:bookmarkStart w:id="452" w:name="_Toc393546302"/>
      <w:bookmarkEnd w:id="452"/>
      <w:bookmarkStart w:id="453" w:name="_Toc386467048"/>
      <w:bookmarkEnd w:id="453"/>
      <w:r>
        <w:rPr>
          <w:rFonts w:hint="eastAsia" w:ascii="宋体" w:eastAsia="宋体"/>
          <w:b/>
          <w:bCs/>
          <w:color w:val="000000" w:themeColor="text1"/>
          <w:szCs w:val="24"/>
          <w:highlight w:val="none"/>
          <w14:textFill>
            <w14:solidFill>
              <w14:schemeClr w14:val="tx1"/>
            </w14:solidFill>
          </w14:textFill>
        </w:rPr>
        <w:t>3.5 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78"/>
        <w:rPr>
          <w:rFonts w:ascii="宋体" w:hAnsi="宋体"/>
          <w:color w:val="000000" w:themeColor="text1"/>
          <w:sz w:val="24"/>
          <w:szCs w:val="24"/>
          <w:highlight w:val="none"/>
          <w14:textFill>
            <w14:solidFill>
              <w14:schemeClr w14:val="tx1"/>
            </w14:solidFill>
          </w14:textFill>
        </w:rPr>
      </w:pPr>
      <w:bookmarkStart w:id="454" w:name="_Toc43475777"/>
      <w:bookmarkEnd w:id="454"/>
      <w:bookmarkStart w:id="455" w:name="_Toc386467049"/>
      <w:bookmarkEnd w:id="455"/>
      <w:bookmarkStart w:id="456" w:name="_Toc393546303"/>
      <w:bookmarkEnd w:id="456"/>
      <w:r>
        <w:rPr>
          <w:rFonts w:hint="eastAsia" w:ascii="宋体" w:hAnsi="宋体"/>
          <w:color w:val="000000" w:themeColor="text1"/>
          <w:sz w:val="24"/>
          <w:szCs w:val="24"/>
          <w:highlight w:val="none"/>
          <w14:textFill>
            <w14:solidFill>
              <w14:schemeClr w14:val="tx1"/>
            </w14:solidFill>
          </w14:textFill>
        </w:rPr>
        <w:t>4. 承包人</w:t>
      </w:r>
    </w:p>
    <w:p>
      <w:pPr>
        <w:pStyle w:val="67"/>
        <w:ind w:firstLine="118"/>
        <w:rPr>
          <w:rFonts w:ascii="宋体" w:eastAsia="宋体"/>
          <w:color w:val="000000" w:themeColor="text1"/>
          <w:szCs w:val="24"/>
          <w:highlight w:val="none"/>
          <w14:textFill>
            <w14:solidFill>
              <w14:schemeClr w14:val="tx1"/>
            </w14:solidFill>
          </w14:textFill>
        </w:rPr>
      </w:pPr>
      <w:bookmarkStart w:id="457" w:name="_Toc43475778"/>
      <w:bookmarkEnd w:id="457"/>
      <w:bookmarkStart w:id="458" w:name="_Toc393546304"/>
      <w:bookmarkEnd w:id="458"/>
      <w:bookmarkStart w:id="459" w:name="_Toc386467050"/>
      <w:bookmarkEnd w:id="459"/>
      <w:r>
        <w:rPr>
          <w:rFonts w:hint="eastAsia" w:ascii="宋体" w:eastAsia="宋体"/>
          <w:color w:val="000000" w:themeColor="text1"/>
          <w:szCs w:val="24"/>
          <w:highlight w:val="none"/>
          <w14:textFill>
            <w14:solidFill>
              <w14:schemeClr w14:val="tx1"/>
            </w14:solidFill>
          </w14:textFill>
        </w:rPr>
        <w:t>4.1 承包人的一般义务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遵守法律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承包人在履行合同过程中应遵守法律，并保证发包人免于承担因承包人违反法律而引起的任何责任。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 依法纳税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承包人应按有关法律规定纳税，应缴纳的税金包括在合同价格内。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 完成各项承包工作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 对施工作业和施工方法的完备性负责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 保证工程施工和人员的安全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承包人应按第9.2款约定采取施工安全措施，确保工程及其人员、材料、设备和设施的安全，防止因工程施工造成的人身伤害和财产损失。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4.1.6 负责施工场地及其周边环境与生态的保护工作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承包人应按照第9.4款约定负责施工场地及其周边环境与生态的保护工作。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4.1.7 避免施工对公众与他人的利益造成损害</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4.1.8 为他人提供方便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4.1.9 工程的维护和照管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4.1.10 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承包人应履行合同约定的其他义务。</w:t>
      </w:r>
    </w:p>
    <w:p>
      <w:pPr>
        <w:pStyle w:val="67"/>
        <w:ind w:firstLine="118"/>
        <w:rPr>
          <w:rFonts w:ascii="宋体" w:eastAsia="宋体"/>
          <w:color w:val="000000" w:themeColor="text1"/>
          <w:szCs w:val="24"/>
          <w:highlight w:val="none"/>
          <w14:textFill>
            <w14:solidFill>
              <w14:schemeClr w14:val="tx1"/>
            </w14:solidFill>
          </w14:textFill>
        </w:rPr>
      </w:pPr>
      <w:bookmarkStart w:id="460" w:name="_Toc43475779"/>
      <w:bookmarkEnd w:id="460"/>
      <w:bookmarkStart w:id="461" w:name="_Toc386467051"/>
      <w:bookmarkEnd w:id="461"/>
      <w:bookmarkStart w:id="462" w:name="_Toc393546305"/>
      <w:bookmarkEnd w:id="462"/>
      <w:r>
        <w:rPr>
          <w:rFonts w:hint="eastAsia" w:ascii="宋体" w:eastAsia="宋体"/>
          <w:color w:val="000000" w:themeColor="text1"/>
          <w:szCs w:val="24"/>
          <w:highlight w:val="none"/>
          <w14:textFill>
            <w14:solidFill>
              <w14:schemeClr w14:val="tx1"/>
            </w14:solidFill>
          </w14:textFill>
        </w:rPr>
        <w:t>4.2 履约担保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承包人应保证其履约担保在发包人颁发工程接收证书前一直有效。发包人应在工程接收证书颁发后28天内把履约担保退还给承包人。</w:t>
      </w:r>
    </w:p>
    <w:p>
      <w:pPr>
        <w:pStyle w:val="67"/>
        <w:ind w:firstLine="118"/>
        <w:rPr>
          <w:rFonts w:ascii="宋体" w:eastAsia="宋体"/>
          <w:color w:val="000000" w:themeColor="text1"/>
          <w:szCs w:val="24"/>
          <w:highlight w:val="none"/>
          <w14:textFill>
            <w14:solidFill>
              <w14:schemeClr w14:val="tx1"/>
            </w14:solidFill>
          </w14:textFill>
        </w:rPr>
      </w:pPr>
      <w:bookmarkStart w:id="463" w:name="_Toc386467052"/>
      <w:bookmarkEnd w:id="463"/>
      <w:bookmarkStart w:id="464" w:name="_Toc43475780"/>
      <w:bookmarkEnd w:id="464"/>
      <w:bookmarkStart w:id="465" w:name="_Toc393546306"/>
      <w:bookmarkEnd w:id="465"/>
      <w:r>
        <w:rPr>
          <w:rFonts w:hint="eastAsia" w:ascii="宋体" w:eastAsia="宋体"/>
          <w:color w:val="000000" w:themeColor="text1"/>
          <w:szCs w:val="24"/>
          <w:highlight w:val="none"/>
          <w14:textFill>
            <w14:solidFill>
              <w14:schemeClr w14:val="tx1"/>
            </w14:solidFill>
          </w14:textFill>
        </w:rPr>
        <w:t>4.3 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承包人不得将其承包的全部工程转包给第三人，或将其承包的全部工程肢解后以分包的名义转包给第三人。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 分包人的资格能力应与其分包工程的标准和规模相适应。</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 按投标函附录约定分包工程的，承包人应向发包人和监理人提交分包合同副本。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 承包人应与分包人就分包工程向发包人承担连带责任。</w:t>
      </w:r>
    </w:p>
    <w:p>
      <w:pPr>
        <w:pStyle w:val="67"/>
        <w:ind w:firstLine="118"/>
        <w:rPr>
          <w:rFonts w:ascii="宋体" w:eastAsia="宋体"/>
          <w:color w:val="000000" w:themeColor="text1"/>
          <w:szCs w:val="24"/>
          <w:highlight w:val="none"/>
          <w14:textFill>
            <w14:solidFill>
              <w14:schemeClr w14:val="tx1"/>
            </w14:solidFill>
          </w14:textFill>
        </w:rPr>
      </w:pPr>
      <w:bookmarkStart w:id="466" w:name="_Toc43475781"/>
      <w:bookmarkEnd w:id="466"/>
      <w:bookmarkStart w:id="467" w:name="_Toc386467053"/>
      <w:bookmarkEnd w:id="467"/>
      <w:bookmarkStart w:id="468" w:name="_Toc393546307"/>
      <w:bookmarkEnd w:id="468"/>
      <w:r>
        <w:rPr>
          <w:rFonts w:hint="eastAsia" w:ascii="宋体" w:eastAsia="宋体"/>
          <w:color w:val="000000" w:themeColor="text1"/>
          <w:szCs w:val="24"/>
          <w:highlight w:val="none"/>
          <w14:textFill>
            <w14:solidFill>
              <w14:schemeClr w14:val="tx1"/>
            </w14:solidFill>
          </w14:textFill>
        </w:rPr>
        <w:t>4.4 联合体</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 联合体各方应共同与发包人签订合同协议书。联合体各方应为履行合同承担连带责任。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4.4.2 联合体协议经发包人确认后作为合同附件。在履行合同过程中，未经发包人同意，不得修改联合体协议。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 联合体牵头人负责与发包人和监理人联系，并接受指示，负责组织联合体各成员全面履行合同。</w:t>
      </w:r>
    </w:p>
    <w:p>
      <w:pPr>
        <w:pStyle w:val="67"/>
        <w:ind w:firstLine="118"/>
        <w:rPr>
          <w:rFonts w:ascii="宋体" w:eastAsia="宋体"/>
          <w:color w:val="000000" w:themeColor="text1"/>
          <w:szCs w:val="24"/>
          <w:highlight w:val="none"/>
          <w14:textFill>
            <w14:solidFill>
              <w14:schemeClr w14:val="tx1"/>
            </w14:solidFill>
          </w14:textFill>
        </w:rPr>
      </w:pPr>
      <w:bookmarkStart w:id="469" w:name="_Toc393546308"/>
      <w:bookmarkEnd w:id="469"/>
      <w:bookmarkStart w:id="470" w:name="_Toc386467054"/>
      <w:bookmarkEnd w:id="470"/>
      <w:bookmarkStart w:id="471" w:name="_Toc43475782"/>
      <w:bookmarkEnd w:id="471"/>
      <w:r>
        <w:rPr>
          <w:rFonts w:hint="eastAsia" w:ascii="宋体" w:eastAsia="宋体"/>
          <w:color w:val="000000" w:themeColor="text1"/>
          <w:szCs w:val="24"/>
          <w:highlight w:val="none"/>
          <w14:textFill>
            <w14:solidFill>
              <w14:schemeClr w14:val="tx1"/>
            </w14:solidFill>
          </w14:textFill>
        </w:rPr>
        <w:t>4.5 承包人项目经理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4.5.3承包人为履行合同发出的一切函件均应盖有承包人授权的施工场地管理机构章，并由承包人项目经理或其授权代表签字。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4.5.4 承包人项目经理可以授权其下属人员履行其某项职责，但事先应将这些人员的姓名和授权范围通知监理人。</w:t>
      </w:r>
    </w:p>
    <w:p>
      <w:pPr>
        <w:pStyle w:val="67"/>
        <w:ind w:firstLine="118"/>
        <w:rPr>
          <w:rFonts w:ascii="宋体" w:eastAsia="宋体"/>
          <w:color w:val="000000" w:themeColor="text1"/>
          <w:szCs w:val="24"/>
          <w:highlight w:val="none"/>
          <w14:textFill>
            <w14:solidFill>
              <w14:schemeClr w14:val="tx1"/>
            </w14:solidFill>
          </w14:textFill>
        </w:rPr>
      </w:pPr>
      <w:bookmarkStart w:id="472" w:name="_Toc152042423"/>
      <w:bookmarkEnd w:id="472"/>
      <w:bookmarkStart w:id="473" w:name="_Toc144974613"/>
      <w:bookmarkEnd w:id="473"/>
      <w:bookmarkStart w:id="474" w:name="_Toc152045645"/>
      <w:bookmarkEnd w:id="474"/>
      <w:bookmarkStart w:id="475" w:name="_Toc386467055"/>
      <w:bookmarkEnd w:id="475"/>
      <w:bookmarkStart w:id="476" w:name="_Toc393546309"/>
      <w:bookmarkEnd w:id="476"/>
      <w:bookmarkStart w:id="477" w:name="_Toc43475783"/>
      <w:bookmarkEnd w:id="477"/>
      <w:bookmarkStart w:id="478" w:name="_Toc330406250"/>
      <w:bookmarkEnd w:id="478"/>
      <w:bookmarkStart w:id="479" w:name="_Toc179632663"/>
      <w:bookmarkEnd w:id="479"/>
      <w:r>
        <w:rPr>
          <w:rFonts w:hint="eastAsia" w:ascii="宋体" w:eastAsia="宋体"/>
          <w:color w:val="000000" w:themeColor="text1"/>
          <w:szCs w:val="24"/>
          <w:highlight w:val="none"/>
          <w14:textFill>
            <w14:solidFill>
              <w14:schemeClr w14:val="tx1"/>
            </w14:solidFill>
          </w14:textFill>
        </w:rPr>
        <w:t>4.6 承包人人员的管理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 为完成合同约定的各项工作，承包人应向施工场地派遣或雇佣足够数量的下列人员：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（1）具有相应资格的专业技工和合格的普工；</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（2）具有相应施工经验的技术人员；</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（3）具有相应岗位资格的各级管理人员。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 承包人安排在施工场地的主要管理人员和技术骨干应相对稳定。承包人更换主要管理人员和技术骨干时，应取得监理人的同意。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4.6.4 特殊岗位的工作人员均应持有相应的资格证明，监理人有权随时检查。监理人认为有必要时，可进行现场考核。</w:t>
      </w:r>
    </w:p>
    <w:p>
      <w:pPr>
        <w:pStyle w:val="67"/>
        <w:ind w:firstLine="118"/>
        <w:rPr>
          <w:rFonts w:ascii="宋体" w:eastAsia="宋体"/>
          <w:color w:val="000000" w:themeColor="text1"/>
          <w:szCs w:val="24"/>
          <w:highlight w:val="none"/>
          <w14:textFill>
            <w14:solidFill>
              <w14:schemeClr w14:val="tx1"/>
            </w14:solidFill>
          </w14:textFill>
        </w:rPr>
      </w:pPr>
      <w:bookmarkStart w:id="480" w:name="_Toc386467056"/>
      <w:bookmarkEnd w:id="480"/>
      <w:bookmarkStart w:id="481" w:name="_Toc43475784"/>
      <w:bookmarkEnd w:id="481"/>
      <w:bookmarkStart w:id="482" w:name="_Toc152045646"/>
      <w:bookmarkEnd w:id="482"/>
      <w:bookmarkStart w:id="483" w:name="_Toc144974614"/>
      <w:bookmarkEnd w:id="483"/>
      <w:bookmarkStart w:id="484" w:name="_Toc152042424"/>
      <w:bookmarkEnd w:id="484"/>
      <w:bookmarkStart w:id="485" w:name="_Toc330406251"/>
      <w:bookmarkEnd w:id="485"/>
      <w:bookmarkStart w:id="486" w:name="_Toc393546310"/>
      <w:bookmarkEnd w:id="486"/>
      <w:bookmarkStart w:id="487" w:name="_Toc179632664"/>
      <w:bookmarkEnd w:id="487"/>
      <w:r>
        <w:rPr>
          <w:rFonts w:hint="eastAsia" w:ascii="宋体" w:eastAsia="宋体"/>
          <w:color w:val="000000" w:themeColor="text1"/>
          <w:szCs w:val="24"/>
          <w:highlight w:val="none"/>
          <w14:textFill>
            <w14:solidFill>
              <w14:schemeClr w14:val="tx1"/>
            </w14:solidFill>
          </w14:textFill>
        </w:rPr>
        <w:t>4.7 撤换承包人项目经理和其他人员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pPr>
        <w:pStyle w:val="67"/>
        <w:ind w:firstLine="118"/>
        <w:rPr>
          <w:rFonts w:ascii="宋体" w:eastAsia="宋体"/>
          <w:color w:val="000000" w:themeColor="text1"/>
          <w:szCs w:val="24"/>
          <w:highlight w:val="none"/>
          <w14:textFill>
            <w14:solidFill>
              <w14:schemeClr w14:val="tx1"/>
            </w14:solidFill>
          </w14:textFill>
        </w:rPr>
      </w:pPr>
      <w:bookmarkStart w:id="488" w:name="_Toc152042425"/>
      <w:bookmarkEnd w:id="488"/>
      <w:bookmarkStart w:id="489" w:name="_Toc152045647"/>
      <w:bookmarkEnd w:id="489"/>
      <w:bookmarkStart w:id="490" w:name="_Toc179632665"/>
      <w:bookmarkEnd w:id="490"/>
      <w:bookmarkStart w:id="491" w:name="_Toc330406252"/>
      <w:bookmarkEnd w:id="491"/>
      <w:bookmarkStart w:id="492" w:name="_Toc393546311"/>
      <w:bookmarkEnd w:id="492"/>
      <w:bookmarkStart w:id="493" w:name="_Toc43475785"/>
      <w:bookmarkEnd w:id="493"/>
      <w:bookmarkStart w:id="494" w:name="_Toc144974615"/>
      <w:bookmarkEnd w:id="494"/>
      <w:bookmarkStart w:id="495" w:name="_Toc386467057"/>
      <w:bookmarkEnd w:id="495"/>
      <w:r>
        <w:rPr>
          <w:rFonts w:hint="eastAsia" w:ascii="宋体" w:eastAsia="宋体"/>
          <w:color w:val="000000" w:themeColor="text1"/>
          <w:szCs w:val="24"/>
          <w:highlight w:val="none"/>
          <w14:textFill>
            <w14:solidFill>
              <w14:schemeClr w14:val="tx1"/>
            </w14:solidFill>
          </w14:textFill>
        </w:rPr>
        <w:t>4.8 保障承包人人员的合法权益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4.8.1 承包人应与其雇佣的人员签订劳动合同，并按时发放工资。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4.8.5 承包人应按有关法律规定和合同约定，为其雇佣人员办理保险。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4.8.6 承包人应负责处理其雇佣人员因工伤亡事故的善后事宜。</w:t>
      </w:r>
    </w:p>
    <w:p>
      <w:pPr>
        <w:pStyle w:val="67"/>
        <w:ind w:firstLine="118"/>
        <w:rPr>
          <w:rFonts w:ascii="宋体" w:eastAsia="宋体"/>
          <w:color w:val="000000" w:themeColor="text1"/>
          <w:szCs w:val="24"/>
          <w:highlight w:val="none"/>
          <w14:textFill>
            <w14:solidFill>
              <w14:schemeClr w14:val="tx1"/>
            </w14:solidFill>
          </w14:textFill>
        </w:rPr>
      </w:pPr>
      <w:bookmarkStart w:id="496" w:name="_Toc330406253"/>
      <w:bookmarkEnd w:id="496"/>
      <w:bookmarkStart w:id="497" w:name="_Toc43475786"/>
      <w:bookmarkEnd w:id="497"/>
      <w:bookmarkStart w:id="498" w:name="_Toc386467058"/>
      <w:bookmarkEnd w:id="498"/>
      <w:bookmarkStart w:id="499" w:name="_Toc179632666"/>
      <w:bookmarkEnd w:id="499"/>
      <w:bookmarkStart w:id="500" w:name="_Toc144974616"/>
      <w:bookmarkEnd w:id="500"/>
      <w:bookmarkStart w:id="501" w:name="_Toc152045648"/>
      <w:bookmarkEnd w:id="501"/>
      <w:bookmarkStart w:id="502" w:name="_Toc152042426"/>
      <w:bookmarkEnd w:id="502"/>
      <w:bookmarkStart w:id="503" w:name="_Toc393546312"/>
      <w:bookmarkEnd w:id="503"/>
      <w:r>
        <w:rPr>
          <w:rFonts w:hint="eastAsia" w:ascii="宋体" w:eastAsia="宋体"/>
          <w:color w:val="000000" w:themeColor="text1"/>
          <w:szCs w:val="24"/>
          <w:highlight w:val="none"/>
          <w14:textFill>
            <w14:solidFill>
              <w14:schemeClr w14:val="tx1"/>
            </w14:solidFill>
          </w14:textFill>
        </w:rPr>
        <w:t>4.9 工程价款应专款专用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w:t>
      </w:r>
    </w:p>
    <w:p>
      <w:pPr>
        <w:pStyle w:val="67"/>
        <w:ind w:firstLine="118"/>
        <w:rPr>
          <w:rFonts w:ascii="宋体" w:eastAsia="宋体"/>
          <w:color w:val="000000" w:themeColor="text1"/>
          <w:szCs w:val="24"/>
          <w:highlight w:val="none"/>
          <w14:textFill>
            <w14:solidFill>
              <w14:schemeClr w14:val="tx1"/>
            </w14:solidFill>
          </w14:textFill>
        </w:rPr>
      </w:pPr>
      <w:bookmarkStart w:id="504" w:name="_Toc386467059"/>
      <w:bookmarkEnd w:id="504"/>
      <w:bookmarkStart w:id="505" w:name="_Toc43475787"/>
      <w:bookmarkEnd w:id="505"/>
      <w:bookmarkStart w:id="506" w:name="_Toc393546313"/>
      <w:bookmarkEnd w:id="506"/>
      <w:r>
        <w:rPr>
          <w:rFonts w:hint="eastAsia" w:ascii="宋体" w:eastAsia="宋体"/>
          <w:color w:val="000000" w:themeColor="text1"/>
          <w:szCs w:val="24"/>
          <w:highlight w:val="none"/>
          <w14:textFill>
            <w14:solidFill>
              <w14:schemeClr w14:val="tx1"/>
            </w14:solidFill>
          </w14:textFill>
        </w:rPr>
        <w:t>4.10 承包人现场查勘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4.10.1 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7"/>
        <w:ind w:firstLine="118"/>
        <w:rPr>
          <w:rFonts w:ascii="宋体" w:eastAsia="宋体"/>
          <w:color w:val="000000" w:themeColor="text1"/>
          <w:szCs w:val="24"/>
          <w:highlight w:val="none"/>
          <w14:textFill>
            <w14:solidFill>
              <w14:schemeClr w14:val="tx1"/>
            </w14:solidFill>
          </w14:textFill>
        </w:rPr>
      </w:pPr>
      <w:bookmarkStart w:id="507" w:name="_Toc43475788"/>
      <w:bookmarkEnd w:id="507"/>
      <w:bookmarkStart w:id="508" w:name="_Toc386467060"/>
      <w:bookmarkEnd w:id="508"/>
      <w:bookmarkStart w:id="509" w:name="_Toc393546314"/>
      <w:bookmarkEnd w:id="509"/>
      <w:r>
        <w:rPr>
          <w:rFonts w:hint="eastAsia" w:ascii="宋体" w:eastAsia="宋体"/>
          <w:color w:val="000000" w:themeColor="text1"/>
          <w:szCs w:val="24"/>
          <w:highlight w:val="none"/>
          <w14:textFill>
            <w14:solidFill>
              <w14:schemeClr w14:val="tx1"/>
            </w14:solidFill>
          </w14:textFill>
        </w:rPr>
        <w:t>4.11 不利物质条件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78"/>
        <w:rPr>
          <w:rFonts w:ascii="宋体" w:hAnsi="宋体"/>
          <w:color w:val="000000" w:themeColor="text1"/>
          <w:sz w:val="24"/>
          <w:szCs w:val="24"/>
          <w:highlight w:val="none"/>
          <w14:textFill>
            <w14:solidFill>
              <w14:schemeClr w14:val="tx1"/>
            </w14:solidFill>
          </w14:textFill>
        </w:rPr>
      </w:pPr>
      <w:bookmarkStart w:id="510" w:name="_Toc386467061"/>
      <w:bookmarkEnd w:id="510"/>
      <w:bookmarkStart w:id="511" w:name="_Toc43475789"/>
      <w:bookmarkEnd w:id="511"/>
      <w:bookmarkStart w:id="512" w:name="_Toc393546315"/>
      <w:bookmarkEnd w:id="512"/>
      <w:r>
        <w:rPr>
          <w:rFonts w:hint="eastAsia" w:ascii="宋体" w:hAnsi="宋体"/>
          <w:color w:val="000000" w:themeColor="text1"/>
          <w:sz w:val="24"/>
          <w:szCs w:val="24"/>
          <w:highlight w:val="none"/>
          <w14:textFill>
            <w14:solidFill>
              <w14:schemeClr w14:val="tx1"/>
            </w14:solidFill>
          </w14:textFill>
        </w:rPr>
        <w:t>5. 材料和工程设备</w:t>
      </w:r>
    </w:p>
    <w:p>
      <w:pPr>
        <w:pStyle w:val="67"/>
        <w:ind w:firstLine="118"/>
        <w:rPr>
          <w:rFonts w:ascii="宋体" w:eastAsia="宋体"/>
          <w:color w:val="000000" w:themeColor="text1"/>
          <w:szCs w:val="24"/>
          <w:highlight w:val="none"/>
          <w14:textFill>
            <w14:solidFill>
              <w14:schemeClr w14:val="tx1"/>
            </w14:solidFill>
          </w14:textFill>
        </w:rPr>
      </w:pPr>
      <w:bookmarkStart w:id="513" w:name="_Toc386467062"/>
      <w:bookmarkEnd w:id="513"/>
      <w:bookmarkStart w:id="514" w:name="_Toc152042430"/>
      <w:bookmarkEnd w:id="514"/>
      <w:bookmarkStart w:id="515" w:name="_Toc144974620"/>
      <w:bookmarkEnd w:id="515"/>
      <w:bookmarkStart w:id="516" w:name="_Toc152045652"/>
      <w:bookmarkEnd w:id="516"/>
      <w:bookmarkStart w:id="517" w:name="_Toc179632670"/>
      <w:bookmarkEnd w:id="517"/>
      <w:bookmarkStart w:id="518" w:name="_Toc330406257"/>
      <w:bookmarkEnd w:id="518"/>
      <w:bookmarkStart w:id="519" w:name="_Toc393546316"/>
      <w:bookmarkEnd w:id="519"/>
      <w:bookmarkStart w:id="520" w:name="_Toc43475790"/>
      <w:bookmarkEnd w:id="520"/>
      <w:r>
        <w:rPr>
          <w:rFonts w:hint="eastAsia" w:ascii="宋体" w:eastAsia="宋体"/>
          <w:color w:val="000000" w:themeColor="text1"/>
          <w:szCs w:val="24"/>
          <w:highlight w:val="none"/>
          <w14:textFill>
            <w14:solidFill>
              <w14:schemeClr w14:val="tx1"/>
            </w14:solidFill>
          </w14:textFill>
        </w:rPr>
        <w:t>5.1 承包人提供的材料和工程设备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7"/>
        <w:ind w:firstLine="118"/>
        <w:rPr>
          <w:rFonts w:ascii="宋体" w:eastAsia="宋体"/>
          <w:color w:val="000000" w:themeColor="text1"/>
          <w:szCs w:val="24"/>
          <w:highlight w:val="none"/>
          <w14:textFill>
            <w14:solidFill>
              <w14:schemeClr w14:val="tx1"/>
            </w14:solidFill>
          </w14:textFill>
        </w:rPr>
      </w:pPr>
      <w:bookmarkStart w:id="521" w:name="_Toc393546317"/>
      <w:bookmarkEnd w:id="521"/>
      <w:bookmarkStart w:id="522" w:name="_Toc43475791"/>
      <w:bookmarkEnd w:id="522"/>
      <w:bookmarkStart w:id="523" w:name="_Toc386467063"/>
      <w:bookmarkEnd w:id="523"/>
      <w:r>
        <w:rPr>
          <w:rFonts w:hint="eastAsia" w:ascii="宋体" w:eastAsia="宋体"/>
          <w:color w:val="000000" w:themeColor="text1"/>
          <w:szCs w:val="24"/>
          <w:highlight w:val="none"/>
          <w14:textFill>
            <w14:solidFill>
              <w14:schemeClr w14:val="tx1"/>
            </w14:solidFill>
          </w14:textFill>
        </w:rPr>
        <w:t>5.2 发包人提供的材料和工程设备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 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5.2.4 发包人要求向承包人提前交货的，承包人不得拒绝，但发包人应承担承包人由此增加的费用。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5.2.5 承包人要求更改交货日期或地点的，应事先报请监理人批准。由于承包人要求更改交货时间或地点所增加的费用和（或）工期延误由承包人承担。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7"/>
        <w:ind w:firstLine="118"/>
        <w:rPr>
          <w:rFonts w:ascii="宋体" w:eastAsia="宋体"/>
          <w:color w:val="000000" w:themeColor="text1"/>
          <w:szCs w:val="24"/>
          <w:highlight w:val="none"/>
          <w14:textFill>
            <w14:solidFill>
              <w14:schemeClr w14:val="tx1"/>
            </w14:solidFill>
          </w14:textFill>
        </w:rPr>
      </w:pPr>
      <w:bookmarkStart w:id="524" w:name="_Toc393546318"/>
      <w:bookmarkEnd w:id="524"/>
      <w:bookmarkStart w:id="525" w:name="_Toc43475792"/>
      <w:bookmarkEnd w:id="525"/>
      <w:bookmarkStart w:id="526" w:name="_Toc179632672"/>
      <w:bookmarkEnd w:id="526"/>
      <w:bookmarkStart w:id="527" w:name="_Toc144974622"/>
      <w:bookmarkEnd w:id="527"/>
      <w:bookmarkStart w:id="528" w:name="_Toc330406259"/>
      <w:bookmarkEnd w:id="528"/>
      <w:bookmarkStart w:id="529" w:name="_Toc152045654"/>
      <w:bookmarkEnd w:id="529"/>
      <w:bookmarkStart w:id="530" w:name="_Toc152042432"/>
      <w:bookmarkEnd w:id="530"/>
      <w:bookmarkStart w:id="531" w:name="_Toc386467064"/>
      <w:bookmarkEnd w:id="531"/>
      <w:r>
        <w:rPr>
          <w:rFonts w:hint="eastAsia" w:ascii="宋体" w:eastAsia="宋体"/>
          <w:color w:val="000000" w:themeColor="text1"/>
          <w:szCs w:val="24"/>
          <w:highlight w:val="none"/>
          <w14:textFill>
            <w14:solidFill>
              <w14:schemeClr w14:val="tx1"/>
            </w14:solidFill>
          </w14:textFill>
        </w:rPr>
        <w:t>5.3 材料和工程设备专用于合同工程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7"/>
        <w:ind w:firstLine="118"/>
        <w:rPr>
          <w:rFonts w:ascii="宋体" w:eastAsia="宋体"/>
          <w:color w:val="000000" w:themeColor="text1"/>
          <w:szCs w:val="24"/>
          <w:highlight w:val="none"/>
          <w14:textFill>
            <w14:solidFill>
              <w14:schemeClr w14:val="tx1"/>
            </w14:solidFill>
          </w14:textFill>
        </w:rPr>
      </w:pPr>
      <w:bookmarkStart w:id="532" w:name="_Toc386467065"/>
      <w:bookmarkEnd w:id="532"/>
      <w:bookmarkStart w:id="533" w:name="_Toc43475793"/>
      <w:bookmarkEnd w:id="533"/>
      <w:bookmarkStart w:id="534" w:name="_Toc144974623"/>
      <w:bookmarkEnd w:id="534"/>
      <w:bookmarkStart w:id="535" w:name="_Toc152045655"/>
      <w:bookmarkEnd w:id="535"/>
      <w:bookmarkStart w:id="536" w:name="_Toc330406260"/>
      <w:bookmarkEnd w:id="536"/>
      <w:bookmarkStart w:id="537" w:name="_Toc179632673"/>
      <w:bookmarkEnd w:id="537"/>
      <w:bookmarkStart w:id="538" w:name="_Toc152042433"/>
      <w:bookmarkEnd w:id="538"/>
      <w:bookmarkStart w:id="539" w:name="_Toc393546319"/>
      <w:bookmarkEnd w:id="539"/>
      <w:r>
        <w:rPr>
          <w:rFonts w:hint="eastAsia" w:ascii="宋体" w:eastAsia="宋体"/>
          <w:color w:val="000000" w:themeColor="text1"/>
          <w:szCs w:val="24"/>
          <w:highlight w:val="none"/>
          <w14:textFill>
            <w14:solidFill>
              <w14:schemeClr w14:val="tx1"/>
            </w14:solidFill>
          </w14:textFill>
        </w:rPr>
        <w:t>5.4 禁止使用不合格的材料和工程设备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 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5.4.3 发包人提供的材料或工程设备不符合合同要求的，承包人有权拒绝，并可要求发包人更换，由此增加的费用和（或）工期延误由发包人承担。</w:t>
      </w:r>
    </w:p>
    <w:p>
      <w:pPr>
        <w:pStyle w:val="78"/>
        <w:rPr>
          <w:rFonts w:ascii="宋体" w:hAnsi="宋体"/>
          <w:color w:val="000000" w:themeColor="text1"/>
          <w:sz w:val="24"/>
          <w:szCs w:val="24"/>
          <w:highlight w:val="none"/>
          <w14:textFill>
            <w14:solidFill>
              <w14:schemeClr w14:val="tx1"/>
            </w14:solidFill>
          </w14:textFill>
        </w:rPr>
      </w:pPr>
      <w:bookmarkStart w:id="540" w:name="_Toc386467066"/>
      <w:bookmarkEnd w:id="540"/>
      <w:bookmarkStart w:id="541" w:name="_Toc393546320"/>
      <w:bookmarkEnd w:id="541"/>
      <w:bookmarkStart w:id="542" w:name="_Toc43475794"/>
      <w:bookmarkEnd w:id="542"/>
      <w:r>
        <w:rPr>
          <w:rFonts w:hint="eastAsia" w:ascii="宋体" w:hAnsi="宋体"/>
          <w:color w:val="000000" w:themeColor="text1"/>
          <w:sz w:val="24"/>
          <w:szCs w:val="24"/>
          <w:highlight w:val="none"/>
          <w14:textFill>
            <w14:solidFill>
              <w14:schemeClr w14:val="tx1"/>
            </w14:solidFill>
          </w14:textFill>
        </w:rPr>
        <w:t>6. 施工设备和临时设施</w:t>
      </w:r>
    </w:p>
    <w:p>
      <w:pPr>
        <w:pStyle w:val="67"/>
        <w:ind w:firstLine="118"/>
        <w:rPr>
          <w:rFonts w:ascii="宋体" w:eastAsia="宋体"/>
          <w:color w:val="000000" w:themeColor="text1"/>
          <w:szCs w:val="24"/>
          <w:highlight w:val="none"/>
          <w14:textFill>
            <w14:solidFill>
              <w14:schemeClr w14:val="tx1"/>
            </w14:solidFill>
          </w14:textFill>
        </w:rPr>
      </w:pPr>
      <w:bookmarkStart w:id="543" w:name="_Toc393546321"/>
      <w:bookmarkEnd w:id="543"/>
      <w:bookmarkStart w:id="544" w:name="_Toc386467067"/>
      <w:bookmarkEnd w:id="544"/>
      <w:bookmarkStart w:id="545" w:name="_Toc43475795"/>
      <w:bookmarkEnd w:id="545"/>
      <w:r>
        <w:rPr>
          <w:rFonts w:hint="eastAsia" w:ascii="宋体" w:eastAsia="宋体"/>
          <w:color w:val="000000" w:themeColor="text1"/>
          <w:szCs w:val="24"/>
          <w:highlight w:val="none"/>
          <w14:textFill>
            <w14:solidFill>
              <w14:schemeClr w14:val="tx1"/>
            </w14:solidFill>
          </w14:textFill>
        </w:rPr>
        <w:t>6.1 承包人提供的施工设备和临时设施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6.1.2除专用合同条款另有约定外，承包人应自行承担修建临时设施的费用，需要临时占地的，应由发包人办理申请手续并承担相应费用。</w:t>
      </w:r>
    </w:p>
    <w:p>
      <w:pPr>
        <w:pStyle w:val="67"/>
        <w:ind w:firstLine="118"/>
        <w:rPr>
          <w:rFonts w:ascii="宋体" w:eastAsia="宋体"/>
          <w:color w:val="000000" w:themeColor="text1"/>
          <w:szCs w:val="24"/>
          <w:highlight w:val="none"/>
          <w14:textFill>
            <w14:solidFill>
              <w14:schemeClr w14:val="tx1"/>
            </w14:solidFill>
          </w14:textFill>
        </w:rPr>
      </w:pPr>
      <w:bookmarkStart w:id="546" w:name="_Toc152042436"/>
      <w:bookmarkEnd w:id="546"/>
      <w:bookmarkStart w:id="547" w:name="_Toc144974626"/>
      <w:bookmarkEnd w:id="547"/>
      <w:bookmarkStart w:id="548" w:name="_Toc386467068"/>
      <w:bookmarkEnd w:id="548"/>
      <w:bookmarkStart w:id="549" w:name="_Toc43475796"/>
      <w:bookmarkEnd w:id="549"/>
      <w:bookmarkStart w:id="550" w:name="_Toc179632676"/>
      <w:bookmarkEnd w:id="550"/>
      <w:bookmarkStart w:id="551" w:name="_Toc152045658"/>
      <w:bookmarkEnd w:id="551"/>
      <w:bookmarkStart w:id="552" w:name="_Toc330406263"/>
      <w:bookmarkEnd w:id="552"/>
      <w:bookmarkStart w:id="553" w:name="_Toc393546322"/>
      <w:bookmarkEnd w:id="553"/>
      <w:r>
        <w:rPr>
          <w:rFonts w:hint="eastAsia" w:ascii="宋体" w:eastAsia="宋体"/>
          <w:color w:val="000000" w:themeColor="text1"/>
          <w:szCs w:val="24"/>
          <w:highlight w:val="none"/>
          <w14:textFill>
            <w14:solidFill>
              <w14:schemeClr w14:val="tx1"/>
            </w14:solidFill>
          </w14:textFill>
        </w:rPr>
        <w:t>6.2 发包人提供的施工设备和临时设施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发包人提供的施工设备或临时设施在专用合同条款中约定。</w:t>
      </w:r>
    </w:p>
    <w:p>
      <w:pPr>
        <w:pStyle w:val="67"/>
        <w:ind w:firstLine="118"/>
        <w:rPr>
          <w:rFonts w:ascii="宋体" w:eastAsia="宋体"/>
          <w:color w:val="000000" w:themeColor="text1"/>
          <w:szCs w:val="24"/>
          <w:highlight w:val="none"/>
          <w14:textFill>
            <w14:solidFill>
              <w14:schemeClr w14:val="tx1"/>
            </w14:solidFill>
          </w14:textFill>
        </w:rPr>
      </w:pPr>
      <w:bookmarkStart w:id="554" w:name="_Toc43475797"/>
      <w:bookmarkEnd w:id="554"/>
      <w:bookmarkStart w:id="555" w:name="_Toc386467069"/>
      <w:bookmarkEnd w:id="555"/>
      <w:bookmarkStart w:id="556" w:name="_Toc393546323"/>
      <w:bookmarkEnd w:id="556"/>
      <w:r>
        <w:rPr>
          <w:rFonts w:hint="eastAsia" w:ascii="宋体" w:eastAsia="宋体"/>
          <w:color w:val="000000" w:themeColor="text1"/>
          <w:szCs w:val="24"/>
          <w:highlight w:val="none"/>
          <w14:textFill>
            <w14:solidFill>
              <w14:schemeClr w14:val="tx1"/>
            </w14:solidFill>
          </w14:textFill>
        </w:rPr>
        <w:t>6.3 要求承包人增加或更换施工设备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pPr>
        <w:pStyle w:val="67"/>
        <w:ind w:firstLine="118"/>
        <w:rPr>
          <w:rFonts w:ascii="宋体" w:eastAsia="宋体"/>
          <w:color w:val="000000" w:themeColor="text1"/>
          <w:szCs w:val="24"/>
          <w:highlight w:val="none"/>
          <w14:textFill>
            <w14:solidFill>
              <w14:schemeClr w14:val="tx1"/>
            </w14:solidFill>
          </w14:textFill>
        </w:rPr>
      </w:pPr>
      <w:bookmarkStart w:id="557" w:name="_Toc386467070"/>
      <w:bookmarkEnd w:id="557"/>
      <w:bookmarkStart w:id="558" w:name="_Toc179632678"/>
      <w:bookmarkEnd w:id="558"/>
      <w:bookmarkStart w:id="559" w:name="_Toc330406265"/>
      <w:bookmarkEnd w:id="559"/>
      <w:bookmarkStart w:id="560" w:name="_Toc152045660"/>
      <w:bookmarkEnd w:id="560"/>
      <w:bookmarkStart w:id="561" w:name="_Toc43475798"/>
      <w:bookmarkEnd w:id="561"/>
      <w:bookmarkStart w:id="562" w:name="_Toc393546324"/>
      <w:bookmarkEnd w:id="562"/>
      <w:bookmarkStart w:id="563" w:name="_Toc144974628"/>
      <w:bookmarkEnd w:id="563"/>
      <w:bookmarkStart w:id="564" w:name="_Toc152042438"/>
      <w:bookmarkEnd w:id="564"/>
      <w:r>
        <w:rPr>
          <w:rFonts w:hint="eastAsia" w:ascii="宋体" w:eastAsia="宋体"/>
          <w:color w:val="000000" w:themeColor="text1"/>
          <w:szCs w:val="24"/>
          <w:highlight w:val="none"/>
          <w14:textFill>
            <w14:solidFill>
              <w14:schemeClr w14:val="tx1"/>
            </w14:solidFill>
          </w14:textFill>
        </w:rPr>
        <w:t>6.4 施工设备和临时设施专用于合同工程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 经监理人同意，承包人可根据合同进度计划撤走闲置的施工设备。</w:t>
      </w:r>
    </w:p>
    <w:p>
      <w:pPr>
        <w:pStyle w:val="78"/>
        <w:rPr>
          <w:rFonts w:ascii="宋体" w:hAnsi="宋体"/>
          <w:color w:val="000000" w:themeColor="text1"/>
          <w:sz w:val="24"/>
          <w:szCs w:val="24"/>
          <w:highlight w:val="none"/>
          <w14:textFill>
            <w14:solidFill>
              <w14:schemeClr w14:val="tx1"/>
            </w14:solidFill>
          </w14:textFill>
        </w:rPr>
      </w:pPr>
      <w:bookmarkStart w:id="565" w:name="_Toc393546325"/>
      <w:bookmarkEnd w:id="565"/>
      <w:bookmarkStart w:id="566" w:name="_Toc386467071"/>
      <w:bookmarkEnd w:id="566"/>
      <w:bookmarkStart w:id="567" w:name="_Toc43475799"/>
      <w:bookmarkEnd w:id="567"/>
      <w:r>
        <w:rPr>
          <w:rFonts w:hint="eastAsia" w:ascii="宋体" w:hAnsi="宋体"/>
          <w:color w:val="000000" w:themeColor="text1"/>
          <w:sz w:val="24"/>
          <w:szCs w:val="24"/>
          <w:highlight w:val="none"/>
          <w14:textFill>
            <w14:solidFill>
              <w14:schemeClr w14:val="tx1"/>
            </w14:solidFill>
          </w14:textFill>
        </w:rPr>
        <w:t>7. 交通运输</w:t>
      </w:r>
    </w:p>
    <w:p>
      <w:pPr>
        <w:pStyle w:val="67"/>
        <w:ind w:firstLine="118"/>
        <w:rPr>
          <w:rFonts w:ascii="宋体" w:eastAsia="宋体"/>
          <w:color w:val="000000" w:themeColor="text1"/>
          <w:szCs w:val="24"/>
          <w:highlight w:val="none"/>
          <w14:textFill>
            <w14:solidFill>
              <w14:schemeClr w14:val="tx1"/>
            </w14:solidFill>
          </w14:textFill>
        </w:rPr>
      </w:pPr>
      <w:bookmarkStart w:id="568" w:name="_Toc43475800"/>
      <w:bookmarkEnd w:id="568"/>
      <w:bookmarkStart w:id="569" w:name="_Toc393546326"/>
      <w:bookmarkEnd w:id="569"/>
      <w:bookmarkStart w:id="570" w:name="_Toc386467072"/>
      <w:bookmarkEnd w:id="570"/>
      <w:r>
        <w:rPr>
          <w:rFonts w:hint="eastAsia" w:ascii="宋体" w:eastAsia="宋体"/>
          <w:color w:val="000000" w:themeColor="text1"/>
          <w:szCs w:val="24"/>
          <w:highlight w:val="none"/>
          <w14:textFill>
            <w14:solidFill>
              <w14:schemeClr w14:val="tx1"/>
            </w14:solidFill>
          </w14:textFill>
        </w:rPr>
        <w:t>7.1 道路通行权和场外设施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7"/>
        <w:ind w:firstLine="118"/>
        <w:rPr>
          <w:rFonts w:ascii="宋体" w:eastAsia="宋体"/>
          <w:color w:val="000000" w:themeColor="text1"/>
          <w:szCs w:val="24"/>
          <w:highlight w:val="none"/>
          <w14:textFill>
            <w14:solidFill>
              <w14:schemeClr w14:val="tx1"/>
            </w14:solidFill>
          </w14:textFill>
        </w:rPr>
      </w:pPr>
      <w:bookmarkStart w:id="571" w:name="_Toc179632681"/>
      <w:bookmarkEnd w:id="571"/>
      <w:bookmarkStart w:id="572" w:name="_Toc152042441"/>
      <w:bookmarkEnd w:id="572"/>
      <w:bookmarkStart w:id="573" w:name="_Toc386467073"/>
      <w:bookmarkEnd w:id="573"/>
      <w:bookmarkStart w:id="574" w:name="_Toc43475801"/>
      <w:bookmarkEnd w:id="574"/>
      <w:bookmarkStart w:id="575" w:name="_Toc330406268"/>
      <w:bookmarkEnd w:id="575"/>
      <w:bookmarkStart w:id="576" w:name="_Toc144974631"/>
      <w:bookmarkEnd w:id="576"/>
      <w:bookmarkStart w:id="577" w:name="_Toc152045663"/>
      <w:bookmarkEnd w:id="577"/>
      <w:bookmarkStart w:id="578" w:name="_Toc393546327"/>
      <w:bookmarkEnd w:id="578"/>
      <w:r>
        <w:rPr>
          <w:rFonts w:hint="eastAsia" w:ascii="宋体" w:eastAsia="宋体"/>
          <w:color w:val="000000" w:themeColor="text1"/>
          <w:szCs w:val="24"/>
          <w:highlight w:val="none"/>
          <w14:textFill>
            <w14:solidFill>
              <w14:schemeClr w14:val="tx1"/>
            </w14:solidFill>
          </w14:textFill>
        </w:rPr>
        <w:t>7.2 场内施工道路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除专用合同条款另有约定外，承包人修建的临时道路和交通设施应免费提供发包人和监理人使用。</w:t>
      </w:r>
    </w:p>
    <w:p>
      <w:pPr>
        <w:pStyle w:val="67"/>
        <w:ind w:firstLine="118"/>
        <w:rPr>
          <w:rFonts w:ascii="宋体" w:eastAsia="宋体"/>
          <w:color w:val="000000" w:themeColor="text1"/>
          <w:szCs w:val="24"/>
          <w:highlight w:val="none"/>
          <w14:textFill>
            <w14:solidFill>
              <w14:schemeClr w14:val="tx1"/>
            </w14:solidFill>
          </w14:textFill>
        </w:rPr>
      </w:pPr>
      <w:bookmarkStart w:id="579" w:name="_Toc179632682"/>
      <w:bookmarkEnd w:id="579"/>
      <w:bookmarkStart w:id="580" w:name="_Toc330406269"/>
      <w:bookmarkEnd w:id="580"/>
      <w:bookmarkStart w:id="581" w:name="_Toc43475802"/>
      <w:bookmarkEnd w:id="581"/>
      <w:bookmarkStart w:id="582" w:name="_Toc386467074"/>
      <w:bookmarkEnd w:id="582"/>
      <w:bookmarkStart w:id="583" w:name="_Toc144974632"/>
      <w:bookmarkEnd w:id="583"/>
      <w:bookmarkStart w:id="584" w:name="_Toc152045664"/>
      <w:bookmarkEnd w:id="584"/>
      <w:bookmarkStart w:id="585" w:name="_Toc393546328"/>
      <w:bookmarkEnd w:id="585"/>
      <w:bookmarkStart w:id="586" w:name="_Toc152042442"/>
      <w:bookmarkEnd w:id="586"/>
      <w:r>
        <w:rPr>
          <w:rFonts w:hint="eastAsia" w:ascii="宋体" w:eastAsia="宋体"/>
          <w:color w:val="000000" w:themeColor="text1"/>
          <w:szCs w:val="24"/>
          <w:highlight w:val="none"/>
          <w14:textFill>
            <w14:solidFill>
              <w14:schemeClr w14:val="tx1"/>
            </w14:solidFill>
          </w14:textFill>
        </w:rPr>
        <w:t>7.3 场外交通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承包人车辆外出行驶所需的场外公共道路的通行费、养路费和税款等由承包人承担。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 承包人应遵守有关交通法规，严格按照道路和桥梁的限制荷重安全行驶，并服从交通管理部门的检查和监督。</w:t>
      </w:r>
    </w:p>
    <w:p>
      <w:pPr>
        <w:pStyle w:val="67"/>
        <w:ind w:firstLine="118"/>
        <w:rPr>
          <w:rFonts w:ascii="宋体" w:eastAsia="宋体"/>
          <w:color w:val="000000" w:themeColor="text1"/>
          <w:szCs w:val="24"/>
          <w:highlight w:val="none"/>
          <w14:textFill>
            <w14:solidFill>
              <w14:schemeClr w14:val="tx1"/>
            </w14:solidFill>
          </w14:textFill>
        </w:rPr>
      </w:pPr>
      <w:bookmarkStart w:id="587" w:name="_Toc386467075"/>
      <w:bookmarkEnd w:id="587"/>
      <w:bookmarkStart w:id="588" w:name="_Toc43475803"/>
      <w:bookmarkEnd w:id="588"/>
      <w:bookmarkStart w:id="589" w:name="_Toc179632683"/>
      <w:bookmarkEnd w:id="589"/>
      <w:bookmarkStart w:id="590" w:name="_Toc393546329"/>
      <w:bookmarkEnd w:id="590"/>
      <w:bookmarkStart w:id="591" w:name="_Toc144974633"/>
      <w:bookmarkEnd w:id="591"/>
      <w:bookmarkStart w:id="592" w:name="_Toc152045665"/>
      <w:bookmarkEnd w:id="592"/>
      <w:bookmarkStart w:id="593" w:name="_Toc330406270"/>
      <w:bookmarkEnd w:id="593"/>
      <w:bookmarkStart w:id="594" w:name="_Toc152042443"/>
      <w:bookmarkEnd w:id="594"/>
      <w:r>
        <w:rPr>
          <w:rFonts w:hint="eastAsia" w:ascii="宋体" w:eastAsia="宋体"/>
          <w:color w:val="000000" w:themeColor="text1"/>
          <w:szCs w:val="24"/>
          <w:highlight w:val="none"/>
          <w14:textFill>
            <w14:solidFill>
              <w14:schemeClr w14:val="tx1"/>
            </w14:solidFill>
          </w14:textFill>
        </w:rPr>
        <w:t>7.4 超大件和超重件的运输</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7"/>
        <w:ind w:firstLine="118"/>
        <w:rPr>
          <w:rFonts w:ascii="宋体" w:eastAsia="宋体"/>
          <w:color w:val="000000" w:themeColor="text1"/>
          <w:szCs w:val="24"/>
          <w:highlight w:val="none"/>
          <w14:textFill>
            <w14:solidFill>
              <w14:schemeClr w14:val="tx1"/>
            </w14:solidFill>
          </w14:textFill>
        </w:rPr>
      </w:pPr>
      <w:bookmarkStart w:id="595" w:name="_Toc152045666"/>
      <w:bookmarkEnd w:id="595"/>
      <w:bookmarkStart w:id="596" w:name="_Toc330406271"/>
      <w:bookmarkEnd w:id="596"/>
      <w:bookmarkStart w:id="597" w:name="_Toc179632684"/>
      <w:bookmarkEnd w:id="597"/>
      <w:bookmarkStart w:id="598" w:name="_Toc386467076"/>
      <w:bookmarkEnd w:id="598"/>
      <w:bookmarkStart w:id="599" w:name="_Toc144974634"/>
      <w:bookmarkEnd w:id="599"/>
      <w:bookmarkStart w:id="600" w:name="_Toc152042444"/>
      <w:bookmarkEnd w:id="600"/>
      <w:bookmarkStart w:id="601" w:name="_Toc393546330"/>
      <w:bookmarkEnd w:id="601"/>
      <w:bookmarkStart w:id="602" w:name="_Toc43475804"/>
      <w:bookmarkEnd w:id="602"/>
      <w:r>
        <w:rPr>
          <w:rFonts w:hint="eastAsia" w:ascii="宋体" w:eastAsia="宋体"/>
          <w:color w:val="000000" w:themeColor="text1"/>
          <w:szCs w:val="24"/>
          <w:highlight w:val="none"/>
          <w14:textFill>
            <w14:solidFill>
              <w14:schemeClr w14:val="tx1"/>
            </w14:solidFill>
          </w14:textFill>
        </w:rPr>
        <w:t>7.5 道路和桥梁的损坏责任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因承包人运输造成施工场地内外公共道路和桥梁损坏的，由承包人承担修复损坏的全部费用和可能引起的赔偿。</w:t>
      </w:r>
    </w:p>
    <w:p>
      <w:pPr>
        <w:pStyle w:val="67"/>
        <w:ind w:firstLine="118"/>
        <w:rPr>
          <w:rFonts w:ascii="宋体" w:eastAsia="宋体"/>
          <w:color w:val="000000" w:themeColor="text1"/>
          <w:szCs w:val="24"/>
          <w:highlight w:val="none"/>
          <w14:textFill>
            <w14:solidFill>
              <w14:schemeClr w14:val="tx1"/>
            </w14:solidFill>
          </w14:textFill>
        </w:rPr>
      </w:pPr>
      <w:bookmarkStart w:id="603" w:name="_Toc152045667"/>
      <w:bookmarkEnd w:id="603"/>
      <w:bookmarkStart w:id="604" w:name="_Toc144974635"/>
      <w:bookmarkEnd w:id="604"/>
      <w:bookmarkStart w:id="605" w:name="_Toc152042445"/>
      <w:bookmarkEnd w:id="605"/>
      <w:bookmarkStart w:id="606" w:name="_Toc330406272"/>
      <w:bookmarkEnd w:id="606"/>
      <w:bookmarkStart w:id="607" w:name="_Toc43475805"/>
      <w:bookmarkEnd w:id="607"/>
      <w:bookmarkStart w:id="608" w:name="_Toc386467077"/>
      <w:bookmarkEnd w:id="608"/>
      <w:bookmarkStart w:id="609" w:name="_Toc179632685"/>
      <w:bookmarkEnd w:id="609"/>
      <w:bookmarkStart w:id="610" w:name="_Toc393546331"/>
      <w:bookmarkEnd w:id="610"/>
      <w:r>
        <w:rPr>
          <w:rFonts w:hint="eastAsia" w:ascii="宋体" w:eastAsia="宋体"/>
          <w:color w:val="000000" w:themeColor="text1"/>
          <w:szCs w:val="24"/>
          <w:highlight w:val="none"/>
          <w14:textFill>
            <w14:solidFill>
              <w14:schemeClr w14:val="tx1"/>
            </w14:solidFill>
          </w14:textFill>
        </w:rPr>
        <w:t>7.6 水路和航空运输</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78"/>
        <w:rPr>
          <w:rFonts w:ascii="宋体" w:hAnsi="宋体"/>
          <w:color w:val="000000" w:themeColor="text1"/>
          <w:sz w:val="24"/>
          <w:szCs w:val="24"/>
          <w:highlight w:val="none"/>
          <w14:textFill>
            <w14:solidFill>
              <w14:schemeClr w14:val="tx1"/>
            </w14:solidFill>
          </w14:textFill>
        </w:rPr>
      </w:pPr>
      <w:bookmarkStart w:id="611" w:name="_Toc393546332"/>
      <w:bookmarkEnd w:id="611"/>
      <w:bookmarkStart w:id="612" w:name="_Toc386467078"/>
      <w:bookmarkEnd w:id="612"/>
      <w:bookmarkStart w:id="613" w:name="_Toc43475806"/>
      <w:bookmarkEnd w:id="613"/>
      <w:r>
        <w:rPr>
          <w:rFonts w:hint="eastAsia" w:ascii="宋体" w:hAnsi="宋体"/>
          <w:color w:val="000000" w:themeColor="text1"/>
          <w:sz w:val="24"/>
          <w:szCs w:val="24"/>
          <w:highlight w:val="none"/>
          <w14:textFill>
            <w14:solidFill>
              <w14:schemeClr w14:val="tx1"/>
            </w14:solidFill>
          </w14:textFill>
        </w:rPr>
        <w:t>8. 测量放线</w:t>
      </w:r>
    </w:p>
    <w:p>
      <w:pPr>
        <w:pStyle w:val="67"/>
        <w:ind w:firstLine="118"/>
        <w:rPr>
          <w:rFonts w:ascii="宋体" w:eastAsia="宋体"/>
          <w:color w:val="000000" w:themeColor="text1"/>
          <w:szCs w:val="24"/>
          <w:highlight w:val="none"/>
          <w14:textFill>
            <w14:solidFill>
              <w14:schemeClr w14:val="tx1"/>
            </w14:solidFill>
          </w14:textFill>
        </w:rPr>
      </w:pPr>
      <w:bookmarkStart w:id="614" w:name="_Toc330406274"/>
      <w:bookmarkEnd w:id="614"/>
      <w:bookmarkStart w:id="615" w:name="_Toc43475807"/>
      <w:bookmarkEnd w:id="615"/>
      <w:bookmarkStart w:id="616" w:name="_Toc179632687"/>
      <w:bookmarkEnd w:id="616"/>
      <w:bookmarkStart w:id="617" w:name="_Toc144974637"/>
      <w:bookmarkEnd w:id="617"/>
      <w:bookmarkStart w:id="618" w:name="_Toc386467079"/>
      <w:bookmarkEnd w:id="618"/>
      <w:bookmarkStart w:id="619" w:name="_Toc393546333"/>
      <w:bookmarkEnd w:id="619"/>
      <w:bookmarkStart w:id="620" w:name="_Toc152045669"/>
      <w:bookmarkEnd w:id="620"/>
      <w:bookmarkStart w:id="621" w:name="_Toc152042447"/>
      <w:bookmarkEnd w:id="621"/>
      <w:r>
        <w:rPr>
          <w:rFonts w:hint="eastAsia" w:ascii="宋体" w:eastAsia="宋体"/>
          <w:color w:val="000000" w:themeColor="text1"/>
          <w:szCs w:val="24"/>
          <w:highlight w:val="none"/>
          <w14:textFill>
            <w14:solidFill>
              <w14:schemeClr w14:val="tx1"/>
            </w14:solidFill>
          </w14:textFill>
        </w:rPr>
        <w:t>8.1 施工控制网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8.1.2承包人应负责管理施工控制网点。施工控制网点丢失或损坏的，承包人应及时修复。承包人应承担施工控制网点的管理与修复费用，并在工程竣工后将施工控制网点移交发包人。</w:t>
      </w:r>
    </w:p>
    <w:p>
      <w:pPr>
        <w:pStyle w:val="67"/>
        <w:ind w:firstLine="118"/>
        <w:rPr>
          <w:rFonts w:ascii="宋体" w:eastAsia="宋体"/>
          <w:color w:val="000000" w:themeColor="text1"/>
          <w:szCs w:val="24"/>
          <w:highlight w:val="none"/>
          <w14:textFill>
            <w14:solidFill>
              <w14:schemeClr w14:val="tx1"/>
            </w14:solidFill>
          </w14:textFill>
        </w:rPr>
      </w:pPr>
      <w:bookmarkStart w:id="622" w:name="_Toc152042448"/>
      <w:bookmarkEnd w:id="622"/>
      <w:bookmarkStart w:id="623" w:name="_Toc144974638"/>
      <w:bookmarkEnd w:id="623"/>
      <w:bookmarkStart w:id="624" w:name="_Toc393546334"/>
      <w:bookmarkEnd w:id="624"/>
      <w:bookmarkStart w:id="625" w:name="_Toc43475808"/>
      <w:bookmarkEnd w:id="625"/>
      <w:bookmarkStart w:id="626" w:name="_Toc179632688"/>
      <w:bookmarkEnd w:id="626"/>
      <w:bookmarkStart w:id="627" w:name="_Toc152045670"/>
      <w:bookmarkEnd w:id="627"/>
      <w:bookmarkStart w:id="628" w:name="_Toc386467080"/>
      <w:bookmarkEnd w:id="628"/>
      <w:bookmarkStart w:id="629" w:name="_Toc330406275"/>
      <w:bookmarkEnd w:id="629"/>
      <w:r>
        <w:rPr>
          <w:rFonts w:hint="eastAsia" w:ascii="宋体" w:eastAsia="宋体"/>
          <w:color w:val="000000" w:themeColor="text1"/>
          <w:szCs w:val="24"/>
          <w:highlight w:val="none"/>
          <w14:textFill>
            <w14:solidFill>
              <w14:schemeClr w14:val="tx1"/>
            </w14:solidFill>
          </w14:textFill>
        </w:rPr>
        <w:t>8.2 施工测量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8.2.1承包人应负责施工过程中的全部施工测量放线工作，并配置合格的人员、仪器、设备和其他物品。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8.2.2监理人可以指示承包人进行抽样复测，当复测中发现错误或出现超过合同约定的误差时，承包人应按监理人指示进行修正或补测，并承担相应的复测费用。</w:t>
      </w:r>
    </w:p>
    <w:p>
      <w:pPr>
        <w:pStyle w:val="67"/>
        <w:ind w:firstLine="118"/>
        <w:rPr>
          <w:rFonts w:ascii="宋体" w:eastAsia="宋体"/>
          <w:color w:val="000000" w:themeColor="text1"/>
          <w:szCs w:val="24"/>
          <w:highlight w:val="none"/>
          <w14:textFill>
            <w14:solidFill>
              <w14:schemeClr w14:val="tx1"/>
            </w14:solidFill>
          </w14:textFill>
        </w:rPr>
      </w:pPr>
      <w:bookmarkStart w:id="630" w:name="_Toc330406276"/>
      <w:bookmarkEnd w:id="630"/>
      <w:bookmarkStart w:id="631" w:name="_Toc393546335"/>
      <w:bookmarkEnd w:id="631"/>
      <w:bookmarkStart w:id="632" w:name="_Toc386467081"/>
      <w:bookmarkEnd w:id="632"/>
      <w:bookmarkStart w:id="633" w:name="_Toc152045671"/>
      <w:bookmarkEnd w:id="633"/>
      <w:bookmarkStart w:id="634" w:name="_Toc179632689"/>
      <w:bookmarkEnd w:id="634"/>
      <w:bookmarkStart w:id="635" w:name="_Toc152042449"/>
      <w:bookmarkEnd w:id="635"/>
      <w:bookmarkStart w:id="636" w:name="_Toc144974639"/>
      <w:bookmarkEnd w:id="636"/>
      <w:bookmarkStart w:id="637" w:name="_Toc43475809"/>
      <w:bookmarkEnd w:id="637"/>
      <w:r>
        <w:rPr>
          <w:rFonts w:hint="eastAsia" w:ascii="宋体" w:eastAsia="宋体"/>
          <w:color w:val="000000" w:themeColor="text1"/>
          <w:szCs w:val="24"/>
          <w:highlight w:val="none"/>
          <w14:textFill>
            <w14:solidFill>
              <w14:schemeClr w14:val="tx1"/>
            </w14:solidFill>
          </w14:textFill>
        </w:rPr>
        <w:t>8.3 基准资料错误的责任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7"/>
        <w:ind w:firstLine="118"/>
        <w:rPr>
          <w:rFonts w:ascii="宋体" w:eastAsia="宋体"/>
          <w:color w:val="000000" w:themeColor="text1"/>
          <w:szCs w:val="24"/>
          <w:highlight w:val="none"/>
          <w14:textFill>
            <w14:solidFill>
              <w14:schemeClr w14:val="tx1"/>
            </w14:solidFill>
          </w14:textFill>
        </w:rPr>
      </w:pPr>
      <w:bookmarkStart w:id="638" w:name="_Toc43475810"/>
      <w:bookmarkEnd w:id="638"/>
      <w:bookmarkStart w:id="639" w:name="_Toc386467082"/>
      <w:bookmarkEnd w:id="639"/>
      <w:bookmarkStart w:id="640" w:name="_Toc393546336"/>
      <w:bookmarkEnd w:id="640"/>
      <w:r>
        <w:rPr>
          <w:rFonts w:hint="eastAsia" w:ascii="宋体" w:eastAsia="宋体"/>
          <w:color w:val="000000" w:themeColor="text1"/>
          <w:szCs w:val="24"/>
          <w:highlight w:val="none"/>
          <w14:textFill>
            <w14:solidFill>
              <w14:schemeClr w14:val="tx1"/>
            </w14:solidFill>
          </w14:textFill>
        </w:rPr>
        <w:t>8.4 监理人使用施工控制网</w:t>
      </w:r>
    </w:p>
    <w:p>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监理人需要使用施工控制网的，承包人应提供必要的协助，发包人不再为此支付费用。</w:t>
      </w:r>
    </w:p>
    <w:p>
      <w:pPr>
        <w:pStyle w:val="78"/>
        <w:rPr>
          <w:rFonts w:ascii="宋体" w:hAnsi="宋体"/>
          <w:color w:val="000000" w:themeColor="text1"/>
          <w:sz w:val="24"/>
          <w:szCs w:val="24"/>
          <w:highlight w:val="none"/>
          <w14:textFill>
            <w14:solidFill>
              <w14:schemeClr w14:val="tx1"/>
            </w14:solidFill>
          </w14:textFill>
        </w:rPr>
      </w:pPr>
      <w:bookmarkStart w:id="641" w:name="_Toc43475811"/>
      <w:bookmarkEnd w:id="641"/>
      <w:bookmarkStart w:id="642" w:name="_Toc393546337"/>
      <w:bookmarkEnd w:id="642"/>
      <w:bookmarkStart w:id="643" w:name="_Toc386467083"/>
      <w:bookmarkEnd w:id="643"/>
      <w:r>
        <w:rPr>
          <w:rFonts w:hint="eastAsia" w:ascii="宋体" w:hAnsi="宋体"/>
          <w:color w:val="000000" w:themeColor="text1"/>
          <w:sz w:val="24"/>
          <w:szCs w:val="24"/>
          <w:highlight w:val="none"/>
          <w14:textFill>
            <w14:solidFill>
              <w14:schemeClr w14:val="tx1"/>
            </w14:solidFill>
          </w14:textFill>
        </w:rPr>
        <w:t>9. 施工安全、治安保卫和环境保护</w:t>
      </w:r>
    </w:p>
    <w:p>
      <w:pPr>
        <w:pStyle w:val="67"/>
        <w:ind w:firstLine="118"/>
        <w:rPr>
          <w:rFonts w:ascii="宋体" w:eastAsia="宋体"/>
          <w:color w:val="000000" w:themeColor="text1"/>
          <w:szCs w:val="24"/>
          <w:highlight w:val="none"/>
          <w14:textFill>
            <w14:solidFill>
              <w14:schemeClr w14:val="tx1"/>
            </w14:solidFill>
          </w14:textFill>
        </w:rPr>
      </w:pPr>
      <w:bookmarkStart w:id="644" w:name="_Toc152045674"/>
      <w:bookmarkEnd w:id="644"/>
      <w:bookmarkStart w:id="645" w:name="_Toc330406279"/>
      <w:bookmarkEnd w:id="645"/>
      <w:bookmarkStart w:id="646" w:name="_Toc144974642"/>
      <w:bookmarkEnd w:id="646"/>
      <w:bookmarkStart w:id="647" w:name="_Toc43475812"/>
      <w:bookmarkEnd w:id="647"/>
      <w:bookmarkStart w:id="648" w:name="_Toc152042452"/>
      <w:bookmarkEnd w:id="648"/>
      <w:bookmarkStart w:id="649" w:name="_Toc386467084"/>
      <w:bookmarkEnd w:id="649"/>
      <w:bookmarkStart w:id="650" w:name="_Toc179632692"/>
      <w:bookmarkEnd w:id="650"/>
      <w:bookmarkStart w:id="651" w:name="_Toc393546338"/>
      <w:bookmarkEnd w:id="651"/>
      <w:r>
        <w:rPr>
          <w:rFonts w:hint="eastAsia" w:ascii="宋体" w:eastAsia="宋体"/>
          <w:color w:val="000000" w:themeColor="text1"/>
          <w:szCs w:val="24"/>
          <w:highlight w:val="none"/>
          <w14:textFill>
            <w14:solidFill>
              <w14:schemeClr w14:val="tx1"/>
            </w14:solidFill>
          </w14:textFill>
        </w:rPr>
        <w:t>9.1 发包人的施工安全责任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 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发包人应对其现场机构雇佣的全部人员的工伤事故承担责任，但由于承包人原因造成发包人人员工伤的，应由承包人承担责任。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9.1.3 发包人应负责赔偿以下各种情况造成的第三者人身伤亡和财产损失：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工程或工程的任何部分对土地的占用所造成的第三者财产损失；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由于发包人原因在施工场地及其毗邻地带造成的第三者人身伤亡和财产损失。</w:t>
      </w:r>
    </w:p>
    <w:p>
      <w:pPr>
        <w:pStyle w:val="67"/>
        <w:ind w:firstLine="118"/>
        <w:rPr>
          <w:rFonts w:ascii="宋体" w:eastAsia="宋体"/>
          <w:color w:val="000000" w:themeColor="text1"/>
          <w:szCs w:val="24"/>
          <w:highlight w:val="none"/>
          <w14:textFill>
            <w14:solidFill>
              <w14:schemeClr w14:val="tx1"/>
            </w14:solidFill>
          </w14:textFill>
        </w:rPr>
      </w:pPr>
      <w:bookmarkStart w:id="652" w:name="_Toc386467085"/>
      <w:bookmarkEnd w:id="652"/>
      <w:bookmarkStart w:id="653" w:name="_Toc43475813"/>
      <w:bookmarkEnd w:id="653"/>
      <w:bookmarkStart w:id="654" w:name="_Toc393546339"/>
      <w:bookmarkEnd w:id="654"/>
      <w:r>
        <w:rPr>
          <w:rFonts w:hint="eastAsia" w:ascii="宋体" w:eastAsia="宋体"/>
          <w:color w:val="000000" w:themeColor="text1"/>
          <w:szCs w:val="24"/>
          <w:highlight w:val="none"/>
          <w14:textFill>
            <w14:solidFill>
              <w14:schemeClr w14:val="tx1"/>
            </w14:solidFill>
          </w14:textFill>
        </w:rPr>
        <w:t>9.2 承包人的施工安全责任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9.2.6 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9.2.7 由于承包人原因在施工场地内及其毗邻地带造成的第三者人员伤亡和财产损失，由承包人负责赔偿。</w:t>
      </w:r>
    </w:p>
    <w:p>
      <w:pPr>
        <w:pStyle w:val="67"/>
        <w:ind w:firstLine="118"/>
        <w:rPr>
          <w:rFonts w:ascii="宋体" w:eastAsia="宋体"/>
          <w:color w:val="000000" w:themeColor="text1"/>
          <w:szCs w:val="24"/>
          <w:highlight w:val="none"/>
          <w14:textFill>
            <w14:solidFill>
              <w14:schemeClr w14:val="tx1"/>
            </w14:solidFill>
          </w14:textFill>
        </w:rPr>
      </w:pPr>
      <w:bookmarkStart w:id="655" w:name="_Toc152045676"/>
      <w:bookmarkEnd w:id="655"/>
      <w:bookmarkStart w:id="656" w:name="_Toc330406281"/>
      <w:bookmarkEnd w:id="656"/>
      <w:bookmarkStart w:id="657" w:name="_Toc43475814"/>
      <w:bookmarkEnd w:id="657"/>
      <w:bookmarkStart w:id="658" w:name="_Toc386467086"/>
      <w:bookmarkEnd w:id="658"/>
      <w:bookmarkStart w:id="659" w:name="_Toc144974644"/>
      <w:bookmarkEnd w:id="659"/>
      <w:bookmarkStart w:id="660" w:name="_Toc152042454"/>
      <w:bookmarkEnd w:id="660"/>
      <w:bookmarkStart w:id="661" w:name="_Toc393546340"/>
      <w:bookmarkEnd w:id="661"/>
      <w:bookmarkStart w:id="662" w:name="_Toc179632694"/>
      <w:bookmarkEnd w:id="662"/>
      <w:r>
        <w:rPr>
          <w:rFonts w:hint="eastAsia" w:ascii="宋体" w:eastAsia="宋体"/>
          <w:color w:val="000000" w:themeColor="text1"/>
          <w:szCs w:val="24"/>
          <w:highlight w:val="none"/>
          <w14:textFill>
            <w14:solidFill>
              <w14:schemeClr w14:val="tx1"/>
            </w14:solidFill>
          </w14:textFill>
        </w:rPr>
        <w:t>9.3 治安保卫</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9.3.1 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9.3.2 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7"/>
        <w:ind w:firstLine="118"/>
        <w:rPr>
          <w:rFonts w:ascii="宋体" w:eastAsia="宋体"/>
          <w:color w:val="000000" w:themeColor="text1"/>
          <w:szCs w:val="24"/>
          <w:highlight w:val="none"/>
          <w14:textFill>
            <w14:solidFill>
              <w14:schemeClr w14:val="tx1"/>
            </w14:solidFill>
          </w14:textFill>
        </w:rPr>
      </w:pPr>
      <w:bookmarkStart w:id="663" w:name="_Toc43475815"/>
      <w:bookmarkEnd w:id="663"/>
      <w:bookmarkStart w:id="664" w:name="_Toc393546341"/>
      <w:bookmarkEnd w:id="664"/>
      <w:bookmarkStart w:id="665" w:name="_Toc386467087"/>
      <w:bookmarkEnd w:id="665"/>
      <w:r>
        <w:rPr>
          <w:rFonts w:hint="eastAsia" w:ascii="宋体" w:eastAsia="宋体"/>
          <w:color w:val="000000" w:themeColor="text1"/>
          <w:szCs w:val="24"/>
          <w:highlight w:val="none"/>
          <w14:textFill>
            <w14:solidFill>
              <w14:schemeClr w14:val="tx1"/>
            </w14:solidFill>
          </w14:textFill>
        </w:rPr>
        <w:t>9.4 环境保护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 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9.4.2 承包人应按合同约定的环保工作内容，编制施工环保措施计划，报送监理人审批。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9.4.4 承包人应按合同约定采取有效措施，对施工开挖的边坡及时进行支护,维护排水设施，并进行水土保护，避免因施工造成的地质灾害。</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9.4.5 承包人应按国家饮用水管理标准定期对饮用水源进行监测，防止施工活动污染饮用水源。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9.4.6 承包人应按合同约定，加强对噪声、粉尘、废气、废水和废油的控制，努力降低噪声，控制粉尘和废气浓度，做好废水和废油的治理和排放。</w:t>
      </w:r>
    </w:p>
    <w:p>
      <w:pPr>
        <w:pStyle w:val="67"/>
        <w:ind w:firstLine="118"/>
        <w:rPr>
          <w:rFonts w:ascii="宋体" w:eastAsia="宋体"/>
          <w:color w:val="000000" w:themeColor="text1"/>
          <w:szCs w:val="24"/>
          <w:highlight w:val="none"/>
          <w14:textFill>
            <w14:solidFill>
              <w14:schemeClr w14:val="tx1"/>
            </w14:solidFill>
          </w14:textFill>
        </w:rPr>
      </w:pPr>
      <w:bookmarkStart w:id="666" w:name="_Toc43475816"/>
      <w:bookmarkEnd w:id="666"/>
      <w:bookmarkStart w:id="667" w:name="_Toc152042456"/>
      <w:bookmarkEnd w:id="667"/>
      <w:bookmarkStart w:id="668" w:name="_Toc393546342"/>
      <w:bookmarkEnd w:id="668"/>
      <w:bookmarkStart w:id="669" w:name="_Toc152045678"/>
      <w:bookmarkEnd w:id="669"/>
      <w:bookmarkStart w:id="670" w:name="_Toc144974646"/>
      <w:bookmarkEnd w:id="670"/>
      <w:bookmarkStart w:id="671" w:name="_Toc330406283"/>
      <w:bookmarkEnd w:id="671"/>
      <w:bookmarkStart w:id="672" w:name="_Toc179632696"/>
      <w:bookmarkEnd w:id="672"/>
      <w:bookmarkStart w:id="673" w:name="_Toc386467088"/>
      <w:bookmarkEnd w:id="673"/>
      <w:r>
        <w:rPr>
          <w:rFonts w:hint="eastAsia" w:ascii="宋体" w:eastAsia="宋体"/>
          <w:color w:val="000000" w:themeColor="text1"/>
          <w:szCs w:val="24"/>
          <w:highlight w:val="none"/>
          <w14:textFill>
            <w14:solidFill>
              <w14:schemeClr w14:val="tx1"/>
            </w14:solidFill>
          </w14:textFill>
        </w:rPr>
        <w:t>9.5 事故处理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78"/>
        <w:rPr>
          <w:rFonts w:ascii="宋体" w:hAnsi="宋体"/>
          <w:color w:val="000000" w:themeColor="text1"/>
          <w:sz w:val="24"/>
          <w:szCs w:val="24"/>
          <w:highlight w:val="none"/>
          <w14:textFill>
            <w14:solidFill>
              <w14:schemeClr w14:val="tx1"/>
            </w14:solidFill>
          </w14:textFill>
        </w:rPr>
      </w:pPr>
      <w:bookmarkStart w:id="674" w:name="_Toc386467089"/>
      <w:bookmarkEnd w:id="674"/>
      <w:bookmarkStart w:id="675" w:name="_Toc43475817"/>
      <w:bookmarkEnd w:id="675"/>
      <w:bookmarkStart w:id="676" w:name="_Toc393546343"/>
      <w:bookmarkEnd w:id="676"/>
      <w:r>
        <w:rPr>
          <w:rFonts w:hint="eastAsia" w:ascii="宋体" w:hAnsi="宋体"/>
          <w:color w:val="000000" w:themeColor="text1"/>
          <w:sz w:val="24"/>
          <w:szCs w:val="24"/>
          <w:highlight w:val="none"/>
          <w14:textFill>
            <w14:solidFill>
              <w14:schemeClr w14:val="tx1"/>
            </w14:solidFill>
          </w14:textFill>
        </w:rPr>
        <w:t>10. 进度计划</w:t>
      </w:r>
    </w:p>
    <w:p>
      <w:pPr>
        <w:pStyle w:val="67"/>
        <w:ind w:firstLine="118"/>
        <w:rPr>
          <w:rFonts w:ascii="宋体" w:eastAsia="宋体"/>
          <w:color w:val="000000" w:themeColor="text1"/>
          <w:szCs w:val="24"/>
          <w:highlight w:val="none"/>
          <w14:textFill>
            <w14:solidFill>
              <w14:schemeClr w14:val="tx1"/>
            </w14:solidFill>
          </w14:textFill>
        </w:rPr>
      </w:pPr>
      <w:bookmarkStart w:id="677" w:name="_Toc393546344"/>
      <w:bookmarkEnd w:id="677"/>
      <w:bookmarkStart w:id="678" w:name="_Toc43475818"/>
      <w:bookmarkEnd w:id="678"/>
      <w:bookmarkStart w:id="679" w:name="_Toc386467090"/>
      <w:bookmarkEnd w:id="679"/>
      <w:r>
        <w:rPr>
          <w:rFonts w:hint="eastAsia" w:ascii="宋体" w:eastAsia="宋体"/>
          <w:color w:val="000000" w:themeColor="text1"/>
          <w:szCs w:val="24"/>
          <w:highlight w:val="none"/>
          <w14:textFill>
            <w14:solidFill>
              <w14:schemeClr w14:val="tx1"/>
            </w14:solidFill>
          </w14:textFill>
        </w:rPr>
        <w:t>10.1 合同进度计划</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7"/>
        <w:ind w:firstLine="118"/>
        <w:rPr>
          <w:rFonts w:ascii="宋体" w:eastAsia="宋体"/>
          <w:color w:val="000000" w:themeColor="text1"/>
          <w:szCs w:val="24"/>
          <w:highlight w:val="none"/>
          <w14:textFill>
            <w14:solidFill>
              <w14:schemeClr w14:val="tx1"/>
            </w14:solidFill>
          </w14:textFill>
        </w:rPr>
      </w:pPr>
      <w:bookmarkStart w:id="680" w:name="_Toc393546345"/>
      <w:bookmarkEnd w:id="680"/>
      <w:bookmarkStart w:id="681" w:name="_Toc386467091"/>
      <w:bookmarkEnd w:id="681"/>
      <w:bookmarkStart w:id="682" w:name="_Toc43475819"/>
      <w:bookmarkEnd w:id="682"/>
      <w:r>
        <w:rPr>
          <w:rFonts w:hint="eastAsia" w:ascii="宋体" w:eastAsia="宋体"/>
          <w:color w:val="000000" w:themeColor="text1"/>
          <w:szCs w:val="24"/>
          <w:highlight w:val="none"/>
          <w14:textFill>
            <w14:solidFill>
              <w14:schemeClr w14:val="tx1"/>
            </w14:solidFill>
          </w14:textFill>
        </w:rPr>
        <w:t>10.2 合同进度计划的修订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78"/>
        <w:rPr>
          <w:rFonts w:ascii="宋体" w:hAnsi="宋体"/>
          <w:color w:val="000000" w:themeColor="text1"/>
          <w:sz w:val="24"/>
          <w:szCs w:val="24"/>
          <w:highlight w:val="none"/>
          <w14:textFill>
            <w14:solidFill>
              <w14:schemeClr w14:val="tx1"/>
            </w14:solidFill>
          </w14:textFill>
        </w:rPr>
      </w:pPr>
      <w:bookmarkStart w:id="683" w:name="_Toc43475820"/>
      <w:bookmarkEnd w:id="683"/>
      <w:bookmarkStart w:id="684" w:name="_Toc393546346"/>
      <w:bookmarkEnd w:id="684"/>
      <w:bookmarkStart w:id="685" w:name="_Toc386467092"/>
      <w:bookmarkEnd w:id="685"/>
      <w:r>
        <w:rPr>
          <w:rFonts w:hint="eastAsia" w:ascii="宋体" w:hAnsi="宋体"/>
          <w:color w:val="000000" w:themeColor="text1"/>
          <w:sz w:val="24"/>
          <w:szCs w:val="24"/>
          <w:highlight w:val="none"/>
          <w14:textFill>
            <w14:solidFill>
              <w14:schemeClr w14:val="tx1"/>
            </w14:solidFill>
          </w14:textFill>
        </w:rPr>
        <w:t>11. 开工和竣工</w:t>
      </w:r>
    </w:p>
    <w:p>
      <w:pPr>
        <w:pStyle w:val="67"/>
        <w:ind w:firstLine="118"/>
        <w:rPr>
          <w:rFonts w:ascii="宋体" w:eastAsia="宋体"/>
          <w:color w:val="000000" w:themeColor="text1"/>
          <w:szCs w:val="24"/>
          <w:highlight w:val="none"/>
          <w14:textFill>
            <w14:solidFill>
              <w14:schemeClr w14:val="tx1"/>
            </w14:solidFill>
          </w14:textFill>
        </w:rPr>
      </w:pPr>
      <w:bookmarkStart w:id="686" w:name="_Toc393546347"/>
      <w:bookmarkEnd w:id="686"/>
      <w:bookmarkStart w:id="687" w:name="_Toc43475821"/>
      <w:bookmarkEnd w:id="687"/>
      <w:bookmarkStart w:id="688" w:name="_Toc386467093"/>
      <w:bookmarkEnd w:id="688"/>
      <w:r>
        <w:rPr>
          <w:rFonts w:hint="eastAsia" w:ascii="宋体" w:eastAsia="宋体"/>
          <w:color w:val="000000" w:themeColor="text1"/>
          <w:szCs w:val="24"/>
          <w:highlight w:val="none"/>
          <w14:textFill>
            <w14:solidFill>
              <w14:schemeClr w14:val="tx1"/>
            </w14:solidFill>
          </w14:textFill>
        </w:rPr>
        <w:t>11.1 开工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7"/>
        <w:ind w:firstLine="118"/>
        <w:rPr>
          <w:rFonts w:ascii="宋体" w:eastAsia="宋体"/>
          <w:color w:val="000000" w:themeColor="text1"/>
          <w:szCs w:val="24"/>
          <w:highlight w:val="none"/>
          <w14:textFill>
            <w14:solidFill>
              <w14:schemeClr w14:val="tx1"/>
            </w14:solidFill>
          </w14:textFill>
        </w:rPr>
      </w:pPr>
      <w:bookmarkStart w:id="689" w:name="_Toc179632702"/>
      <w:bookmarkEnd w:id="689"/>
      <w:bookmarkStart w:id="690" w:name="_Toc144974652"/>
      <w:bookmarkEnd w:id="690"/>
      <w:bookmarkStart w:id="691" w:name="_Toc393546348"/>
      <w:bookmarkEnd w:id="691"/>
      <w:bookmarkStart w:id="692" w:name="_Toc152045684"/>
      <w:bookmarkEnd w:id="692"/>
      <w:bookmarkStart w:id="693" w:name="_Toc43475822"/>
      <w:bookmarkEnd w:id="693"/>
      <w:bookmarkStart w:id="694" w:name="_Toc386467094"/>
      <w:bookmarkEnd w:id="694"/>
      <w:bookmarkStart w:id="695" w:name="_Toc152042462"/>
      <w:bookmarkEnd w:id="695"/>
      <w:bookmarkStart w:id="696" w:name="_Toc330406289"/>
      <w:bookmarkEnd w:id="696"/>
      <w:r>
        <w:rPr>
          <w:rFonts w:hint="eastAsia" w:ascii="宋体" w:eastAsia="宋体"/>
          <w:color w:val="000000" w:themeColor="text1"/>
          <w:szCs w:val="24"/>
          <w:highlight w:val="none"/>
          <w14:textFill>
            <w14:solidFill>
              <w14:schemeClr w14:val="tx1"/>
            </w14:solidFill>
          </w14:textFill>
        </w:rPr>
        <w:t>11.2 竣工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承包人应在第1.1.4.3目约定的期限内完成合同工程。实际竣工日期在接收证书中写明。</w:t>
      </w:r>
    </w:p>
    <w:p>
      <w:pPr>
        <w:pStyle w:val="67"/>
        <w:ind w:firstLine="118"/>
        <w:rPr>
          <w:rFonts w:ascii="宋体" w:eastAsia="宋体"/>
          <w:color w:val="000000" w:themeColor="text1"/>
          <w:szCs w:val="24"/>
          <w:highlight w:val="none"/>
          <w14:textFill>
            <w14:solidFill>
              <w14:schemeClr w14:val="tx1"/>
            </w14:solidFill>
          </w14:textFill>
        </w:rPr>
      </w:pPr>
      <w:bookmarkStart w:id="697" w:name="_Toc393546349"/>
      <w:bookmarkEnd w:id="697"/>
      <w:bookmarkStart w:id="698" w:name="_Toc386467095"/>
      <w:bookmarkEnd w:id="698"/>
      <w:bookmarkStart w:id="699" w:name="_Toc43475823"/>
      <w:bookmarkEnd w:id="699"/>
      <w:r>
        <w:rPr>
          <w:rFonts w:hint="eastAsia" w:ascii="宋体" w:eastAsia="宋体"/>
          <w:color w:val="000000" w:themeColor="text1"/>
          <w:szCs w:val="24"/>
          <w:highlight w:val="none"/>
          <w14:textFill>
            <w14:solidFill>
              <w14:schemeClr w14:val="tx1"/>
            </w14:solidFill>
          </w14:textFill>
        </w:rPr>
        <w:t>11.3 发包人的工期延误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（1）增加合同工作内容；</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（2）改变合同中任何一项工作的质量要求或其他特性；</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（3）发包人迟延提供材料、工程设备或变更交货地点的；</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（4）因发包人原因导致的暂停施工；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（5）提供图纸延误；</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（6）未按合同约定及时支付预付款、进度款；</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（7）发包人造成工期延误的其他原因。</w:t>
      </w:r>
    </w:p>
    <w:p>
      <w:pPr>
        <w:pStyle w:val="67"/>
        <w:ind w:firstLine="118"/>
        <w:rPr>
          <w:rFonts w:ascii="宋体" w:eastAsia="宋体"/>
          <w:color w:val="000000" w:themeColor="text1"/>
          <w:szCs w:val="24"/>
          <w:highlight w:val="none"/>
          <w14:textFill>
            <w14:solidFill>
              <w14:schemeClr w14:val="tx1"/>
            </w14:solidFill>
          </w14:textFill>
        </w:rPr>
      </w:pPr>
      <w:bookmarkStart w:id="700" w:name="_Toc393546350"/>
      <w:bookmarkEnd w:id="700"/>
      <w:bookmarkStart w:id="701" w:name="_Toc43475824"/>
      <w:bookmarkEnd w:id="701"/>
      <w:bookmarkStart w:id="702" w:name="_Toc386467096"/>
      <w:bookmarkEnd w:id="702"/>
      <w:r>
        <w:rPr>
          <w:rFonts w:hint="eastAsia" w:ascii="宋体" w:eastAsia="宋体"/>
          <w:color w:val="000000" w:themeColor="text1"/>
          <w:szCs w:val="24"/>
          <w:highlight w:val="none"/>
          <w14:textFill>
            <w14:solidFill>
              <w14:schemeClr w14:val="tx1"/>
            </w14:solidFill>
          </w14:textFill>
        </w:rPr>
        <w:t>11.4 异常恶劣的气候条件</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由于出现专用合同条款规定的异常恶劣气候的条件导致工期延误的，承包人有权要求发包人延长工期。</w:t>
      </w:r>
    </w:p>
    <w:p>
      <w:pPr>
        <w:pStyle w:val="67"/>
        <w:ind w:firstLine="118"/>
        <w:rPr>
          <w:rFonts w:ascii="宋体" w:eastAsia="宋体"/>
          <w:color w:val="000000" w:themeColor="text1"/>
          <w:szCs w:val="24"/>
          <w:highlight w:val="none"/>
          <w14:textFill>
            <w14:solidFill>
              <w14:schemeClr w14:val="tx1"/>
            </w14:solidFill>
          </w14:textFill>
        </w:rPr>
      </w:pPr>
      <w:bookmarkStart w:id="703" w:name="_Toc386467097"/>
      <w:bookmarkEnd w:id="703"/>
      <w:bookmarkStart w:id="704" w:name="_Toc43475825"/>
      <w:bookmarkEnd w:id="704"/>
      <w:bookmarkStart w:id="705" w:name="_Toc393546351"/>
      <w:bookmarkEnd w:id="705"/>
      <w:r>
        <w:rPr>
          <w:rFonts w:hint="eastAsia" w:ascii="宋体" w:eastAsia="宋体"/>
          <w:color w:val="000000" w:themeColor="text1"/>
          <w:szCs w:val="24"/>
          <w:highlight w:val="none"/>
          <w14:textFill>
            <w14:solidFill>
              <w14:schemeClr w14:val="tx1"/>
            </w14:solidFill>
          </w14:textFill>
        </w:rPr>
        <w:t>11.5 承包人的工期延误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7"/>
        <w:ind w:firstLine="118"/>
        <w:rPr>
          <w:rFonts w:ascii="宋体" w:eastAsia="宋体"/>
          <w:color w:val="000000" w:themeColor="text1"/>
          <w:szCs w:val="24"/>
          <w:highlight w:val="none"/>
          <w14:textFill>
            <w14:solidFill>
              <w14:schemeClr w14:val="tx1"/>
            </w14:solidFill>
          </w14:textFill>
        </w:rPr>
      </w:pPr>
      <w:bookmarkStart w:id="706" w:name="_Toc43475826"/>
      <w:bookmarkEnd w:id="706"/>
      <w:bookmarkStart w:id="707" w:name="_Toc386467098"/>
      <w:bookmarkEnd w:id="707"/>
      <w:bookmarkStart w:id="708" w:name="_Toc393546352"/>
      <w:bookmarkEnd w:id="708"/>
      <w:r>
        <w:rPr>
          <w:rFonts w:hint="eastAsia" w:ascii="宋体" w:eastAsia="宋体"/>
          <w:color w:val="000000" w:themeColor="text1"/>
          <w:szCs w:val="24"/>
          <w:highlight w:val="none"/>
          <w14:textFill>
            <w14:solidFill>
              <w14:schemeClr w14:val="tx1"/>
            </w14:solidFill>
          </w14:textFill>
        </w:rPr>
        <w:t>11.6 工期提前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78"/>
        <w:rPr>
          <w:rFonts w:ascii="宋体" w:hAnsi="宋体"/>
          <w:color w:val="000000" w:themeColor="text1"/>
          <w:sz w:val="24"/>
          <w:szCs w:val="24"/>
          <w:highlight w:val="none"/>
          <w14:textFill>
            <w14:solidFill>
              <w14:schemeClr w14:val="tx1"/>
            </w14:solidFill>
          </w14:textFill>
        </w:rPr>
      </w:pPr>
      <w:bookmarkStart w:id="709" w:name="_Toc43475827"/>
      <w:bookmarkEnd w:id="709"/>
      <w:bookmarkStart w:id="710" w:name="_Toc393546353"/>
      <w:bookmarkEnd w:id="710"/>
      <w:bookmarkStart w:id="711" w:name="_Toc386467099"/>
      <w:bookmarkEnd w:id="711"/>
      <w:r>
        <w:rPr>
          <w:rFonts w:hint="eastAsia" w:ascii="宋体" w:hAnsi="宋体"/>
          <w:color w:val="000000" w:themeColor="text1"/>
          <w:sz w:val="24"/>
          <w:szCs w:val="24"/>
          <w:highlight w:val="none"/>
          <w14:textFill>
            <w14:solidFill>
              <w14:schemeClr w14:val="tx1"/>
            </w14:solidFill>
          </w14:textFill>
        </w:rPr>
        <w:t>12. 暂停施工</w:t>
      </w:r>
    </w:p>
    <w:p>
      <w:pPr>
        <w:pStyle w:val="67"/>
        <w:ind w:firstLine="118"/>
        <w:rPr>
          <w:rFonts w:ascii="宋体" w:eastAsia="宋体"/>
          <w:color w:val="000000" w:themeColor="text1"/>
          <w:szCs w:val="24"/>
          <w:highlight w:val="none"/>
          <w14:textFill>
            <w14:solidFill>
              <w14:schemeClr w14:val="tx1"/>
            </w14:solidFill>
          </w14:textFill>
        </w:rPr>
      </w:pPr>
      <w:bookmarkStart w:id="712" w:name="_Toc386467100"/>
      <w:bookmarkEnd w:id="712"/>
      <w:bookmarkStart w:id="713" w:name="_Toc393546354"/>
      <w:bookmarkEnd w:id="713"/>
      <w:bookmarkStart w:id="714" w:name="_Toc43475828"/>
      <w:bookmarkEnd w:id="714"/>
      <w:r>
        <w:rPr>
          <w:rFonts w:hint="eastAsia" w:ascii="宋体" w:eastAsia="宋体"/>
          <w:color w:val="000000" w:themeColor="text1"/>
          <w:szCs w:val="24"/>
          <w:highlight w:val="none"/>
          <w14:textFill>
            <w14:solidFill>
              <w14:schemeClr w14:val="tx1"/>
            </w14:solidFill>
          </w14:textFill>
        </w:rPr>
        <w:t>12.1 承包人暂停施工的责任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因下列暂停施工增加的费用和（或）工期延误由承包人承担：</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（1）承包人违约引起的暂停施工；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（2）由于承包人原因为工程合理施工和安全保障所必需的暂停施工；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（3）承包人擅自暂停施工；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（4）承包人其他原因引起的暂停施工；</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（5）专用合同条款约定由承包人承担的其他暂停施工。</w:t>
      </w:r>
    </w:p>
    <w:p>
      <w:pPr>
        <w:pStyle w:val="67"/>
        <w:ind w:firstLine="118"/>
        <w:rPr>
          <w:rFonts w:ascii="宋体" w:eastAsia="宋体"/>
          <w:color w:val="000000" w:themeColor="text1"/>
          <w:szCs w:val="24"/>
          <w:highlight w:val="none"/>
          <w14:textFill>
            <w14:solidFill>
              <w14:schemeClr w14:val="tx1"/>
            </w14:solidFill>
          </w14:textFill>
        </w:rPr>
      </w:pPr>
      <w:bookmarkStart w:id="715" w:name="_Toc152042469"/>
      <w:bookmarkEnd w:id="715"/>
      <w:bookmarkStart w:id="716" w:name="_Toc43475829"/>
      <w:bookmarkEnd w:id="716"/>
      <w:bookmarkStart w:id="717" w:name="_Toc330406296"/>
      <w:bookmarkEnd w:id="717"/>
      <w:bookmarkStart w:id="718" w:name="_Toc393546355"/>
      <w:bookmarkEnd w:id="718"/>
      <w:bookmarkStart w:id="719" w:name="_Toc179632709"/>
      <w:bookmarkEnd w:id="719"/>
      <w:bookmarkStart w:id="720" w:name="_Toc386467101"/>
      <w:bookmarkEnd w:id="720"/>
      <w:bookmarkStart w:id="721" w:name="_Toc152045691"/>
      <w:bookmarkEnd w:id="721"/>
      <w:bookmarkStart w:id="722" w:name="_Toc144974660"/>
      <w:bookmarkEnd w:id="722"/>
      <w:r>
        <w:rPr>
          <w:rFonts w:hint="eastAsia" w:ascii="宋体" w:eastAsia="宋体"/>
          <w:color w:val="000000" w:themeColor="text1"/>
          <w:szCs w:val="24"/>
          <w:highlight w:val="none"/>
          <w14:textFill>
            <w14:solidFill>
              <w14:schemeClr w14:val="tx1"/>
            </w14:solidFill>
          </w14:textFill>
        </w:rPr>
        <w:t>12.2 发包人暂停施工的责任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由于发包人原因引起的暂停施工造成工期延误的，承包人有权要求发包人延长工期和（或）增加费用，并支付合理利润。</w:t>
      </w:r>
    </w:p>
    <w:p>
      <w:pPr>
        <w:pStyle w:val="67"/>
        <w:ind w:firstLine="118"/>
        <w:rPr>
          <w:rFonts w:ascii="宋体" w:eastAsia="宋体"/>
          <w:color w:val="000000" w:themeColor="text1"/>
          <w:szCs w:val="24"/>
          <w:highlight w:val="none"/>
          <w14:textFill>
            <w14:solidFill>
              <w14:schemeClr w14:val="tx1"/>
            </w14:solidFill>
          </w14:textFill>
        </w:rPr>
      </w:pPr>
      <w:bookmarkStart w:id="723" w:name="_Toc386467102"/>
      <w:bookmarkEnd w:id="723"/>
      <w:bookmarkStart w:id="724" w:name="_Toc144974661"/>
      <w:bookmarkEnd w:id="724"/>
      <w:bookmarkStart w:id="725" w:name="_Toc393546356"/>
      <w:bookmarkEnd w:id="725"/>
      <w:bookmarkStart w:id="726" w:name="_Toc152042470"/>
      <w:bookmarkEnd w:id="726"/>
      <w:bookmarkStart w:id="727" w:name="_Toc330406297"/>
      <w:bookmarkEnd w:id="727"/>
      <w:bookmarkStart w:id="728" w:name="_Toc179632710"/>
      <w:bookmarkEnd w:id="728"/>
      <w:bookmarkStart w:id="729" w:name="_Toc152045692"/>
      <w:bookmarkEnd w:id="729"/>
      <w:bookmarkStart w:id="730" w:name="_Toc43475830"/>
      <w:bookmarkEnd w:id="730"/>
      <w:r>
        <w:rPr>
          <w:rFonts w:hint="eastAsia" w:ascii="宋体" w:eastAsia="宋体"/>
          <w:color w:val="000000" w:themeColor="text1"/>
          <w:szCs w:val="24"/>
          <w:highlight w:val="none"/>
          <w14:textFill>
            <w14:solidFill>
              <w14:schemeClr w14:val="tx1"/>
            </w14:solidFill>
          </w14:textFill>
        </w:rPr>
        <w:t>12.3 监理人暂停施工指示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7"/>
        <w:ind w:firstLine="118"/>
        <w:rPr>
          <w:rFonts w:ascii="宋体" w:eastAsia="宋体"/>
          <w:color w:val="000000" w:themeColor="text1"/>
          <w:szCs w:val="24"/>
          <w:highlight w:val="none"/>
          <w14:textFill>
            <w14:solidFill>
              <w14:schemeClr w14:val="tx1"/>
            </w14:solidFill>
          </w14:textFill>
        </w:rPr>
      </w:pPr>
      <w:bookmarkStart w:id="731" w:name="_Toc393546357"/>
      <w:bookmarkEnd w:id="731"/>
      <w:bookmarkStart w:id="732" w:name="_Toc43475831"/>
      <w:bookmarkEnd w:id="732"/>
      <w:bookmarkStart w:id="733" w:name="_Toc152045693"/>
      <w:bookmarkEnd w:id="733"/>
      <w:bookmarkStart w:id="734" w:name="_Toc152042471"/>
      <w:bookmarkEnd w:id="734"/>
      <w:bookmarkStart w:id="735" w:name="_Toc330406298"/>
      <w:bookmarkEnd w:id="735"/>
      <w:bookmarkStart w:id="736" w:name="_Toc144974662"/>
      <w:bookmarkEnd w:id="736"/>
      <w:bookmarkStart w:id="737" w:name="_Toc386467103"/>
      <w:bookmarkEnd w:id="737"/>
      <w:bookmarkStart w:id="738" w:name="_Toc179632711"/>
      <w:bookmarkEnd w:id="738"/>
      <w:r>
        <w:rPr>
          <w:rFonts w:hint="eastAsia" w:ascii="宋体" w:eastAsia="宋体"/>
          <w:color w:val="000000" w:themeColor="text1"/>
          <w:szCs w:val="24"/>
          <w:highlight w:val="none"/>
          <w14:textFill>
            <w14:solidFill>
              <w14:schemeClr w14:val="tx1"/>
            </w14:solidFill>
          </w14:textFill>
        </w:rPr>
        <w:t>12.4 暂停施工后的复工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承包人无故拖延和拒绝复工的，由此增加的费用和工期延误由承包人承担；因发包人原因无法按时复工的，承包人有权要求发包人延长工期和（或）增加费用，并支付合理利润。</w:t>
      </w:r>
    </w:p>
    <w:p>
      <w:pPr>
        <w:pStyle w:val="67"/>
        <w:ind w:firstLine="118"/>
        <w:rPr>
          <w:rFonts w:ascii="宋体" w:eastAsia="宋体"/>
          <w:color w:val="000000" w:themeColor="text1"/>
          <w:szCs w:val="24"/>
          <w:highlight w:val="none"/>
          <w14:textFill>
            <w14:solidFill>
              <w14:schemeClr w14:val="tx1"/>
            </w14:solidFill>
          </w14:textFill>
        </w:rPr>
      </w:pPr>
      <w:bookmarkStart w:id="739" w:name="_Toc144974663"/>
      <w:bookmarkEnd w:id="739"/>
      <w:bookmarkStart w:id="740" w:name="_Toc386467104"/>
      <w:bookmarkEnd w:id="740"/>
      <w:bookmarkStart w:id="741" w:name="_Toc393546358"/>
      <w:bookmarkEnd w:id="741"/>
      <w:bookmarkStart w:id="742" w:name="_Toc330406299"/>
      <w:bookmarkEnd w:id="742"/>
      <w:bookmarkStart w:id="743" w:name="_Toc43475832"/>
      <w:bookmarkEnd w:id="743"/>
      <w:bookmarkStart w:id="744" w:name="_Toc179632712"/>
      <w:bookmarkEnd w:id="744"/>
      <w:bookmarkStart w:id="745" w:name="_Toc152045694"/>
      <w:bookmarkEnd w:id="745"/>
      <w:bookmarkStart w:id="746" w:name="_Toc152042472"/>
      <w:bookmarkEnd w:id="746"/>
      <w:r>
        <w:rPr>
          <w:rFonts w:hint="eastAsia" w:ascii="宋体" w:eastAsia="宋体"/>
          <w:color w:val="000000" w:themeColor="text1"/>
          <w:szCs w:val="24"/>
          <w:highlight w:val="none"/>
          <w14:textFill>
            <w14:solidFill>
              <w14:schemeClr w14:val="tx1"/>
            </w14:solidFill>
          </w14:textFill>
        </w:rPr>
        <w:t>12.5 暂停施工持续56天以上</w:t>
      </w:r>
    </w:p>
    <w:p>
      <w:pPr>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由于承包人责任引起的暂停施工，如承包人在收到监理人暂停施工指示后56天内不认真采取有效的复工措施，造成工期延误，可视为承包人违约，应按第22.1款的规定办理。</w:t>
      </w:r>
    </w:p>
    <w:p>
      <w:pPr>
        <w:pStyle w:val="78"/>
        <w:rPr>
          <w:rFonts w:ascii="宋体" w:hAnsi="宋体"/>
          <w:color w:val="000000" w:themeColor="text1"/>
          <w:sz w:val="24"/>
          <w:szCs w:val="24"/>
          <w:highlight w:val="none"/>
          <w14:textFill>
            <w14:solidFill>
              <w14:schemeClr w14:val="tx1"/>
            </w14:solidFill>
          </w14:textFill>
        </w:rPr>
      </w:pPr>
      <w:bookmarkStart w:id="747" w:name="_Toc43475833"/>
      <w:bookmarkEnd w:id="747"/>
      <w:bookmarkStart w:id="748" w:name="_Toc393546359"/>
      <w:bookmarkEnd w:id="748"/>
      <w:bookmarkStart w:id="749" w:name="_Toc386467105"/>
      <w:bookmarkEnd w:id="749"/>
      <w:r>
        <w:rPr>
          <w:rFonts w:hint="eastAsia" w:ascii="宋体" w:hAnsi="宋体"/>
          <w:color w:val="000000" w:themeColor="text1"/>
          <w:sz w:val="24"/>
          <w:szCs w:val="24"/>
          <w:highlight w:val="none"/>
          <w14:textFill>
            <w14:solidFill>
              <w14:schemeClr w14:val="tx1"/>
            </w14:solidFill>
          </w14:textFill>
        </w:rPr>
        <w:t>13. 工程质量</w:t>
      </w:r>
    </w:p>
    <w:p>
      <w:pPr>
        <w:pStyle w:val="67"/>
        <w:ind w:firstLine="118"/>
        <w:rPr>
          <w:rFonts w:ascii="宋体" w:eastAsia="宋体"/>
          <w:color w:val="000000" w:themeColor="text1"/>
          <w:szCs w:val="24"/>
          <w:highlight w:val="none"/>
          <w14:textFill>
            <w14:solidFill>
              <w14:schemeClr w14:val="tx1"/>
            </w14:solidFill>
          </w14:textFill>
        </w:rPr>
      </w:pPr>
      <w:bookmarkStart w:id="750" w:name="_Toc43475834"/>
      <w:bookmarkEnd w:id="750"/>
      <w:bookmarkStart w:id="751" w:name="_Toc386467106"/>
      <w:bookmarkEnd w:id="751"/>
      <w:bookmarkStart w:id="752" w:name="_Toc393546360"/>
      <w:bookmarkEnd w:id="752"/>
      <w:r>
        <w:rPr>
          <w:rFonts w:hint="eastAsia" w:ascii="宋体" w:eastAsia="宋体"/>
          <w:color w:val="000000" w:themeColor="text1"/>
          <w:szCs w:val="24"/>
          <w:highlight w:val="none"/>
          <w14:textFill>
            <w14:solidFill>
              <w14:schemeClr w14:val="tx1"/>
            </w14:solidFill>
          </w14:textFill>
        </w:rPr>
        <w:t>13.1 工程质量要求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工程质量验收按合同约定验收标准执行。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13.1.3 因发包人原因造成工程质量达不到合同约定验收标准的，发包人应承担由于承包人返工造成的费用增加和（或）工期延误，并支付承包人合理利润。</w:t>
      </w:r>
    </w:p>
    <w:p>
      <w:pPr>
        <w:pStyle w:val="67"/>
        <w:ind w:firstLine="118"/>
        <w:rPr>
          <w:rFonts w:ascii="宋体" w:eastAsia="宋体"/>
          <w:color w:val="000000" w:themeColor="text1"/>
          <w:szCs w:val="24"/>
          <w:highlight w:val="none"/>
          <w14:textFill>
            <w14:solidFill>
              <w14:schemeClr w14:val="tx1"/>
            </w14:solidFill>
          </w14:textFill>
        </w:rPr>
      </w:pPr>
      <w:bookmarkStart w:id="753" w:name="_Toc43475835"/>
      <w:bookmarkEnd w:id="753"/>
      <w:bookmarkStart w:id="754" w:name="_Toc393546361"/>
      <w:bookmarkEnd w:id="754"/>
      <w:bookmarkStart w:id="755" w:name="_Toc386467107"/>
      <w:bookmarkEnd w:id="755"/>
      <w:r>
        <w:rPr>
          <w:rFonts w:hint="eastAsia" w:ascii="宋体" w:eastAsia="宋体"/>
          <w:color w:val="000000" w:themeColor="text1"/>
          <w:szCs w:val="24"/>
          <w:highlight w:val="none"/>
          <w14:textFill>
            <w14:solidFill>
              <w14:schemeClr w14:val="tx1"/>
            </w14:solidFill>
          </w14:textFill>
        </w:rPr>
        <w:t>13.2 承包人的质量管理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 承包人应加强对施工人员的质量教育和技术培训，定期考核施工人员的劳动技能，严格执行规范和操作规程。</w:t>
      </w:r>
    </w:p>
    <w:p>
      <w:pPr>
        <w:pStyle w:val="67"/>
        <w:ind w:firstLine="118"/>
        <w:rPr>
          <w:rFonts w:ascii="宋体" w:eastAsia="宋体"/>
          <w:color w:val="000000" w:themeColor="text1"/>
          <w:szCs w:val="24"/>
          <w:highlight w:val="none"/>
          <w14:textFill>
            <w14:solidFill>
              <w14:schemeClr w14:val="tx1"/>
            </w14:solidFill>
          </w14:textFill>
        </w:rPr>
      </w:pPr>
      <w:bookmarkStart w:id="756" w:name="_Toc152042476"/>
      <w:bookmarkEnd w:id="756"/>
      <w:bookmarkStart w:id="757" w:name="_Toc330406303"/>
      <w:bookmarkEnd w:id="757"/>
      <w:bookmarkStart w:id="758" w:name="_Toc43475836"/>
      <w:bookmarkEnd w:id="758"/>
      <w:bookmarkStart w:id="759" w:name="_Toc144974667"/>
      <w:bookmarkEnd w:id="759"/>
      <w:bookmarkStart w:id="760" w:name="_Toc386467108"/>
      <w:bookmarkEnd w:id="760"/>
      <w:bookmarkStart w:id="761" w:name="_Toc393546362"/>
      <w:bookmarkEnd w:id="761"/>
      <w:bookmarkStart w:id="762" w:name="_Toc179632716"/>
      <w:bookmarkEnd w:id="762"/>
      <w:bookmarkStart w:id="763" w:name="_Toc152045698"/>
      <w:bookmarkEnd w:id="763"/>
      <w:r>
        <w:rPr>
          <w:rFonts w:hint="eastAsia" w:ascii="宋体" w:eastAsia="宋体"/>
          <w:color w:val="000000" w:themeColor="text1"/>
          <w:szCs w:val="24"/>
          <w:highlight w:val="none"/>
          <w14:textFill>
            <w14:solidFill>
              <w14:schemeClr w14:val="tx1"/>
            </w14:solidFill>
          </w14:textFill>
        </w:rPr>
        <w:t>13.3 承包人的质量检查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pPr>
        <w:pStyle w:val="67"/>
        <w:ind w:firstLine="118"/>
        <w:rPr>
          <w:rFonts w:ascii="宋体" w:eastAsia="宋体"/>
          <w:color w:val="000000" w:themeColor="text1"/>
          <w:szCs w:val="24"/>
          <w:highlight w:val="none"/>
          <w14:textFill>
            <w14:solidFill>
              <w14:schemeClr w14:val="tx1"/>
            </w14:solidFill>
          </w14:textFill>
        </w:rPr>
      </w:pPr>
      <w:bookmarkStart w:id="764" w:name="_Toc386467109"/>
      <w:bookmarkEnd w:id="764"/>
      <w:bookmarkStart w:id="765" w:name="_Toc393546363"/>
      <w:bookmarkEnd w:id="765"/>
      <w:bookmarkStart w:id="766" w:name="_Toc43475837"/>
      <w:bookmarkEnd w:id="766"/>
      <w:r>
        <w:rPr>
          <w:rFonts w:hint="eastAsia" w:ascii="宋体" w:eastAsia="宋体"/>
          <w:color w:val="000000" w:themeColor="text1"/>
          <w:szCs w:val="24"/>
          <w:highlight w:val="none"/>
          <w14:textFill>
            <w14:solidFill>
              <w14:schemeClr w14:val="tx1"/>
            </w14:solidFill>
          </w14:textFill>
        </w:rPr>
        <w:t>13.4 监理人的质量检查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7"/>
        <w:ind w:firstLine="118"/>
        <w:rPr>
          <w:rFonts w:ascii="宋体" w:eastAsia="宋体"/>
          <w:color w:val="000000" w:themeColor="text1"/>
          <w:szCs w:val="24"/>
          <w:highlight w:val="none"/>
          <w14:textFill>
            <w14:solidFill>
              <w14:schemeClr w14:val="tx1"/>
            </w14:solidFill>
          </w14:textFill>
        </w:rPr>
      </w:pPr>
      <w:bookmarkStart w:id="767" w:name="_Toc393546364"/>
      <w:bookmarkEnd w:id="767"/>
      <w:bookmarkStart w:id="768" w:name="_Toc386467110"/>
      <w:bookmarkEnd w:id="768"/>
      <w:bookmarkStart w:id="769" w:name="_Toc43475838"/>
      <w:bookmarkEnd w:id="769"/>
      <w:r>
        <w:rPr>
          <w:rFonts w:hint="eastAsia" w:ascii="宋体" w:eastAsia="宋体"/>
          <w:color w:val="000000" w:themeColor="text1"/>
          <w:szCs w:val="24"/>
          <w:highlight w:val="none"/>
          <w14:textFill>
            <w14:solidFill>
              <w14:schemeClr w14:val="tx1"/>
            </w14:solidFill>
          </w14:textFill>
        </w:rPr>
        <w:t>13.5 工程隐蔽部位覆盖前的检查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 通知监理人检查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13.5.2 监理人未到场检查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13.5.3 监理人重新检查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13.5.4 承包人私自覆盖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pPr>
        <w:pStyle w:val="67"/>
        <w:ind w:firstLine="118"/>
        <w:rPr>
          <w:rFonts w:ascii="宋体" w:eastAsia="宋体"/>
          <w:color w:val="000000" w:themeColor="text1"/>
          <w:szCs w:val="24"/>
          <w:highlight w:val="none"/>
          <w14:textFill>
            <w14:solidFill>
              <w14:schemeClr w14:val="tx1"/>
            </w14:solidFill>
          </w14:textFill>
        </w:rPr>
      </w:pPr>
      <w:bookmarkStart w:id="770" w:name="_Toc386467111"/>
      <w:bookmarkEnd w:id="770"/>
      <w:bookmarkStart w:id="771" w:name="_Toc393546365"/>
      <w:bookmarkEnd w:id="771"/>
      <w:bookmarkStart w:id="772" w:name="_Toc43475839"/>
      <w:bookmarkEnd w:id="772"/>
      <w:r>
        <w:rPr>
          <w:rFonts w:hint="eastAsia" w:ascii="宋体" w:eastAsia="宋体"/>
          <w:color w:val="000000" w:themeColor="text1"/>
          <w:szCs w:val="24"/>
          <w:highlight w:val="none"/>
          <w14:textFill>
            <w14:solidFill>
              <w14:schemeClr w14:val="tx1"/>
            </w14:solidFill>
          </w14:textFill>
        </w:rPr>
        <w:t>13.6 清除不合格工程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13.6.2 由于发包人提供的材料或工程设备不合格造成的工程不合格，需要承包人采取措施补救的，发包人应承担由此增加的费用和（或）工期延误，并支付承包人合理利润。</w:t>
      </w:r>
    </w:p>
    <w:p>
      <w:pPr>
        <w:pStyle w:val="78"/>
        <w:rPr>
          <w:rFonts w:ascii="宋体" w:hAnsi="宋体"/>
          <w:color w:val="000000" w:themeColor="text1"/>
          <w:sz w:val="24"/>
          <w:szCs w:val="24"/>
          <w:highlight w:val="none"/>
          <w14:textFill>
            <w14:solidFill>
              <w14:schemeClr w14:val="tx1"/>
            </w14:solidFill>
          </w14:textFill>
        </w:rPr>
      </w:pPr>
      <w:bookmarkStart w:id="773" w:name="_Toc393546366"/>
      <w:bookmarkEnd w:id="773"/>
      <w:bookmarkStart w:id="774" w:name="_Toc386467112"/>
      <w:bookmarkEnd w:id="774"/>
      <w:bookmarkStart w:id="775" w:name="_Toc43475840"/>
      <w:bookmarkEnd w:id="775"/>
      <w:r>
        <w:rPr>
          <w:rFonts w:hint="eastAsia" w:ascii="宋体" w:hAnsi="宋体"/>
          <w:color w:val="000000" w:themeColor="text1"/>
          <w:sz w:val="24"/>
          <w:szCs w:val="24"/>
          <w:highlight w:val="none"/>
          <w14:textFill>
            <w14:solidFill>
              <w14:schemeClr w14:val="tx1"/>
            </w14:solidFill>
          </w14:textFill>
        </w:rPr>
        <w:t>14. 试验和检验</w:t>
      </w:r>
    </w:p>
    <w:p>
      <w:pPr>
        <w:pStyle w:val="67"/>
        <w:ind w:firstLine="118"/>
        <w:rPr>
          <w:rFonts w:ascii="宋体" w:eastAsia="宋体"/>
          <w:color w:val="000000" w:themeColor="text1"/>
          <w:szCs w:val="24"/>
          <w:highlight w:val="none"/>
          <w14:textFill>
            <w14:solidFill>
              <w14:schemeClr w14:val="tx1"/>
            </w14:solidFill>
          </w14:textFill>
        </w:rPr>
      </w:pPr>
      <w:bookmarkStart w:id="776" w:name="_Toc152042481"/>
      <w:bookmarkEnd w:id="776"/>
      <w:bookmarkStart w:id="777" w:name="_Toc152045703"/>
      <w:bookmarkEnd w:id="777"/>
      <w:bookmarkStart w:id="778" w:name="_Toc144974672"/>
      <w:bookmarkEnd w:id="778"/>
      <w:bookmarkStart w:id="779" w:name="_Toc393546367"/>
      <w:bookmarkEnd w:id="779"/>
      <w:bookmarkStart w:id="780" w:name="_Toc179632721"/>
      <w:bookmarkEnd w:id="780"/>
      <w:bookmarkStart w:id="781" w:name="_Toc43475841"/>
      <w:bookmarkEnd w:id="781"/>
      <w:bookmarkStart w:id="782" w:name="_Toc386467113"/>
      <w:bookmarkEnd w:id="782"/>
      <w:bookmarkStart w:id="783" w:name="_Toc330406308"/>
      <w:bookmarkEnd w:id="783"/>
      <w:r>
        <w:rPr>
          <w:rFonts w:hint="eastAsia" w:ascii="宋体" w:eastAsia="宋体"/>
          <w:color w:val="000000" w:themeColor="text1"/>
          <w:szCs w:val="24"/>
          <w:highlight w:val="none"/>
          <w14:textFill>
            <w14:solidFill>
              <w14:schemeClr w14:val="tx1"/>
            </w14:solidFill>
          </w14:textFill>
        </w:rPr>
        <w:t>14.1 材料、工程设备和工程的试验和检验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7"/>
        <w:ind w:firstLine="118"/>
        <w:rPr>
          <w:rFonts w:ascii="宋体" w:eastAsia="宋体"/>
          <w:color w:val="000000" w:themeColor="text1"/>
          <w:szCs w:val="24"/>
          <w:highlight w:val="none"/>
          <w14:textFill>
            <w14:solidFill>
              <w14:schemeClr w14:val="tx1"/>
            </w14:solidFill>
          </w14:textFill>
        </w:rPr>
      </w:pPr>
      <w:bookmarkStart w:id="784" w:name="_Toc152042482"/>
      <w:bookmarkEnd w:id="784"/>
      <w:bookmarkStart w:id="785" w:name="_Toc152045704"/>
      <w:bookmarkEnd w:id="785"/>
      <w:bookmarkStart w:id="786" w:name="_Toc179632722"/>
      <w:bookmarkEnd w:id="786"/>
      <w:bookmarkStart w:id="787" w:name="_Toc144974673"/>
      <w:bookmarkEnd w:id="787"/>
      <w:bookmarkStart w:id="788" w:name="_Toc330406309"/>
      <w:bookmarkEnd w:id="788"/>
      <w:bookmarkStart w:id="789" w:name="_Toc386467114"/>
      <w:bookmarkEnd w:id="789"/>
      <w:bookmarkStart w:id="790" w:name="_Toc43475842"/>
      <w:bookmarkEnd w:id="790"/>
      <w:bookmarkStart w:id="791" w:name="_Toc393546368"/>
      <w:bookmarkEnd w:id="791"/>
      <w:r>
        <w:rPr>
          <w:rFonts w:hint="eastAsia" w:ascii="宋体" w:eastAsia="宋体"/>
          <w:color w:val="000000" w:themeColor="text1"/>
          <w:szCs w:val="24"/>
          <w:highlight w:val="none"/>
          <w14:textFill>
            <w14:solidFill>
              <w14:schemeClr w14:val="tx1"/>
            </w14:solidFill>
          </w14:textFill>
        </w:rPr>
        <w:t>14.2 现场材料试验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14.2.2 监理人在必要时可以使用承包人的试验场所、试验设备器材以及其他试验条件，进行以工程质量检查为目的的复核性材料试验，承包人应予以协助。</w:t>
      </w:r>
    </w:p>
    <w:p>
      <w:pPr>
        <w:pStyle w:val="67"/>
        <w:ind w:firstLine="118"/>
        <w:rPr>
          <w:rFonts w:ascii="宋体" w:eastAsia="宋体"/>
          <w:color w:val="000000" w:themeColor="text1"/>
          <w:szCs w:val="24"/>
          <w:highlight w:val="none"/>
          <w14:textFill>
            <w14:solidFill>
              <w14:schemeClr w14:val="tx1"/>
            </w14:solidFill>
          </w14:textFill>
        </w:rPr>
      </w:pPr>
      <w:bookmarkStart w:id="792" w:name="_Toc393546369"/>
      <w:bookmarkEnd w:id="792"/>
      <w:bookmarkStart w:id="793" w:name="_Toc43475843"/>
      <w:bookmarkEnd w:id="793"/>
      <w:bookmarkStart w:id="794" w:name="_Toc386467115"/>
      <w:bookmarkEnd w:id="794"/>
      <w:r>
        <w:rPr>
          <w:rFonts w:hint="eastAsia" w:ascii="宋体" w:eastAsia="宋体"/>
          <w:color w:val="000000" w:themeColor="text1"/>
          <w:szCs w:val="24"/>
          <w:highlight w:val="none"/>
          <w14:textFill>
            <w14:solidFill>
              <w14:schemeClr w14:val="tx1"/>
            </w14:solidFill>
          </w14:textFill>
        </w:rPr>
        <w:t>14.3 现场工艺试验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pPr>
        <w:pStyle w:val="78"/>
        <w:rPr>
          <w:rFonts w:ascii="宋体" w:hAnsi="宋体"/>
          <w:color w:val="000000" w:themeColor="text1"/>
          <w:sz w:val="24"/>
          <w:szCs w:val="24"/>
          <w:highlight w:val="none"/>
          <w14:textFill>
            <w14:solidFill>
              <w14:schemeClr w14:val="tx1"/>
            </w14:solidFill>
          </w14:textFill>
        </w:rPr>
      </w:pPr>
      <w:bookmarkStart w:id="795" w:name="_Toc386467116"/>
      <w:bookmarkEnd w:id="795"/>
      <w:bookmarkStart w:id="796" w:name="_Toc393546370"/>
      <w:bookmarkEnd w:id="796"/>
      <w:bookmarkStart w:id="797" w:name="_Toc43475844"/>
      <w:bookmarkEnd w:id="797"/>
      <w:r>
        <w:rPr>
          <w:rFonts w:hint="eastAsia" w:ascii="宋体" w:hAnsi="宋体"/>
          <w:color w:val="000000" w:themeColor="text1"/>
          <w:sz w:val="24"/>
          <w:szCs w:val="24"/>
          <w:highlight w:val="none"/>
          <w14:textFill>
            <w14:solidFill>
              <w14:schemeClr w14:val="tx1"/>
            </w14:solidFill>
          </w14:textFill>
        </w:rPr>
        <w:t>15. 变更</w:t>
      </w:r>
    </w:p>
    <w:p>
      <w:pPr>
        <w:pStyle w:val="67"/>
        <w:ind w:firstLine="118"/>
        <w:rPr>
          <w:rFonts w:ascii="宋体" w:eastAsia="宋体"/>
          <w:color w:val="000000" w:themeColor="text1"/>
          <w:szCs w:val="24"/>
          <w:highlight w:val="none"/>
          <w14:textFill>
            <w14:solidFill>
              <w14:schemeClr w14:val="tx1"/>
            </w14:solidFill>
          </w14:textFill>
        </w:rPr>
      </w:pPr>
      <w:bookmarkStart w:id="798" w:name="_Toc393546371"/>
      <w:bookmarkEnd w:id="798"/>
      <w:bookmarkStart w:id="799" w:name="_Toc43475845"/>
      <w:bookmarkEnd w:id="799"/>
      <w:bookmarkStart w:id="800" w:name="_Toc386467117"/>
      <w:bookmarkEnd w:id="800"/>
      <w:r>
        <w:rPr>
          <w:rFonts w:hint="eastAsia" w:ascii="宋体" w:eastAsia="宋体"/>
          <w:color w:val="000000" w:themeColor="text1"/>
          <w:szCs w:val="24"/>
          <w:highlight w:val="none"/>
          <w14:textFill>
            <w14:solidFill>
              <w14:schemeClr w14:val="tx1"/>
            </w14:solidFill>
          </w14:textFill>
        </w:rPr>
        <w:t>15.1 变更的范围和内容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除专用合同条款另有约定外，在履行合同中发生以下情形之一，应按照本条规定进行变更。</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（2）改变合同中任何一项工作的质量或其他特性；</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（3）改变合同工程的基线、标高、位置或尺寸；</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（4）改变合同中任何一项工作的施工时间或改变已批准的施工工艺或顺序；</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（5）为完成工程需要追加的额外工作。</w:t>
      </w:r>
    </w:p>
    <w:p>
      <w:pPr>
        <w:pStyle w:val="67"/>
        <w:ind w:firstLine="118"/>
        <w:rPr>
          <w:rFonts w:ascii="宋体" w:eastAsia="宋体"/>
          <w:color w:val="000000" w:themeColor="text1"/>
          <w:szCs w:val="24"/>
          <w:highlight w:val="none"/>
          <w14:textFill>
            <w14:solidFill>
              <w14:schemeClr w14:val="tx1"/>
            </w14:solidFill>
          </w14:textFill>
        </w:rPr>
      </w:pPr>
      <w:bookmarkStart w:id="801" w:name="_Toc386467118"/>
      <w:bookmarkEnd w:id="801"/>
      <w:bookmarkStart w:id="802" w:name="_Toc144974677"/>
      <w:bookmarkEnd w:id="802"/>
      <w:bookmarkStart w:id="803" w:name="_Toc179632726"/>
      <w:bookmarkEnd w:id="803"/>
      <w:bookmarkStart w:id="804" w:name="_Toc152042486"/>
      <w:bookmarkEnd w:id="804"/>
      <w:bookmarkStart w:id="805" w:name="_Toc43475846"/>
      <w:bookmarkEnd w:id="805"/>
      <w:bookmarkStart w:id="806" w:name="_Toc152045708"/>
      <w:bookmarkEnd w:id="806"/>
      <w:bookmarkStart w:id="807" w:name="_Toc330406313"/>
      <w:bookmarkEnd w:id="807"/>
      <w:bookmarkStart w:id="808" w:name="_Toc393546372"/>
      <w:bookmarkEnd w:id="808"/>
      <w:r>
        <w:rPr>
          <w:rFonts w:hint="eastAsia" w:ascii="宋体" w:eastAsia="宋体"/>
          <w:color w:val="000000" w:themeColor="text1"/>
          <w:szCs w:val="24"/>
          <w:highlight w:val="none"/>
          <w14:textFill>
            <w14:solidFill>
              <w14:schemeClr w14:val="tx1"/>
            </w14:solidFill>
          </w14:textFill>
        </w:rPr>
        <w:t>15.2 变更权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在履行合同过程中，经发包人同意，监理人可按第15.3款约定的变更程序向承包人作出变更指示，承包人应遵照执行。没有监理人的变更指示，承包人不得擅自变更。</w:t>
      </w:r>
    </w:p>
    <w:p>
      <w:pPr>
        <w:pStyle w:val="67"/>
        <w:ind w:firstLine="118"/>
        <w:rPr>
          <w:rFonts w:ascii="宋体" w:eastAsia="宋体"/>
          <w:color w:val="000000" w:themeColor="text1"/>
          <w:szCs w:val="24"/>
          <w:highlight w:val="none"/>
          <w14:textFill>
            <w14:solidFill>
              <w14:schemeClr w14:val="tx1"/>
            </w14:solidFill>
          </w14:textFill>
        </w:rPr>
      </w:pPr>
      <w:bookmarkStart w:id="809" w:name="_Toc43475847"/>
      <w:bookmarkEnd w:id="809"/>
      <w:bookmarkStart w:id="810" w:name="_Toc386467119"/>
      <w:bookmarkEnd w:id="810"/>
      <w:bookmarkStart w:id="811" w:name="_Toc393546373"/>
      <w:bookmarkEnd w:id="811"/>
      <w:r>
        <w:rPr>
          <w:rFonts w:hint="eastAsia" w:ascii="宋体" w:eastAsia="宋体"/>
          <w:color w:val="000000" w:themeColor="text1"/>
          <w:szCs w:val="24"/>
          <w:highlight w:val="none"/>
          <w14:textFill>
            <w14:solidFill>
              <w14:schemeClr w14:val="tx1"/>
            </w14:solidFill>
          </w14:textFill>
        </w:rPr>
        <w:t>15.3 变更程序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变更的提出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（2）在合同履行过程中，发生第15.1款约定情形的，监理人应按照第15.3.3项约定向承包人发出变更指示。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15.3.2 变更估价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（3）除专用合同条款对期限另有约定外，监理人收到承包人变更报价书后的14天内，根据第15.4款约定的估价原则，按照第3.5款商定或确定变更价格。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15.3.3 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（1）变更指示只能由监理人发出。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pPr>
        <w:pStyle w:val="67"/>
        <w:ind w:firstLine="118"/>
        <w:rPr>
          <w:rFonts w:ascii="宋体" w:eastAsia="宋体"/>
          <w:color w:val="000000" w:themeColor="text1"/>
          <w:szCs w:val="24"/>
          <w:highlight w:val="none"/>
          <w14:textFill>
            <w14:solidFill>
              <w14:schemeClr w14:val="tx1"/>
            </w14:solidFill>
          </w14:textFill>
        </w:rPr>
      </w:pPr>
      <w:bookmarkStart w:id="812" w:name="_Toc386467120"/>
      <w:bookmarkEnd w:id="812"/>
      <w:bookmarkStart w:id="813" w:name="_Toc43475848"/>
      <w:bookmarkEnd w:id="813"/>
      <w:bookmarkStart w:id="814" w:name="_Toc393546374"/>
      <w:bookmarkEnd w:id="814"/>
      <w:r>
        <w:rPr>
          <w:rFonts w:hint="eastAsia" w:ascii="宋体" w:eastAsia="宋体"/>
          <w:color w:val="000000" w:themeColor="text1"/>
          <w:szCs w:val="24"/>
          <w:highlight w:val="none"/>
          <w14:textFill>
            <w14:solidFill>
              <w14:schemeClr w14:val="tx1"/>
            </w14:solidFill>
          </w14:textFill>
        </w:rPr>
        <w:t>15.4 变更的估价原则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除专用合同条款另有约定外，因变更引起的价格调整按照本款约定处理。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已标价工程量清单中有适用于变更工作的子目的，采用该子目的单价。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已标价工程量清单中无适用或类似子目的单价，可按照成本加利润的原则，由监理人按第3.5款商定或确定变更工作的单价。</w:t>
      </w:r>
    </w:p>
    <w:p>
      <w:pPr>
        <w:pStyle w:val="67"/>
        <w:ind w:firstLine="118"/>
        <w:rPr>
          <w:rFonts w:ascii="宋体" w:eastAsia="宋体"/>
          <w:color w:val="000000" w:themeColor="text1"/>
          <w:szCs w:val="24"/>
          <w:highlight w:val="none"/>
          <w14:textFill>
            <w14:solidFill>
              <w14:schemeClr w14:val="tx1"/>
            </w14:solidFill>
          </w14:textFill>
        </w:rPr>
      </w:pPr>
      <w:bookmarkStart w:id="815" w:name="_Toc43475849"/>
      <w:bookmarkEnd w:id="815"/>
      <w:bookmarkStart w:id="816" w:name="_Toc386467121"/>
      <w:bookmarkEnd w:id="816"/>
      <w:bookmarkStart w:id="817" w:name="_Toc393546375"/>
      <w:bookmarkEnd w:id="817"/>
      <w:r>
        <w:rPr>
          <w:rFonts w:hint="eastAsia" w:ascii="宋体" w:eastAsia="宋体"/>
          <w:color w:val="000000" w:themeColor="text1"/>
          <w:szCs w:val="24"/>
          <w:highlight w:val="none"/>
          <w14:textFill>
            <w14:solidFill>
              <w14:schemeClr w14:val="tx1"/>
            </w14:solidFill>
          </w14:textFill>
        </w:rPr>
        <w:t>15.5 承包人的合理化建议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15.5.2 承包人提出的合理化建议降低了合同价格、缩短了工期或者提高了工程经济效益的，发包人可按国家有关规定在专用合同条款中约定给予奖励。</w:t>
      </w:r>
    </w:p>
    <w:p>
      <w:pPr>
        <w:pStyle w:val="67"/>
        <w:ind w:firstLine="118"/>
        <w:rPr>
          <w:rFonts w:ascii="宋体" w:eastAsia="宋体"/>
          <w:color w:val="000000" w:themeColor="text1"/>
          <w:szCs w:val="24"/>
          <w:highlight w:val="none"/>
          <w14:textFill>
            <w14:solidFill>
              <w14:schemeClr w14:val="tx1"/>
            </w14:solidFill>
          </w14:textFill>
        </w:rPr>
      </w:pPr>
      <w:bookmarkStart w:id="818" w:name="_Toc43475850"/>
      <w:bookmarkEnd w:id="818"/>
      <w:bookmarkStart w:id="819" w:name="_Toc386467122"/>
      <w:bookmarkEnd w:id="819"/>
      <w:bookmarkStart w:id="820" w:name="_Toc393546376"/>
      <w:bookmarkEnd w:id="820"/>
      <w:r>
        <w:rPr>
          <w:rFonts w:hint="eastAsia" w:ascii="宋体" w:eastAsia="宋体"/>
          <w:color w:val="000000" w:themeColor="text1"/>
          <w:szCs w:val="24"/>
          <w:highlight w:val="none"/>
          <w14:textFill>
            <w14:solidFill>
              <w14:schemeClr w14:val="tx1"/>
            </w14:solidFill>
          </w14:textFill>
        </w:rPr>
        <w:t>15.6 暂列金额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暂列金额只能按照监理人的指示使用，并对合同价格进行相应调整。</w:t>
      </w:r>
    </w:p>
    <w:p>
      <w:pPr>
        <w:pStyle w:val="67"/>
        <w:ind w:firstLine="118"/>
        <w:rPr>
          <w:rFonts w:ascii="宋体" w:eastAsia="宋体"/>
          <w:color w:val="000000" w:themeColor="text1"/>
          <w:szCs w:val="24"/>
          <w:highlight w:val="none"/>
          <w14:textFill>
            <w14:solidFill>
              <w14:schemeClr w14:val="tx1"/>
            </w14:solidFill>
          </w14:textFill>
        </w:rPr>
      </w:pPr>
      <w:bookmarkStart w:id="821" w:name="_Toc330406318"/>
      <w:bookmarkEnd w:id="821"/>
      <w:bookmarkStart w:id="822" w:name="_Toc386467123"/>
      <w:bookmarkEnd w:id="822"/>
      <w:bookmarkStart w:id="823" w:name="_Toc152045713"/>
      <w:bookmarkEnd w:id="823"/>
      <w:bookmarkStart w:id="824" w:name="_Toc144974682"/>
      <w:bookmarkEnd w:id="824"/>
      <w:bookmarkStart w:id="825" w:name="_Toc43475851"/>
      <w:bookmarkEnd w:id="825"/>
      <w:bookmarkStart w:id="826" w:name="_Toc179632731"/>
      <w:bookmarkEnd w:id="826"/>
      <w:bookmarkStart w:id="827" w:name="_Toc152042491"/>
      <w:bookmarkEnd w:id="827"/>
      <w:bookmarkStart w:id="828" w:name="_Toc393546377"/>
      <w:bookmarkEnd w:id="828"/>
      <w:r>
        <w:rPr>
          <w:rFonts w:hint="eastAsia" w:ascii="宋体" w:eastAsia="宋体"/>
          <w:color w:val="000000" w:themeColor="text1"/>
          <w:szCs w:val="24"/>
          <w:highlight w:val="none"/>
          <w14:textFill>
            <w14:solidFill>
              <w14:schemeClr w14:val="tx1"/>
            </w14:solidFill>
          </w14:textFill>
        </w:rPr>
        <w:t>15.7 计日工</w:t>
      </w:r>
    </w:p>
    <w:p>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15.7.2 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（1）工作名称、内容和数量；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（2）投入该工作所有人员的姓名、工种、级别和耗用工时；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（3）投入该工作的材料类别和数量；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（4）投入该工作的施工设备型号、台数和耗用台时；</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（5）监理人要求提交的其他资料和凭证。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15.7.3 计日工由承包人汇总后，按第17.3.2项的约定列入进度付款申请单，由监理人复核并经发包人同意后列入进度付款。</w:t>
      </w:r>
    </w:p>
    <w:p>
      <w:pPr>
        <w:pStyle w:val="67"/>
        <w:ind w:firstLine="118"/>
        <w:rPr>
          <w:rFonts w:ascii="宋体" w:eastAsia="宋体"/>
          <w:color w:val="000000" w:themeColor="text1"/>
          <w:szCs w:val="24"/>
          <w:highlight w:val="none"/>
          <w14:textFill>
            <w14:solidFill>
              <w14:schemeClr w14:val="tx1"/>
            </w14:solidFill>
          </w14:textFill>
        </w:rPr>
      </w:pPr>
      <w:bookmarkStart w:id="829" w:name="_Toc179632732"/>
      <w:bookmarkEnd w:id="829"/>
      <w:bookmarkStart w:id="830" w:name="_Toc330406319"/>
      <w:bookmarkEnd w:id="830"/>
      <w:bookmarkStart w:id="831" w:name="_Toc43475852"/>
      <w:bookmarkEnd w:id="831"/>
      <w:bookmarkStart w:id="832" w:name="_Toc386467124"/>
      <w:bookmarkEnd w:id="832"/>
      <w:bookmarkStart w:id="833" w:name="_Toc393546378"/>
      <w:bookmarkEnd w:id="833"/>
      <w:bookmarkStart w:id="834" w:name="_Toc152045714"/>
      <w:bookmarkEnd w:id="834"/>
      <w:bookmarkStart w:id="835" w:name="_Toc152042492"/>
      <w:bookmarkEnd w:id="835"/>
      <w:bookmarkStart w:id="836" w:name="_Toc144974683"/>
      <w:bookmarkEnd w:id="836"/>
      <w:r>
        <w:rPr>
          <w:rFonts w:hint="eastAsia" w:ascii="宋体" w:eastAsia="宋体"/>
          <w:color w:val="000000" w:themeColor="text1"/>
          <w:szCs w:val="24"/>
          <w:highlight w:val="none"/>
          <w14:textFill>
            <w14:solidFill>
              <w14:schemeClr w14:val="tx1"/>
            </w14:solidFill>
          </w14:textFill>
        </w:rPr>
        <w:t>15.8 暂估价</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78"/>
        <w:rPr>
          <w:rFonts w:ascii="宋体" w:hAnsi="宋体"/>
          <w:color w:val="000000" w:themeColor="text1"/>
          <w:sz w:val="24"/>
          <w:szCs w:val="24"/>
          <w:highlight w:val="none"/>
          <w14:textFill>
            <w14:solidFill>
              <w14:schemeClr w14:val="tx1"/>
            </w14:solidFill>
          </w14:textFill>
        </w:rPr>
      </w:pPr>
      <w:bookmarkStart w:id="837" w:name="_Toc386467125"/>
      <w:bookmarkEnd w:id="837"/>
      <w:bookmarkStart w:id="838" w:name="_Toc43475853"/>
      <w:bookmarkEnd w:id="838"/>
      <w:bookmarkStart w:id="839" w:name="_Toc393546379"/>
      <w:bookmarkEnd w:id="839"/>
      <w:r>
        <w:rPr>
          <w:rFonts w:hint="eastAsia" w:ascii="宋体" w:hAnsi="宋体"/>
          <w:color w:val="000000" w:themeColor="text1"/>
          <w:sz w:val="24"/>
          <w:szCs w:val="24"/>
          <w:highlight w:val="none"/>
          <w14:textFill>
            <w14:solidFill>
              <w14:schemeClr w14:val="tx1"/>
            </w14:solidFill>
          </w14:textFill>
        </w:rPr>
        <w:t>16. 价格调整</w:t>
      </w:r>
    </w:p>
    <w:p>
      <w:pPr>
        <w:pStyle w:val="67"/>
        <w:ind w:firstLine="118"/>
        <w:rPr>
          <w:rFonts w:ascii="宋体" w:eastAsia="宋体"/>
          <w:color w:val="000000" w:themeColor="text1"/>
          <w:szCs w:val="24"/>
          <w:highlight w:val="none"/>
          <w14:textFill>
            <w14:solidFill>
              <w14:schemeClr w14:val="tx1"/>
            </w14:solidFill>
          </w14:textFill>
        </w:rPr>
      </w:pPr>
      <w:bookmarkStart w:id="840" w:name="_Toc43475854"/>
      <w:bookmarkEnd w:id="840"/>
      <w:bookmarkStart w:id="841" w:name="_Toc386467126"/>
      <w:bookmarkEnd w:id="841"/>
      <w:bookmarkStart w:id="842" w:name="_Toc393546380"/>
      <w:bookmarkEnd w:id="842"/>
      <w:r>
        <w:rPr>
          <w:rFonts w:hint="eastAsia" w:ascii="宋体" w:eastAsia="宋体"/>
          <w:color w:val="000000" w:themeColor="text1"/>
          <w:szCs w:val="24"/>
          <w:highlight w:val="none"/>
          <w14:textFill>
            <w14:solidFill>
              <w14:schemeClr w14:val="tx1"/>
            </w14:solidFill>
          </w14:textFill>
        </w:rPr>
        <w:t>16.1 物价波动引起的价格调整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除专用合同条款另有约定外，因物价波动引起的价格调整按照本款约定处理。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 采用价格指数调整价格差额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16.1.1.1 价格调整公式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5" w:firstLineChars="3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position w:val="-34"/>
          <w:sz w:val="24"/>
          <w:highlight w:val="none"/>
          <w14:textFill>
            <w14:solidFill>
              <w14:schemeClr w14:val="tx1"/>
            </w14:solidFill>
          </w14:textFill>
        </w:rPr>
        <w:drawing>
          <wp:inline distT="0" distB="0" distL="0" distR="0">
            <wp:extent cx="3891280" cy="520700"/>
            <wp:effectExtent l="0" t="0" r="13970" b="13335"/>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21" cstate="print"/>
                    <a:stretch>
                      <a:fillRect/>
                    </a:stretch>
                  </pic:blipFill>
                  <pic:spPr>
                    <a:xfrm>
                      <a:off x="0" y="0"/>
                      <a:ext cx="3891280" cy="520700"/>
                    </a:xfrm>
                    <a:prstGeom prst="rect">
                      <a:avLst/>
                    </a:prstGeom>
                  </pic:spPr>
                </pic:pic>
              </a:graphicData>
            </a:graphic>
          </wp:inline>
        </w:drawing>
      </w: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 △P -- 需调整的价格差额；</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P</w:t>
      </w:r>
      <w:r>
        <w:rPr>
          <w:rFonts w:hint="eastAsia" w:ascii="宋体" w:hAnsi="宋体" w:cs="宋体"/>
          <w:color w:val="000000" w:themeColor="text1"/>
          <w:sz w:val="24"/>
          <w:highlight w:val="none"/>
          <w:vertAlign w:val="subscript"/>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bookmarkStart w:id="843" w:name="_Toc144974686"/>
      <w:bookmarkEnd w:id="843"/>
      <w:bookmarkStart w:id="844" w:name="_Toc152042495"/>
      <w:bookmarkEnd w:id="844"/>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 -- 定值权重(即不调部分的权重)；</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 B</w:t>
      </w:r>
      <w:r>
        <w:rPr>
          <w:rFonts w:hint="eastAsia" w:ascii="宋体" w:hAnsi="宋体" w:cs="宋体"/>
          <w:color w:val="000000" w:themeColor="text1"/>
          <w:sz w:val="24"/>
          <w:highlight w:val="none"/>
          <w:vertAlign w:val="sub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；B</w:t>
      </w:r>
      <w:r>
        <w:rPr>
          <w:rFonts w:hint="eastAsia" w:ascii="宋体" w:hAnsi="宋体" w:cs="宋体"/>
          <w:color w:val="000000" w:themeColor="text1"/>
          <w:sz w:val="24"/>
          <w:highlight w:val="none"/>
          <w:vertAlign w:val="subscript"/>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n</w:t>
      </w:r>
      <w:r>
        <w:rPr>
          <w:rFonts w:hint="eastAsia" w:ascii="宋体" w:hAnsi="宋体" w:cs="宋体"/>
          <w:color w:val="000000" w:themeColor="text1"/>
          <w:sz w:val="24"/>
          <w:highlight w:val="none"/>
          <w14:textFill>
            <w14:solidFill>
              <w14:schemeClr w14:val="tx1"/>
            </w14:solidFill>
          </w14:textFill>
        </w:rPr>
        <w:t xml:space="preserve"> -- 各可调因子的变值权重(即可调部分的权重)为各可调因子在投标函投标总报价中所占的比例；</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t1</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t2</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t3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tn</w:t>
      </w:r>
      <w:r>
        <w:rPr>
          <w:rFonts w:hint="eastAsia" w:ascii="宋体" w:hAnsi="宋体" w:cs="宋体"/>
          <w:color w:val="000000" w:themeColor="text1"/>
          <w:sz w:val="24"/>
          <w:highlight w:val="none"/>
          <w14:textFill>
            <w14:solidFill>
              <w14:schemeClr w14:val="tx1"/>
            </w14:solidFill>
          </w14:textFill>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o1</w:t>
      </w:r>
      <w:r>
        <w:rPr>
          <w:rFonts w:hint="eastAsia" w:ascii="宋体" w:hAnsi="宋体" w:cs="宋体"/>
          <w:color w:val="000000" w:themeColor="text1"/>
          <w:sz w:val="24"/>
          <w:highlight w:val="none"/>
          <w14:textFill>
            <w14:solidFill>
              <w14:schemeClr w14:val="tx1"/>
            </w14:solidFill>
          </w14:textFill>
        </w:rPr>
        <w:t>； F</w:t>
      </w:r>
      <w:r>
        <w:rPr>
          <w:rFonts w:hint="eastAsia" w:ascii="宋体" w:hAnsi="宋体" w:cs="宋体"/>
          <w:color w:val="000000" w:themeColor="text1"/>
          <w:sz w:val="24"/>
          <w:highlight w:val="none"/>
          <w:vertAlign w:val="subscript"/>
          <w14:textFill>
            <w14:solidFill>
              <w14:schemeClr w14:val="tx1"/>
            </w14:solidFill>
          </w14:textFill>
        </w:rPr>
        <w:t>o2</w:t>
      </w:r>
      <w:r>
        <w:rPr>
          <w:rFonts w:hint="eastAsia" w:ascii="宋体" w:hAnsi="宋体" w:cs="宋体"/>
          <w:color w:val="000000" w:themeColor="text1"/>
          <w:sz w:val="24"/>
          <w:highlight w:val="none"/>
          <w14:textFill>
            <w14:solidFill>
              <w14:schemeClr w14:val="tx1"/>
            </w14:solidFill>
          </w14:textFill>
        </w:rPr>
        <w:t>； F</w:t>
      </w:r>
      <w:r>
        <w:rPr>
          <w:rFonts w:hint="eastAsia" w:ascii="宋体" w:hAnsi="宋体" w:cs="宋体"/>
          <w:color w:val="000000" w:themeColor="text1"/>
          <w:sz w:val="24"/>
          <w:highlight w:val="none"/>
          <w:vertAlign w:val="subscript"/>
          <w14:textFill>
            <w14:solidFill>
              <w14:schemeClr w14:val="tx1"/>
            </w14:solidFill>
          </w14:textFill>
        </w:rPr>
        <w:t>o3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on</w:t>
      </w:r>
      <w:r>
        <w:rPr>
          <w:rFonts w:hint="eastAsia" w:ascii="宋体" w:hAnsi="宋体" w:cs="宋体"/>
          <w:color w:val="000000" w:themeColor="text1"/>
          <w:sz w:val="24"/>
          <w:highlight w:val="none"/>
          <w14:textFill>
            <w14:solidFill>
              <w14:schemeClr w14:val="tx1"/>
            </w14:solidFill>
          </w14:textFill>
        </w:rPr>
        <w:t xml:space="preserve"> -- 各可调因子的基本价格指数，指基准日期的各可调因子的价格指数。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16.1.1.2 暂时确定调整差额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在计算调整差额时得不到现行价格指数的，可暂用上一次价格指数计算，并在以后的付款中再按实际价格指数进行调整。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16.1.1.3 权重的调整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按第15.1款约定的变更导致原定合同中的权重不合理时，由监理人与承包人和发包人协商后进行调整。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16.1.1.4 承包人工期延误后的价格调整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7"/>
        <w:ind w:firstLine="118"/>
        <w:rPr>
          <w:rFonts w:ascii="宋体" w:eastAsia="宋体"/>
          <w:color w:val="000000" w:themeColor="text1"/>
          <w:szCs w:val="24"/>
          <w:highlight w:val="none"/>
          <w14:textFill>
            <w14:solidFill>
              <w14:schemeClr w14:val="tx1"/>
            </w14:solidFill>
          </w14:textFill>
        </w:rPr>
      </w:pPr>
      <w:bookmarkStart w:id="845" w:name="_Toc393546381"/>
      <w:bookmarkEnd w:id="845"/>
      <w:bookmarkStart w:id="846" w:name="_Toc152042496"/>
      <w:bookmarkEnd w:id="846"/>
      <w:bookmarkStart w:id="847" w:name="_Toc43475855"/>
      <w:bookmarkEnd w:id="847"/>
      <w:bookmarkStart w:id="848" w:name="_Toc179632735"/>
      <w:bookmarkEnd w:id="848"/>
      <w:bookmarkStart w:id="849" w:name="_Toc386467127"/>
      <w:bookmarkEnd w:id="849"/>
      <w:bookmarkStart w:id="850" w:name="_Toc330406322"/>
      <w:bookmarkEnd w:id="850"/>
      <w:bookmarkStart w:id="851" w:name="_Toc144974688"/>
      <w:bookmarkEnd w:id="851"/>
      <w:bookmarkStart w:id="852" w:name="_Toc152045717"/>
      <w:bookmarkEnd w:id="852"/>
      <w:r>
        <w:rPr>
          <w:rFonts w:hint="eastAsia" w:ascii="宋体" w:eastAsia="宋体"/>
          <w:color w:val="000000" w:themeColor="text1"/>
          <w:szCs w:val="24"/>
          <w:highlight w:val="none"/>
          <w14:textFill>
            <w14:solidFill>
              <w14:schemeClr w14:val="tx1"/>
            </w14:solidFill>
          </w14:textFill>
        </w:rPr>
        <w:t>16.2 法律变化引起的价格调整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78"/>
        <w:rPr>
          <w:rFonts w:ascii="宋体" w:hAnsi="宋体"/>
          <w:color w:val="000000" w:themeColor="text1"/>
          <w:sz w:val="24"/>
          <w:szCs w:val="24"/>
          <w:highlight w:val="none"/>
          <w14:textFill>
            <w14:solidFill>
              <w14:schemeClr w14:val="tx1"/>
            </w14:solidFill>
          </w14:textFill>
        </w:rPr>
      </w:pPr>
      <w:bookmarkStart w:id="853" w:name="_Toc386467128"/>
      <w:bookmarkEnd w:id="853"/>
      <w:bookmarkStart w:id="854" w:name="_Toc43475856"/>
      <w:bookmarkEnd w:id="854"/>
      <w:bookmarkStart w:id="855" w:name="_Toc393546382"/>
      <w:bookmarkEnd w:id="855"/>
      <w:r>
        <w:rPr>
          <w:rFonts w:hint="eastAsia" w:ascii="宋体" w:hAnsi="宋体"/>
          <w:color w:val="000000" w:themeColor="text1"/>
          <w:sz w:val="24"/>
          <w:szCs w:val="24"/>
          <w:highlight w:val="none"/>
          <w14:textFill>
            <w14:solidFill>
              <w14:schemeClr w14:val="tx1"/>
            </w14:solidFill>
          </w14:textFill>
        </w:rPr>
        <w:t>17. 计量与支付</w:t>
      </w:r>
    </w:p>
    <w:p>
      <w:pPr>
        <w:pStyle w:val="67"/>
        <w:ind w:firstLine="118"/>
        <w:rPr>
          <w:rFonts w:ascii="宋体" w:eastAsia="宋体"/>
          <w:color w:val="000000" w:themeColor="text1"/>
          <w:szCs w:val="24"/>
          <w:highlight w:val="none"/>
          <w14:textFill>
            <w14:solidFill>
              <w14:schemeClr w14:val="tx1"/>
            </w14:solidFill>
          </w14:textFill>
        </w:rPr>
      </w:pPr>
      <w:bookmarkStart w:id="856" w:name="_Toc43475857"/>
      <w:bookmarkEnd w:id="856"/>
      <w:bookmarkStart w:id="857" w:name="_Toc393546383"/>
      <w:bookmarkEnd w:id="857"/>
      <w:bookmarkStart w:id="858" w:name="_Toc386467129"/>
      <w:bookmarkEnd w:id="858"/>
      <w:r>
        <w:rPr>
          <w:rFonts w:hint="eastAsia" w:ascii="宋体" w:eastAsia="宋体"/>
          <w:color w:val="000000" w:themeColor="text1"/>
          <w:szCs w:val="24"/>
          <w:highlight w:val="none"/>
          <w14:textFill>
            <w14:solidFill>
              <w14:schemeClr w14:val="tx1"/>
            </w14:solidFill>
          </w14:textFill>
        </w:rPr>
        <w:t>17.1 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17.1.1 计量单位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计量采用国家法定的计量单位。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17.1.2 计量方法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工程量清单中的工程量计算规则应按有关国家标准、行业标准的规定，并在合同中约定执行。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17.1.3 计量周期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除专用合同条款另有约定外，单价子目已完成工程量按月计量，总价子目的计量周期按批准的支付分解报告确定。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17.1.4 单价子目的计量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（2）承包人对已完成的工程进行计量，向监理人提交进度付款申请单、已完成工程量报表和有关计量资料。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（4）监理人认为有必要时，可通知承包人共同进行联合测量、计量，承包人应遵照执行。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除专用合同条款另有约定外，总价子目的分解和计量按照下述约定进行。</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（1）总价子目的计量和支付应以总价为基础，不因第16.1款中的因素而进行调整。承包人实际完成的工程量，是进行工程目标管理和控制进度支付的依据。</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（3）监理人对承包人提交的上述资料进行复核，以确定分阶段实际完成的工程量和工程形象目标。对其有异议的，可要求承包人按第8.2款约定进行共同复核和抽样复测。</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（4）除按照第15条约定的变更外，总价子目的工程量是承包人用于结算的最终工程量。 </w:t>
      </w:r>
    </w:p>
    <w:p>
      <w:pPr>
        <w:pStyle w:val="67"/>
        <w:ind w:firstLine="118"/>
        <w:rPr>
          <w:rFonts w:ascii="宋体" w:eastAsia="宋体"/>
          <w:color w:val="000000" w:themeColor="text1"/>
          <w:szCs w:val="24"/>
          <w:highlight w:val="none"/>
          <w14:textFill>
            <w14:solidFill>
              <w14:schemeClr w14:val="tx1"/>
            </w14:solidFill>
          </w14:textFill>
        </w:rPr>
      </w:pPr>
      <w:bookmarkStart w:id="859" w:name="_Toc386467130"/>
      <w:bookmarkEnd w:id="859"/>
      <w:bookmarkStart w:id="860" w:name="_Toc43475858"/>
      <w:bookmarkEnd w:id="860"/>
      <w:bookmarkStart w:id="861" w:name="_Toc393546384"/>
      <w:bookmarkEnd w:id="861"/>
      <w:r>
        <w:rPr>
          <w:rFonts w:hint="eastAsia" w:ascii="宋体" w:eastAsia="宋体"/>
          <w:color w:val="000000" w:themeColor="text1"/>
          <w:szCs w:val="24"/>
          <w:highlight w:val="none"/>
          <w14:textFill>
            <w14:solidFill>
              <w14:schemeClr w14:val="tx1"/>
            </w14:solidFill>
          </w14:textFill>
        </w:rPr>
        <w:t>17.2 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17.2.1 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17.2.2 预付款保函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7"/>
        <w:ind w:firstLine="118"/>
        <w:rPr>
          <w:rFonts w:ascii="宋体" w:eastAsia="宋体"/>
          <w:color w:val="000000" w:themeColor="text1"/>
          <w:szCs w:val="24"/>
          <w:highlight w:val="none"/>
          <w14:textFill>
            <w14:solidFill>
              <w14:schemeClr w14:val="tx1"/>
            </w14:solidFill>
          </w14:textFill>
        </w:rPr>
      </w:pPr>
      <w:bookmarkStart w:id="862" w:name="_Toc393546385"/>
      <w:bookmarkEnd w:id="862"/>
      <w:bookmarkStart w:id="863" w:name="_Toc386467131"/>
      <w:bookmarkEnd w:id="863"/>
      <w:bookmarkStart w:id="864" w:name="_Toc43475859"/>
      <w:bookmarkEnd w:id="864"/>
      <w:r>
        <w:rPr>
          <w:rFonts w:hint="eastAsia" w:ascii="宋体" w:eastAsia="宋体"/>
          <w:color w:val="000000" w:themeColor="text1"/>
          <w:szCs w:val="24"/>
          <w:highlight w:val="none"/>
          <w14:textFill>
            <w14:solidFill>
              <w14:schemeClr w14:val="tx1"/>
            </w14:solidFill>
          </w14:textFill>
        </w:rPr>
        <w:t>17.3 工程进度付款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付款周期同计量周期。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17.3.2 进度付款申请单</w:t>
      </w:r>
    </w:p>
    <w:p>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（1）截至本次付款周期末已实施工程的价款；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（2）根据第15条应增加和扣减的变更金额；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（3）根据第23条应增加和扣减的索赔金额；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（4）根据第17.2款约定应支付的预付款和扣减的返还预付款；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（5）根据第17.4.1项约定应扣减的质量保证金；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（6）根据合同应增加和扣减的其他金额。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 进度付款证书和支付时间</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（2）发包人应在监理人收到进度付款申请单后的28天内，将进度应付款支付给承包人。发包人不按期支付的，按专用合同条款的约定支付逾期付款违约金。</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（3）监理人出具进度付款证书，不应视为监理人已同意、批准或接受了承包人完成的该部分工作。</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（4）进度付款涉及政府投资资金的，按照国库集中支付等国家相关规定和专用合同条款的约定办理。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17.3.4 工程进度付款的修正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pPr>
        <w:pStyle w:val="67"/>
        <w:ind w:firstLine="118"/>
        <w:rPr>
          <w:rFonts w:ascii="宋体" w:eastAsia="宋体"/>
          <w:color w:val="000000" w:themeColor="text1"/>
          <w:szCs w:val="24"/>
          <w:highlight w:val="none"/>
          <w14:textFill>
            <w14:solidFill>
              <w14:schemeClr w14:val="tx1"/>
            </w14:solidFill>
          </w14:textFill>
        </w:rPr>
      </w:pPr>
      <w:bookmarkStart w:id="865" w:name="_Toc386467132"/>
      <w:bookmarkEnd w:id="865"/>
      <w:bookmarkStart w:id="866" w:name="_Toc43475860"/>
      <w:bookmarkEnd w:id="866"/>
      <w:bookmarkStart w:id="867" w:name="_Toc393546386"/>
      <w:bookmarkEnd w:id="867"/>
      <w:r>
        <w:rPr>
          <w:rFonts w:hint="eastAsia" w:ascii="宋体" w:eastAsia="宋体"/>
          <w:color w:val="000000" w:themeColor="text1"/>
          <w:szCs w:val="24"/>
          <w:highlight w:val="none"/>
          <w14:textFill>
            <w14:solidFill>
              <w14:schemeClr w14:val="tx1"/>
            </w14:solidFill>
          </w14:textFill>
        </w:rPr>
        <w:t>17.4 质量保证金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7"/>
        <w:ind w:firstLine="118"/>
        <w:rPr>
          <w:rFonts w:ascii="宋体" w:eastAsia="宋体"/>
          <w:color w:val="000000" w:themeColor="text1"/>
          <w:szCs w:val="24"/>
          <w:highlight w:val="none"/>
          <w14:textFill>
            <w14:solidFill>
              <w14:schemeClr w14:val="tx1"/>
            </w14:solidFill>
          </w14:textFill>
        </w:rPr>
      </w:pPr>
      <w:bookmarkStart w:id="868" w:name="_Toc393546387"/>
      <w:bookmarkEnd w:id="868"/>
      <w:bookmarkStart w:id="869" w:name="_Toc386467133"/>
      <w:bookmarkEnd w:id="869"/>
      <w:bookmarkStart w:id="870" w:name="_Toc43475861"/>
      <w:bookmarkEnd w:id="870"/>
      <w:r>
        <w:rPr>
          <w:rFonts w:hint="eastAsia" w:ascii="宋体" w:eastAsia="宋体"/>
          <w:color w:val="000000" w:themeColor="text1"/>
          <w:szCs w:val="24"/>
          <w:highlight w:val="none"/>
          <w14:textFill>
            <w14:solidFill>
              <w14:schemeClr w14:val="tx1"/>
            </w14:solidFill>
          </w14:textFill>
        </w:rPr>
        <w:t>17.5 竣工结算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17.5.1 竣工付款申请单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17.5.2 竣工付款证书及支付时间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（2）发包人应在监理人出具竣工付款证书后的14天内，将应支付款支付给承包人。发包人不按期支付的，按第17.3.3（2）目的约定，将逾期付款违约金支付给承包人。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（3）承包人对发包人签认的竣工付款证书有异议的，发包人可出具竣工付款申请单中承包人已同意部分的临时付款证书。存在争议的部分，按第24条的约定办理。</w:t>
      </w:r>
    </w:p>
    <w:p>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（4）竣工付款涉及政府投资资金的，按第17.3.3（4）目的约定办理。</w:t>
      </w:r>
    </w:p>
    <w:p>
      <w:pPr>
        <w:pStyle w:val="67"/>
        <w:ind w:firstLine="118"/>
        <w:rPr>
          <w:rFonts w:ascii="宋体" w:eastAsia="宋体"/>
          <w:color w:val="000000" w:themeColor="text1"/>
          <w:szCs w:val="24"/>
          <w:highlight w:val="none"/>
          <w14:textFill>
            <w14:solidFill>
              <w14:schemeClr w14:val="tx1"/>
            </w14:solidFill>
          </w14:textFill>
        </w:rPr>
      </w:pPr>
      <w:bookmarkStart w:id="871" w:name="_Toc43475862"/>
      <w:bookmarkEnd w:id="871"/>
      <w:bookmarkStart w:id="872" w:name="_Toc393546388"/>
      <w:bookmarkEnd w:id="872"/>
      <w:bookmarkStart w:id="873" w:name="_Toc386467134"/>
      <w:bookmarkEnd w:id="873"/>
      <w:r>
        <w:rPr>
          <w:rFonts w:hint="eastAsia" w:ascii="宋体" w:eastAsia="宋体"/>
          <w:color w:val="000000" w:themeColor="text1"/>
          <w:szCs w:val="24"/>
          <w:highlight w:val="none"/>
          <w14:textFill>
            <w14:solidFill>
              <w14:schemeClr w14:val="tx1"/>
            </w14:solidFill>
          </w14:textFill>
        </w:rPr>
        <w:t>17.6 最终结清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（1）缺陷责任期终止证书签发后，承包人可按专用合同条款约定的份数和期限向监理人提交最终结清申请单，并提供相关证明材料。</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17.6.2 最终结清证书和支付时间</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（2）发包人应在监理人出具最终结清证书后的14天内，将应支付款支付给承包人。发包人不按期支付的，按第17.3.3（2）目的约定，将逾期付款违约金支付给承包人。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（3）承包人对发包人签认的最终结清证书有异议的，按第24条的约定办理。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（4）最终结清付款涉及政府投资资金的，按第17.3.3（4）目的约定办理。</w:t>
      </w:r>
    </w:p>
    <w:p>
      <w:pPr>
        <w:pStyle w:val="78"/>
        <w:rPr>
          <w:rFonts w:ascii="宋体" w:hAnsi="宋体"/>
          <w:color w:val="000000" w:themeColor="text1"/>
          <w:sz w:val="24"/>
          <w:szCs w:val="24"/>
          <w:highlight w:val="none"/>
          <w14:textFill>
            <w14:solidFill>
              <w14:schemeClr w14:val="tx1"/>
            </w14:solidFill>
          </w14:textFill>
        </w:rPr>
      </w:pPr>
      <w:bookmarkStart w:id="874" w:name="_Toc393546389"/>
      <w:bookmarkEnd w:id="874"/>
      <w:bookmarkStart w:id="875" w:name="_Toc43475863"/>
      <w:bookmarkEnd w:id="875"/>
      <w:bookmarkStart w:id="876" w:name="_Toc386467135"/>
      <w:bookmarkEnd w:id="876"/>
      <w:r>
        <w:rPr>
          <w:rFonts w:hint="eastAsia" w:ascii="宋体" w:hAnsi="宋体"/>
          <w:color w:val="000000" w:themeColor="text1"/>
          <w:sz w:val="24"/>
          <w:szCs w:val="24"/>
          <w:highlight w:val="none"/>
          <w14:textFill>
            <w14:solidFill>
              <w14:schemeClr w14:val="tx1"/>
            </w14:solidFill>
          </w14:textFill>
        </w:rPr>
        <w:t>18. 竣工验收</w:t>
      </w:r>
    </w:p>
    <w:p>
      <w:pPr>
        <w:pStyle w:val="67"/>
        <w:ind w:firstLine="118"/>
        <w:rPr>
          <w:rFonts w:ascii="宋体" w:eastAsia="宋体"/>
          <w:color w:val="000000" w:themeColor="text1"/>
          <w:szCs w:val="24"/>
          <w:highlight w:val="none"/>
          <w14:textFill>
            <w14:solidFill>
              <w14:schemeClr w14:val="tx1"/>
            </w14:solidFill>
          </w14:textFill>
        </w:rPr>
      </w:pPr>
      <w:bookmarkStart w:id="877" w:name="_Toc393546390"/>
      <w:bookmarkEnd w:id="877"/>
      <w:bookmarkStart w:id="878" w:name="_Toc43475864"/>
      <w:bookmarkEnd w:id="878"/>
      <w:bookmarkStart w:id="879" w:name="_Toc152042505"/>
      <w:bookmarkEnd w:id="879"/>
      <w:bookmarkStart w:id="880" w:name="_Toc152045726"/>
      <w:bookmarkEnd w:id="880"/>
      <w:bookmarkStart w:id="881" w:name="_Toc386467136"/>
      <w:bookmarkEnd w:id="881"/>
      <w:bookmarkStart w:id="882" w:name="_Toc179632744"/>
      <w:bookmarkEnd w:id="882"/>
      <w:bookmarkStart w:id="883" w:name="_Toc144974697"/>
      <w:bookmarkEnd w:id="883"/>
      <w:bookmarkStart w:id="884" w:name="_Toc330406331"/>
      <w:bookmarkEnd w:id="884"/>
      <w:r>
        <w:rPr>
          <w:rFonts w:hint="eastAsia" w:ascii="宋体" w:eastAsia="宋体"/>
          <w:color w:val="000000" w:themeColor="text1"/>
          <w:szCs w:val="24"/>
          <w:highlight w:val="none"/>
          <w14:textFill>
            <w14:solidFill>
              <w14:schemeClr w14:val="tx1"/>
            </w14:solidFill>
          </w14:textFill>
        </w:rPr>
        <w:t>18.1 竣工验收的含义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 竣工验收指承包人完成了全部合同工作后，发包人按合同要求进行的验收。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18.1.2 国家验收是政府有关部门根据法律、规范、规程和政策要求，针对发包人全面组织实施的整个工程正式交付投运前的验收。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7"/>
        <w:ind w:firstLine="118"/>
        <w:rPr>
          <w:rFonts w:ascii="宋体" w:eastAsia="宋体"/>
          <w:color w:val="000000" w:themeColor="text1"/>
          <w:szCs w:val="24"/>
          <w:highlight w:val="none"/>
          <w14:textFill>
            <w14:solidFill>
              <w14:schemeClr w14:val="tx1"/>
            </w14:solidFill>
          </w14:textFill>
        </w:rPr>
      </w:pPr>
      <w:bookmarkStart w:id="885" w:name="_Toc393546391"/>
      <w:bookmarkEnd w:id="885"/>
      <w:bookmarkStart w:id="886" w:name="_Toc386467137"/>
      <w:bookmarkEnd w:id="886"/>
      <w:bookmarkStart w:id="887" w:name="_Toc43475865"/>
      <w:bookmarkEnd w:id="887"/>
      <w:r>
        <w:rPr>
          <w:rFonts w:hint="eastAsia" w:ascii="宋体" w:eastAsia="宋体"/>
          <w:color w:val="000000" w:themeColor="text1"/>
          <w:szCs w:val="24"/>
          <w:highlight w:val="none"/>
          <w14:textFill>
            <w14:solidFill>
              <w14:schemeClr w14:val="tx1"/>
            </w14:solidFill>
          </w14:textFill>
        </w:rPr>
        <w:t>18.2 竣工验收申请报告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当工程具备以下条件时，承包人即可向监理人报送竣工验收申请报告：</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（2）已按合同约定的内容和份数备齐了符合要求的竣工资料； </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（3）已按监理人的要求编制了在缺陷责任期内完成的尾工（甩项）工程和缺陷修补工作清单以及相应施工计划；</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（4）监理人要求在竣工验收前应完成的其他工作；</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（5）监理人要求提交的竣工验收资料清单。</w:t>
      </w:r>
    </w:p>
    <w:p>
      <w:pPr>
        <w:pStyle w:val="67"/>
        <w:ind w:firstLine="118"/>
        <w:rPr>
          <w:rFonts w:ascii="宋体" w:eastAsia="宋体"/>
          <w:color w:val="000000" w:themeColor="text1"/>
          <w:szCs w:val="24"/>
          <w:highlight w:val="none"/>
          <w14:textFill>
            <w14:solidFill>
              <w14:schemeClr w14:val="tx1"/>
            </w14:solidFill>
          </w14:textFill>
        </w:rPr>
      </w:pPr>
      <w:bookmarkStart w:id="888" w:name="_Toc393546392"/>
      <w:bookmarkEnd w:id="888"/>
      <w:bookmarkStart w:id="889" w:name="_Toc43475866"/>
      <w:bookmarkEnd w:id="889"/>
      <w:bookmarkStart w:id="890" w:name="_Toc386467138"/>
      <w:bookmarkEnd w:id="890"/>
      <w:r>
        <w:rPr>
          <w:rFonts w:hint="eastAsia" w:ascii="宋体" w:eastAsia="宋体"/>
          <w:color w:val="000000" w:themeColor="text1"/>
          <w:szCs w:val="24"/>
          <w:highlight w:val="none"/>
          <w14:textFill>
            <w14:solidFill>
              <w14:schemeClr w14:val="tx1"/>
            </w14:solidFill>
          </w14:textFill>
        </w:rPr>
        <w:t>18.3 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监理人收到承包人按第18.2款约定提交的竣工验收申请报告后，应审查申请报告的各项内容，并按以下不同情况进行处理。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18.3.2 监理人审查后认为已具备竣工验收条件的，应在收到竣工验收申请报告后的28天内提请发包人进行工程验收。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18.3.5 除专用合同条款另有约定外，经验收合格工程的实际竣工日期，以提交竣工验收申请报告的日期为准，并在工程接收证书中写明。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18.3.6 发包人在收到承包人竣工验收申请报告56天后未进行验收的，视为验收合格，实际竣工日期以提交竣工验收申请报告的日期为准，但发包人由于不可抗力不能进行验收的除外。</w:t>
      </w:r>
    </w:p>
    <w:p>
      <w:pPr>
        <w:pStyle w:val="67"/>
        <w:ind w:firstLine="118"/>
        <w:rPr>
          <w:rFonts w:ascii="宋体" w:eastAsia="宋体"/>
          <w:color w:val="000000" w:themeColor="text1"/>
          <w:szCs w:val="24"/>
          <w:highlight w:val="none"/>
          <w14:textFill>
            <w14:solidFill>
              <w14:schemeClr w14:val="tx1"/>
            </w14:solidFill>
          </w14:textFill>
        </w:rPr>
      </w:pPr>
      <w:bookmarkStart w:id="891" w:name="_Toc144974700"/>
      <w:bookmarkEnd w:id="891"/>
      <w:bookmarkStart w:id="892" w:name="_Toc152045729"/>
      <w:bookmarkEnd w:id="892"/>
      <w:bookmarkStart w:id="893" w:name="_Toc152042508"/>
      <w:bookmarkEnd w:id="893"/>
      <w:bookmarkStart w:id="894" w:name="_Toc179632747"/>
      <w:bookmarkEnd w:id="894"/>
      <w:bookmarkStart w:id="895" w:name="_Toc43475867"/>
      <w:bookmarkEnd w:id="895"/>
      <w:bookmarkStart w:id="896" w:name="_Toc393546393"/>
      <w:bookmarkEnd w:id="896"/>
      <w:bookmarkStart w:id="897" w:name="_Toc330406334"/>
      <w:bookmarkEnd w:id="897"/>
      <w:bookmarkStart w:id="898" w:name="_Toc386467139"/>
      <w:bookmarkEnd w:id="898"/>
      <w:r>
        <w:rPr>
          <w:rFonts w:hint="eastAsia" w:ascii="宋体" w:eastAsia="宋体"/>
          <w:color w:val="000000" w:themeColor="text1"/>
          <w:szCs w:val="24"/>
          <w:highlight w:val="none"/>
          <w14:textFill>
            <w14:solidFill>
              <w14:schemeClr w14:val="tx1"/>
            </w14:solidFill>
          </w14:textFill>
        </w:rPr>
        <w:t>18.4 单位工程验收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18.4.2 发包人在全部工程竣工前，使用已接收的单位工程导致承包人费用增加的，发包人应承担由此增加的费用和（或）工期延误，并支付承包人合理利润。</w:t>
      </w:r>
    </w:p>
    <w:p>
      <w:pPr>
        <w:pStyle w:val="67"/>
        <w:ind w:firstLine="118"/>
        <w:rPr>
          <w:rFonts w:ascii="宋体" w:eastAsia="宋体"/>
          <w:color w:val="000000" w:themeColor="text1"/>
          <w:szCs w:val="24"/>
          <w:highlight w:val="none"/>
          <w14:textFill>
            <w14:solidFill>
              <w14:schemeClr w14:val="tx1"/>
            </w14:solidFill>
          </w14:textFill>
        </w:rPr>
      </w:pPr>
      <w:bookmarkStart w:id="899" w:name="_Toc144974701"/>
      <w:bookmarkEnd w:id="899"/>
      <w:bookmarkStart w:id="900" w:name="_Toc330406335"/>
      <w:bookmarkEnd w:id="900"/>
      <w:bookmarkStart w:id="901" w:name="_Toc179632748"/>
      <w:bookmarkEnd w:id="901"/>
      <w:bookmarkStart w:id="902" w:name="_Toc393546394"/>
      <w:bookmarkEnd w:id="902"/>
      <w:bookmarkStart w:id="903" w:name="_Toc43475868"/>
      <w:bookmarkEnd w:id="903"/>
      <w:bookmarkStart w:id="904" w:name="_Toc386467140"/>
      <w:bookmarkEnd w:id="904"/>
      <w:bookmarkStart w:id="905" w:name="_Toc152045730"/>
      <w:bookmarkEnd w:id="905"/>
      <w:bookmarkStart w:id="906" w:name="_Toc152042509"/>
      <w:bookmarkEnd w:id="906"/>
      <w:r>
        <w:rPr>
          <w:rFonts w:hint="eastAsia" w:ascii="宋体" w:eastAsia="宋体"/>
          <w:color w:val="000000" w:themeColor="text1"/>
          <w:szCs w:val="24"/>
          <w:highlight w:val="none"/>
          <w14:textFill>
            <w14:solidFill>
              <w14:schemeClr w14:val="tx1"/>
            </w14:solidFill>
          </w14:textFill>
        </w:rPr>
        <w:t>18.5 施工期运行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18.5.2 在施工期运行中发现工程或工程设备损坏或存在缺陷的，由承包人按第19.2款约定进行修复。</w:t>
      </w:r>
    </w:p>
    <w:p>
      <w:pPr>
        <w:pStyle w:val="67"/>
        <w:ind w:firstLine="118"/>
        <w:rPr>
          <w:rFonts w:ascii="宋体" w:eastAsia="宋体"/>
          <w:color w:val="000000" w:themeColor="text1"/>
          <w:szCs w:val="24"/>
          <w:highlight w:val="none"/>
          <w14:textFill>
            <w14:solidFill>
              <w14:schemeClr w14:val="tx1"/>
            </w14:solidFill>
          </w14:textFill>
        </w:rPr>
      </w:pPr>
      <w:bookmarkStart w:id="907" w:name="_Toc152042510"/>
      <w:bookmarkEnd w:id="907"/>
      <w:bookmarkStart w:id="908" w:name="_Toc179632749"/>
      <w:bookmarkEnd w:id="908"/>
      <w:bookmarkStart w:id="909" w:name="_Toc152045731"/>
      <w:bookmarkEnd w:id="909"/>
      <w:bookmarkStart w:id="910" w:name="_Toc43475869"/>
      <w:bookmarkEnd w:id="910"/>
      <w:bookmarkStart w:id="911" w:name="_Toc386467141"/>
      <w:bookmarkEnd w:id="911"/>
      <w:bookmarkStart w:id="912" w:name="_Toc144974702"/>
      <w:bookmarkEnd w:id="912"/>
      <w:bookmarkStart w:id="913" w:name="_Toc393546395"/>
      <w:bookmarkEnd w:id="913"/>
      <w:bookmarkStart w:id="914" w:name="_Toc330406336"/>
      <w:bookmarkEnd w:id="914"/>
      <w:r>
        <w:rPr>
          <w:rFonts w:hint="eastAsia" w:ascii="宋体" w:eastAsia="宋体"/>
          <w:color w:val="000000" w:themeColor="text1"/>
          <w:szCs w:val="24"/>
          <w:highlight w:val="none"/>
          <w14:textFill>
            <w14:solidFill>
              <w14:schemeClr w14:val="tx1"/>
            </w14:solidFill>
          </w14:textFill>
        </w:rPr>
        <w:t>18.6 试运行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7"/>
        <w:ind w:firstLine="118"/>
        <w:rPr>
          <w:rFonts w:ascii="宋体" w:eastAsia="宋体"/>
          <w:color w:val="000000" w:themeColor="text1"/>
          <w:szCs w:val="24"/>
          <w:highlight w:val="none"/>
          <w14:textFill>
            <w14:solidFill>
              <w14:schemeClr w14:val="tx1"/>
            </w14:solidFill>
          </w14:textFill>
        </w:rPr>
      </w:pPr>
      <w:bookmarkStart w:id="915" w:name="_Toc152042511"/>
      <w:bookmarkEnd w:id="915"/>
      <w:bookmarkStart w:id="916" w:name="_Toc330406337"/>
      <w:bookmarkEnd w:id="916"/>
      <w:bookmarkStart w:id="917" w:name="_Toc144974703"/>
      <w:bookmarkEnd w:id="917"/>
      <w:bookmarkStart w:id="918" w:name="_Toc393546396"/>
      <w:bookmarkEnd w:id="918"/>
      <w:bookmarkStart w:id="919" w:name="_Toc152045732"/>
      <w:bookmarkEnd w:id="919"/>
      <w:bookmarkStart w:id="920" w:name="_Toc386467142"/>
      <w:bookmarkEnd w:id="920"/>
      <w:bookmarkStart w:id="921" w:name="_Toc179632750"/>
      <w:bookmarkEnd w:id="921"/>
      <w:bookmarkStart w:id="922" w:name="_Toc43475870"/>
      <w:bookmarkEnd w:id="922"/>
      <w:r>
        <w:rPr>
          <w:rFonts w:hint="eastAsia" w:ascii="宋体" w:eastAsia="宋体"/>
          <w:color w:val="000000" w:themeColor="text1"/>
          <w:szCs w:val="24"/>
          <w:highlight w:val="none"/>
          <w14:textFill>
            <w14:solidFill>
              <w14:schemeClr w14:val="tx1"/>
            </w14:solidFill>
          </w14:textFill>
        </w:rPr>
        <w:t>18.7 竣工清场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18.7.1 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（1）施工场地内残留的垃圾已全部清除出场；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（2）临时工程已拆除，场地已按合同要求进行清理、平整或复原；</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（3）按合同约定应撤离的承包人设备和剩余的材料，包括废弃的施工设备和材料，已按计划撤离施工场地；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（4）工程建筑物周边及其附近道路、河道的施工堆积物，已按监理人指示全部清理；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（5）监理人指示的其他场地清理工作已全部完成。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18.7.2 承包人未按监理人的要求恢复临时占地，或者场地清理未达到合同约定的，发包人有权委托其他人恢复或清理，所发生的金额从拟支付给承包人的款项中扣除。</w:t>
      </w:r>
    </w:p>
    <w:p>
      <w:pPr>
        <w:pStyle w:val="67"/>
        <w:ind w:firstLine="118"/>
        <w:rPr>
          <w:rFonts w:ascii="宋体" w:eastAsia="宋体"/>
          <w:color w:val="000000" w:themeColor="text1"/>
          <w:szCs w:val="24"/>
          <w:highlight w:val="none"/>
          <w14:textFill>
            <w14:solidFill>
              <w14:schemeClr w14:val="tx1"/>
            </w14:solidFill>
          </w14:textFill>
        </w:rPr>
      </w:pPr>
      <w:bookmarkStart w:id="923" w:name="_Toc43475871"/>
      <w:bookmarkEnd w:id="923"/>
      <w:bookmarkStart w:id="924" w:name="_Toc393546397"/>
      <w:bookmarkEnd w:id="924"/>
      <w:bookmarkStart w:id="925" w:name="_Toc386467143"/>
      <w:bookmarkEnd w:id="925"/>
      <w:r>
        <w:rPr>
          <w:rFonts w:hint="eastAsia" w:ascii="宋体" w:eastAsia="宋体"/>
          <w:color w:val="000000" w:themeColor="text1"/>
          <w:szCs w:val="24"/>
          <w:highlight w:val="none"/>
          <w14:textFill>
            <w14:solidFill>
              <w14:schemeClr w14:val="tx1"/>
            </w14:solidFill>
          </w14:textFill>
        </w:rPr>
        <w:t>18.8 施工队伍的撤离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78"/>
        <w:rPr>
          <w:rFonts w:ascii="宋体" w:hAnsi="宋体"/>
          <w:color w:val="000000" w:themeColor="text1"/>
          <w:sz w:val="24"/>
          <w:szCs w:val="24"/>
          <w:highlight w:val="none"/>
          <w14:textFill>
            <w14:solidFill>
              <w14:schemeClr w14:val="tx1"/>
            </w14:solidFill>
          </w14:textFill>
        </w:rPr>
      </w:pPr>
      <w:bookmarkStart w:id="926" w:name="_Toc386467144"/>
      <w:bookmarkEnd w:id="926"/>
      <w:bookmarkStart w:id="927" w:name="_Toc43475872"/>
      <w:bookmarkEnd w:id="927"/>
      <w:bookmarkStart w:id="928" w:name="_Toc393546398"/>
      <w:bookmarkEnd w:id="928"/>
      <w:r>
        <w:rPr>
          <w:rFonts w:hint="eastAsia" w:ascii="宋体" w:hAnsi="宋体"/>
          <w:color w:val="000000" w:themeColor="text1"/>
          <w:sz w:val="24"/>
          <w:szCs w:val="24"/>
          <w:highlight w:val="none"/>
          <w14:textFill>
            <w14:solidFill>
              <w14:schemeClr w14:val="tx1"/>
            </w14:solidFill>
          </w14:textFill>
        </w:rPr>
        <w:t>19. 缺陷责任与保修责任</w:t>
      </w:r>
    </w:p>
    <w:p>
      <w:pPr>
        <w:pStyle w:val="67"/>
        <w:ind w:firstLine="118"/>
        <w:rPr>
          <w:rFonts w:ascii="宋体" w:eastAsia="宋体"/>
          <w:color w:val="000000" w:themeColor="text1"/>
          <w:szCs w:val="24"/>
          <w:highlight w:val="none"/>
          <w14:textFill>
            <w14:solidFill>
              <w14:schemeClr w14:val="tx1"/>
            </w14:solidFill>
          </w14:textFill>
        </w:rPr>
      </w:pPr>
      <w:bookmarkStart w:id="929" w:name="_Toc144974706"/>
      <w:bookmarkEnd w:id="929"/>
      <w:bookmarkStart w:id="930" w:name="_Toc330406340"/>
      <w:bookmarkEnd w:id="930"/>
      <w:bookmarkStart w:id="931" w:name="_Toc43475873"/>
      <w:bookmarkEnd w:id="931"/>
      <w:bookmarkStart w:id="932" w:name="_Toc393546399"/>
      <w:bookmarkEnd w:id="932"/>
      <w:bookmarkStart w:id="933" w:name="_Toc152045735"/>
      <w:bookmarkEnd w:id="933"/>
      <w:bookmarkStart w:id="934" w:name="_Toc179632753"/>
      <w:bookmarkEnd w:id="934"/>
      <w:bookmarkStart w:id="935" w:name="_Toc152042514"/>
      <w:bookmarkEnd w:id="935"/>
      <w:bookmarkStart w:id="936" w:name="_Toc386467145"/>
      <w:bookmarkEnd w:id="936"/>
      <w:r>
        <w:rPr>
          <w:rFonts w:hint="eastAsia" w:ascii="宋体" w:eastAsia="宋体"/>
          <w:color w:val="000000" w:themeColor="text1"/>
          <w:szCs w:val="24"/>
          <w:highlight w:val="none"/>
          <w14:textFill>
            <w14:solidFill>
              <w14:schemeClr w14:val="tx1"/>
            </w14:solidFill>
          </w14:textFill>
        </w:rPr>
        <w:t>19.1 缺陷责任期的起算时间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缺陷责任期自实际竣工日期起计算。在全部工程竣工验收前，已经发包人提前验收的单位工程，其缺陷责任期的起算日期相应提前。</w:t>
      </w:r>
    </w:p>
    <w:p>
      <w:pPr>
        <w:pStyle w:val="67"/>
        <w:ind w:firstLine="118"/>
        <w:rPr>
          <w:rFonts w:ascii="宋体" w:eastAsia="宋体"/>
          <w:color w:val="000000" w:themeColor="text1"/>
          <w:szCs w:val="24"/>
          <w:highlight w:val="none"/>
          <w14:textFill>
            <w14:solidFill>
              <w14:schemeClr w14:val="tx1"/>
            </w14:solidFill>
          </w14:textFill>
        </w:rPr>
      </w:pPr>
      <w:bookmarkStart w:id="937" w:name="_Toc386467146"/>
      <w:bookmarkEnd w:id="937"/>
      <w:bookmarkStart w:id="938" w:name="_Toc43475874"/>
      <w:bookmarkEnd w:id="938"/>
      <w:bookmarkStart w:id="939" w:name="_Toc393546400"/>
      <w:bookmarkEnd w:id="939"/>
      <w:r>
        <w:rPr>
          <w:rFonts w:hint="eastAsia" w:ascii="宋体" w:eastAsia="宋体"/>
          <w:color w:val="000000" w:themeColor="text1"/>
          <w:szCs w:val="24"/>
          <w:highlight w:val="none"/>
          <w14:textFill>
            <w14:solidFill>
              <w14:schemeClr w14:val="tx1"/>
            </w14:solidFill>
          </w14:textFill>
        </w:rPr>
        <w:t>19.2 缺陷责任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19.2.1 承包人应在缺陷责任期内对已交付使用的工程承担缺陷责任。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19.2.4 承包人不能在合理时间内修复缺陷的，发包人可自行修复或委托其他人修复，所需费用和利润的承担，按第19.2.3项约定办理。</w:t>
      </w:r>
    </w:p>
    <w:p>
      <w:pPr>
        <w:pStyle w:val="67"/>
        <w:ind w:firstLine="118"/>
        <w:rPr>
          <w:rFonts w:ascii="宋体" w:eastAsia="宋体"/>
          <w:color w:val="000000" w:themeColor="text1"/>
          <w:szCs w:val="24"/>
          <w:highlight w:val="none"/>
          <w14:textFill>
            <w14:solidFill>
              <w14:schemeClr w14:val="tx1"/>
            </w14:solidFill>
          </w14:textFill>
        </w:rPr>
      </w:pPr>
      <w:bookmarkStart w:id="940" w:name="_Toc330406342"/>
      <w:bookmarkEnd w:id="940"/>
      <w:bookmarkStart w:id="941" w:name="_Toc386467147"/>
      <w:bookmarkEnd w:id="941"/>
      <w:bookmarkStart w:id="942" w:name="_Toc152045737"/>
      <w:bookmarkEnd w:id="942"/>
      <w:bookmarkStart w:id="943" w:name="_Toc152042516"/>
      <w:bookmarkEnd w:id="943"/>
      <w:bookmarkStart w:id="944" w:name="_Toc43475875"/>
      <w:bookmarkEnd w:id="944"/>
      <w:bookmarkStart w:id="945" w:name="_Toc144974708"/>
      <w:bookmarkEnd w:id="945"/>
      <w:bookmarkStart w:id="946" w:name="_Toc393546401"/>
      <w:bookmarkEnd w:id="946"/>
      <w:bookmarkStart w:id="947" w:name="_Toc179632755"/>
      <w:bookmarkEnd w:id="947"/>
      <w:r>
        <w:rPr>
          <w:rFonts w:hint="eastAsia" w:ascii="宋体" w:eastAsia="宋体"/>
          <w:color w:val="000000" w:themeColor="text1"/>
          <w:szCs w:val="24"/>
          <w:highlight w:val="none"/>
          <w14:textFill>
            <w14:solidFill>
              <w14:schemeClr w14:val="tx1"/>
            </w14:solidFill>
          </w14:textFill>
        </w:rPr>
        <w:t>19.3 缺陷责任期的延长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由于承包人原因造成某项缺陷或损坏使某项工程或工程设备不能按原定目标使用而需要再次检查、检验和修复的，发包人有权要求承包人相应延长缺陷责任期，但缺陷责任期最长不超过2年。</w:t>
      </w:r>
    </w:p>
    <w:p>
      <w:pPr>
        <w:pStyle w:val="67"/>
        <w:ind w:firstLine="118"/>
        <w:rPr>
          <w:rFonts w:ascii="宋体" w:eastAsia="宋体"/>
          <w:color w:val="000000" w:themeColor="text1"/>
          <w:szCs w:val="24"/>
          <w:highlight w:val="none"/>
          <w14:textFill>
            <w14:solidFill>
              <w14:schemeClr w14:val="tx1"/>
            </w14:solidFill>
          </w14:textFill>
        </w:rPr>
      </w:pPr>
      <w:bookmarkStart w:id="948" w:name="_Toc330406343"/>
      <w:bookmarkEnd w:id="948"/>
      <w:bookmarkStart w:id="949" w:name="_Toc152045738"/>
      <w:bookmarkEnd w:id="949"/>
      <w:bookmarkStart w:id="950" w:name="_Toc393546402"/>
      <w:bookmarkEnd w:id="950"/>
      <w:bookmarkStart w:id="951" w:name="_Toc43475876"/>
      <w:bookmarkEnd w:id="951"/>
      <w:bookmarkStart w:id="952" w:name="_Toc386467148"/>
      <w:bookmarkEnd w:id="952"/>
      <w:bookmarkStart w:id="953" w:name="_Toc144974709"/>
      <w:bookmarkEnd w:id="953"/>
      <w:bookmarkStart w:id="954" w:name="_Toc152042517"/>
      <w:bookmarkEnd w:id="954"/>
      <w:bookmarkStart w:id="955" w:name="_Toc179632756"/>
      <w:bookmarkEnd w:id="955"/>
      <w:r>
        <w:rPr>
          <w:rFonts w:hint="eastAsia" w:ascii="宋体" w:eastAsia="宋体"/>
          <w:color w:val="000000" w:themeColor="text1"/>
          <w:szCs w:val="24"/>
          <w:highlight w:val="none"/>
          <w14:textFill>
            <w14:solidFill>
              <w14:schemeClr w14:val="tx1"/>
            </w14:solidFill>
          </w14:textFill>
        </w:rPr>
        <w:t>19.4 进一步试验和试运行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pPr>
        <w:pStyle w:val="67"/>
        <w:ind w:firstLine="118"/>
        <w:rPr>
          <w:rFonts w:ascii="宋体" w:eastAsia="宋体"/>
          <w:color w:val="000000" w:themeColor="text1"/>
          <w:szCs w:val="24"/>
          <w:highlight w:val="none"/>
          <w14:textFill>
            <w14:solidFill>
              <w14:schemeClr w14:val="tx1"/>
            </w14:solidFill>
          </w14:textFill>
        </w:rPr>
      </w:pPr>
      <w:bookmarkStart w:id="956" w:name="_Toc43475877"/>
      <w:bookmarkEnd w:id="956"/>
      <w:bookmarkStart w:id="957" w:name="_Toc386467149"/>
      <w:bookmarkEnd w:id="957"/>
      <w:bookmarkStart w:id="958" w:name="_Toc393546403"/>
      <w:bookmarkEnd w:id="958"/>
      <w:r>
        <w:rPr>
          <w:rFonts w:hint="eastAsia" w:ascii="宋体" w:eastAsia="宋体"/>
          <w:color w:val="000000" w:themeColor="text1"/>
          <w:szCs w:val="24"/>
          <w:highlight w:val="none"/>
          <w14:textFill>
            <w14:solidFill>
              <w14:schemeClr w14:val="tx1"/>
            </w14:solidFill>
          </w14:textFill>
        </w:rPr>
        <w:t>19.5 承包人的进入权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缺陷责任期内承包人为缺陷修复工作需要，有权进入工程现场，但应遵守发包人的保安和保密规定。</w:t>
      </w:r>
    </w:p>
    <w:p>
      <w:pPr>
        <w:pStyle w:val="67"/>
        <w:ind w:firstLine="118"/>
        <w:rPr>
          <w:rFonts w:ascii="宋体" w:eastAsia="宋体"/>
          <w:color w:val="000000" w:themeColor="text1"/>
          <w:szCs w:val="24"/>
          <w:highlight w:val="none"/>
          <w14:textFill>
            <w14:solidFill>
              <w14:schemeClr w14:val="tx1"/>
            </w14:solidFill>
          </w14:textFill>
        </w:rPr>
      </w:pPr>
      <w:bookmarkStart w:id="959" w:name="_Toc43475878"/>
      <w:bookmarkEnd w:id="959"/>
      <w:bookmarkStart w:id="960" w:name="_Toc152045740"/>
      <w:bookmarkEnd w:id="960"/>
      <w:bookmarkStart w:id="961" w:name="_Toc393546404"/>
      <w:bookmarkEnd w:id="961"/>
      <w:bookmarkStart w:id="962" w:name="_Toc144974711"/>
      <w:bookmarkEnd w:id="962"/>
      <w:bookmarkStart w:id="963" w:name="_Toc179632758"/>
      <w:bookmarkEnd w:id="963"/>
      <w:bookmarkStart w:id="964" w:name="_Toc386467150"/>
      <w:bookmarkEnd w:id="964"/>
      <w:bookmarkStart w:id="965" w:name="_Toc330406345"/>
      <w:bookmarkEnd w:id="965"/>
      <w:bookmarkStart w:id="966" w:name="_Toc152042519"/>
      <w:bookmarkEnd w:id="966"/>
      <w:r>
        <w:rPr>
          <w:rFonts w:hint="eastAsia" w:ascii="宋体" w:eastAsia="宋体"/>
          <w:color w:val="000000" w:themeColor="text1"/>
          <w:szCs w:val="24"/>
          <w:highlight w:val="none"/>
          <w14:textFill>
            <w14:solidFill>
              <w14:schemeClr w14:val="tx1"/>
            </w14:solidFill>
          </w14:textFill>
        </w:rPr>
        <w:t>19.6 缺陷责任期终止证书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在第1.1.4.5目约定的缺陷责任期，包括根据第19.3款延长的期限终止后14天内，由监理人向承包人出具经发包人签认的缺陷责任期终止证书，并退还剩余的质量保证金。</w:t>
      </w:r>
    </w:p>
    <w:p>
      <w:pPr>
        <w:pStyle w:val="67"/>
        <w:ind w:firstLine="118"/>
        <w:rPr>
          <w:rFonts w:ascii="宋体" w:eastAsia="宋体"/>
          <w:color w:val="000000" w:themeColor="text1"/>
          <w:szCs w:val="24"/>
          <w:highlight w:val="none"/>
          <w14:textFill>
            <w14:solidFill>
              <w14:schemeClr w14:val="tx1"/>
            </w14:solidFill>
          </w14:textFill>
        </w:rPr>
      </w:pPr>
      <w:bookmarkStart w:id="967" w:name="_Toc386467151"/>
      <w:bookmarkEnd w:id="967"/>
      <w:bookmarkStart w:id="968" w:name="_Toc43475879"/>
      <w:bookmarkEnd w:id="968"/>
      <w:bookmarkStart w:id="969" w:name="_Toc393546405"/>
      <w:bookmarkEnd w:id="969"/>
      <w:r>
        <w:rPr>
          <w:rFonts w:hint="eastAsia" w:ascii="宋体" w:eastAsia="宋体"/>
          <w:color w:val="000000" w:themeColor="text1"/>
          <w:szCs w:val="24"/>
          <w:highlight w:val="none"/>
          <w14:textFill>
            <w14:solidFill>
              <w14:schemeClr w14:val="tx1"/>
            </w14:solidFill>
          </w14:textFill>
        </w:rPr>
        <w:t>19.7 保修责任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78"/>
        <w:rPr>
          <w:rFonts w:ascii="宋体" w:hAnsi="宋体"/>
          <w:color w:val="000000" w:themeColor="text1"/>
          <w:sz w:val="24"/>
          <w:szCs w:val="24"/>
          <w:highlight w:val="none"/>
          <w14:textFill>
            <w14:solidFill>
              <w14:schemeClr w14:val="tx1"/>
            </w14:solidFill>
          </w14:textFill>
        </w:rPr>
      </w:pPr>
      <w:bookmarkStart w:id="970" w:name="_Toc43475880"/>
      <w:bookmarkEnd w:id="970"/>
      <w:bookmarkStart w:id="971" w:name="_Toc393546406"/>
      <w:bookmarkEnd w:id="971"/>
      <w:bookmarkStart w:id="972" w:name="_Toc386467152"/>
      <w:bookmarkEnd w:id="972"/>
      <w:r>
        <w:rPr>
          <w:rFonts w:hint="eastAsia" w:ascii="宋体" w:hAnsi="宋体"/>
          <w:color w:val="000000" w:themeColor="text1"/>
          <w:sz w:val="24"/>
          <w:szCs w:val="24"/>
          <w:highlight w:val="none"/>
          <w14:textFill>
            <w14:solidFill>
              <w14:schemeClr w14:val="tx1"/>
            </w14:solidFill>
          </w14:textFill>
        </w:rPr>
        <w:t>20. 保险</w:t>
      </w:r>
    </w:p>
    <w:p>
      <w:pPr>
        <w:pStyle w:val="67"/>
        <w:ind w:firstLine="118"/>
        <w:rPr>
          <w:rFonts w:ascii="宋体" w:eastAsia="宋体"/>
          <w:color w:val="000000" w:themeColor="text1"/>
          <w:szCs w:val="24"/>
          <w:highlight w:val="none"/>
          <w14:textFill>
            <w14:solidFill>
              <w14:schemeClr w14:val="tx1"/>
            </w14:solidFill>
          </w14:textFill>
        </w:rPr>
      </w:pPr>
      <w:bookmarkStart w:id="973" w:name="_Toc386467153"/>
      <w:bookmarkEnd w:id="973"/>
      <w:bookmarkStart w:id="974" w:name="_Toc43475881"/>
      <w:bookmarkEnd w:id="974"/>
      <w:bookmarkStart w:id="975" w:name="_Toc393546407"/>
      <w:bookmarkEnd w:id="975"/>
      <w:r>
        <w:rPr>
          <w:rFonts w:hint="eastAsia" w:ascii="宋体" w:eastAsia="宋体"/>
          <w:color w:val="000000" w:themeColor="text1"/>
          <w:szCs w:val="24"/>
          <w:highlight w:val="none"/>
          <w14:textFill>
            <w14:solidFill>
              <w14:schemeClr w14:val="tx1"/>
            </w14:solidFill>
          </w14:textFill>
        </w:rPr>
        <w:t>20.1 工程保险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7"/>
        <w:ind w:firstLine="118"/>
        <w:rPr>
          <w:rFonts w:ascii="宋体" w:eastAsia="宋体"/>
          <w:color w:val="000000" w:themeColor="text1"/>
          <w:szCs w:val="24"/>
          <w:highlight w:val="none"/>
          <w14:textFill>
            <w14:solidFill>
              <w14:schemeClr w14:val="tx1"/>
            </w14:solidFill>
          </w14:textFill>
        </w:rPr>
      </w:pPr>
      <w:bookmarkStart w:id="976" w:name="_Toc144974715"/>
      <w:bookmarkEnd w:id="976"/>
      <w:bookmarkStart w:id="977" w:name="_Toc330406349"/>
      <w:bookmarkEnd w:id="977"/>
      <w:bookmarkStart w:id="978" w:name="_Toc152042523"/>
      <w:bookmarkEnd w:id="978"/>
      <w:bookmarkStart w:id="979" w:name="_Toc393546408"/>
      <w:bookmarkEnd w:id="979"/>
      <w:bookmarkStart w:id="980" w:name="_Toc152045744"/>
      <w:bookmarkEnd w:id="980"/>
      <w:bookmarkStart w:id="981" w:name="_Toc179632762"/>
      <w:bookmarkEnd w:id="981"/>
      <w:bookmarkStart w:id="982" w:name="_Toc43475882"/>
      <w:bookmarkEnd w:id="982"/>
      <w:bookmarkStart w:id="983" w:name="_Toc386467154"/>
      <w:bookmarkEnd w:id="983"/>
      <w:r>
        <w:rPr>
          <w:rFonts w:hint="eastAsia" w:ascii="宋体" w:eastAsia="宋体"/>
          <w:color w:val="000000" w:themeColor="text1"/>
          <w:szCs w:val="24"/>
          <w:highlight w:val="none"/>
          <w14:textFill>
            <w14:solidFill>
              <w14:schemeClr w14:val="tx1"/>
            </w14:solidFill>
          </w14:textFill>
        </w:rPr>
        <w:t>20.2 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 发包人员工伤事故的保险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发包人应依照有关法律规定参加工伤保险，为其现场机构雇佣的全部人员，缴纳工伤保险费，并要求其监理人也进行此项保险。</w:t>
      </w:r>
    </w:p>
    <w:p>
      <w:pPr>
        <w:pStyle w:val="67"/>
        <w:ind w:firstLine="118"/>
        <w:rPr>
          <w:rFonts w:ascii="宋体" w:eastAsia="宋体"/>
          <w:color w:val="000000" w:themeColor="text1"/>
          <w:szCs w:val="24"/>
          <w:highlight w:val="none"/>
          <w14:textFill>
            <w14:solidFill>
              <w14:schemeClr w14:val="tx1"/>
            </w14:solidFill>
          </w14:textFill>
        </w:rPr>
      </w:pPr>
      <w:bookmarkStart w:id="984" w:name="_Toc152045745"/>
      <w:bookmarkEnd w:id="984"/>
      <w:bookmarkStart w:id="985" w:name="_Toc179632763"/>
      <w:bookmarkEnd w:id="985"/>
      <w:bookmarkStart w:id="986" w:name="_Toc43475883"/>
      <w:bookmarkEnd w:id="986"/>
      <w:bookmarkStart w:id="987" w:name="_Toc144974716"/>
      <w:bookmarkEnd w:id="987"/>
      <w:bookmarkStart w:id="988" w:name="_Toc152042524"/>
      <w:bookmarkEnd w:id="988"/>
      <w:bookmarkStart w:id="989" w:name="_Toc393546409"/>
      <w:bookmarkEnd w:id="989"/>
      <w:bookmarkStart w:id="990" w:name="_Toc330406350"/>
      <w:bookmarkEnd w:id="990"/>
      <w:bookmarkStart w:id="991" w:name="_Toc386467155"/>
      <w:bookmarkEnd w:id="991"/>
      <w:r>
        <w:rPr>
          <w:rFonts w:hint="eastAsia" w:ascii="宋体" w:eastAsia="宋体"/>
          <w:color w:val="000000" w:themeColor="text1"/>
          <w:szCs w:val="24"/>
          <w:highlight w:val="none"/>
          <w14:textFill>
            <w14:solidFill>
              <w14:schemeClr w14:val="tx1"/>
            </w14:solidFill>
          </w14:textFill>
        </w:rPr>
        <w:t>20.3 人身意外伤害险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发包人应在整个施工期间为其现场机构雇用的全部人员，投保人身意外伤害险，缴纳保险费，并要求其监理人也进行此项保险。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承包人应在整个施工期间为其现场机构雇用的全部人员，投保人身意外伤害险，缴纳保险费，并要求其分包人也进行此项保险。</w:t>
      </w:r>
    </w:p>
    <w:p>
      <w:pPr>
        <w:pStyle w:val="67"/>
        <w:ind w:firstLine="118"/>
        <w:rPr>
          <w:rFonts w:ascii="宋体" w:eastAsia="宋体"/>
          <w:color w:val="000000" w:themeColor="text1"/>
          <w:szCs w:val="24"/>
          <w:highlight w:val="none"/>
          <w14:textFill>
            <w14:solidFill>
              <w14:schemeClr w14:val="tx1"/>
            </w14:solidFill>
          </w14:textFill>
        </w:rPr>
      </w:pPr>
      <w:bookmarkStart w:id="992" w:name="_Toc386467156"/>
      <w:bookmarkEnd w:id="992"/>
      <w:bookmarkStart w:id="993" w:name="_Toc393546410"/>
      <w:bookmarkEnd w:id="993"/>
      <w:bookmarkStart w:id="994" w:name="_Toc43475884"/>
      <w:bookmarkEnd w:id="994"/>
      <w:r>
        <w:rPr>
          <w:rFonts w:hint="eastAsia" w:ascii="宋体" w:eastAsia="宋体"/>
          <w:color w:val="000000" w:themeColor="text1"/>
          <w:szCs w:val="24"/>
          <w:highlight w:val="none"/>
          <w14:textFill>
            <w14:solidFill>
              <w14:schemeClr w14:val="tx1"/>
            </w14:solidFill>
          </w14:textFill>
        </w:rPr>
        <w:t>20.4 第三者责任险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20.4.2 在缺陷责任期终止证书颁发前，承包人应以承包人和发包人的共同名义，投保第20.4.1项约定的第三者责任险，其保险费率、保险金额等有关内容在专用合同条款中约定。</w:t>
      </w:r>
    </w:p>
    <w:p>
      <w:pPr>
        <w:pStyle w:val="67"/>
        <w:ind w:firstLine="118"/>
        <w:rPr>
          <w:rFonts w:ascii="宋体" w:eastAsia="宋体"/>
          <w:color w:val="000000" w:themeColor="text1"/>
          <w:szCs w:val="24"/>
          <w:highlight w:val="none"/>
          <w14:textFill>
            <w14:solidFill>
              <w14:schemeClr w14:val="tx1"/>
            </w14:solidFill>
          </w14:textFill>
        </w:rPr>
      </w:pPr>
      <w:bookmarkStart w:id="995" w:name="_Toc393546411"/>
      <w:bookmarkEnd w:id="995"/>
      <w:bookmarkStart w:id="996" w:name="_Toc43475885"/>
      <w:bookmarkEnd w:id="996"/>
      <w:bookmarkStart w:id="997" w:name="_Toc386467157"/>
      <w:bookmarkEnd w:id="997"/>
      <w:r>
        <w:rPr>
          <w:rFonts w:hint="eastAsia" w:ascii="宋体" w:eastAsia="宋体"/>
          <w:color w:val="000000" w:themeColor="text1"/>
          <w:szCs w:val="24"/>
          <w:highlight w:val="none"/>
          <w14:textFill>
            <w14:solidFill>
              <w14:schemeClr w14:val="tx1"/>
            </w14:solidFill>
          </w14:textFill>
        </w:rPr>
        <w:t>20.5 其他保险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除专用合同条款另有约定外，承包人应为其施工设备、进场的材料和工程设备等办理保险。</w:t>
      </w:r>
    </w:p>
    <w:p>
      <w:pPr>
        <w:pStyle w:val="67"/>
        <w:ind w:firstLine="118"/>
        <w:rPr>
          <w:rFonts w:ascii="宋体" w:eastAsia="宋体"/>
          <w:color w:val="000000" w:themeColor="text1"/>
          <w:szCs w:val="24"/>
          <w:highlight w:val="none"/>
          <w14:textFill>
            <w14:solidFill>
              <w14:schemeClr w14:val="tx1"/>
            </w14:solidFill>
          </w14:textFill>
        </w:rPr>
      </w:pPr>
      <w:bookmarkStart w:id="998" w:name="_Toc393546412"/>
      <w:bookmarkEnd w:id="998"/>
      <w:bookmarkStart w:id="999" w:name="_Toc386467158"/>
      <w:bookmarkEnd w:id="999"/>
      <w:bookmarkStart w:id="1000" w:name="_Toc43475886"/>
      <w:bookmarkEnd w:id="1000"/>
      <w:r>
        <w:rPr>
          <w:rFonts w:hint="eastAsia" w:ascii="宋体" w:eastAsia="宋体"/>
          <w:color w:val="000000" w:themeColor="text1"/>
          <w:szCs w:val="24"/>
          <w:highlight w:val="none"/>
          <w14:textFill>
            <w14:solidFill>
              <w14:schemeClr w14:val="tx1"/>
            </w14:solidFill>
          </w14:textFill>
        </w:rPr>
        <w:t>20.6 对各项保险的一般要求</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20.6.1 保险凭证</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20.6.2 保险合同条款的变动</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20.6.3 持续保险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承包人应与保险人保持联系，使保险人能够随时了解工程实施中的变动，并确保按保险合同条款要求持续保险。</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20.6.4 保险金不足的补偿</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保险金不足以补偿损失的，应由承包人和（或）发包人按合同约定负责补偿。</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20.6.5 未按约定投保的补救</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20.6.6 报告义务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当保险事故发生时，投保人应按照保险单规定的条件和期限及时向保险人报告。</w:t>
      </w:r>
    </w:p>
    <w:p>
      <w:pPr>
        <w:pStyle w:val="78"/>
        <w:rPr>
          <w:rFonts w:ascii="宋体" w:hAnsi="宋体"/>
          <w:color w:val="000000" w:themeColor="text1"/>
          <w:sz w:val="24"/>
          <w:szCs w:val="24"/>
          <w:highlight w:val="none"/>
          <w14:textFill>
            <w14:solidFill>
              <w14:schemeClr w14:val="tx1"/>
            </w14:solidFill>
          </w14:textFill>
        </w:rPr>
      </w:pPr>
      <w:bookmarkStart w:id="1001" w:name="_Toc386467159"/>
      <w:bookmarkEnd w:id="1001"/>
      <w:bookmarkStart w:id="1002" w:name="_Toc393546413"/>
      <w:bookmarkEnd w:id="1002"/>
      <w:bookmarkStart w:id="1003" w:name="_Toc43475887"/>
      <w:bookmarkEnd w:id="1003"/>
      <w:r>
        <w:rPr>
          <w:rFonts w:hint="eastAsia" w:ascii="宋体" w:hAnsi="宋体"/>
          <w:color w:val="000000" w:themeColor="text1"/>
          <w:sz w:val="24"/>
          <w:szCs w:val="24"/>
          <w:highlight w:val="none"/>
          <w14:textFill>
            <w14:solidFill>
              <w14:schemeClr w14:val="tx1"/>
            </w14:solidFill>
          </w14:textFill>
        </w:rPr>
        <w:t>21. 不可抗力</w:t>
      </w:r>
    </w:p>
    <w:p>
      <w:pPr>
        <w:pStyle w:val="67"/>
        <w:ind w:firstLine="118"/>
        <w:rPr>
          <w:rFonts w:ascii="宋体" w:eastAsia="宋体"/>
          <w:color w:val="000000" w:themeColor="text1"/>
          <w:szCs w:val="24"/>
          <w:highlight w:val="none"/>
          <w14:textFill>
            <w14:solidFill>
              <w14:schemeClr w14:val="tx1"/>
            </w14:solidFill>
          </w14:textFill>
        </w:rPr>
      </w:pPr>
      <w:bookmarkStart w:id="1004" w:name="_Toc393546414"/>
      <w:bookmarkEnd w:id="1004"/>
      <w:bookmarkStart w:id="1005" w:name="_Toc43475888"/>
      <w:bookmarkEnd w:id="1005"/>
      <w:bookmarkStart w:id="1006" w:name="_Toc386467160"/>
      <w:bookmarkEnd w:id="1006"/>
      <w:r>
        <w:rPr>
          <w:rFonts w:hint="eastAsia" w:ascii="宋体" w:eastAsia="宋体"/>
          <w:color w:val="000000" w:themeColor="text1"/>
          <w:szCs w:val="24"/>
          <w:highlight w:val="none"/>
          <w14:textFill>
            <w14:solidFill>
              <w14:schemeClr w14:val="tx1"/>
            </w14:solidFill>
          </w14:textFill>
        </w:rPr>
        <w:t>21.1 不可抗力的确认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7"/>
        <w:ind w:firstLine="118"/>
        <w:rPr>
          <w:rFonts w:ascii="宋体" w:eastAsia="宋体"/>
          <w:color w:val="000000" w:themeColor="text1"/>
          <w:szCs w:val="24"/>
          <w:highlight w:val="none"/>
          <w14:textFill>
            <w14:solidFill>
              <w14:schemeClr w14:val="tx1"/>
            </w14:solidFill>
          </w14:textFill>
        </w:rPr>
      </w:pPr>
      <w:bookmarkStart w:id="1007" w:name="_Toc43475889"/>
      <w:bookmarkEnd w:id="1007"/>
      <w:bookmarkStart w:id="1008" w:name="_Toc393546415"/>
      <w:bookmarkEnd w:id="1008"/>
      <w:bookmarkStart w:id="1009" w:name="_Toc330406356"/>
      <w:bookmarkEnd w:id="1009"/>
      <w:bookmarkStart w:id="1010" w:name="_Toc152045751"/>
      <w:bookmarkEnd w:id="1010"/>
      <w:bookmarkStart w:id="1011" w:name="_Toc144974722"/>
      <w:bookmarkEnd w:id="1011"/>
      <w:bookmarkStart w:id="1012" w:name="_Toc386467161"/>
      <w:bookmarkEnd w:id="1012"/>
      <w:bookmarkStart w:id="1013" w:name="_Toc179632769"/>
      <w:bookmarkEnd w:id="1013"/>
      <w:bookmarkStart w:id="1014" w:name="_Toc152042530"/>
      <w:bookmarkEnd w:id="1014"/>
      <w:r>
        <w:rPr>
          <w:rFonts w:hint="eastAsia" w:ascii="宋体" w:eastAsia="宋体"/>
          <w:color w:val="000000" w:themeColor="text1"/>
          <w:szCs w:val="24"/>
          <w:highlight w:val="none"/>
          <w14:textFill>
            <w14:solidFill>
              <w14:schemeClr w14:val="tx1"/>
            </w14:solidFill>
          </w14:textFill>
        </w:rPr>
        <w:t>21.2 不可抗力的通知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如不可抗力持续发生，合同一方当事人应及时向合同另一方当事人和监理人提交中间报告，说明不可抗力和履行合同受阻的情况，并于不可抗力事件结束后28天内提交最终报告及有关资料。</w:t>
      </w:r>
    </w:p>
    <w:p>
      <w:pPr>
        <w:pStyle w:val="67"/>
        <w:ind w:firstLine="118"/>
        <w:rPr>
          <w:rFonts w:ascii="宋体" w:eastAsia="宋体"/>
          <w:color w:val="000000" w:themeColor="text1"/>
          <w:szCs w:val="24"/>
          <w:highlight w:val="none"/>
          <w14:textFill>
            <w14:solidFill>
              <w14:schemeClr w14:val="tx1"/>
            </w14:solidFill>
          </w14:textFill>
        </w:rPr>
      </w:pPr>
      <w:bookmarkStart w:id="1015" w:name="_Toc386467162"/>
      <w:bookmarkEnd w:id="1015"/>
      <w:bookmarkStart w:id="1016" w:name="_Toc43475890"/>
      <w:bookmarkEnd w:id="1016"/>
      <w:bookmarkStart w:id="1017" w:name="_Toc393546416"/>
      <w:bookmarkEnd w:id="1017"/>
      <w:r>
        <w:rPr>
          <w:rFonts w:hint="eastAsia" w:ascii="宋体" w:eastAsia="宋体"/>
          <w:color w:val="000000" w:themeColor="text1"/>
          <w:szCs w:val="24"/>
          <w:highlight w:val="none"/>
          <w14:textFill>
            <w14:solidFill>
              <w14:schemeClr w14:val="tx1"/>
            </w14:solidFill>
          </w14:textFill>
        </w:rPr>
        <w:t>21.3 不可抗力后果及其处理</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除专用合同条款另有约定外，不可抗力导致的人员伤亡、财产损失、费用增加和（或）工期延误等后果，由合同双方按以下原则承担：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（1）永久工程，包括已运至施工场地的材料和工程设备的损害，以及因工程损害造成的第三者人员伤亡和财产损失由发包人承担；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（2）承包人设备的损坏由承包人承担；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（3）发包人和承包人各自承担其人员伤亡和其他财产损失及其相关费用；</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（4）承包人的停工损失由承包人承担，但停工期间应监理人要求照管工程和清理、修复工程的金额由发包人承担；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 延迟履行期间发生的不可抗力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合同一方当事人延迟履行，在延迟履行期间发生不可抗力的，不免除其责任。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 避免和减少不可抗力损失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 因不可抗力解除合同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78"/>
        <w:rPr>
          <w:rFonts w:ascii="宋体" w:hAnsi="宋体"/>
          <w:color w:val="000000" w:themeColor="text1"/>
          <w:sz w:val="24"/>
          <w:szCs w:val="24"/>
          <w:highlight w:val="none"/>
          <w14:textFill>
            <w14:solidFill>
              <w14:schemeClr w14:val="tx1"/>
            </w14:solidFill>
          </w14:textFill>
        </w:rPr>
      </w:pPr>
      <w:bookmarkStart w:id="1018" w:name="_Toc386467163"/>
      <w:bookmarkEnd w:id="1018"/>
      <w:bookmarkStart w:id="1019" w:name="_Toc393546417"/>
      <w:bookmarkEnd w:id="1019"/>
      <w:bookmarkStart w:id="1020" w:name="_Toc43475891"/>
      <w:bookmarkEnd w:id="1020"/>
      <w:r>
        <w:rPr>
          <w:rFonts w:hint="eastAsia" w:ascii="宋体" w:hAnsi="宋体"/>
          <w:color w:val="000000" w:themeColor="text1"/>
          <w:sz w:val="24"/>
          <w:szCs w:val="24"/>
          <w:highlight w:val="none"/>
          <w14:textFill>
            <w14:solidFill>
              <w14:schemeClr w14:val="tx1"/>
            </w14:solidFill>
          </w14:textFill>
        </w:rPr>
        <w:t>22. 违约</w:t>
      </w:r>
    </w:p>
    <w:p>
      <w:pPr>
        <w:pStyle w:val="67"/>
        <w:ind w:firstLine="118"/>
        <w:rPr>
          <w:rFonts w:ascii="宋体" w:eastAsia="宋体"/>
          <w:color w:val="000000" w:themeColor="text1"/>
          <w:szCs w:val="24"/>
          <w:highlight w:val="none"/>
          <w14:textFill>
            <w14:solidFill>
              <w14:schemeClr w14:val="tx1"/>
            </w14:solidFill>
          </w14:textFill>
        </w:rPr>
      </w:pPr>
      <w:bookmarkStart w:id="1021" w:name="_Toc43475892"/>
      <w:bookmarkEnd w:id="1021"/>
      <w:bookmarkStart w:id="1022" w:name="_Toc386467164"/>
      <w:bookmarkEnd w:id="1022"/>
      <w:bookmarkStart w:id="1023" w:name="_Toc393546418"/>
      <w:bookmarkEnd w:id="1023"/>
      <w:r>
        <w:rPr>
          <w:rFonts w:hint="eastAsia" w:ascii="宋体" w:eastAsia="宋体"/>
          <w:color w:val="000000" w:themeColor="text1"/>
          <w:szCs w:val="24"/>
          <w:highlight w:val="none"/>
          <w14:textFill>
            <w14:solidFill>
              <w14:schemeClr w14:val="tx1"/>
            </w14:solidFill>
          </w14:textFill>
        </w:rPr>
        <w:t>22.1 承包人违约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22.1.1 承包人违约的情形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在履行合同过程中发生的下列情况属承包人违约：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（1）承包人违反第1.8款或第4.3款的约定，私自将合同的全部或部分权利转让给其他人，或私自将合同的全部或部分义务转移给其他人；</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（2）承包人违反第5.3款或第6.4款的约定，未经监理人批准，私自将已按合同约定进入施工场地的施工设备、临时设施或材料撤离施工场地；</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（3）承包人违反第5.4款的约定使用了不合格材料或工程设备，工程质量达不到标准要求，又拒绝清除不合格工程；</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（4）承包人未能按合同进度计划及时完成合同约定的工作，已造成或预期造成工期延误；</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（6）承包人无法继续履行或明确表示不履行或实质上已停止履行合同；</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（7）承包人不按合同约定履行义务的其他情况。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（1）承包人发生第22.1.1（6）目约定的违约情况时，发包人可通知承包人立即解除合同，并按有关法律处理。</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（3）经检查证明承包人已采取了有效措施纠正违约行为，具备复工条件的，可由监理人签发复工通知复工。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22.1.3 承包人违约解除合同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22.1.4 合同解除后的估价、付款和结清</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（1）合同解除后，监理人按第3.5款商定或确定承包人实际完成工作的价值，以及承包人已提供的材料、施工设备、工程设备和临时工程等的价值。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（2）合同解除后，发包人应暂停对承包人的一切付款，查清各项付款和已扣款金额，包括承包人应支付的违约金。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（3）合同解除后，发包人应按第23.4款的约定向承包人索赔由于解除合同给发包人造成的损失。</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（4）合同双方确认上述往来款项后，出具最终结清付款证书，结清全部合同款项。</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（5）发包人和承包人未能就解除合同后的结清达成一致而形成争议的，按第24条的约定办理。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22.1.5 协议利益的转让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22.1.6 紧急情况下无能力或不愿进行抢救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7"/>
        <w:ind w:firstLine="118"/>
        <w:rPr>
          <w:rFonts w:ascii="宋体" w:eastAsia="宋体"/>
          <w:color w:val="000000" w:themeColor="text1"/>
          <w:szCs w:val="24"/>
          <w:highlight w:val="none"/>
          <w14:textFill>
            <w14:solidFill>
              <w14:schemeClr w14:val="tx1"/>
            </w14:solidFill>
          </w14:textFill>
        </w:rPr>
      </w:pPr>
      <w:bookmarkStart w:id="1024" w:name="_Toc43475893"/>
      <w:bookmarkEnd w:id="1024"/>
      <w:bookmarkStart w:id="1025" w:name="_Toc393546419"/>
      <w:bookmarkEnd w:id="1025"/>
      <w:bookmarkStart w:id="1026" w:name="_Toc386467165"/>
      <w:bookmarkEnd w:id="1026"/>
      <w:r>
        <w:rPr>
          <w:rFonts w:hint="eastAsia" w:ascii="宋体" w:eastAsia="宋体"/>
          <w:color w:val="000000" w:themeColor="text1"/>
          <w:szCs w:val="24"/>
          <w:highlight w:val="none"/>
          <w14:textFill>
            <w14:solidFill>
              <w14:schemeClr w14:val="tx1"/>
            </w14:solidFill>
          </w14:textFill>
        </w:rPr>
        <w:t>22.2 发包人违约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发包人违约的情形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在履行合同过程中发生的下列情形，属发包人违约：</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（1）发包人未能按合同约定支付预付款或合同价款，或拖延、拒绝批准付款申请和支付凭证，导致付款延误的；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（2）发包人原因造成停工的；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（3）监理人无正当理由没有在约定期限内发出复工指示，导致承包人无法复工的；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（4）发包人无法继续履行或明确表示不履行或实质上已停止履行合同的；</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（5）发包人不履行合同约定其他义务的。</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承包人有权暂停施工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22.2.3 发包人违约解除合同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（1）发生第22.2.1（4）目的违约情况时，承包人可书面通知发包人解除合同。   </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解除合同后的付款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因发包人违约解除合同的，发包人应在解除合同后28天内向承包人支付下列金额，承包人应在此期限内及时向发包人提交要求支付下列金额的有关资料和凭证：</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（1）合同解除日以前所完成工作的价款；</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（2）承包人为该工程施工订购并已付款的材料、工程设备和其他物品的金额。发包人付还后，该材料、工程设备和其他物品归发包人所有；</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（3）承包人为完成工程所发生的，而发包人未支付的金额；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（4）承包人撤离施工场地以及遣散承包人人员的金额；</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（5）由于解除合同应赔偿的承包人损失；</w:t>
      </w:r>
    </w:p>
    <w:p>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（6）按合同约定在合同解除日前应支付给承包人的其他金额。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发包人应按本项约定支付上述金额并退还质量保证金和履约担保，但有权要求承包人支付应偿还给发包人的各项金额。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22.2.5 解除合同后的承包人撤离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7"/>
        <w:ind w:firstLine="118"/>
        <w:rPr>
          <w:rFonts w:ascii="宋体" w:eastAsia="宋体"/>
          <w:color w:val="000000" w:themeColor="text1"/>
          <w:szCs w:val="24"/>
          <w:highlight w:val="none"/>
          <w14:textFill>
            <w14:solidFill>
              <w14:schemeClr w14:val="tx1"/>
            </w14:solidFill>
          </w14:textFill>
        </w:rPr>
      </w:pPr>
      <w:bookmarkStart w:id="1027" w:name="_Toc386467166"/>
      <w:bookmarkEnd w:id="1027"/>
      <w:bookmarkStart w:id="1028" w:name="_Toc152042535"/>
      <w:bookmarkEnd w:id="1028"/>
      <w:bookmarkStart w:id="1029" w:name="_Toc330406361"/>
      <w:bookmarkEnd w:id="1029"/>
      <w:bookmarkStart w:id="1030" w:name="_Toc179632774"/>
      <w:bookmarkEnd w:id="1030"/>
      <w:bookmarkStart w:id="1031" w:name="_Toc393546420"/>
      <w:bookmarkEnd w:id="1031"/>
      <w:bookmarkStart w:id="1032" w:name="_Toc152045756"/>
      <w:bookmarkEnd w:id="1032"/>
      <w:bookmarkStart w:id="1033" w:name="_Toc43475894"/>
      <w:bookmarkEnd w:id="1033"/>
      <w:r>
        <w:rPr>
          <w:rFonts w:hint="eastAsia" w:ascii="宋体" w:eastAsia="宋体"/>
          <w:color w:val="000000" w:themeColor="text1"/>
          <w:szCs w:val="24"/>
          <w:highlight w:val="none"/>
          <w14:textFill>
            <w14:solidFill>
              <w14:schemeClr w14:val="tx1"/>
            </w14:solidFill>
          </w14:textFill>
        </w:rPr>
        <w:t>22.3 第三人造成的违约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78"/>
        <w:rPr>
          <w:rFonts w:ascii="宋体" w:hAnsi="宋体"/>
          <w:color w:val="000000" w:themeColor="text1"/>
          <w:sz w:val="24"/>
          <w:szCs w:val="24"/>
          <w:highlight w:val="none"/>
          <w14:textFill>
            <w14:solidFill>
              <w14:schemeClr w14:val="tx1"/>
            </w14:solidFill>
          </w14:textFill>
        </w:rPr>
      </w:pPr>
      <w:bookmarkStart w:id="1034" w:name="_Toc43475895"/>
      <w:bookmarkEnd w:id="1034"/>
      <w:bookmarkStart w:id="1035" w:name="_Toc386467167"/>
      <w:bookmarkEnd w:id="1035"/>
      <w:bookmarkStart w:id="1036" w:name="_Toc393546421"/>
      <w:bookmarkEnd w:id="1036"/>
      <w:r>
        <w:rPr>
          <w:rFonts w:hint="eastAsia" w:ascii="宋体" w:hAnsi="宋体"/>
          <w:color w:val="000000" w:themeColor="text1"/>
          <w:sz w:val="24"/>
          <w:szCs w:val="24"/>
          <w:highlight w:val="none"/>
          <w14:textFill>
            <w14:solidFill>
              <w14:schemeClr w14:val="tx1"/>
            </w14:solidFill>
          </w14:textFill>
        </w:rPr>
        <w:t>23. 索赔</w:t>
      </w:r>
    </w:p>
    <w:p>
      <w:pPr>
        <w:pStyle w:val="67"/>
        <w:ind w:firstLine="118"/>
        <w:rPr>
          <w:rFonts w:ascii="宋体" w:eastAsia="宋体"/>
          <w:color w:val="000000" w:themeColor="text1"/>
          <w:szCs w:val="24"/>
          <w:highlight w:val="none"/>
          <w14:textFill>
            <w14:solidFill>
              <w14:schemeClr w14:val="tx1"/>
            </w14:solidFill>
          </w14:textFill>
        </w:rPr>
      </w:pPr>
      <w:bookmarkStart w:id="1037" w:name="_Toc386467168"/>
      <w:bookmarkEnd w:id="1037"/>
      <w:bookmarkStart w:id="1038" w:name="_Toc43475896"/>
      <w:bookmarkEnd w:id="1038"/>
      <w:bookmarkStart w:id="1039" w:name="_Toc393546422"/>
      <w:bookmarkEnd w:id="1039"/>
      <w:r>
        <w:rPr>
          <w:rFonts w:hint="eastAsia" w:ascii="宋体" w:eastAsia="宋体"/>
          <w:color w:val="000000" w:themeColor="text1"/>
          <w:szCs w:val="24"/>
          <w:highlight w:val="none"/>
          <w14:textFill>
            <w14:solidFill>
              <w14:schemeClr w14:val="tx1"/>
            </w14:solidFill>
          </w14:textFill>
        </w:rPr>
        <w:t>23.1 承包人索赔的提出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根据合同约定，承包人认为有权得到追加付款和（或）延长工期的，应按以下程序向发包人提出索赔：</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（4）在索赔事件影响结束后的28天内，承包人应向监理人递交最终索赔通知书，说明最终要求索赔的追加付款金额和延长的工期，并附必要的记录和证明材料。</w:t>
      </w:r>
    </w:p>
    <w:p>
      <w:pPr>
        <w:pStyle w:val="67"/>
        <w:ind w:firstLine="118"/>
        <w:rPr>
          <w:rFonts w:ascii="宋体" w:eastAsia="宋体"/>
          <w:color w:val="000000" w:themeColor="text1"/>
          <w:szCs w:val="24"/>
          <w:highlight w:val="none"/>
          <w14:textFill>
            <w14:solidFill>
              <w14:schemeClr w14:val="tx1"/>
            </w14:solidFill>
          </w14:textFill>
        </w:rPr>
      </w:pPr>
      <w:bookmarkStart w:id="1040" w:name="_Toc386467169"/>
      <w:bookmarkEnd w:id="1040"/>
      <w:bookmarkStart w:id="1041" w:name="_Toc43475897"/>
      <w:bookmarkEnd w:id="1041"/>
      <w:bookmarkStart w:id="1042" w:name="_Toc393546423"/>
      <w:bookmarkEnd w:id="1042"/>
      <w:r>
        <w:rPr>
          <w:rFonts w:hint="eastAsia" w:ascii="宋体" w:eastAsia="宋体"/>
          <w:color w:val="000000" w:themeColor="text1"/>
          <w:szCs w:val="24"/>
          <w:highlight w:val="none"/>
          <w14:textFill>
            <w14:solidFill>
              <w14:schemeClr w14:val="tx1"/>
            </w14:solidFill>
          </w14:textFill>
        </w:rPr>
        <w:t>23.2 承包人索赔处理程序</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（2）监理人应按第3.5款商定或确定追加的付款和（或）延长的工期，并在收到上述索赔通知书或有关索赔的进一步证明材料后的42天内，将索赔处理结果答复承包人。</w:t>
      </w:r>
    </w:p>
    <w:p>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（3）承包人接受索赔处理结果的，发包人应在作出索赔处理结果答复后28天内完成赔付。承包人不接受索赔处理结果的，按第24条的约定办理。</w:t>
      </w:r>
    </w:p>
    <w:p>
      <w:pPr>
        <w:pStyle w:val="67"/>
        <w:ind w:firstLine="118"/>
        <w:rPr>
          <w:rFonts w:ascii="宋体" w:eastAsia="宋体"/>
          <w:color w:val="000000" w:themeColor="text1"/>
          <w:szCs w:val="24"/>
          <w:highlight w:val="none"/>
          <w14:textFill>
            <w14:solidFill>
              <w14:schemeClr w14:val="tx1"/>
            </w14:solidFill>
          </w14:textFill>
        </w:rPr>
      </w:pPr>
      <w:bookmarkStart w:id="1043" w:name="_Toc179632778"/>
      <w:bookmarkEnd w:id="1043"/>
      <w:bookmarkStart w:id="1044" w:name="_Toc43475898"/>
      <w:bookmarkEnd w:id="1044"/>
      <w:bookmarkStart w:id="1045" w:name="_Toc152042539"/>
      <w:bookmarkEnd w:id="1045"/>
      <w:bookmarkStart w:id="1046" w:name="_Toc393546424"/>
      <w:bookmarkEnd w:id="1046"/>
      <w:bookmarkStart w:id="1047" w:name="_Toc152045760"/>
      <w:bookmarkEnd w:id="1047"/>
      <w:bookmarkStart w:id="1048" w:name="_Toc144974730"/>
      <w:bookmarkEnd w:id="1048"/>
      <w:bookmarkStart w:id="1049" w:name="_Toc386467170"/>
      <w:bookmarkEnd w:id="1049"/>
      <w:bookmarkStart w:id="1050" w:name="_Toc330406365"/>
      <w:bookmarkEnd w:id="1050"/>
      <w:r>
        <w:rPr>
          <w:rFonts w:hint="eastAsia" w:ascii="宋体" w:eastAsia="宋体"/>
          <w:color w:val="000000" w:themeColor="text1"/>
          <w:szCs w:val="24"/>
          <w:highlight w:val="none"/>
          <w14:textFill>
            <w14:solidFill>
              <w14:schemeClr w14:val="tx1"/>
            </w14:solidFill>
          </w14:textFill>
        </w:rPr>
        <w:t>23.3 承包人提出索赔的期限</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23.3.1 承包人按第17.5款的约定接受了竣工付款证书后，应被认为已无权再提出在合同工程接收证书颁发前所发生的任何索赔。</w:t>
      </w:r>
    </w:p>
    <w:p>
      <w:pPr>
        <w:spacing w:line="38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23.3.2 承包人按第17.6款的约定提交的最终结清申请单中，只限于提出工程接收证书颁发后发生的索赔。提出索赔的期限自接受最终结清证书时终止。 </w:t>
      </w:r>
    </w:p>
    <w:p>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51" w:name="_Toc152045761"/>
      <w:bookmarkEnd w:id="1051"/>
      <w:bookmarkStart w:id="1052" w:name="_Toc144974731"/>
      <w:bookmarkEnd w:id="1052"/>
      <w:bookmarkStart w:id="1053" w:name="_Toc179632779"/>
      <w:bookmarkEnd w:id="1053"/>
      <w:bookmarkStart w:id="1054" w:name="_Toc393546425"/>
      <w:bookmarkEnd w:id="1054"/>
      <w:bookmarkStart w:id="1055" w:name="_Toc43475899"/>
      <w:bookmarkEnd w:id="1055"/>
      <w:bookmarkStart w:id="1056" w:name="_Toc152042540"/>
      <w:bookmarkEnd w:id="1056"/>
      <w:bookmarkStart w:id="1057" w:name="_Toc386467171"/>
      <w:bookmarkEnd w:id="1057"/>
      <w:bookmarkStart w:id="1058" w:name="_Toc330406366"/>
      <w:bookmarkEnd w:id="1058"/>
      <w:r>
        <w:rPr>
          <w:rFonts w:hint="eastAsia" w:ascii="宋体" w:eastAsia="宋体"/>
          <w:color w:val="000000" w:themeColor="text1"/>
          <w:szCs w:val="24"/>
          <w:highlight w:val="none"/>
          <w14:textFill>
            <w14:solidFill>
              <w14:schemeClr w14:val="tx1"/>
            </w14:solidFill>
          </w14:textFill>
        </w:rPr>
        <w:t>23.4 发包人的索赔</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78"/>
        <w:spacing w:line="380" w:lineRule="exact"/>
        <w:rPr>
          <w:rFonts w:ascii="宋体" w:hAnsi="宋体"/>
          <w:color w:val="000000" w:themeColor="text1"/>
          <w:sz w:val="24"/>
          <w:szCs w:val="24"/>
          <w:highlight w:val="none"/>
          <w14:textFill>
            <w14:solidFill>
              <w14:schemeClr w14:val="tx1"/>
            </w14:solidFill>
          </w14:textFill>
        </w:rPr>
      </w:pPr>
      <w:bookmarkStart w:id="1059" w:name="_Toc393546426"/>
      <w:bookmarkEnd w:id="1059"/>
      <w:bookmarkStart w:id="1060" w:name="_Toc43475900"/>
      <w:bookmarkEnd w:id="1060"/>
      <w:bookmarkStart w:id="1061" w:name="_Toc386467172"/>
      <w:bookmarkEnd w:id="1061"/>
      <w:r>
        <w:rPr>
          <w:rFonts w:hint="eastAsia" w:ascii="宋体" w:hAnsi="宋体"/>
          <w:color w:val="000000" w:themeColor="text1"/>
          <w:sz w:val="24"/>
          <w:szCs w:val="24"/>
          <w:highlight w:val="none"/>
          <w14:textFill>
            <w14:solidFill>
              <w14:schemeClr w14:val="tx1"/>
            </w14:solidFill>
          </w14:textFill>
        </w:rPr>
        <w:t>24. 争议的解决</w:t>
      </w:r>
    </w:p>
    <w:p>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62" w:name="_Toc386467175"/>
      <w:bookmarkEnd w:id="1062"/>
      <w:bookmarkStart w:id="1063" w:name="_Toc393546429"/>
      <w:bookmarkEnd w:id="1063"/>
      <w:bookmarkStart w:id="1064" w:name="_Toc393546427"/>
      <w:bookmarkEnd w:id="1064"/>
      <w:bookmarkStart w:id="1065" w:name="_Toc152045763"/>
      <w:bookmarkEnd w:id="1065"/>
      <w:bookmarkStart w:id="1066" w:name="_Toc386467173"/>
      <w:bookmarkEnd w:id="1066"/>
      <w:bookmarkStart w:id="1067" w:name="_Toc144974733"/>
      <w:bookmarkEnd w:id="1067"/>
      <w:bookmarkStart w:id="1068" w:name="_Toc179632781"/>
      <w:bookmarkEnd w:id="1068"/>
      <w:bookmarkStart w:id="1069" w:name="_Toc43475901"/>
      <w:bookmarkEnd w:id="1069"/>
      <w:bookmarkStart w:id="1070" w:name="_Toc330406368"/>
      <w:bookmarkEnd w:id="1070"/>
      <w:bookmarkStart w:id="1071" w:name="_Toc43475903"/>
      <w:bookmarkEnd w:id="1071"/>
      <w:bookmarkStart w:id="1072" w:name="_Toc152042542"/>
      <w:bookmarkEnd w:id="1072"/>
      <w:r>
        <w:rPr>
          <w:rFonts w:hint="eastAsia" w:ascii="宋体" w:eastAsia="宋体"/>
          <w:color w:val="000000" w:themeColor="text1"/>
          <w:szCs w:val="24"/>
          <w:highlight w:val="none"/>
          <w14:textFill>
            <w14:solidFill>
              <w14:schemeClr w14:val="tx1"/>
            </w14:solidFill>
          </w14:textFill>
        </w:rPr>
        <w:t>24.324.1 争议的解决方式</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（1）向约定的仲裁委员会申请仲裁；</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（2）向有管辖权的人民法院提起诉讼。</w:t>
      </w:r>
    </w:p>
    <w:p>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73" w:name="_Toc144974734"/>
      <w:bookmarkEnd w:id="1073"/>
      <w:bookmarkStart w:id="1074" w:name="_Toc330406369"/>
      <w:bookmarkEnd w:id="1074"/>
      <w:bookmarkStart w:id="1075" w:name="_Toc152042543"/>
      <w:bookmarkEnd w:id="1075"/>
      <w:bookmarkStart w:id="1076" w:name="_Toc386467174"/>
      <w:bookmarkEnd w:id="1076"/>
      <w:bookmarkStart w:id="1077" w:name="_Toc393546428"/>
      <w:bookmarkEnd w:id="1077"/>
      <w:bookmarkStart w:id="1078" w:name="_Toc43475902"/>
      <w:bookmarkEnd w:id="1078"/>
      <w:bookmarkStart w:id="1079" w:name="_Toc152045764"/>
      <w:bookmarkEnd w:id="1079"/>
      <w:bookmarkStart w:id="1080" w:name="_Toc179632782"/>
      <w:bookmarkEnd w:id="1080"/>
      <w:r>
        <w:rPr>
          <w:rFonts w:hint="eastAsia" w:ascii="宋体" w:eastAsia="宋体"/>
          <w:color w:val="000000" w:themeColor="text1"/>
          <w:szCs w:val="24"/>
          <w:highlight w:val="none"/>
          <w14:textFill>
            <w14:solidFill>
              <w14:schemeClr w14:val="tx1"/>
            </w14:solidFill>
          </w14:textFill>
        </w:rPr>
        <w:t>24.2 友好解决</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在提请争议评审、仲裁或者诉讼前，以及在争议评审、仲裁或诉讼过程中，发包人和承包人均可共同努力友好协商解决争议。</w:t>
      </w:r>
    </w:p>
    <w:p>
      <w:pPr>
        <w:pStyle w:val="67"/>
        <w:spacing w:line="380" w:lineRule="exact"/>
        <w:ind w:firstLine="118"/>
        <w:rPr>
          <w:rFonts w:ascii="宋体" w:eastAsia="宋体"/>
          <w:color w:val="000000" w:themeColor="text1"/>
          <w:szCs w:val="24"/>
          <w:highlight w:val="none"/>
          <w14:textFill>
            <w14:solidFill>
              <w14:schemeClr w14:val="tx1"/>
            </w14:solidFill>
          </w14:textFill>
        </w:rPr>
      </w:pPr>
      <w:r>
        <w:rPr>
          <w:rFonts w:hint="eastAsia" w:ascii="宋体" w:eastAsia="宋体"/>
          <w:color w:val="000000" w:themeColor="text1"/>
          <w:szCs w:val="24"/>
          <w:highlight w:val="none"/>
          <w14:textFill>
            <w14:solidFill>
              <w14:schemeClr w14:val="tx1"/>
            </w14:solidFill>
          </w14:textFill>
        </w:rPr>
        <w:t>24.3 争议评审</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24.3.1 采用争议评审的，发包人和承包人应在开工日后的28天内或在争议发生后，协商成立争议评审组。争议评审组由有合同管理和工程实践经验的专家组成。</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24.3.2 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24.3.3 被申请人在收到申请人评审申请报告副本后的28天内，向争议评审组提交一份答辩报告，并附证明材料。被申请人应将答辩报告的副本同时提交给申请人和监理人。</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24.3.4 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24.3.6 发包人和承包人接受评审意见的，由监理人根据评审意见拟定执行协议，经争议双方签字后作为合同的补充文件，并遵照执行。</w:t>
      </w:r>
    </w:p>
    <w:p>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3"/>
        <w:jc w:val="center"/>
        <w:rPr>
          <w:rFonts w:ascii="宋体" w:hAnsi="宋体" w:eastAsia="宋体" w:cs="宋体"/>
          <w:color w:val="000000" w:themeColor="text1"/>
          <w:highlight w:val="none"/>
          <w14:textFill>
            <w14:solidFill>
              <w14:schemeClr w14:val="tx1"/>
            </w14:solidFill>
          </w14:textFill>
        </w:rPr>
      </w:pPr>
      <w:bookmarkStart w:id="1081" w:name="_Toc426012248"/>
      <w:bookmarkStart w:id="1082" w:name="_Toc247527798"/>
      <w:bookmarkStart w:id="1083" w:name="_Toc11537"/>
      <w:bookmarkStart w:id="1084" w:name="_Toc184635122"/>
      <w:bookmarkStart w:id="1085" w:name="_Toc247514197"/>
    </w:p>
    <w:p>
      <w:pPr>
        <w:pStyle w:val="3"/>
        <w:jc w:val="center"/>
        <w:rPr>
          <w:rFonts w:ascii="宋体" w:hAnsi="宋体" w:eastAsia="宋体" w:cs="宋体"/>
          <w:color w:val="000000" w:themeColor="text1"/>
          <w:highlight w:val="none"/>
          <w14:textFill>
            <w14:solidFill>
              <w14:schemeClr w14:val="tx1"/>
            </w14:solidFill>
          </w14:textFill>
        </w:rPr>
      </w:pPr>
    </w:p>
    <w:p>
      <w:pPr>
        <w:pStyle w:val="3"/>
        <w:jc w:val="center"/>
        <w:rPr>
          <w:rFonts w:ascii="宋体" w:hAnsi="宋体" w:eastAsia="宋体" w:cs="宋体"/>
          <w:color w:val="000000" w:themeColor="text1"/>
          <w:highlight w:val="none"/>
          <w14:textFill>
            <w14:solidFill>
              <w14:schemeClr w14:val="tx1"/>
            </w14:solidFill>
          </w14:textFill>
        </w:rPr>
      </w:pPr>
    </w:p>
    <w:p>
      <w:pPr>
        <w:pStyle w:val="3"/>
        <w:jc w:val="center"/>
        <w:rPr>
          <w:rFonts w:ascii="宋体" w:hAnsi="宋体" w:eastAsia="宋体" w:cs="宋体"/>
          <w:color w:val="000000" w:themeColor="text1"/>
          <w:highlight w:val="none"/>
          <w14:textFill>
            <w14:solidFill>
              <w14:schemeClr w14:val="tx1"/>
            </w14:solidFill>
          </w14:textFill>
        </w:rPr>
      </w:pPr>
    </w:p>
    <w:bookmarkEnd w:id="1081"/>
    <w:bookmarkEnd w:id="1082"/>
    <w:bookmarkEnd w:id="1083"/>
    <w:bookmarkEnd w:id="1084"/>
    <w:bookmarkEnd w:id="1085"/>
    <w:p>
      <w:pPr>
        <w:pStyle w:val="3"/>
        <w:jc w:val="center"/>
        <w:rPr>
          <w:rFonts w:ascii="宋体" w:hAnsi="宋体" w:eastAsia="宋体" w:cs="宋体"/>
          <w:color w:val="000000" w:themeColor="text1"/>
          <w:highlight w:val="none"/>
          <w14:textFill>
            <w14:solidFill>
              <w14:schemeClr w14:val="tx1"/>
            </w14:solidFill>
          </w14:textFill>
        </w:rPr>
      </w:pPr>
      <w:bookmarkStart w:id="1086" w:name="_Toc43475904"/>
      <w:bookmarkEnd w:id="1086"/>
      <w:r>
        <w:rPr>
          <w:rFonts w:hint="eastAsia" w:ascii="宋体" w:hAnsi="宋体" w:eastAsia="宋体" w:cs="宋体"/>
          <w:color w:val="000000" w:themeColor="text1"/>
          <w:highlight w:val="none"/>
          <w14:textFill>
            <w14:solidFill>
              <w14:schemeClr w14:val="tx1"/>
            </w14:solidFill>
          </w14:textFill>
        </w:rPr>
        <w:t>第二节 专用合同条款</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包括：</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A  公路工程专用合同条款详见«公路工程标准施工招标文件»</w:t>
      </w:r>
    </w:p>
    <w:p>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（2018 版）的第四章第二节</w:t>
      </w:r>
    </w:p>
    <w:p>
      <w:pPr>
        <w:pStyle w:val="53"/>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B  项目专用合同条款     </w:t>
      </w:r>
    </w:p>
    <w:p>
      <w:pPr>
        <w:pStyle w:val="3"/>
        <w:spacing w:after="120" w:line="240" w:lineRule="auto"/>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br w:type="page"/>
      </w:r>
    </w:p>
    <w:p>
      <w:pPr>
        <w:ind w:left="420"/>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A.公路工程专用合同条款</w:t>
      </w:r>
    </w:p>
    <w:p>
      <w:pPr>
        <w:rPr>
          <w:rFonts w:ascii="宋体" w:hAnsi="宋体" w:cs="宋体"/>
          <w:color w:val="000000" w:themeColor="text1"/>
          <w:highlight w:val="none"/>
          <w14:textFill>
            <w14:solidFill>
              <w14:schemeClr w14:val="tx1"/>
            </w14:solidFill>
          </w14:textFill>
        </w:rPr>
      </w:pPr>
    </w:p>
    <w:p>
      <w:pPr>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pPr>
        <w:rPr>
          <w:rFonts w:ascii="宋体" w:hAnsi="宋体" w:cs="宋体"/>
          <w:color w:val="000000" w:themeColor="text1"/>
          <w:highlight w:val="none"/>
          <w14:textFill>
            <w14:solidFill>
              <w14:schemeClr w14:val="tx1"/>
            </w14:solidFill>
          </w14:textFill>
        </w:rPr>
      </w:pP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087" w:name="_Toc43475905"/>
      <w:bookmarkEnd w:id="1087"/>
      <w:bookmarkStart w:id="1088" w:name="_Toc330406372"/>
      <w:bookmarkEnd w:id="1088"/>
      <w:bookmarkStart w:id="1089" w:name="_Toc386467177"/>
      <w:bookmarkEnd w:id="1089"/>
      <w:bookmarkStart w:id="1090" w:name="_Toc451261281"/>
      <w:bookmarkEnd w:id="1090"/>
      <w:bookmarkStart w:id="1091" w:name="_Toc393546431"/>
      <w:bookmarkEnd w:id="1091"/>
      <w:bookmarkStart w:id="1092" w:name="_Toc453057091"/>
      <w:bookmarkEnd w:id="1092"/>
      <w:r>
        <w:rPr>
          <w:rFonts w:hint="eastAsia" w:ascii="宋体" w:hAnsi="宋体" w:cs="宋体"/>
          <w:color w:val="000000" w:themeColor="text1"/>
          <w:sz w:val="28"/>
          <w:szCs w:val="28"/>
          <w:highlight w:val="none"/>
          <w14:textFill>
            <w14:solidFill>
              <w14:schemeClr w14:val="tx1"/>
            </w14:solidFill>
          </w14:textFill>
        </w:rPr>
        <w:t>1.一般约定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93" w:name="_Toc386467178"/>
      <w:bookmarkEnd w:id="1093"/>
      <w:bookmarkStart w:id="1094" w:name="_Toc393546432"/>
      <w:bookmarkEnd w:id="1094"/>
      <w:bookmarkStart w:id="1095" w:name="_Toc43475906"/>
      <w:bookmarkEnd w:id="1095"/>
      <w:bookmarkStart w:id="1096" w:name="_Toc453057092"/>
      <w:bookmarkEnd w:id="1096"/>
      <w:bookmarkStart w:id="1097" w:name="_Toc451261282"/>
      <w:bookmarkEnd w:id="1097"/>
      <w:bookmarkStart w:id="1098" w:name="_Toc330406373"/>
      <w:bookmarkEnd w:id="1098"/>
      <w:r>
        <w:rPr>
          <w:rFonts w:hint="eastAsia" w:ascii="宋体" w:hAnsi="宋体" w:cs="宋体"/>
          <w:color w:val="000000" w:themeColor="text1"/>
          <w:sz w:val="24"/>
          <w:szCs w:val="24"/>
          <w:highlight w:val="none"/>
          <w14:textFill>
            <w14:solidFill>
              <w14:schemeClr w14:val="tx1"/>
            </w14:solidFill>
          </w14:textFill>
        </w:rPr>
        <w:t>1.1词语定义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第1.1.1.6目细化为：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技术规范：指本合同所约定的技术标准和要求，是合同文件的组成部分。通用合同条款中“技术标准和要求”一词具有相同含义。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第1.1.1.8目细化为：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己标价工程量清单：指构成合同文件组成部分的己标明价格、经算术性错误 修正及其他错误修正（如有）且承包人己确认的最终的工程量清单，包括工程量清单说明、投标报价说明、计日工说明、其他说明及工程量清单各项表格（工程量清 单表</w:t>
      </w: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zh-CN"/>
          <w14:textFill>
            <w14:solidFill>
              <w14:schemeClr w14:val="tx1"/>
            </w14:solidFill>
          </w14:textFill>
        </w:rPr>
        <w:t>〜表</w:t>
      </w:r>
      <w:r>
        <w:rPr>
          <w:rFonts w:hint="eastAsia" w:ascii="宋体" w:hAnsi="宋体" w:cs="宋体"/>
          <w:color w:val="000000" w:themeColor="text1"/>
          <w:sz w:val="24"/>
          <w:highlight w:val="none"/>
          <w14:textFill>
            <w14:solidFill>
              <w14:schemeClr w14:val="tx1"/>
            </w14:solidFill>
          </w14:textFill>
        </w:rPr>
        <w:t>5.5）。</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本项补充第1.1.1.10目：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1.1.1.10补遗书：指发出招标文件之后由招标人向已取得招标文件的投标人发出的、编号的对招标文件所作的澄清、修改书。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1.1.2合同当事人和人员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本项补充第1.1.2.8目：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 承包人项目总工：指由承包人书面委派常驻现场负责管理本合同工程的总工程师或技术总负责人。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第1.1.3.4目细化为：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单位工程：指在建设项目中，根据签订的合同，具有独立施工条件的工程。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永久占地：指为实施本合同工程而需要的一切永久占用的土地，包括公路两侧路权范围内的用地。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第1.1.3.11目细化为：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本项补充第1.1.3.12目、第1.1.3.13目：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1.1.3.12 分部工程：指在单位工程中，按结构部位、路段长度及施工特点或施工任务划分的若干个工程。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1.1.3.13 分项工程：指在分部工程中，按不同的施工方法、材料、工序及路段长度等划分的若干个过程。</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本项补充第1.1.6.2目～1.1.6.9目：</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1.1.6.2 竣工验收：指《公路工程竣（交）工验收办法》中的竣工验收。通用合同条款中“国家验收”一词具有相同含义。</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1.1.6.3 交工：指《公路工程竣（交）工验收办法》中的交工通用合同条款中“竣工”一词具有相同含义。</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1.1.6.4 交工验收：指《公路工程竣（交）工验收办法》中的交工验收。通用合同条款中“竣工验收”一词具有相同含义。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1.1.6.5 交工验收证书：指《公路工程竣（交）工验收办法》中的交工验收证书。通用合同条款中“工程接收证书”一词具有相同含义。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1.1.6.6 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1.1.6.8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1.1.6.9 雇佣民工：指承包人与具有相应劳动能力的自然人签订劳动合同，由承包人统一组织管理，从事分项工程施工或配套工程施工的行为。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99" w:name="_Toc386467179"/>
      <w:bookmarkEnd w:id="1099"/>
      <w:bookmarkStart w:id="1100" w:name="_Toc43475907"/>
      <w:bookmarkEnd w:id="1100"/>
      <w:bookmarkStart w:id="1101" w:name="_Toc393546433"/>
      <w:bookmarkEnd w:id="1101"/>
      <w:bookmarkStart w:id="1102" w:name="_Toc330406374"/>
      <w:bookmarkEnd w:id="1102"/>
      <w:bookmarkStart w:id="1103" w:name="_Toc453057093"/>
      <w:bookmarkEnd w:id="1103"/>
      <w:bookmarkStart w:id="1104" w:name="_Toc451261283"/>
      <w:bookmarkEnd w:id="1104"/>
      <w:r>
        <w:rPr>
          <w:rFonts w:hint="eastAsia" w:ascii="宋体" w:hAnsi="宋体" w:cs="宋体"/>
          <w:color w:val="000000" w:themeColor="text1"/>
          <w:sz w:val="24"/>
          <w:szCs w:val="24"/>
          <w:highlight w:val="none"/>
          <w14:textFill>
            <w14:solidFill>
              <w14:schemeClr w14:val="tx1"/>
            </w14:solidFill>
          </w14:textFill>
        </w:rPr>
        <w:t>1.4合同文件的优先顺序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组成合同的各项文件应互相解释，互为说明。除项目专用合同条款另有约定外，解释合同文件的优先顺序如下：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（1）合同协议书及各种合同附件（含评标期间和合同谈判过程中的澄清文件和补充资料）；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（5）公路工程专用合同条款；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工程量清单计量规则</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（8）技术规范；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（9）图纸；</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（10）已标价工程量清单；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（12）其他合同文件。</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05" w:name="_Toc451261284"/>
      <w:bookmarkEnd w:id="1105"/>
      <w:bookmarkStart w:id="1106" w:name="_Toc43475908"/>
      <w:bookmarkEnd w:id="1106"/>
      <w:bookmarkStart w:id="1107" w:name="_Toc393546434"/>
      <w:bookmarkEnd w:id="1107"/>
      <w:bookmarkStart w:id="1108" w:name="_Toc453057094"/>
      <w:bookmarkEnd w:id="1108"/>
      <w:bookmarkStart w:id="1109" w:name="_Toc330406375"/>
      <w:bookmarkEnd w:id="1109"/>
      <w:bookmarkStart w:id="1110" w:name="_Toc386467180"/>
      <w:bookmarkEnd w:id="1110"/>
      <w:r>
        <w:rPr>
          <w:rFonts w:hint="eastAsia" w:ascii="宋体" w:hAnsi="宋体" w:cs="宋体"/>
          <w:color w:val="000000" w:themeColor="text1"/>
          <w:sz w:val="24"/>
          <w:szCs w:val="24"/>
          <w:highlight w:val="none"/>
          <w14:textFill>
            <w14:solidFill>
              <w14:schemeClr w14:val="tx1"/>
            </w14:solidFill>
          </w14:textFill>
        </w:rPr>
        <w:t>1.5合同协议书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制备本合同文件的费用由发包人承担。在合同协议书签订并生效之前，投标函和中标通知书将对双方具有约束力。</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1" w:name="_Toc451261285"/>
      <w:bookmarkEnd w:id="1111"/>
      <w:bookmarkStart w:id="1112" w:name="_Toc453057095"/>
      <w:bookmarkEnd w:id="1112"/>
      <w:bookmarkStart w:id="1113" w:name="_Toc43475909"/>
      <w:bookmarkEnd w:id="1113"/>
      <w:bookmarkStart w:id="1114" w:name="_Toc386467181"/>
      <w:bookmarkEnd w:id="1114"/>
      <w:bookmarkStart w:id="1115" w:name="_Toc393546435"/>
      <w:bookmarkEnd w:id="1115"/>
      <w:bookmarkStart w:id="1116" w:name="_Toc330406376"/>
      <w:bookmarkEnd w:id="1116"/>
      <w:r>
        <w:rPr>
          <w:rFonts w:hint="eastAsia" w:ascii="宋体" w:hAnsi="宋体" w:cs="宋体"/>
          <w:color w:val="000000" w:themeColor="text1"/>
          <w:sz w:val="24"/>
          <w:szCs w:val="24"/>
          <w:highlight w:val="none"/>
          <w14:textFill>
            <w14:solidFill>
              <w14:schemeClr w14:val="tx1"/>
            </w14:solidFill>
          </w14:textFill>
        </w:rPr>
        <w:t>1.6图纸和承包人文件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1.6.2承包人提供的文件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（1）为使第1.6.1项所述的施工图纸适合于经现场测量后的纵、横断面；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（2）为使第1.6.1项所述的施工图纸适合于现场具体地形；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（3）为使第1.6.1项所述的施工图纸适合于因尺寸与位置变化而引起局部变更；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（4）由于合同要求与施工需要。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1.6.4图纸的错误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7" w:name="_Toc386467182"/>
      <w:bookmarkEnd w:id="1117"/>
      <w:bookmarkStart w:id="1118" w:name="_Toc451261286"/>
      <w:bookmarkEnd w:id="1118"/>
      <w:bookmarkStart w:id="1119" w:name="_Toc453057096"/>
      <w:bookmarkEnd w:id="1119"/>
      <w:bookmarkStart w:id="1120" w:name="_Toc330406377"/>
      <w:bookmarkEnd w:id="1120"/>
      <w:bookmarkStart w:id="1121" w:name="_Toc393546436"/>
      <w:bookmarkEnd w:id="1121"/>
      <w:bookmarkStart w:id="1122" w:name="_Toc43475910"/>
      <w:bookmarkEnd w:id="1122"/>
      <w:r>
        <w:rPr>
          <w:rFonts w:hint="eastAsia" w:ascii="宋体" w:hAnsi="宋体" w:cs="宋体"/>
          <w:color w:val="000000" w:themeColor="text1"/>
          <w:sz w:val="24"/>
          <w:szCs w:val="24"/>
          <w:highlight w:val="none"/>
          <w14:textFill>
            <w14:solidFill>
              <w14:schemeClr w14:val="tx1"/>
            </w14:solidFill>
          </w14:textFill>
        </w:rPr>
        <w:t>1.9严禁贿赂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23" w:name="_Toc386467183"/>
      <w:bookmarkEnd w:id="1123"/>
      <w:bookmarkStart w:id="1124" w:name="_Toc451261287"/>
      <w:bookmarkEnd w:id="1124"/>
      <w:bookmarkStart w:id="1125" w:name="_Toc393546437"/>
      <w:bookmarkEnd w:id="1125"/>
      <w:bookmarkStart w:id="1126" w:name="_Toc330406378"/>
      <w:bookmarkEnd w:id="1126"/>
      <w:bookmarkStart w:id="1127" w:name="_Toc43475911"/>
      <w:bookmarkEnd w:id="1127"/>
      <w:bookmarkStart w:id="1128" w:name="_Toc453057097"/>
      <w:bookmarkEnd w:id="1128"/>
      <w:r>
        <w:rPr>
          <w:rFonts w:hint="eastAsia" w:ascii="宋体" w:hAnsi="宋体" w:cs="宋体"/>
          <w:color w:val="000000" w:themeColor="text1"/>
          <w:sz w:val="28"/>
          <w:szCs w:val="28"/>
          <w:highlight w:val="none"/>
          <w14:textFill>
            <w14:solidFill>
              <w14:schemeClr w14:val="tx1"/>
            </w14:solidFill>
          </w14:textFill>
        </w:rPr>
        <w:t>2.发包人义务</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29" w:name="_Toc393546438"/>
      <w:bookmarkEnd w:id="1129"/>
      <w:bookmarkStart w:id="1130" w:name="_Toc386467184"/>
      <w:bookmarkEnd w:id="1130"/>
      <w:bookmarkStart w:id="1131" w:name="_Toc43475912"/>
      <w:bookmarkEnd w:id="1131"/>
      <w:bookmarkStart w:id="1132" w:name="_Toc453057098"/>
      <w:bookmarkEnd w:id="1132"/>
      <w:bookmarkStart w:id="1133" w:name="_Toc330406379"/>
      <w:bookmarkEnd w:id="1133"/>
      <w:bookmarkStart w:id="1134" w:name="_Toc451261288"/>
      <w:bookmarkEnd w:id="1134"/>
      <w:r>
        <w:rPr>
          <w:rFonts w:hint="eastAsia" w:ascii="宋体" w:hAnsi="宋体" w:cs="宋体"/>
          <w:color w:val="000000" w:themeColor="text1"/>
          <w:sz w:val="24"/>
          <w:szCs w:val="24"/>
          <w:highlight w:val="none"/>
          <w14:textFill>
            <w14:solidFill>
              <w14:schemeClr w14:val="tx1"/>
            </w14:solidFill>
          </w14:textFill>
        </w:rPr>
        <w:t>2.3提供施工场地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35" w:name="_Toc330406380"/>
      <w:bookmarkEnd w:id="1135"/>
      <w:bookmarkStart w:id="1136" w:name="_Toc43475913"/>
      <w:bookmarkEnd w:id="1136"/>
      <w:bookmarkStart w:id="1137" w:name="_Toc393546439"/>
      <w:bookmarkEnd w:id="1137"/>
      <w:bookmarkStart w:id="1138" w:name="_Toc453057099"/>
      <w:bookmarkEnd w:id="1138"/>
      <w:bookmarkStart w:id="1139" w:name="_Toc451261289"/>
      <w:bookmarkEnd w:id="1139"/>
      <w:bookmarkStart w:id="1140" w:name="_Toc386467185"/>
      <w:bookmarkEnd w:id="1140"/>
      <w:r>
        <w:rPr>
          <w:rFonts w:hint="eastAsia" w:ascii="宋体" w:hAnsi="宋体" w:cs="宋体"/>
          <w:color w:val="000000" w:themeColor="text1"/>
          <w:sz w:val="28"/>
          <w:szCs w:val="28"/>
          <w:highlight w:val="none"/>
          <w14:textFill>
            <w14:solidFill>
              <w14:schemeClr w14:val="tx1"/>
            </w14:solidFill>
          </w14:textFill>
        </w:rPr>
        <w:t>3.监理人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1" w:name="_Toc453057100"/>
      <w:bookmarkEnd w:id="1141"/>
      <w:bookmarkStart w:id="1142" w:name="_Toc451261290"/>
      <w:bookmarkEnd w:id="1142"/>
      <w:bookmarkStart w:id="1143" w:name="_Toc43475914"/>
      <w:bookmarkEnd w:id="1143"/>
      <w:bookmarkStart w:id="1144" w:name="_Toc393546440"/>
      <w:bookmarkEnd w:id="1144"/>
      <w:bookmarkStart w:id="1145" w:name="_Toc330406381"/>
      <w:bookmarkEnd w:id="1145"/>
      <w:bookmarkStart w:id="1146" w:name="_Toc386467186"/>
      <w:bookmarkEnd w:id="1146"/>
      <w:r>
        <w:rPr>
          <w:rFonts w:hint="eastAsia" w:ascii="宋体" w:hAnsi="宋体" w:cs="宋体"/>
          <w:color w:val="000000" w:themeColor="text1"/>
          <w:sz w:val="24"/>
          <w:szCs w:val="24"/>
          <w:highlight w:val="none"/>
          <w14:textFill>
            <w14:solidFill>
              <w14:schemeClr w14:val="tx1"/>
            </w14:solidFill>
          </w14:textFill>
        </w:rPr>
        <w:t>3.1监理人的职责和权力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第3.1.1项补充：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监理人在行使下列权力前需要经发包人事先批准：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（1）根据第4.3款，同意分包</w:t>
      </w:r>
      <w:r>
        <w:rPr>
          <w:rFonts w:hint="eastAsia" w:ascii="宋体" w:hAnsi="宋体" w:cs="宋体"/>
          <w:color w:val="000000" w:themeColor="text1"/>
          <w:highlight w:val="none"/>
          <w14:textFill>
            <w14:solidFill>
              <w14:schemeClr w14:val="tx1"/>
            </w14:solidFill>
          </w14:textFill>
        </w:rPr>
        <w:t>本工程的某些非关键性工作或者适合专业化队伍施工的专项工程</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（2）确定第4.11款下产生的费用增加额；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（3）根据第11.1款、第12.3款、第12.4款发布开工通知、暂停施工指示或复工通知；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（4）决定第11.3款、第11.4款下的工期延长；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（5）审查批准技术方案设计的变更；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（6）根据第15.3款发出的变更指令，其单项工程变更或累计变更涉及的金额超过了项目专用合同条款数据表中规定的金额；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（7）确定第15.4款下变更工作的单价；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（8）按照第15.6款决定有关暂列金额的使用；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（9）确定第15.8款项下的暂估价金额；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（10）确定第23.1款项下的索赔额。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7" w:name="_Toc386467187"/>
      <w:bookmarkEnd w:id="1147"/>
      <w:bookmarkStart w:id="1148" w:name="_Toc43475915"/>
      <w:bookmarkEnd w:id="1148"/>
      <w:bookmarkStart w:id="1149" w:name="_Toc330406382"/>
      <w:bookmarkEnd w:id="1149"/>
      <w:bookmarkStart w:id="1150" w:name="_Toc393546441"/>
      <w:bookmarkEnd w:id="1150"/>
      <w:bookmarkStart w:id="1151" w:name="_Toc453057101"/>
      <w:bookmarkEnd w:id="1151"/>
      <w:bookmarkStart w:id="1152" w:name="_Toc451261291"/>
      <w:bookmarkEnd w:id="1152"/>
      <w:r>
        <w:rPr>
          <w:rFonts w:hint="eastAsia" w:ascii="宋体" w:hAnsi="宋体" w:cs="宋体"/>
          <w:color w:val="000000" w:themeColor="text1"/>
          <w:sz w:val="24"/>
          <w:szCs w:val="24"/>
          <w:highlight w:val="none"/>
          <w14:textFill>
            <w14:solidFill>
              <w14:schemeClr w14:val="tx1"/>
            </w14:solidFill>
          </w14:textFill>
        </w:rPr>
        <w:t>3.5商定或确定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第3.5.1 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如果这项商定或确定导致费用增加和（或）工期延长，或者涉及确定变更工程的价格，则总监理工程师在发出通知前，应征得发包人的同意。</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53" w:name="_Toc453057102"/>
      <w:bookmarkEnd w:id="1153"/>
      <w:bookmarkStart w:id="1154" w:name="_Toc393546442"/>
      <w:bookmarkEnd w:id="1154"/>
      <w:bookmarkStart w:id="1155" w:name="_Toc386467188"/>
      <w:bookmarkEnd w:id="1155"/>
      <w:bookmarkStart w:id="1156" w:name="_Toc43475916"/>
      <w:bookmarkEnd w:id="1156"/>
      <w:bookmarkStart w:id="1157" w:name="_Toc451261292"/>
      <w:bookmarkEnd w:id="1157"/>
      <w:bookmarkStart w:id="1158" w:name="_Toc330406383"/>
      <w:bookmarkEnd w:id="1158"/>
      <w:r>
        <w:rPr>
          <w:rFonts w:hint="eastAsia" w:ascii="宋体" w:hAnsi="宋体" w:cs="宋体"/>
          <w:color w:val="000000" w:themeColor="text1"/>
          <w:sz w:val="28"/>
          <w:szCs w:val="28"/>
          <w:highlight w:val="none"/>
          <w14:textFill>
            <w14:solidFill>
              <w14:schemeClr w14:val="tx1"/>
            </w14:solidFill>
          </w14:textFill>
        </w:rPr>
        <w:t>4.承包人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59" w:name="_Toc453057103"/>
      <w:bookmarkEnd w:id="1159"/>
      <w:bookmarkStart w:id="1160" w:name="_Toc451261293"/>
      <w:bookmarkEnd w:id="1160"/>
      <w:bookmarkStart w:id="1161" w:name="_Toc330406384"/>
      <w:bookmarkEnd w:id="1161"/>
      <w:bookmarkStart w:id="1162" w:name="_Toc43475917"/>
      <w:bookmarkEnd w:id="1162"/>
      <w:bookmarkStart w:id="1163" w:name="_Toc386467189"/>
      <w:bookmarkEnd w:id="1163"/>
      <w:bookmarkStart w:id="1164" w:name="_Toc393546443"/>
      <w:bookmarkEnd w:id="1164"/>
      <w:r>
        <w:rPr>
          <w:rFonts w:hint="eastAsia" w:ascii="宋体" w:hAnsi="宋体" w:cs="宋体"/>
          <w:color w:val="000000" w:themeColor="text1"/>
          <w:sz w:val="24"/>
          <w:szCs w:val="24"/>
          <w:highlight w:val="none"/>
          <w14:textFill>
            <w14:solidFill>
              <w14:schemeClr w14:val="tx1"/>
            </w14:solidFill>
          </w14:textFill>
        </w:rPr>
        <w:t>4.1承包工的一般义务</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4.1.9工程的维护和照管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4.1.10其他义务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（1）临时占地由承包人向当地政府土地管理部门申请，并办理租用手续，承包人按有关规定直接支付其费用，发包人对此将予以协调。</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工资支付表应如实记录支付单位、支付时间、支付对象、支付数额、支付对象的身份证号和签字等信息。民工花名册和工资支付表应报监理人备查。</w:t>
      </w:r>
    </w:p>
    <w:p>
      <w:pPr>
        <w:numPr>
          <w:ilvl w:val="0"/>
          <w:numId w:val="11"/>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pPr>
        <w:numPr>
          <w:ilvl w:val="0"/>
          <w:numId w:val="11"/>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pPr>
        <w:numPr>
          <w:ilvl w:val="0"/>
          <w:numId w:val="11"/>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承包人应履行项目专用合同条款约定的其他义务。</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5" w:name="_Toc43475918"/>
      <w:bookmarkEnd w:id="1165"/>
      <w:r>
        <w:rPr>
          <w:rFonts w:hint="eastAsia"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lang w:val="zh-CN"/>
          <w14:textFill>
            <w14:solidFill>
              <w14:schemeClr w14:val="tx1"/>
            </w14:solidFill>
          </w14:textFill>
        </w:rPr>
        <w:t>履约保证金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承包人应保证其履约保证金在发包人签发交工验收证书且承包人按照合同约定 缴纳质量保证金前一直有效。发包人应在收到承包人缴纳的质量保证金后28天内把 履约保证金退还给承包人。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承包人拒绝按照本合同约定缴纳质量保证金的，发包人有权从竣工付款证书中 扣留相应金额作为质量保证金，或者直接将履约保证金金额用于保证承包人在缺陷 责任期内履行缺陷修复义务。</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6" w:name="_Toc43475919"/>
      <w:bookmarkEnd w:id="1166"/>
      <w:bookmarkStart w:id="1167" w:name="_Toc330406385"/>
      <w:bookmarkEnd w:id="1167"/>
      <w:bookmarkStart w:id="1168" w:name="_Toc453057104"/>
      <w:bookmarkEnd w:id="1168"/>
      <w:bookmarkStart w:id="1169" w:name="_Toc451261294"/>
      <w:bookmarkEnd w:id="1169"/>
      <w:bookmarkStart w:id="1170" w:name="_Toc386467190"/>
      <w:bookmarkEnd w:id="1170"/>
      <w:bookmarkStart w:id="1171" w:name="_Toc393546444"/>
      <w:bookmarkEnd w:id="1171"/>
      <w:r>
        <w:rPr>
          <w:rFonts w:hint="eastAsia" w:ascii="宋体" w:hAnsi="宋体" w:cs="宋体"/>
          <w:color w:val="000000" w:themeColor="text1"/>
          <w:sz w:val="24"/>
          <w:szCs w:val="24"/>
          <w:highlight w:val="none"/>
          <w14:textFill>
            <w14:solidFill>
              <w14:schemeClr w14:val="tx1"/>
            </w14:solidFill>
          </w14:textFill>
        </w:rPr>
        <w:t>4.3 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第4.3.2项～第4.3.4项细化为：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承包人不得将4关键性工作分包给第三人。经发包人同意，承包人可将工程的其他部分或工作分包给第三人。分包包括专业分包和劳务分包。</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4.3.3专业分包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在工程施工过程中，承包人进行专业分包必须遵守以下规定：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专业分包人的资格能力(含安全生产能力)应与其分包工程的标准和规模 相适应，且应当具备如下条件：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lang w:val="zh-CN"/>
          <w14:textFill>
            <w14:solidFill>
              <w14:schemeClr w14:val="tx1"/>
            </w14:solidFill>
          </w14:textFill>
        </w:rPr>
        <w:t>具有经工商登记的法人资格；</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lang w:val="zh-CN"/>
          <w14:textFill>
            <w14:solidFill>
              <w14:schemeClr w14:val="tx1"/>
            </w14:solidFill>
          </w14:textFill>
        </w:rPr>
        <w:t>具有从事类似工程经验的管理与技术人员；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lang w:val="zh-CN"/>
          <w14:textFill>
            <w14:solidFill>
              <w14:schemeClr w14:val="tx1"/>
            </w14:solidFill>
          </w14:textFill>
        </w:rPr>
        <w:t>具有(自有或租赁)分包工程所需的施工设备。</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承包人应向监理人提交专业分包人的资格能力证明材料，经监理人审查并报发 包人批准后，可以将相应专业工程分包给该专业分包人。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（3）专业分工程不得再次分包。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违反上述规定之一者属违规分包。</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4.3.4劳务分包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在工程施工过程中，承包人进行劳务分包必须遵守以下规定：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（1）劳务分包人应具有劳务分包资质。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（4）承包人应当对劳务分包人员进行安全培训和管理，劳务分包人不得将其分包的劳务作业再次分包。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违反上述规定之一者属违规分包。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本款补充第4.3.6项：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4.3.6、发包人对承包人与分包人之间的法律与经济纠纷不承担任何责任和义务。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4.3.7、本项目的各项分包工作均应遵守《公路工程施工分包管理办法》的有关规定。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2" w:name="_Toc386467191"/>
      <w:bookmarkEnd w:id="1172"/>
      <w:bookmarkStart w:id="1173" w:name="_Toc330406386"/>
      <w:bookmarkEnd w:id="1173"/>
      <w:bookmarkStart w:id="1174" w:name="_Toc393546445"/>
      <w:bookmarkEnd w:id="1174"/>
      <w:bookmarkStart w:id="1175" w:name="_Toc43475920"/>
      <w:bookmarkEnd w:id="1175"/>
      <w:bookmarkStart w:id="1176" w:name="_Toc451261295"/>
      <w:bookmarkEnd w:id="1176"/>
      <w:bookmarkStart w:id="1177" w:name="_Toc453057105"/>
      <w:bookmarkEnd w:id="1177"/>
      <w:r>
        <w:rPr>
          <w:rFonts w:hint="eastAsia" w:ascii="宋体" w:hAnsi="宋体" w:cs="宋体"/>
          <w:color w:val="000000" w:themeColor="text1"/>
          <w:sz w:val="24"/>
          <w:szCs w:val="24"/>
          <w:highlight w:val="none"/>
          <w14:textFill>
            <w14:solidFill>
              <w14:schemeClr w14:val="tx1"/>
            </w14:solidFill>
          </w14:textFill>
        </w:rPr>
        <w:t>4.4联合体</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本款增加第4.4.4项：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4.4.4未经发包人事先同意，联合体的组成与结构不得变动。</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8" w:name="_Toc393546446"/>
      <w:bookmarkEnd w:id="1178"/>
      <w:bookmarkStart w:id="1179" w:name="_Toc330406387"/>
      <w:bookmarkEnd w:id="1179"/>
      <w:bookmarkStart w:id="1180" w:name="_Toc43475921"/>
      <w:bookmarkEnd w:id="1180"/>
      <w:bookmarkStart w:id="1181" w:name="_Toc451261296"/>
      <w:bookmarkEnd w:id="1181"/>
      <w:bookmarkStart w:id="1182" w:name="_Toc386467192"/>
      <w:bookmarkEnd w:id="1182"/>
      <w:bookmarkStart w:id="1183" w:name="_Toc453057106"/>
      <w:bookmarkEnd w:id="1183"/>
      <w:r>
        <w:rPr>
          <w:rFonts w:hint="eastAsia" w:ascii="宋体" w:hAnsi="宋体" w:cs="宋体"/>
          <w:color w:val="000000" w:themeColor="text1"/>
          <w:sz w:val="24"/>
          <w:szCs w:val="24"/>
          <w:highlight w:val="none"/>
          <w14:textFill>
            <w14:solidFill>
              <w14:schemeClr w14:val="tx1"/>
            </w14:solidFill>
          </w14:textFill>
        </w:rPr>
        <w:t>4.6承包人人员的管理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第4.6.3项细化为：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本款补充第4.6.5项：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4" w:name="_Toc451261297"/>
      <w:bookmarkEnd w:id="1184"/>
      <w:bookmarkStart w:id="1185" w:name="_Toc453057107"/>
      <w:bookmarkEnd w:id="1185"/>
      <w:bookmarkStart w:id="1186" w:name="_Toc393546447"/>
      <w:bookmarkEnd w:id="1186"/>
      <w:bookmarkStart w:id="1187" w:name="_Toc43475922"/>
      <w:bookmarkEnd w:id="1187"/>
      <w:bookmarkStart w:id="1188" w:name="_Toc330406388"/>
      <w:bookmarkEnd w:id="1188"/>
      <w:bookmarkStart w:id="1189" w:name="_Toc386467193"/>
      <w:bookmarkEnd w:id="1189"/>
      <w:r>
        <w:rPr>
          <w:rFonts w:hint="eastAsia" w:ascii="宋体" w:hAnsi="宋体" w:cs="宋体"/>
          <w:color w:val="000000" w:themeColor="text1"/>
          <w:sz w:val="24"/>
          <w:szCs w:val="24"/>
          <w:highlight w:val="none"/>
          <w14:textFill>
            <w14:solidFill>
              <w14:schemeClr w14:val="tx1"/>
            </w14:solidFill>
          </w14:textFill>
        </w:rPr>
        <w:t>4.7撤换承包人项目经理和其他人员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0" w:name="_Toc330406389"/>
      <w:bookmarkEnd w:id="1190"/>
      <w:bookmarkStart w:id="1191" w:name="_Toc453057108"/>
      <w:bookmarkEnd w:id="1191"/>
      <w:bookmarkStart w:id="1192" w:name="_Toc43475923"/>
      <w:bookmarkEnd w:id="1192"/>
      <w:bookmarkStart w:id="1193" w:name="_Toc393546448"/>
      <w:bookmarkEnd w:id="1193"/>
      <w:bookmarkStart w:id="1194" w:name="_Toc451261298"/>
      <w:bookmarkEnd w:id="1194"/>
      <w:bookmarkStart w:id="1195" w:name="_Toc386467194"/>
      <w:bookmarkEnd w:id="1195"/>
      <w:r>
        <w:rPr>
          <w:rFonts w:hint="eastAsia" w:ascii="宋体" w:hAnsi="宋体" w:cs="宋体"/>
          <w:color w:val="000000" w:themeColor="text1"/>
          <w:sz w:val="24"/>
          <w:szCs w:val="24"/>
          <w:highlight w:val="none"/>
          <w14:textFill>
            <w14:solidFill>
              <w14:schemeClr w14:val="tx1"/>
            </w14:solidFill>
          </w14:textFill>
        </w:rPr>
        <w:t>4.9工程价款应专款专用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6" w:name="_Toc453057109"/>
      <w:bookmarkEnd w:id="1196"/>
      <w:bookmarkStart w:id="1197" w:name="_Toc393546449"/>
      <w:bookmarkEnd w:id="1197"/>
      <w:bookmarkStart w:id="1198" w:name="_Toc451261299"/>
      <w:bookmarkEnd w:id="1198"/>
      <w:bookmarkStart w:id="1199" w:name="_Toc386467195"/>
      <w:bookmarkEnd w:id="1199"/>
      <w:bookmarkStart w:id="1200" w:name="_Toc330406390"/>
      <w:bookmarkEnd w:id="1200"/>
      <w:bookmarkStart w:id="1201" w:name="_Toc43475924"/>
      <w:bookmarkEnd w:id="1201"/>
      <w:r>
        <w:rPr>
          <w:rFonts w:hint="eastAsia" w:ascii="宋体" w:hAnsi="宋体" w:cs="宋体"/>
          <w:color w:val="000000" w:themeColor="text1"/>
          <w:sz w:val="24"/>
          <w:szCs w:val="24"/>
          <w:highlight w:val="none"/>
          <w14:textFill>
            <w14:solidFill>
              <w14:schemeClr w14:val="tx1"/>
            </w14:solidFill>
          </w14:textFill>
        </w:rPr>
        <w:t>4.10承包人现场查勘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第4.10.1项细化为：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2" w:name="_Toc330406391"/>
      <w:bookmarkEnd w:id="1202"/>
      <w:bookmarkStart w:id="1203" w:name="_Toc393546450"/>
      <w:bookmarkEnd w:id="1203"/>
      <w:bookmarkStart w:id="1204" w:name="_Toc453057110"/>
      <w:bookmarkEnd w:id="1204"/>
      <w:bookmarkStart w:id="1205" w:name="_Toc386467196"/>
      <w:bookmarkEnd w:id="1205"/>
      <w:bookmarkStart w:id="1206" w:name="_Toc451261300"/>
      <w:bookmarkEnd w:id="1206"/>
      <w:bookmarkStart w:id="1207" w:name="_Toc43475925"/>
      <w:bookmarkEnd w:id="1207"/>
      <w:r>
        <w:rPr>
          <w:rFonts w:hint="eastAsia" w:ascii="宋体" w:hAnsi="宋体" w:cs="宋体"/>
          <w:color w:val="000000" w:themeColor="text1"/>
          <w:sz w:val="24"/>
          <w:szCs w:val="24"/>
          <w:highlight w:val="none"/>
          <w14:textFill>
            <w14:solidFill>
              <w14:schemeClr w14:val="tx1"/>
            </w14:solidFill>
          </w14:textFill>
        </w:rPr>
        <w:t>4.11不利物质条件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第4.11.2项细化为：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本款补充第4.11.3项：</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4.11.3 可预见的不利物质条件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补充第4.12、</w:t>
      </w:r>
      <w:r>
        <w:rPr>
          <w:rFonts w:hint="eastAsia" w:ascii="宋体" w:hAnsi="宋体" w:cs="宋体"/>
          <w:color w:val="000000" w:themeColor="text1"/>
          <w:sz w:val="24"/>
          <w:highlight w:val="none"/>
          <w14:textFill>
            <w14:solidFill>
              <w14:schemeClr w14:val="tx1"/>
            </w14:solidFill>
          </w14:textFill>
        </w:rPr>
        <w:t>4.13</w:t>
      </w:r>
      <w:r>
        <w:rPr>
          <w:rFonts w:hint="eastAsia" w:ascii="宋体" w:hAnsi="宋体" w:cs="宋体"/>
          <w:color w:val="000000" w:themeColor="text1"/>
          <w:sz w:val="24"/>
          <w:highlight w:val="none"/>
          <w:lang w:val="zh-CN"/>
          <w14:textFill>
            <w14:solidFill>
              <w14:schemeClr w14:val="tx1"/>
            </w14:solidFill>
          </w14:textFill>
        </w:rPr>
        <w:t>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8" w:name="_Toc393546451"/>
      <w:bookmarkEnd w:id="1208"/>
      <w:bookmarkStart w:id="1209" w:name="_Toc386467197"/>
      <w:bookmarkEnd w:id="1209"/>
      <w:bookmarkStart w:id="1210" w:name="_Toc451261301"/>
      <w:bookmarkEnd w:id="1210"/>
      <w:bookmarkStart w:id="1211" w:name="_Toc43475926"/>
      <w:bookmarkEnd w:id="1211"/>
      <w:bookmarkStart w:id="1212" w:name="_Toc453057111"/>
      <w:bookmarkEnd w:id="1212"/>
      <w:bookmarkStart w:id="1213" w:name="_Toc330406392"/>
      <w:bookmarkEnd w:id="1213"/>
      <w:r>
        <w:rPr>
          <w:rFonts w:hint="eastAsia" w:ascii="宋体" w:hAnsi="宋体" w:cs="宋体"/>
          <w:color w:val="000000" w:themeColor="text1"/>
          <w:sz w:val="24"/>
          <w:szCs w:val="24"/>
          <w:highlight w:val="none"/>
          <w14:textFill>
            <w14:solidFill>
              <w14:schemeClr w14:val="tx1"/>
            </w14:solidFill>
          </w14:textFill>
        </w:rPr>
        <w:t>4.12投标文件的完备性</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4" w:name="_Toc43475927"/>
      <w:bookmarkEnd w:id="1214"/>
      <w:bookmarkStart w:id="1215" w:name="bookmark15"/>
      <w:bookmarkEnd w:id="1215"/>
      <w:r>
        <w:rPr>
          <w:rFonts w:hint="eastAsia" w:ascii="宋体" w:hAnsi="宋体" w:cs="宋体"/>
          <w:color w:val="000000" w:themeColor="text1"/>
          <w:sz w:val="24"/>
          <w:szCs w:val="24"/>
          <w:highlight w:val="none"/>
          <w14:textFill>
            <w14:solidFill>
              <w14:schemeClr w14:val="tx1"/>
            </w14:solidFill>
          </w14:textFill>
        </w:rPr>
        <w:t>4.13</w:t>
      </w:r>
      <w:r>
        <w:rPr>
          <w:rFonts w:hint="eastAsia" w:ascii="宋体" w:hAnsi="宋体" w:cs="宋体"/>
          <w:color w:val="000000" w:themeColor="text1"/>
          <w:sz w:val="24"/>
          <w:szCs w:val="24"/>
          <w:highlight w:val="none"/>
          <w:lang w:val="zh-CN"/>
          <w14:textFill>
            <w14:solidFill>
              <w14:schemeClr w14:val="tx1"/>
            </w14:solidFill>
          </w14:textFill>
        </w:rPr>
        <w:t>开展党建工作要求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对于政府投资的国家高速公路项目，或承包人为国有控股或参股企业的，承包 人应按规定在项目现场设立基层党组织。不满足上述情形的，应创造条件使党员能够参加党组织生活并接受相应管理。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16" w:name="_Toc393546452"/>
      <w:bookmarkEnd w:id="1216"/>
      <w:bookmarkStart w:id="1217" w:name="_Toc451261302"/>
      <w:bookmarkEnd w:id="1217"/>
      <w:bookmarkStart w:id="1218" w:name="_Toc330406393"/>
      <w:bookmarkEnd w:id="1218"/>
      <w:bookmarkStart w:id="1219" w:name="_Toc386467198"/>
      <w:bookmarkEnd w:id="1219"/>
      <w:bookmarkStart w:id="1220" w:name="_Toc453057112"/>
      <w:bookmarkEnd w:id="1220"/>
      <w:bookmarkStart w:id="1221" w:name="_Toc43475928"/>
      <w:bookmarkEnd w:id="1221"/>
      <w:r>
        <w:rPr>
          <w:rFonts w:hint="eastAsia" w:ascii="宋体" w:hAnsi="宋体" w:cs="宋体"/>
          <w:color w:val="000000" w:themeColor="text1"/>
          <w:sz w:val="28"/>
          <w:szCs w:val="28"/>
          <w:highlight w:val="none"/>
          <w14:textFill>
            <w14:solidFill>
              <w14:schemeClr w14:val="tx1"/>
            </w14:solidFill>
          </w14:textFill>
        </w:rPr>
        <w:t>5.材料和工程设备</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22" w:name="_Toc393546453"/>
      <w:bookmarkEnd w:id="1222"/>
      <w:bookmarkStart w:id="1223" w:name="_Toc43475929"/>
      <w:bookmarkEnd w:id="1223"/>
      <w:bookmarkStart w:id="1224" w:name="_Toc330406394"/>
      <w:bookmarkEnd w:id="1224"/>
      <w:bookmarkStart w:id="1225" w:name="_Toc453057113"/>
      <w:bookmarkEnd w:id="1225"/>
      <w:bookmarkStart w:id="1226" w:name="_Toc386467199"/>
      <w:bookmarkEnd w:id="1226"/>
      <w:bookmarkStart w:id="1227" w:name="_Toc451261303"/>
      <w:bookmarkEnd w:id="1227"/>
      <w:r>
        <w:rPr>
          <w:rFonts w:hint="eastAsia" w:ascii="宋体" w:hAnsi="宋体" w:cs="宋体"/>
          <w:color w:val="000000" w:themeColor="text1"/>
          <w:sz w:val="24"/>
          <w:szCs w:val="24"/>
          <w:highlight w:val="none"/>
          <w14:textFill>
            <w14:solidFill>
              <w14:schemeClr w14:val="tx1"/>
            </w14:solidFill>
          </w14:textFill>
        </w:rPr>
        <w:t>5.2发包人提供的材料和工程设备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第5.2.3项补充：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28" w:name="_Toc386467200"/>
      <w:bookmarkEnd w:id="1228"/>
      <w:bookmarkStart w:id="1229" w:name="_Toc451261304"/>
      <w:bookmarkEnd w:id="1229"/>
      <w:bookmarkStart w:id="1230" w:name="_Toc453057114"/>
      <w:bookmarkEnd w:id="1230"/>
      <w:bookmarkStart w:id="1231" w:name="_Toc330406395"/>
      <w:bookmarkEnd w:id="1231"/>
      <w:bookmarkStart w:id="1232" w:name="_Toc43475930"/>
      <w:bookmarkEnd w:id="1232"/>
      <w:bookmarkStart w:id="1233" w:name="_Toc393546454"/>
      <w:bookmarkEnd w:id="1233"/>
      <w:r>
        <w:rPr>
          <w:rFonts w:hint="eastAsia" w:ascii="宋体" w:hAnsi="宋体" w:cs="宋体"/>
          <w:color w:val="000000" w:themeColor="text1"/>
          <w:sz w:val="28"/>
          <w:szCs w:val="28"/>
          <w:highlight w:val="none"/>
          <w14:textFill>
            <w14:solidFill>
              <w14:schemeClr w14:val="tx1"/>
            </w14:solidFill>
          </w14:textFill>
        </w:rPr>
        <w:t>6.施工设备和临时设施</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34" w:name="_Toc386467201"/>
      <w:bookmarkEnd w:id="1234"/>
      <w:bookmarkStart w:id="1235" w:name="_Toc393546455"/>
      <w:bookmarkEnd w:id="1235"/>
      <w:bookmarkStart w:id="1236" w:name="_Toc451261305"/>
      <w:bookmarkEnd w:id="1236"/>
      <w:bookmarkStart w:id="1237" w:name="_Toc453057115"/>
      <w:bookmarkEnd w:id="1237"/>
      <w:bookmarkStart w:id="1238" w:name="_Toc330406396"/>
      <w:bookmarkEnd w:id="1238"/>
      <w:bookmarkStart w:id="1239" w:name="_Toc43475931"/>
      <w:bookmarkEnd w:id="1239"/>
      <w:r>
        <w:rPr>
          <w:rFonts w:hint="eastAsia" w:ascii="宋体" w:hAnsi="宋体" w:cs="宋体"/>
          <w:color w:val="000000" w:themeColor="text1"/>
          <w:sz w:val="24"/>
          <w:szCs w:val="24"/>
          <w:highlight w:val="none"/>
          <w14:textFill>
            <w14:solidFill>
              <w14:schemeClr w14:val="tx1"/>
            </w14:solidFill>
          </w14:textFill>
        </w:rPr>
        <w:t>6.2承包人提供的施工设备和临时设施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第6.1.2项约定为：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承包人应自行承担修建临时设施的费用，需要临时占地的，应由承包人按第4.1.10项（1）目的规定办理。</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40" w:name="_Toc330406397"/>
      <w:bookmarkEnd w:id="1240"/>
      <w:bookmarkStart w:id="1241" w:name="_Toc43475932"/>
      <w:bookmarkEnd w:id="1241"/>
      <w:bookmarkStart w:id="1242" w:name="_Toc393546456"/>
      <w:bookmarkEnd w:id="1242"/>
      <w:bookmarkStart w:id="1243" w:name="_Toc451261306"/>
      <w:bookmarkEnd w:id="1243"/>
      <w:bookmarkStart w:id="1244" w:name="_Toc453057116"/>
      <w:bookmarkEnd w:id="1244"/>
      <w:bookmarkStart w:id="1245" w:name="_Toc386467202"/>
      <w:bookmarkEnd w:id="1245"/>
      <w:r>
        <w:rPr>
          <w:rFonts w:hint="eastAsia" w:ascii="宋体" w:hAnsi="宋体" w:cs="宋体"/>
          <w:color w:val="000000" w:themeColor="text1"/>
          <w:sz w:val="24"/>
          <w:szCs w:val="24"/>
          <w:highlight w:val="none"/>
          <w14:textFill>
            <w14:solidFill>
              <w14:schemeClr w14:val="tx1"/>
            </w14:solidFill>
          </w14:textFill>
        </w:rPr>
        <w:t>6.3要求承包人增加或更换施工设备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46" w:name="_Toc393546457"/>
      <w:bookmarkEnd w:id="1246"/>
      <w:bookmarkStart w:id="1247" w:name="_Toc43475933"/>
      <w:bookmarkEnd w:id="1247"/>
      <w:bookmarkStart w:id="1248" w:name="_Toc330406398"/>
      <w:bookmarkEnd w:id="1248"/>
      <w:bookmarkStart w:id="1249" w:name="_Toc386467203"/>
      <w:bookmarkEnd w:id="1249"/>
      <w:bookmarkStart w:id="1250" w:name="_Toc453057117"/>
      <w:bookmarkEnd w:id="1250"/>
      <w:bookmarkStart w:id="1251" w:name="_Toc451261307"/>
      <w:bookmarkEnd w:id="1251"/>
      <w:r>
        <w:rPr>
          <w:rFonts w:hint="eastAsia" w:ascii="宋体" w:hAnsi="宋体" w:cs="宋体"/>
          <w:color w:val="000000" w:themeColor="text1"/>
          <w:sz w:val="28"/>
          <w:szCs w:val="28"/>
          <w:highlight w:val="none"/>
          <w14:textFill>
            <w14:solidFill>
              <w14:schemeClr w14:val="tx1"/>
            </w14:solidFill>
          </w14:textFill>
        </w:rPr>
        <w:t>7.交通运输</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52" w:name="_Toc453057118"/>
      <w:bookmarkEnd w:id="1252"/>
      <w:bookmarkStart w:id="1253" w:name="_Toc330406399"/>
      <w:bookmarkEnd w:id="1253"/>
      <w:bookmarkStart w:id="1254" w:name="_Toc393546458"/>
      <w:bookmarkEnd w:id="1254"/>
      <w:bookmarkStart w:id="1255" w:name="_Toc43475934"/>
      <w:bookmarkEnd w:id="1255"/>
      <w:bookmarkStart w:id="1256" w:name="_Toc386467204"/>
      <w:bookmarkEnd w:id="1256"/>
      <w:bookmarkStart w:id="1257" w:name="_Toc451261308"/>
      <w:bookmarkEnd w:id="1257"/>
      <w:r>
        <w:rPr>
          <w:rFonts w:hint="eastAsia" w:ascii="宋体" w:hAnsi="宋体" w:cs="宋体"/>
          <w:color w:val="000000" w:themeColor="text1"/>
          <w:sz w:val="24"/>
          <w:szCs w:val="24"/>
          <w:highlight w:val="none"/>
          <w14:textFill>
            <w14:solidFill>
              <w14:schemeClr w14:val="tx1"/>
            </w14:solidFill>
          </w14:textFill>
        </w:rPr>
        <w:t>7.1道路通行权和场外设施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58" w:name="_Toc453057119"/>
      <w:bookmarkEnd w:id="1258"/>
      <w:bookmarkStart w:id="1259" w:name="_Toc451261309"/>
      <w:bookmarkEnd w:id="1259"/>
      <w:bookmarkStart w:id="1260" w:name="_Toc330406400"/>
      <w:bookmarkEnd w:id="1260"/>
      <w:bookmarkStart w:id="1261" w:name="_Toc393546459"/>
      <w:bookmarkEnd w:id="1261"/>
      <w:bookmarkStart w:id="1262" w:name="_Toc43475935"/>
      <w:bookmarkEnd w:id="1262"/>
      <w:bookmarkStart w:id="1263" w:name="_Toc386467205"/>
      <w:bookmarkEnd w:id="1263"/>
      <w:r>
        <w:rPr>
          <w:rFonts w:hint="eastAsia" w:ascii="宋体" w:hAnsi="宋体" w:cs="宋体"/>
          <w:color w:val="000000" w:themeColor="text1"/>
          <w:sz w:val="28"/>
          <w:szCs w:val="28"/>
          <w:highlight w:val="none"/>
          <w14:textFill>
            <w14:solidFill>
              <w14:schemeClr w14:val="tx1"/>
            </w14:solidFill>
          </w14:textFill>
        </w:rPr>
        <w:t>8.测量放线</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64" w:name="_Toc453057120"/>
      <w:bookmarkEnd w:id="1264"/>
      <w:bookmarkStart w:id="1265" w:name="_Toc386467206"/>
      <w:bookmarkEnd w:id="1265"/>
      <w:bookmarkStart w:id="1266" w:name="_Toc330406401"/>
      <w:bookmarkEnd w:id="1266"/>
      <w:bookmarkStart w:id="1267" w:name="_Toc393546460"/>
      <w:bookmarkEnd w:id="1267"/>
      <w:bookmarkStart w:id="1268" w:name="_Toc43475936"/>
      <w:bookmarkEnd w:id="1268"/>
      <w:bookmarkStart w:id="1269" w:name="_Toc451261310"/>
      <w:bookmarkEnd w:id="1269"/>
      <w:r>
        <w:rPr>
          <w:rFonts w:hint="eastAsia" w:ascii="宋体" w:hAnsi="宋体" w:cs="宋体"/>
          <w:color w:val="000000" w:themeColor="text1"/>
          <w:sz w:val="24"/>
          <w:szCs w:val="24"/>
          <w:highlight w:val="none"/>
          <w14:textFill>
            <w14:solidFill>
              <w14:schemeClr w14:val="tx1"/>
            </w14:solidFill>
          </w14:textFill>
        </w:rPr>
        <w:t>8.4监理人使用施工控制网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经监理人批准，其他相关承包人也可免费使用施工控制网。</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70" w:name="_Toc393546461"/>
      <w:bookmarkEnd w:id="1270"/>
      <w:bookmarkStart w:id="1271" w:name="_Toc330406402"/>
      <w:bookmarkEnd w:id="1271"/>
      <w:bookmarkStart w:id="1272" w:name="_Toc451261311"/>
      <w:bookmarkEnd w:id="1272"/>
      <w:bookmarkStart w:id="1273" w:name="_Toc386467207"/>
      <w:bookmarkEnd w:id="1273"/>
      <w:bookmarkStart w:id="1274" w:name="_Toc43475937"/>
      <w:bookmarkEnd w:id="1274"/>
      <w:bookmarkStart w:id="1275" w:name="_Toc453057121"/>
      <w:bookmarkEnd w:id="1275"/>
      <w:r>
        <w:rPr>
          <w:rFonts w:hint="eastAsia" w:ascii="宋体" w:hAnsi="宋体" w:cs="宋体"/>
          <w:color w:val="000000" w:themeColor="text1"/>
          <w:sz w:val="28"/>
          <w:szCs w:val="28"/>
          <w:highlight w:val="none"/>
          <w14:textFill>
            <w14:solidFill>
              <w14:schemeClr w14:val="tx1"/>
            </w14:solidFill>
          </w14:textFill>
        </w:rPr>
        <w:t>9.施工安全、治安保卫和环境保护</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76" w:name="_Toc330406403"/>
      <w:bookmarkEnd w:id="1276"/>
      <w:bookmarkStart w:id="1277" w:name="_Toc451261312"/>
      <w:bookmarkEnd w:id="1277"/>
      <w:bookmarkStart w:id="1278" w:name="_Toc393546462"/>
      <w:bookmarkEnd w:id="1278"/>
      <w:bookmarkStart w:id="1279" w:name="_Toc453057122"/>
      <w:bookmarkEnd w:id="1279"/>
      <w:bookmarkStart w:id="1280" w:name="_Toc386467208"/>
      <w:bookmarkEnd w:id="1280"/>
      <w:bookmarkStart w:id="1281" w:name="_Toc43475938"/>
      <w:bookmarkEnd w:id="1281"/>
      <w:r>
        <w:rPr>
          <w:rFonts w:hint="eastAsia" w:ascii="宋体" w:hAnsi="宋体" w:cs="宋体"/>
          <w:color w:val="000000" w:themeColor="text1"/>
          <w:sz w:val="24"/>
          <w:szCs w:val="24"/>
          <w:highlight w:val="none"/>
          <w14:textFill>
            <w14:solidFill>
              <w14:schemeClr w14:val="tx1"/>
            </w14:solidFill>
          </w14:textFill>
        </w:rPr>
        <w:t>9.2承包人的施工安全责任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本项目需要编制专项施工方案的工程包括但不限于以下内容：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（1）不良地质条件下有潜在危险性的土方、石方开挖；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（2）滑坡和高边坡处理；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（3）桩基础、挡墙基础、深水基础及围堰工程；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（4）桥梁工程中的梁、拱、柱等构件施工等；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（5）隧道工程中的不良地质隧道、高瓦斯隧道等；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（6）水上工程中的打桩船作业、施工船作业、外海孤岛作业、边通航边施工作业等；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（7）水下工程中的水下焊接、混凝土浇筑、爆破工程等；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（8）爆破工程；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（9）大型临时工程中的大型支架、模板、便桥的架设与拆除；桥梁、码头的加固与拆除；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（10）其他危险性较大的工程。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监理人和发包人在检查中发现有安全问题或有违反安全管理规章制度的情况时，可视其为承包人违约，应按第22.1款的规定处理。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pPr>
        <w:pStyle w:val="1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本款补充第9.2.8项～9.2.11项：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9.2.8承包人应充分关注和保障所有在现场工作的人员的安全，采取以下有效措施，使现场和本合同工程的实施保持有条不紊，以免使让述人员的安全受到威胁。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（1）按《公路水运工程安全生产临督管理办法》规定的最低数量和资质条件配备专职安全生产管理人员；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（3）所有施工机具设备和高空作业设备均应定期检查，并有安全员的签字记录。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9.2.10在通航水域施工时，承包人应与当地主管部门取得联系，设置必要的导航标志，及时发布航行通告，确保施工水域安全。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82" w:name="_Toc453057123"/>
      <w:bookmarkEnd w:id="1282"/>
      <w:bookmarkStart w:id="1283" w:name="_Toc386467209"/>
      <w:bookmarkEnd w:id="1283"/>
      <w:bookmarkStart w:id="1284" w:name="_Toc451261313"/>
      <w:bookmarkEnd w:id="1284"/>
      <w:bookmarkStart w:id="1285" w:name="_Toc393546463"/>
      <w:bookmarkEnd w:id="1285"/>
      <w:bookmarkStart w:id="1286" w:name="_Toc43475939"/>
      <w:bookmarkEnd w:id="1286"/>
      <w:bookmarkStart w:id="1287" w:name="_Toc330406404"/>
      <w:bookmarkEnd w:id="1287"/>
      <w:r>
        <w:rPr>
          <w:rFonts w:hint="eastAsia" w:ascii="宋体" w:hAnsi="宋体" w:cs="宋体"/>
          <w:color w:val="000000" w:themeColor="text1"/>
          <w:sz w:val="24"/>
          <w:szCs w:val="24"/>
          <w:highlight w:val="none"/>
          <w14:textFill>
            <w14:solidFill>
              <w14:schemeClr w14:val="tx1"/>
            </w14:solidFill>
          </w14:textFill>
        </w:rPr>
        <w:t>9.4环境保护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本款补充第9.4.7～第9.4.11项：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9.4.7 承包人应切实执行技术规范中有关环境保护方面的条款和规定。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a.拌和设备应有较好的密封，或有防尘设备。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b.施工通道、沥青混凝土拌和站及灰土拌和站应经常进行洒水降尘。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c.路面施工应注意保持水分，以免扬尘。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d.隧道出渣和桥梁钻孔灌注桩施工时排出的泥浆要进行妥善处理，严禁向河流或农田排放。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（3）采取可靠措施保证原有交通的正常通行，维持沿线村镇的居民饮水、农田灌溉、生产生活用电及通讯等管线的正常使用。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88" w:name="_Toc330406405"/>
      <w:bookmarkEnd w:id="1288"/>
      <w:bookmarkStart w:id="1289" w:name="_Toc386467210"/>
      <w:bookmarkEnd w:id="1289"/>
      <w:bookmarkStart w:id="1290" w:name="_Toc393546464"/>
      <w:bookmarkEnd w:id="1290"/>
      <w:bookmarkStart w:id="1291" w:name="_Toc451261314"/>
      <w:bookmarkEnd w:id="1291"/>
      <w:bookmarkStart w:id="1292" w:name="_Toc453057124"/>
      <w:bookmarkEnd w:id="1292"/>
      <w:bookmarkStart w:id="1293" w:name="_Toc43475940"/>
      <w:bookmarkEnd w:id="1293"/>
      <w:r>
        <w:rPr>
          <w:rFonts w:hint="eastAsia" w:ascii="宋体" w:hAnsi="宋体" w:cs="宋体"/>
          <w:color w:val="000000" w:themeColor="text1"/>
          <w:sz w:val="28"/>
          <w:szCs w:val="28"/>
          <w:highlight w:val="none"/>
          <w14:textFill>
            <w14:solidFill>
              <w14:schemeClr w14:val="tx1"/>
            </w14:solidFill>
          </w14:textFill>
        </w:rPr>
        <w:t>10.进度计划</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4" w:name="_Toc393546465"/>
      <w:bookmarkEnd w:id="1294"/>
      <w:bookmarkStart w:id="1295" w:name="_Toc386467211"/>
      <w:bookmarkEnd w:id="1295"/>
      <w:bookmarkStart w:id="1296" w:name="_Toc43475941"/>
      <w:bookmarkEnd w:id="1296"/>
      <w:bookmarkStart w:id="1297" w:name="_Toc451261315"/>
      <w:bookmarkEnd w:id="1297"/>
      <w:bookmarkStart w:id="1298" w:name="_Toc453057125"/>
      <w:bookmarkEnd w:id="1298"/>
      <w:bookmarkStart w:id="1299" w:name="_Toc330406406"/>
      <w:bookmarkEnd w:id="1299"/>
      <w:r>
        <w:rPr>
          <w:rFonts w:hint="eastAsia" w:ascii="宋体" w:hAnsi="宋体" w:cs="宋体"/>
          <w:color w:val="000000" w:themeColor="text1"/>
          <w:sz w:val="24"/>
          <w:szCs w:val="24"/>
          <w:highlight w:val="none"/>
          <w14:textFill>
            <w14:solidFill>
              <w14:schemeClr w14:val="tx1"/>
            </w14:solidFill>
          </w14:textFill>
        </w:rPr>
        <w:t>10.1合同进度计划</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承包人编制施工方案说明的内容见项目专用合同条款。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承包人向监理人报送施工进度计划和施工方案说明的期限：签订合同协议书后28天之内。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监理人应在14天内对承包人施工进度计划和施工方案说明予以批复或提出修改意见。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合同进度计划应按照关键线路网络图和主要工作横道图两种形式分别编绘，并应包括每月预计完成的工作量和形象进度。</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0" w:name="_Toc393546466"/>
      <w:bookmarkEnd w:id="1300"/>
      <w:bookmarkStart w:id="1301" w:name="_Toc453057126"/>
      <w:bookmarkEnd w:id="1301"/>
      <w:bookmarkStart w:id="1302" w:name="_Toc451261316"/>
      <w:bookmarkEnd w:id="1302"/>
      <w:bookmarkStart w:id="1303" w:name="_Toc330406407"/>
      <w:bookmarkEnd w:id="1303"/>
      <w:bookmarkStart w:id="1304" w:name="_Toc43475942"/>
      <w:bookmarkEnd w:id="1304"/>
      <w:bookmarkStart w:id="1305" w:name="_Toc386467212"/>
      <w:bookmarkEnd w:id="1305"/>
      <w:r>
        <w:rPr>
          <w:rFonts w:hint="eastAsia" w:ascii="宋体" w:hAnsi="宋体" w:cs="宋体"/>
          <w:color w:val="000000" w:themeColor="text1"/>
          <w:sz w:val="24"/>
          <w:szCs w:val="24"/>
          <w:highlight w:val="none"/>
          <w14:textFill>
            <w14:solidFill>
              <w14:schemeClr w14:val="tx1"/>
            </w14:solidFill>
          </w14:textFill>
        </w:rPr>
        <w:t>10.2合同进度计划的修订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承包人提交合同进度计划修订申请报告，并附有关措施和相关资料的期限：实际进度发生滞后的当月25日前。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监理人批复修订合同进度计划的期限：收到修订合同进度计划后14天内。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补充第10.3、10.4款：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6" w:name="_Toc451261317"/>
      <w:bookmarkEnd w:id="1306"/>
      <w:bookmarkStart w:id="1307" w:name="_Toc386467213"/>
      <w:bookmarkEnd w:id="1307"/>
      <w:bookmarkStart w:id="1308" w:name="_Toc330406408"/>
      <w:bookmarkEnd w:id="1308"/>
      <w:bookmarkStart w:id="1309" w:name="_Toc393546467"/>
      <w:bookmarkEnd w:id="1309"/>
      <w:bookmarkStart w:id="1310" w:name="_Toc43475943"/>
      <w:bookmarkEnd w:id="1310"/>
      <w:bookmarkStart w:id="1311" w:name="_Toc453057127"/>
      <w:bookmarkEnd w:id="1311"/>
      <w:r>
        <w:rPr>
          <w:rFonts w:hint="eastAsia" w:ascii="宋体" w:hAnsi="宋体" w:cs="宋体"/>
          <w:color w:val="000000" w:themeColor="text1"/>
          <w:sz w:val="24"/>
          <w:szCs w:val="24"/>
          <w:highlight w:val="none"/>
          <w14:textFill>
            <w14:solidFill>
              <w14:schemeClr w14:val="tx1"/>
            </w14:solidFill>
          </w14:textFill>
        </w:rPr>
        <w:t>10.3年度施工计划</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2"/>
        <w:spacing w:beforeLines="50" w:line="400" w:lineRule="exact"/>
        <w:rPr>
          <w:rFonts w:ascii="宋体" w:hAnsi="宋体" w:cs="宋体"/>
          <w:color w:val="000000" w:themeColor="text1"/>
          <w:sz w:val="24"/>
          <w:highlight w:val="none"/>
          <w14:textFill>
            <w14:solidFill>
              <w14:schemeClr w14:val="tx1"/>
            </w14:solidFill>
          </w14:textFill>
        </w:rPr>
      </w:pPr>
      <w:bookmarkStart w:id="1312" w:name="_Toc43475944"/>
      <w:bookmarkEnd w:id="1312"/>
      <w:bookmarkStart w:id="1313" w:name="_Toc330406409"/>
      <w:bookmarkEnd w:id="1313"/>
      <w:bookmarkStart w:id="1314" w:name="_Toc451261318"/>
      <w:bookmarkEnd w:id="1314"/>
      <w:bookmarkStart w:id="1315" w:name="_Toc393546468"/>
      <w:bookmarkEnd w:id="1315"/>
      <w:bookmarkStart w:id="1316" w:name="_Toc386467214"/>
      <w:bookmarkEnd w:id="1316"/>
      <w:bookmarkStart w:id="1317" w:name="_Toc453057128"/>
      <w:bookmarkEnd w:id="1317"/>
      <w:r>
        <w:rPr>
          <w:rFonts w:hint="eastAsia" w:ascii="宋体" w:hAnsi="宋体" w:cs="宋体"/>
          <w:color w:val="000000" w:themeColor="text1"/>
          <w:sz w:val="24"/>
          <w:szCs w:val="24"/>
          <w:highlight w:val="none"/>
          <w14:textFill>
            <w14:solidFill>
              <w14:schemeClr w14:val="tx1"/>
            </w14:solidFill>
          </w14:textFill>
        </w:rPr>
        <w:t>10.4合同用款计划</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18" w:name="_Toc386467215"/>
      <w:bookmarkEnd w:id="1318"/>
      <w:bookmarkStart w:id="1319" w:name="_Toc43475945"/>
      <w:bookmarkEnd w:id="1319"/>
      <w:bookmarkStart w:id="1320" w:name="_Toc330406410"/>
      <w:bookmarkEnd w:id="1320"/>
      <w:bookmarkStart w:id="1321" w:name="_Toc453057129"/>
      <w:bookmarkEnd w:id="1321"/>
      <w:bookmarkStart w:id="1322" w:name="_Toc451261319"/>
      <w:bookmarkEnd w:id="1322"/>
      <w:bookmarkStart w:id="1323" w:name="_Toc393546469"/>
      <w:bookmarkEnd w:id="1323"/>
      <w:r>
        <w:rPr>
          <w:rFonts w:hint="eastAsia" w:ascii="宋体" w:hAnsi="宋体" w:cs="宋体"/>
          <w:color w:val="000000" w:themeColor="text1"/>
          <w:sz w:val="28"/>
          <w:szCs w:val="28"/>
          <w:highlight w:val="none"/>
          <w14:textFill>
            <w14:solidFill>
              <w14:schemeClr w14:val="tx1"/>
            </w14:solidFill>
          </w14:textFill>
        </w:rPr>
        <w:t>11.开工和交工</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24" w:name="_Toc330406411"/>
      <w:bookmarkEnd w:id="1324"/>
      <w:bookmarkStart w:id="1325" w:name="_Toc453057130"/>
      <w:bookmarkEnd w:id="1325"/>
      <w:bookmarkStart w:id="1326" w:name="_Toc386467216"/>
      <w:bookmarkEnd w:id="1326"/>
      <w:bookmarkStart w:id="1327" w:name="_Toc451261320"/>
      <w:bookmarkEnd w:id="1327"/>
      <w:bookmarkStart w:id="1328" w:name="_Toc43475946"/>
      <w:bookmarkEnd w:id="1328"/>
      <w:bookmarkStart w:id="1329" w:name="_Toc393546470"/>
      <w:bookmarkEnd w:id="1329"/>
      <w:r>
        <w:rPr>
          <w:rFonts w:hint="eastAsia" w:ascii="宋体" w:hAnsi="宋体" w:cs="宋体"/>
          <w:color w:val="000000" w:themeColor="text1"/>
          <w:sz w:val="24"/>
          <w:szCs w:val="24"/>
          <w:highlight w:val="none"/>
          <w14:textFill>
            <w14:solidFill>
              <w14:schemeClr w14:val="tx1"/>
            </w14:solidFill>
          </w14:textFill>
        </w:rPr>
        <w:t>11.1开工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第11.1.2项补充：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0" w:name="_Toc386467217"/>
      <w:bookmarkEnd w:id="1330"/>
      <w:bookmarkStart w:id="1331" w:name="_Toc43475947"/>
      <w:bookmarkEnd w:id="1331"/>
      <w:bookmarkStart w:id="1332" w:name="_Toc453057131"/>
      <w:bookmarkEnd w:id="1332"/>
      <w:bookmarkStart w:id="1333" w:name="_Toc330406412"/>
      <w:bookmarkEnd w:id="1333"/>
      <w:bookmarkStart w:id="1334" w:name="_Toc393546471"/>
      <w:bookmarkEnd w:id="1334"/>
      <w:bookmarkStart w:id="1335" w:name="_Toc451261321"/>
      <w:bookmarkEnd w:id="1335"/>
      <w:r>
        <w:rPr>
          <w:rFonts w:hint="eastAsia" w:ascii="宋体" w:hAnsi="宋体" w:cs="宋体"/>
          <w:color w:val="000000" w:themeColor="text1"/>
          <w:sz w:val="24"/>
          <w:szCs w:val="24"/>
          <w:highlight w:val="none"/>
          <w14:textFill>
            <w14:solidFill>
              <w14:schemeClr w14:val="tx1"/>
            </w14:solidFill>
          </w14:textFill>
        </w:rPr>
        <w:t>11.3发包人的工期延误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即使由于上述原因造成工期延误，如果受影响的工程并非处在工程施工进度网络计划的关键线路上，则承包人无权要求延长总工期。</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6" w:name="_Toc453057132"/>
      <w:bookmarkEnd w:id="1336"/>
      <w:bookmarkStart w:id="1337" w:name="_Toc330406413"/>
      <w:bookmarkEnd w:id="1337"/>
      <w:bookmarkStart w:id="1338" w:name="_Toc451261322"/>
      <w:bookmarkEnd w:id="1338"/>
      <w:bookmarkStart w:id="1339" w:name="_Toc386467218"/>
      <w:bookmarkEnd w:id="1339"/>
      <w:bookmarkStart w:id="1340" w:name="_Toc393546472"/>
      <w:bookmarkEnd w:id="1340"/>
      <w:bookmarkStart w:id="1341" w:name="_Toc43475948"/>
      <w:bookmarkEnd w:id="1341"/>
      <w:r>
        <w:rPr>
          <w:rFonts w:hint="eastAsia" w:ascii="宋体" w:hAnsi="宋体" w:cs="宋体"/>
          <w:color w:val="000000" w:themeColor="text1"/>
          <w:sz w:val="24"/>
          <w:szCs w:val="24"/>
          <w:highlight w:val="none"/>
          <w14:textFill>
            <w14:solidFill>
              <w14:schemeClr w14:val="tx1"/>
            </w14:solidFill>
          </w14:textFill>
        </w:rPr>
        <w:t>11.4异常恶劣的气候条件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异常气候条件是指项目所在地30年一遇的罕见气候现象（包括温度、降水、降雪、风等）。异常恶劣的气候条件在项目专用合同条款中作具体规定。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42" w:name="_Toc453057133"/>
      <w:bookmarkEnd w:id="1342"/>
      <w:bookmarkStart w:id="1343" w:name="_Toc386467219"/>
      <w:bookmarkEnd w:id="1343"/>
      <w:bookmarkStart w:id="1344" w:name="_Toc451261323"/>
      <w:bookmarkEnd w:id="1344"/>
      <w:bookmarkStart w:id="1345" w:name="_Toc43475949"/>
      <w:bookmarkEnd w:id="1345"/>
      <w:bookmarkStart w:id="1346" w:name="_Toc393546473"/>
      <w:bookmarkEnd w:id="1346"/>
      <w:bookmarkStart w:id="1347" w:name="_Toc330406414"/>
      <w:bookmarkEnd w:id="1347"/>
      <w:r>
        <w:rPr>
          <w:rFonts w:hint="eastAsia" w:ascii="宋体" w:hAnsi="宋体" w:cs="宋体"/>
          <w:color w:val="000000" w:themeColor="text1"/>
          <w:sz w:val="24"/>
          <w:szCs w:val="24"/>
          <w:highlight w:val="none"/>
          <w14:textFill>
            <w14:solidFill>
              <w14:schemeClr w14:val="tx1"/>
            </w14:solidFill>
          </w14:textFill>
        </w:rPr>
        <w:t>11.5承包人的工期延误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（4）承包人支付逾期竣工建约金，不免除承包人完成工程及修补缺陷的义务。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48" w:name="_Toc393546474"/>
      <w:bookmarkEnd w:id="1348"/>
      <w:bookmarkStart w:id="1349" w:name="_Toc43475950"/>
      <w:bookmarkEnd w:id="1349"/>
      <w:bookmarkStart w:id="1350" w:name="_Toc451261324"/>
      <w:bookmarkEnd w:id="1350"/>
      <w:bookmarkStart w:id="1351" w:name="_Toc386467220"/>
      <w:bookmarkEnd w:id="1351"/>
      <w:bookmarkStart w:id="1352" w:name="_Toc453057134"/>
      <w:bookmarkEnd w:id="1352"/>
      <w:bookmarkStart w:id="1353" w:name="_Toc330406415"/>
      <w:bookmarkEnd w:id="1353"/>
      <w:r>
        <w:rPr>
          <w:rFonts w:hint="eastAsia" w:ascii="宋体" w:hAnsi="宋体" w:cs="宋体"/>
          <w:color w:val="000000" w:themeColor="text1"/>
          <w:sz w:val="24"/>
          <w:szCs w:val="24"/>
          <w:highlight w:val="none"/>
          <w14:textFill>
            <w14:solidFill>
              <w14:schemeClr w14:val="tx1"/>
            </w14:solidFill>
          </w14:textFill>
        </w:rPr>
        <w:t>11.6工期提前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本条补充11.7款：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54" w:name="_Toc451261325"/>
      <w:bookmarkEnd w:id="1354"/>
      <w:bookmarkStart w:id="1355" w:name="_Toc330406416"/>
      <w:bookmarkEnd w:id="1355"/>
      <w:bookmarkStart w:id="1356" w:name="_Toc43475951"/>
      <w:bookmarkEnd w:id="1356"/>
      <w:bookmarkStart w:id="1357" w:name="_Toc386467221"/>
      <w:bookmarkEnd w:id="1357"/>
      <w:bookmarkStart w:id="1358" w:name="_Toc393546475"/>
      <w:bookmarkEnd w:id="1358"/>
      <w:bookmarkStart w:id="1359" w:name="_Toc453057135"/>
      <w:bookmarkEnd w:id="1359"/>
      <w:r>
        <w:rPr>
          <w:rFonts w:hint="eastAsia" w:ascii="宋体" w:hAnsi="宋体" w:cs="宋体"/>
          <w:color w:val="000000" w:themeColor="text1"/>
          <w:sz w:val="24"/>
          <w:szCs w:val="24"/>
          <w:highlight w:val="none"/>
          <w14:textFill>
            <w14:solidFill>
              <w14:schemeClr w14:val="tx1"/>
            </w14:solidFill>
          </w14:textFill>
        </w:rPr>
        <w:t>11.7工作时间的限制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承包人在夜间或国家规定的节假日进行永久工程的施工，应向监理人报告，以便监理人履行监理人履行监理职责和义务。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本款规定不适用于习惯上或施工本身要求实行连续生产的作业。</w:t>
      </w:r>
    </w:p>
    <w:p>
      <w:pPr>
        <w:pStyle w:val="2"/>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60" w:name="_Toc393546476"/>
      <w:bookmarkEnd w:id="1360"/>
      <w:bookmarkStart w:id="1361" w:name="_Toc453057136"/>
      <w:bookmarkEnd w:id="1361"/>
      <w:bookmarkStart w:id="1362" w:name="_Toc43475952"/>
      <w:bookmarkEnd w:id="1362"/>
      <w:bookmarkStart w:id="1363" w:name="_Toc451261326"/>
      <w:bookmarkEnd w:id="1363"/>
      <w:bookmarkStart w:id="1364" w:name="_Toc330406417"/>
      <w:bookmarkEnd w:id="1364"/>
      <w:bookmarkStart w:id="1365" w:name="_Toc386467222"/>
      <w:bookmarkEnd w:id="1365"/>
      <w:r>
        <w:rPr>
          <w:rFonts w:hint="eastAsia" w:ascii="宋体" w:hAnsi="宋体" w:cs="宋体"/>
          <w:color w:val="000000" w:themeColor="text1"/>
          <w:sz w:val="28"/>
          <w:szCs w:val="28"/>
          <w:highlight w:val="none"/>
          <w14:textFill>
            <w14:solidFill>
              <w14:schemeClr w14:val="tx1"/>
            </w14:solidFill>
          </w14:textFill>
        </w:rPr>
        <w:t>12.暂停施工</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6" w:name="_Toc453057137"/>
      <w:bookmarkEnd w:id="1366"/>
      <w:bookmarkStart w:id="1367" w:name="_Toc330406418"/>
      <w:bookmarkEnd w:id="1367"/>
      <w:bookmarkStart w:id="1368" w:name="_Toc451261327"/>
      <w:bookmarkEnd w:id="1368"/>
      <w:bookmarkStart w:id="1369" w:name="_Toc393546477"/>
      <w:bookmarkEnd w:id="1369"/>
      <w:bookmarkStart w:id="1370" w:name="_Toc43475953"/>
      <w:bookmarkEnd w:id="1370"/>
      <w:bookmarkStart w:id="1371" w:name="_Toc386467223"/>
      <w:bookmarkEnd w:id="1371"/>
      <w:r>
        <w:rPr>
          <w:rFonts w:hint="eastAsia" w:ascii="宋体" w:hAnsi="宋体" w:cs="宋体"/>
          <w:color w:val="000000" w:themeColor="text1"/>
          <w:sz w:val="24"/>
          <w:szCs w:val="24"/>
          <w:highlight w:val="none"/>
          <w14:textFill>
            <w14:solidFill>
              <w14:schemeClr w14:val="tx1"/>
            </w14:solidFill>
          </w14:textFill>
        </w:rPr>
        <w:t>12.1承包人暂停施工的责任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本款第（5）项细化为：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（5）现场气候条件导致的必要停工（第11.4款规定的异常恶劣的气候条件除外）；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（6）项目专用合同条款约定的由承包人承担的其他暂停施工。</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372" w:name="_Toc386467224"/>
      <w:bookmarkEnd w:id="1372"/>
      <w:bookmarkStart w:id="1373" w:name="_Toc393546478"/>
      <w:bookmarkEnd w:id="1373"/>
      <w:bookmarkStart w:id="1374" w:name="_Toc43475954"/>
      <w:bookmarkEnd w:id="1374"/>
      <w:bookmarkStart w:id="1375" w:name="_Toc453057138"/>
      <w:bookmarkEnd w:id="1375"/>
      <w:bookmarkStart w:id="1376" w:name="_Toc451261328"/>
      <w:bookmarkEnd w:id="1376"/>
      <w:bookmarkStart w:id="1377" w:name="_Toc330406419"/>
      <w:bookmarkEnd w:id="1377"/>
      <w:r>
        <w:rPr>
          <w:rFonts w:hint="eastAsia" w:ascii="宋体" w:hAnsi="宋体" w:cs="宋体"/>
          <w:color w:val="000000" w:themeColor="text1"/>
          <w:sz w:val="28"/>
          <w:szCs w:val="28"/>
          <w:highlight w:val="none"/>
          <w14:textFill>
            <w14:solidFill>
              <w14:schemeClr w14:val="tx1"/>
            </w14:solidFill>
          </w14:textFill>
        </w:rPr>
        <w:t>13.工程质量</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78" w:name="_Toc386467225"/>
      <w:bookmarkEnd w:id="1378"/>
      <w:bookmarkStart w:id="1379" w:name="_Toc451261329"/>
      <w:bookmarkEnd w:id="1379"/>
      <w:bookmarkStart w:id="1380" w:name="_Toc393546479"/>
      <w:bookmarkEnd w:id="1380"/>
      <w:bookmarkStart w:id="1381" w:name="_Toc453057139"/>
      <w:bookmarkEnd w:id="1381"/>
      <w:bookmarkStart w:id="1382" w:name="_Toc43475955"/>
      <w:bookmarkEnd w:id="1382"/>
      <w:bookmarkStart w:id="1383" w:name="_Toc330406420"/>
      <w:bookmarkEnd w:id="1383"/>
      <w:r>
        <w:rPr>
          <w:rFonts w:hint="eastAsia" w:ascii="宋体" w:hAnsi="宋体" w:cs="宋体"/>
          <w:color w:val="000000" w:themeColor="text1"/>
          <w:sz w:val="24"/>
          <w:szCs w:val="24"/>
          <w:highlight w:val="none"/>
          <w14:textFill>
            <w14:solidFill>
              <w14:schemeClr w14:val="tx1"/>
            </w14:solidFill>
          </w14:textFill>
        </w:rPr>
        <w:t>13.1工程质量要求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第13.1.1项约定为：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工程质量验收按技术规范及《公路工程质量检验评定标准》执行。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本款补充第13.1.4和13.1.5项：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13.1.4发包人和承包人应严格遵守《关于严格落实公路工程质量责任制的若干意见》的相关规定，认真执行工程质量责任登记制度并按要求填写工程质量责任登记表。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84" w:name="_Toc43475956"/>
      <w:bookmarkEnd w:id="1384"/>
      <w:bookmarkStart w:id="1385" w:name="_Toc453057140"/>
      <w:bookmarkEnd w:id="1385"/>
      <w:bookmarkStart w:id="1386" w:name="_Toc451261330"/>
      <w:bookmarkEnd w:id="1386"/>
      <w:bookmarkStart w:id="1387" w:name="_Toc393546480"/>
      <w:bookmarkEnd w:id="1387"/>
      <w:bookmarkStart w:id="1388" w:name="_Toc330406421"/>
      <w:bookmarkEnd w:id="1388"/>
      <w:bookmarkStart w:id="1389" w:name="_Toc386467226"/>
      <w:bookmarkEnd w:id="1389"/>
      <w:r>
        <w:rPr>
          <w:rFonts w:hint="eastAsia" w:ascii="宋体" w:hAnsi="宋体" w:cs="宋体"/>
          <w:color w:val="000000" w:themeColor="text1"/>
          <w:sz w:val="24"/>
          <w:szCs w:val="24"/>
          <w:highlight w:val="none"/>
          <w14:textFill>
            <w14:solidFill>
              <w14:schemeClr w14:val="tx1"/>
            </w14:solidFill>
          </w14:textFill>
        </w:rPr>
        <w:t>13.2承包人的质量管理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第13.2.1项补充：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承包人提交工程质量保证措施文件的期限：签订合同协议书后28天之内。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项〜第</w:t>
      </w: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公路工程施行质量责任终身制。承包人应当书面明确相应的项目负责人 和质量负责人。承包人的相关人员按照国家法律法规和有关规定在工程合理使用年 限内承担相应的质量责任。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13.2.4</w:t>
      </w:r>
      <w:r>
        <w:rPr>
          <w:rFonts w:hint="eastAsia" w:ascii="宋体" w:hAnsi="宋体" w:cs="宋体"/>
          <w:color w:val="000000" w:themeColor="text1"/>
          <w:sz w:val="24"/>
          <w:highlight w:val="none"/>
          <w:lang w:val="zh-CN"/>
          <w14:textFill>
            <w14:solidFill>
              <w14:schemeClr w14:val="tx1"/>
            </w14:solidFill>
          </w14:textFill>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w:t>
      </w:r>
      <w:r>
        <w:rPr>
          <w:rFonts w:hint="eastAsia" w:ascii="宋体" w:hAnsi="宋体" w:cs="宋体"/>
          <w:color w:val="000000" w:themeColor="text1"/>
          <w:sz w:val="24"/>
          <w:highlight w:val="none"/>
          <w:lang w:val="zh-CN"/>
          <w14:textFill>
            <w14:solidFill>
              <w14:schemeClr w14:val="tx1"/>
            </w14:solidFill>
          </w14:textFill>
        </w:rPr>
        <w:t>承包人对工程施工质量负责，应当按合同约定设立现场质量管理机构、 配备工程技术人员和质量管理人员，落实工程施工质量责任制。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13.2.6</w:t>
      </w:r>
      <w:r>
        <w:rPr>
          <w:rFonts w:hint="eastAsia" w:ascii="宋体" w:hAnsi="宋体" w:cs="宋体"/>
          <w:color w:val="000000" w:themeColor="text1"/>
          <w:sz w:val="24"/>
          <w:highlight w:val="none"/>
          <w:lang w:val="zh-CN"/>
          <w14:textFill>
            <w14:solidFill>
              <w14:schemeClr w14:val="tx1"/>
            </w14:solidFill>
          </w14:textFill>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13.2.7</w:t>
      </w:r>
      <w:r>
        <w:rPr>
          <w:rFonts w:hint="eastAsia" w:ascii="宋体" w:hAnsi="宋体" w:cs="宋体"/>
          <w:color w:val="000000" w:themeColor="text1"/>
          <w:sz w:val="24"/>
          <w:highlight w:val="none"/>
          <w:lang w:val="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13.2.8</w:t>
      </w:r>
      <w:r>
        <w:rPr>
          <w:rFonts w:hint="eastAsia" w:ascii="宋体" w:hAnsi="宋体" w:cs="宋体"/>
          <w:color w:val="000000" w:themeColor="text1"/>
          <w:sz w:val="24"/>
          <w:highlight w:val="none"/>
          <w:lang w:val="zh-CN"/>
          <w14:textFill>
            <w14:solidFill>
              <w14:schemeClr w14:val="tx1"/>
            </w14:solidFill>
          </w14:textFill>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13.2.9</w:t>
      </w:r>
      <w:r>
        <w:rPr>
          <w:rFonts w:hint="eastAsia" w:ascii="宋体" w:hAnsi="宋体" w:cs="宋体"/>
          <w:color w:val="000000" w:themeColor="text1"/>
          <w:sz w:val="24"/>
          <w:highlight w:val="none"/>
          <w:lang w:val="zh-CN"/>
          <w14:textFill>
            <w14:solidFill>
              <w14:schemeClr w14:val="tx1"/>
            </w14:solidFill>
          </w14:textFill>
        </w:rPr>
        <w:t>承包人应当依法规范分包行为，并对承担的工程质量负总责，分包单位 对分包合同范围内的工程质量负责。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承包人驻工程现场机构应在现场驻地和重要的分部、分项工程施工现场 设置明显的工程质量责任登记表公示牌</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0" w:name="_Toc330406422"/>
      <w:bookmarkEnd w:id="1390"/>
      <w:bookmarkStart w:id="1391" w:name="_Toc393546481"/>
      <w:bookmarkEnd w:id="1391"/>
      <w:bookmarkStart w:id="1392" w:name="_Toc386467227"/>
      <w:bookmarkEnd w:id="1392"/>
      <w:bookmarkStart w:id="1393" w:name="_Toc453057141"/>
      <w:bookmarkEnd w:id="1393"/>
      <w:bookmarkStart w:id="1394" w:name="_Toc43475957"/>
      <w:bookmarkEnd w:id="1394"/>
      <w:bookmarkStart w:id="1395" w:name="_Toc451261331"/>
      <w:bookmarkEnd w:id="1395"/>
      <w:r>
        <w:rPr>
          <w:rFonts w:hint="eastAsia" w:ascii="宋体" w:hAnsi="宋体" w:cs="宋体"/>
          <w:color w:val="000000" w:themeColor="text1"/>
          <w:sz w:val="24"/>
          <w:szCs w:val="24"/>
          <w:highlight w:val="none"/>
          <w14:textFill>
            <w14:solidFill>
              <w14:schemeClr w14:val="tx1"/>
            </w14:solidFill>
          </w14:textFill>
        </w:rPr>
        <w:t>13.4监理人的质量检查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6" w:name="_Toc451261332"/>
      <w:bookmarkEnd w:id="1396"/>
      <w:bookmarkStart w:id="1397" w:name="_Toc330406423"/>
      <w:bookmarkEnd w:id="1397"/>
      <w:bookmarkStart w:id="1398" w:name="_Toc43475958"/>
      <w:bookmarkEnd w:id="1398"/>
      <w:bookmarkStart w:id="1399" w:name="_Toc453057142"/>
      <w:bookmarkEnd w:id="1399"/>
      <w:bookmarkStart w:id="1400" w:name="_Toc386467228"/>
      <w:bookmarkEnd w:id="1400"/>
      <w:bookmarkStart w:id="1401" w:name="_Toc393546482"/>
      <w:bookmarkEnd w:id="1401"/>
      <w:r>
        <w:rPr>
          <w:rFonts w:hint="eastAsia" w:ascii="宋体" w:hAnsi="宋体" w:cs="宋体"/>
          <w:color w:val="000000" w:themeColor="text1"/>
          <w:sz w:val="24"/>
          <w:szCs w:val="24"/>
          <w:highlight w:val="none"/>
          <w14:textFill>
            <w14:solidFill>
              <w14:schemeClr w14:val="tx1"/>
            </w14:solidFill>
          </w14:textFill>
        </w:rPr>
        <w:t>13.5工程隐蔽部位覆盖前的检查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第13.5.1项补充：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02" w:name="_Toc453057143"/>
      <w:bookmarkEnd w:id="1402"/>
      <w:bookmarkStart w:id="1403" w:name="_Toc393546483"/>
      <w:bookmarkEnd w:id="1403"/>
      <w:bookmarkStart w:id="1404" w:name="_Toc451261333"/>
      <w:bookmarkEnd w:id="1404"/>
      <w:bookmarkStart w:id="1405" w:name="_Toc43475959"/>
      <w:bookmarkEnd w:id="1405"/>
      <w:bookmarkStart w:id="1406" w:name="_Toc386467229"/>
      <w:bookmarkEnd w:id="1406"/>
      <w:bookmarkStart w:id="1407" w:name="_Toc330406424"/>
      <w:bookmarkEnd w:id="1407"/>
      <w:r>
        <w:rPr>
          <w:rFonts w:hint="eastAsia" w:ascii="宋体" w:hAnsi="宋体" w:cs="宋体"/>
          <w:color w:val="000000" w:themeColor="text1"/>
          <w:sz w:val="24"/>
          <w:szCs w:val="24"/>
          <w:highlight w:val="none"/>
          <w14:textFill>
            <w14:solidFill>
              <w14:schemeClr w14:val="tx1"/>
            </w14:solidFill>
          </w14:textFill>
        </w:rPr>
        <w:t>13.6清除不合格工程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第13.6.1项细化为：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（2）如果承包人未在规定时间内执行监理人的指示，发包人有权雇用他人执行，由此增加的费用和（或）工期延误由承包人承担。</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08" w:name="_Toc330406425"/>
      <w:bookmarkEnd w:id="1408"/>
      <w:bookmarkStart w:id="1409" w:name="_Toc453057144"/>
      <w:bookmarkEnd w:id="1409"/>
      <w:bookmarkStart w:id="1410" w:name="_Toc393546484"/>
      <w:bookmarkEnd w:id="1410"/>
      <w:bookmarkStart w:id="1411" w:name="_Toc451261334"/>
      <w:bookmarkEnd w:id="1411"/>
      <w:bookmarkStart w:id="1412" w:name="_Toc386467230"/>
      <w:bookmarkEnd w:id="1412"/>
      <w:bookmarkStart w:id="1413" w:name="_Toc43475960"/>
      <w:bookmarkEnd w:id="1413"/>
      <w:r>
        <w:rPr>
          <w:rFonts w:hint="eastAsia" w:ascii="宋体" w:hAnsi="宋体" w:cs="宋体"/>
          <w:color w:val="000000" w:themeColor="text1"/>
          <w:sz w:val="28"/>
          <w:szCs w:val="28"/>
          <w:highlight w:val="none"/>
          <w14:textFill>
            <w14:solidFill>
              <w14:schemeClr w14:val="tx1"/>
            </w14:solidFill>
          </w14:textFill>
        </w:rPr>
        <w:t>14.试验和检验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补充第14.4款：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4" w:name="_Toc330406426"/>
      <w:bookmarkEnd w:id="1414"/>
      <w:bookmarkStart w:id="1415" w:name="_Toc451261335"/>
      <w:bookmarkEnd w:id="1415"/>
      <w:bookmarkStart w:id="1416" w:name="_Toc43475961"/>
      <w:bookmarkEnd w:id="1416"/>
      <w:bookmarkStart w:id="1417" w:name="_Toc393546485"/>
      <w:bookmarkEnd w:id="1417"/>
      <w:bookmarkStart w:id="1418" w:name="_Toc386467231"/>
      <w:bookmarkEnd w:id="1418"/>
      <w:bookmarkStart w:id="1419" w:name="_Toc453057145"/>
      <w:bookmarkEnd w:id="1419"/>
      <w:r>
        <w:rPr>
          <w:rFonts w:hint="eastAsia" w:ascii="宋体" w:hAnsi="宋体" w:cs="宋体"/>
          <w:color w:val="000000" w:themeColor="text1"/>
          <w:sz w:val="24"/>
          <w:szCs w:val="24"/>
          <w:highlight w:val="none"/>
          <w14:textFill>
            <w14:solidFill>
              <w14:schemeClr w14:val="tx1"/>
            </w14:solidFill>
          </w14:textFill>
        </w:rPr>
        <w:t>14.4试验和检验费用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（1）承包人应负责提供合同和技术规范规定的试验和检验所需的全部样品，并承担其费用。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20" w:name="_Toc330406427"/>
      <w:bookmarkEnd w:id="1420"/>
      <w:bookmarkStart w:id="1421" w:name="_Toc453057146"/>
      <w:bookmarkEnd w:id="1421"/>
      <w:bookmarkStart w:id="1422" w:name="_Toc43475962"/>
      <w:bookmarkEnd w:id="1422"/>
      <w:bookmarkStart w:id="1423" w:name="_Toc386467232"/>
      <w:bookmarkEnd w:id="1423"/>
      <w:bookmarkStart w:id="1424" w:name="_Toc393546486"/>
      <w:bookmarkEnd w:id="1424"/>
      <w:bookmarkStart w:id="1425" w:name="_Toc451261336"/>
      <w:bookmarkEnd w:id="1425"/>
      <w:r>
        <w:rPr>
          <w:rFonts w:hint="eastAsia" w:ascii="宋体" w:hAnsi="宋体" w:cs="宋体"/>
          <w:color w:val="000000" w:themeColor="text1"/>
          <w:sz w:val="28"/>
          <w:szCs w:val="28"/>
          <w:highlight w:val="none"/>
          <w14:textFill>
            <w14:solidFill>
              <w14:schemeClr w14:val="tx1"/>
            </w14:solidFill>
          </w14:textFill>
        </w:rPr>
        <w:t>15.变更</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26" w:name="_Toc386467233"/>
      <w:bookmarkEnd w:id="1426"/>
      <w:bookmarkStart w:id="1427" w:name="_Toc393546487"/>
      <w:bookmarkEnd w:id="1427"/>
      <w:bookmarkStart w:id="1428" w:name="_Toc451261337"/>
      <w:bookmarkEnd w:id="1428"/>
      <w:bookmarkStart w:id="1429" w:name="_Toc330406428"/>
      <w:bookmarkEnd w:id="1429"/>
      <w:bookmarkStart w:id="1430" w:name="_Toc43475963"/>
      <w:bookmarkEnd w:id="1430"/>
      <w:bookmarkStart w:id="1431" w:name="_Toc453057147"/>
      <w:bookmarkEnd w:id="1431"/>
      <w:r>
        <w:rPr>
          <w:rFonts w:hint="eastAsia" w:ascii="宋体" w:hAnsi="宋体" w:cs="宋体"/>
          <w:color w:val="000000" w:themeColor="text1"/>
          <w:sz w:val="24"/>
          <w:szCs w:val="24"/>
          <w:highlight w:val="none"/>
          <w14:textFill>
            <w14:solidFill>
              <w14:schemeClr w14:val="tx1"/>
            </w14:solidFill>
          </w14:textFill>
        </w:rPr>
        <w:t>15.1变更的范围和内容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本款第（1）项细化为：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（1）取消合同中任何一项工作，但被取消的工作不能转由发包人或其他人实施，由于承包人违约造成的情况除外；</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32" w:name="_Toc330406429"/>
      <w:bookmarkEnd w:id="1432"/>
      <w:bookmarkStart w:id="1433" w:name="_Toc386467234"/>
      <w:bookmarkEnd w:id="1433"/>
      <w:bookmarkStart w:id="1434" w:name="_Toc451261338"/>
      <w:bookmarkEnd w:id="1434"/>
      <w:bookmarkStart w:id="1435" w:name="_Toc393546488"/>
      <w:bookmarkEnd w:id="1435"/>
      <w:bookmarkStart w:id="1436" w:name="_Toc453057148"/>
      <w:bookmarkEnd w:id="1436"/>
      <w:bookmarkStart w:id="1437" w:name="_Toc43475964"/>
      <w:bookmarkEnd w:id="1437"/>
      <w:r>
        <w:rPr>
          <w:rFonts w:hint="eastAsia" w:ascii="宋体" w:hAnsi="宋体" w:cs="宋体"/>
          <w:color w:val="000000" w:themeColor="text1"/>
          <w:sz w:val="24"/>
          <w:szCs w:val="24"/>
          <w:highlight w:val="none"/>
          <w14:textFill>
            <w14:solidFill>
              <w14:schemeClr w14:val="tx1"/>
            </w14:solidFill>
          </w14:textFill>
        </w:rPr>
        <w:t>15.3变更程序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本款补充第15.3.4项：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15.3.4设计变更程序应执行《公路工程设计变更管理办法》的相关规定。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38" w:name="_Toc43475965"/>
      <w:bookmarkEnd w:id="1438"/>
      <w:bookmarkStart w:id="1439" w:name="_Toc330406430"/>
      <w:bookmarkEnd w:id="1439"/>
      <w:bookmarkStart w:id="1440" w:name="_Toc386467235"/>
      <w:bookmarkEnd w:id="1440"/>
      <w:bookmarkStart w:id="1441" w:name="_Toc451261339"/>
      <w:bookmarkEnd w:id="1441"/>
      <w:bookmarkStart w:id="1442" w:name="_Toc453057149"/>
      <w:bookmarkEnd w:id="1442"/>
      <w:bookmarkStart w:id="1443" w:name="_Toc393546489"/>
      <w:bookmarkEnd w:id="1443"/>
      <w:r>
        <w:rPr>
          <w:rFonts w:hint="eastAsia" w:ascii="宋体" w:hAnsi="宋体" w:cs="宋体"/>
          <w:color w:val="000000" w:themeColor="text1"/>
          <w:sz w:val="24"/>
          <w:szCs w:val="24"/>
          <w:highlight w:val="none"/>
          <w14:textFill>
            <w14:solidFill>
              <w14:schemeClr w14:val="tx1"/>
            </w14:solidFill>
          </w14:textFill>
        </w:rPr>
        <w:t>15.4变更的估价原则</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除项目专用合同条款另有约定外，因变更引起的价格调整按照本款约定处理。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15.4.1如果取消某项工作，则该项工作的总额价不予以支付；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15.4.2已标价工程量清单中有适用于变更工作的子目的，采用该子目的单价。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15.4.5如果本工程的变更指示是因承包人过错、承包人违反合同或承包人责任造成的，则这种违约引起的任何额外费用应由承包人承担。</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4" w:name="_Toc386467236"/>
      <w:bookmarkEnd w:id="1444"/>
      <w:bookmarkStart w:id="1445" w:name="_Toc43475966"/>
      <w:bookmarkEnd w:id="1445"/>
      <w:bookmarkStart w:id="1446" w:name="_Toc330406431"/>
      <w:bookmarkEnd w:id="1446"/>
      <w:bookmarkStart w:id="1447" w:name="_Toc451261340"/>
      <w:bookmarkEnd w:id="1447"/>
      <w:bookmarkStart w:id="1448" w:name="_Toc453057150"/>
      <w:bookmarkEnd w:id="1448"/>
      <w:bookmarkStart w:id="1449" w:name="_Toc393546490"/>
      <w:bookmarkEnd w:id="1449"/>
      <w:r>
        <w:rPr>
          <w:rFonts w:hint="eastAsia" w:ascii="宋体" w:hAnsi="宋体" w:cs="宋体"/>
          <w:color w:val="000000" w:themeColor="text1"/>
          <w:sz w:val="24"/>
          <w:szCs w:val="24"/>
          <w:highlight w:val="none"/>
          <w14:textFill>
            <w14:solidFill>
              <w14:schemeClr w14:val="tx1"/>
            </w14:solidFill>
          </w14:textFill>
        </w:rPr>
        <w:t>15.5承包人的合理化建议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第15.5.2项约定为：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承包人提出的合理化建议缩短了工期，发包人按第11.6款的规定给予奖励。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承包人提出的合理化建议降低了合同价格或者提高了工程经济效益的，发包人按项目专用合同条款数据表中规定的金额给予奖励。</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50" w:name="_Toc386467237"/>
      <w:bookmarkEnd w:id="1450"/>
      <w:bookmarkStart w:id="1451" w:name="_Toc451261341"/>
      <w:bookmarkEnd w:id="1451"/>
      <w:bookmarkStart w:id="1452" w:name="_Toc330406432"/>
      <w:bookmarkEnd w:id="1452"/>
      <w:bookmarkStart w:id="1453" w:name="_Toc43475967"/>
      <w:bookmarkEnd w:id="1453"/>
      <w:bookmarkStart w:id="1454" w:name="_Toc393546491"/>
      <w:bookmarkEnd w:id="1454"/>
      <w:bookmarkStart w:id="1455" w:name="_Toc453057151"/>
      <w:bookmarkEnd w:id="1455"/>
      <w:r>
        <w:rPr>
          <w:rFonts w:hint="eastAsia" w:ascii="宋体" w:hAnsi="宋体" w:cs="宋体"/>
          <w:color w:val="000000" w:themeColor="text1"/>
          <w:sz w:val="24"/>
          <w:szCs w:val="24"/>
          <w:highlight w:val="none"/>
          <w14:textFill>
            <w14:solidFill>
              <w14:schemeClr w14:val="tx1"/>
            </w14:solidFill>
          </w14:textFill>
        </w:rPr>
        <w:t>15.6暂列金额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15.6.l暂列金额应由监理人报发包人批准后指令全部或部分地使用，或者根本不予动用。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56" w:name="_Toc330406433"/>
      <w:bookmarkEnd w:id="1456"/>
      <w:bookmarkStart w:id="1457" w:name="_Toc43475968"/>
      <w:bookmarkEnd w:id="1457"/>
      <w:bookmarkStart w:id="1458" w:name="_Toc386467238"/>
      <w:bookmarkEnd w:id="1458"/>
      <w:bookmarkStart w:id="1459" w:name="_Toc453057152"/>
      <w:bookmarkEnd w:id="1459"/>
      <w:bookmarkStart w:id="1460" w:name="_Toc393546492"/>
      <w:bookmarkEnd w:id="1460"/>
      <w:bookmarkStart w:id="1461" w:name="_Toc451261342"/>
      <w:bookmarkEnd w:id="1461"/>
      <w:r>
        <w:rPr>
          <w:rFonts w:hint="eastAsia" w:ascii="宋体" w:hAnsi="宋体" w:cs="宋体"/>
          <w:color w:val="000000" w:themeColor="text1"/>
          <w:sz w:val="28"/>
          <w:szCs w:val="28"/>
          <w:highlight w:val="none"/>
          <w14:textFill>
            <w14:solidFill>
              <w14:schemeClr w14:val="tx1"/>
            </w14:solidFill>
          </w14:textFill>
        </w:rPr>
        <w:t>16.价格调整</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62" w:name="_Toc451261343"/>
      <w:bookmarkEnd w:id="1462"/>
      <w:bookmarkStart w:id="1463" w:name="_Toc386467239"/>
      <w:bookmarkEnd w:id="1463"/>
      <w:bookmarkStart w:id="1464" w:name="_Toc43475969"/>
      <w:bookmarkEnd w:id="1464"/>
      <w:bookmarkStart w:id="1465" w:name="_Toc393546493"/>
      <w:bookmarkEnd w:id="1465"/>
      <w:bookmarkStart w:id="1466" w:name="_Toc453057153"/>
      <w:bookmarkEnd w:id="1466"/>
      <w:bookmarkStart w:id="1467" w:name="_Toc330406434"/>
      <w:bookmarkEnd w:id="1467"/>
      <w:r>
        <w:rPr>
          <w:rFonts w:hint="eastAsia" w:ascii="宋体" w:hAnsi="宋体" w:cs="宋体"/>
          <w:color w:val="000000" w:themeColor="text1"/>
          <w:sz w:val="24"/>
          <w:szCs w:val="24"/>
          <w:highlight w:val="none"/>
          <w14:textFill>
            <w14:solidFill>
              <w14:schemeClr w14:val="tx1"/>
            </w14:solidFill>
          </w14:textFill>
        </w:rPr>
        <w:t>16.1物价波动引起的价格调整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（1）除项目专用合同条款另有约定外，因物价波动引起的价格调整应按项目专用合同条款数据表的规定，按照第16.1.1项或第16.1.2项约定的原则处理；或者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16.1.1采用价格指数调整价格差额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16.1.1价格调整公式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价格调整公式后增加备注如下：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r>
        <w:rPr>
          <w:rFonts w:hint="eastAsia" w:ascii="宋体" w:hAnsi="宋体" w:cs="宋体"/>
          <w:i/>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 ＝ 1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 xml:space="preserve">＋ ...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n </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本目最后一段文字细化为：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在采用价格调整公式进行调价时，还应遵守以下规定：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68" w:name="_Toc451261344"/>
      <w:bookmarkEnd w:id="1468"/>
      <w:bookmarkStart w:id="1469" w:name="_Toc453057154"/>
      <w:bookmarkEnd w:id="1469"/>
      <w:bookmarkStart w:id="1470" w:name="_Toc43475970"/>
      <w:bookmarkEnd w:id="1470"/>
      <w:bookmarkStart w:id="1471" w:name="_Toc393546494"/>
      <w:bookmarkEnd w:id="1471"/>
      <w:bookmarkStart w:id="1472" w:name="_Toc386467240"/>
      <w:bookmarkEnd w:id="1472"/>
      <w:bookmarkStart w:id="1473" w:name="_Toc330406435"/>
      <w:bookmarkEnd w:id="1473"/>
      <w:r>
        <w:rPr>
          <w:rFonts w:hint="eastAsia" w:ascii="宋体" w:hAnsi="宋体" w:cs="宋体"/>
          <w:color w:val="000000" w:themeColor="text1"/>
          <w:sz w:val="28"/>
          <w:szCs w:val="28"/>
          <w:highlight w:val="none"/>
          <w14:textFill>
            <w14:solidFill>
              <w14:schemeClr w14:val="tx1"/>
            </w14:solidFill>
          </w14:textFill>
        </w:rPr>
        <w:t>17.计量与支付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74" w:name="_Toc386467241"/>
      <w:bookmarkEnd w:id="1474"/>
      <w:bookmarkStart w:id="1475" w:name="_Toc453057155"/>
      <w:bookmarkEnd w:id="1475"/>
      <w:bookmarkStart w:id="1476" w:name="_Toc393546495"/>
      <w:bookmarkEnd w:id="1476"/>
      <w:bookmarkStart w:id="1477" w:name="_Toc330406436"/>
      <w:bookmarkEnd w:id="1477"/>
      <w:bookmarkStart w:id="1478" w:name="_Toc451261345"/>
      <w:bookmarkEnd w:id="1478"/>
      <w:bookmarkStart w:id="1479" w:name="_Toc43475971"/>
      <w:bookmarkEnd w:id="1479"/>
      <w:r>
        <w:rPr>
          <w:rFonts w:hint="eastAsia" w:ascii="宋体" w:hAnsi="宋体" w:cs="宋体"/>
          <w:color w:val="000000" w:themeColor="text1"/>
          <w:sz w:val="24"/>
          <w:szCs w:val="24"/>
          <w:highlight w:val="none"/>
          <w14:textFill>
            <w14:solidFill>
              <w14:schemeClr w14:val="tx1"/>
            </w14:solidFill>
          </w14:textFill>
        </w:rPr>
        <w:t>17.1计量</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17.1.2计量方法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17.1.4单价子目的计量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numPr>
          <w:ilvl w:val="0"/>
          <w:numId w:val="11"/>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17.1.5总价子目的计量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本项目工程量清单中要求承包人以“总额”方式报价的子目，各子目的支付原则和支付进度按项目专用合同条款的规定执行。</w:t>
      </w:r>
    </w:p>
    <w:p>
      <w:pPr>
        <w:spacing w:line="400" w:lineRule="exact"/>
        <w:ind w:left="420" w:leftChars="200"/>
        <w:rPr>
          <w:rFonts w:ascii="宋体" w:hAnsi="宋体" w:cs="宋体"/>
          <w:color w:val="000000" w:themeColor="text1"/>
          <w:sz w:val="24"/>
          <w:highlight w:val="none"/>
          <w14:textFill>
            <w14:solidFill>
              <w14:schemeClr w14:val="tx1"/>
            </w14:solidFill>
          </w14:textFill>
        </w:rPr>
      </w:pP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0" w:name="_Toc330406437"/>
      <w:bookmarkEnd w:id="1480"/>
      <w:bookmarkStart w:id="1481" w:name="_Toc451261346"/>
      <w:bookmarkEnd w:id="1481"/>
      <w:bookmarkStart w:id="1482" w:name="_Toc386467242"/>
      <w:bookmarkEnd w:id="1482"/>
      <w:bookmarkStart w:id="1483" w:name="_Toc453057156"/>
      <w:bookmarkEnd w:id="1483"/>
      <w:bookmarkStart w:id="1484" w:name="_Toc393546496"/>
      <w:bookmarkEnd w:id="1484"/>
      <w:bookmarkStart w:id="1485" w:name="_Toc43475972"/>
      <w:bookmarkEnd w:id="1485"/>
      <w:r>
        <w:rPr>
          <w:rFonts w:hint="eastAsia" w:ascii="宋体" w:hAnsi="宋体" w:cs="宋体"/>
          <w:color w:val="000000" w:themeColor="text1"/>
          <w:sz w:val="24"/>
          <w:szCs w:val="24"/>
          <w:highlight w:val="none"/>
          <w14:textFill>
            <w14:solidFill>
              <w14:schemeClr w14:val="tx1"/>
            </w14:solidFill>
          </w14:textFill>
        </w:rPr>
        <w:t>17.2预付款</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17.2.1预付款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预付款包括开工预付款和材料、设备预付款。具体额度和预付办法如下：</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（1）开工预付款的金额在项目专用条款数据表中约定。在承包人签订了合同协议书且承包人承诺的主要设备进场后，监理人应在当期进度付款证书中向承包人支付开工预付款。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承包人不得将该预付款用于与本工程无关的支出，监理人有权监督承包人对该项费用的使用，如经查实承包人滥用开工预付款，发包人有权立即向银行索赔履约保证金，并解除合同。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a.材料、设备符合规范要求并经监理人认可；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b.承包人已出具材料、设备费用凭证或支付单据；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c.材料、设备已在现场交货，且存储良好，监理人认为材料、设备的存储方法符合要求。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则监理人应将此项金额作为材料、设备预付款计入下一次的进度付款证书中。在预计交工前3个月，将不再支付材料、设备预付款。</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17.2.2预付款保函</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承包人无须向发包人提交预付款保函。发包人向承包人支付的预付款，应按照本合同第17.2.1项规定使用，承包人提交的履约保证金对预付款的正常使用承担保证责任。</w:t>
      </w:r>
    </w:p>
    <w:p>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17.2.3预付款的扣回与还清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（2）当材料、设备已用于或安装在永久工程之中时，材料、设备预付款应从进度付款证书中扣回，扣回期不超过3个月。已经支付材料、设备预付款的材料、设备的所有权应属于发包人。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6" w:name="_Toc453057157"/>
      <w:bookmarkEnd w:id="1486"/>
      <w:bookmarkStart w:id="1487" w:name="_Toc330406438"/>
      <w:bookmarkEnd w:id="1487"/>
      <w:bookmarkStart w:id="1488" w:name="_Toc43475973"/>
      <w:bookmarkEnd w:id="1488"/>
      <w:bookmarkStart w:id="1489" w:name="_Toc393546497"/>
      <w:bookmarkEnd w:id="1489"/>
      <w:bookmarkStart w:id="1490" w:name="_Toc451261347"/>
      <w:bookmarkEnd w:id="1490"/>
      <w:bookmarkStart w:id="1491" w:name="_Toc386467243"/>
      <w:bookmarkEnd w:id="1491"/>
      <w:r>
        <w:rPr>
          <w:rFonts w:hint="eastAsia" w:ascii="宋体" w:hAnsi="宋体" w:cs="宋体"/>
          <w:color w:val="000000" w:themeColor="text1"/>
          <w:sz w:val="24"/>
          <w:szCs w:val="24"/>
          <w:highlight w:val="none"/>
          <w14:textFill>
            <w14:solidFill>
              <w14:schemeClr w14:val="tx1"/>
            </w14:solidFill>
          </w14:textFill>
        </w:rPr>
        <w:t>17.3工程进度付款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17.3.3进度付款证书和支付时间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发包人应在监理人收到进度付款申请单且承包人提交了合格的增值税专用发票 后的28天内，将进度应付款支付给承包人。</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发包人不按期支付的，按项目专用合同条款数据表中约定的利率向承包人支付 逾期付款违约金。违约金计算基数为发包人的全部未付款额，时间从应付而未付该 款额之日算起（不计复利）。</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农民工工资保证金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为确保施工过程中农民工工资实时、足额发放到位，承包人应按照项目专 用合同条款约定的时间和金额缴存农民工工资保证金。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农民工工资保证金的扣留条件、返还时间按照项目专用合同条款的约定执 行。</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92" w:name="_Toc453057158"/>
      <w:bookmarkEnd w:id="1492"/>
      <w:bookmarkStart w:id="1493" w:name="_Toc43475974"/>
      <w:bookmarkEnd w:id="1493"/>
      <w:bookmarkStart w:id="1494" w:name="_Toc451261348"/>
      <w:bookmarkEnd w:id="1494"/>
      <w:bookmarkStart w:id="1495" w:name="_Toc330406439"/>
      <w:bookmarkEnd w:id="1495"/>
      <w:bookmarkStart w:id="1496" w:name="_Toc393546498"/>
      <w:bookmarkEnd w:id="1496"/>
      <w:bookmarkStart w:id="1497" w:name="_Toc386467244"/>
      <w:bookmarkEnd w:id="1497"/>
      <w:r>
        <w:rPr>
          <w:rFonts w:hint="eastAsia" w:ascii="宋体" w:hAnsi="宋体" w:cs="宋体"/>
          <w:color w:val="000000" w:themeColor="text1"/>
          <w:sz w:val="24"/>
          <w:szCs w:val="24"/>
          <w:highlight w:val="none"/>
          <w14:textFill>
            <w14:solidFill>
              <w14:schemeClr w14:val="tx1"/>
            </w14:solidFill>
          </w14:textFill>
        </w:rPr>
        <w:t>17.4质量保证金</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第17.4.1、</w:t>
      </w: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r>
        <w:rPr>
          <w:rFonts w:hint="eastAsia" w:ascii="宋体" w:hAnsi="宋体" w:cs="宋体"/>
          <w:color w:val="000000" w:themeColor="text1"/>
          <w:sz w:val="24"/>
          <w:highlight w:val="none"/>
          <w:lang w:val="zh-CN"/>
          <w14:textFill>
            <w14:solidFill>
              <w14:schemeClr w14:val="tx1"/>
            </w14:solidFill>
          </w14:textFill>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质量保证金采用现金、支票形式提交的，发包人应在项目专用合同条款数据表中明确是否计付利息以及利息的计算方式。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在第</w:t>
      </w:r>
      <w:r>
        <w:rPr>
          <w:rFonts w:hint="eastAsia" w:ascii="宋体" w:hAnsi="宋体" w:cs="宋体"/>
          <w:color w:val="000000" w:themeColor="text1"/>
          <w:sz w:val="24"/>
          <w:highlight w:val="none"/>
          <w14:textFill>
            <w14:solidFill>
              <w14:schemeClr w14:val="tx1"/>
            </w14:solidFill>
          </w14:textFill>
        </w:rPr>
        <w:t>1.1.4.5</w:t>
      </w:r>
      <w:r>
        <w:rPr>
          <w:rFonts w:hint="eastAsia" w:ascii="宋体" w:hAnsi="宋体" w:cs="宋体"/>
          <w:color w:val="000000" w:themeColor="text1"/>
          <w:sz w:val="24"/>
          <w:highlight w:val="none"/>
          <w:lang w:val="zh-CN"/>
          <w14:textFill>
            <w14:solidFill>
              <w14:schemeClr w14:val="tx1"/>
            </w14:solidFill>
          </w14:textFill>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98" w:name="_Toc393546499"/>
      <w:bookmarkEnd w:id="1498"/>
      <w:bookmarkStart w:id="1499" w:name="_Toc451261349"/>
      <w:bookmarkEnd w:id="1499"/>
      <w:bookmarkStart w:id="1500" w:name="_Toc386467245"/>
      <w:bookmarkEnd w:id="1500"/>
      <w:bookmarkStart w:id="1501" w:name="_Toc330406440"/>
      <w:bookmarkEnd w:id="1501"/>
      <w:bookmarkStart w:id="1502" w:name="_Toc43475975"/>
      <w:bookmarkEnd w:id="1502"/>
      <w:bookmarkStart w:id="1503" w:name="_Toc453057159"/>
      <w:bookmarkEnd w:id="1503"/>
      <w:r>
        <w:rPr>
          <w:rFonts w:hint="eastAsia" w:ascii="宋体" w:hAnsi="宋体" w:cs="宋体"/>
          <w:color w:val="000000" w:themeColor="text1"/>
          <w:sz w:val="24"/>
          <w:szCs w:val="24"/>
          <w:highlight w:val="none"/>
          <w14:textFill>
            <w14:solidFill>
              <w14:schemeClr w14:val="tx1"/>
            </w14:solidFill>
          </w14:textFill>
        </w:rPr>
        <w:t>17.5交工结算</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17.5.l交工付款申请单</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本项（l）目约定为：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承包人向监理人提交交工付款申请单（包括相关证明材料）的份数在项目专用合同条款数据表中约定；期限：交工验收证书签发后42天内。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17.5.2</w:t>
      </w:r>
      <w:r>
        <w:rPr>
          <w:rFonts w:hint="eastAsia" w:ascii="宋体" w:hAnsi="宋体" w:cs="宋体"/>
          <w:b/>
          <w:bCs/>
          <w:color w:val="000000" w:themeColor="text1"/>
          <w:sz w:val="24"/>
          <w:highlight w:val="none"/>
          <w:lang w:val="zh-CN"/>
          <w14:textFill>
            <w14:solidFill>
              <w14:schemeClr w14:val="tx1"/>
            </w14:solidFill>
          </w14:textFill>
        </w:rPr>
        <w:t>交工付款证书及支付时间</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发包人应在监理人出具交工付款证书且承包人提交了合格的增值税专用发票后 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17.3.3 （2）</w:t>
      </w:r>
      <w:r>
        <w:rPr>
          <w:rFonts w:hint="eastAsia" w:ascii="宋体" w:hAnsi="宋体" w:cs="宋体"/>
          <w:color w:val="000000" w:themeColor="text1"/>
          <w:sz w:val="24"/>
          <w:highlight w:val="none"/>
          <w:lang w:val="zh-CN"/>
          <w14:textFill>
            <w14:solidFill>
              <w14:schemeClr w14:val="tx1"/>
            </w14:solidFill>
          </w14:textFill>
        </w:rPr>
        <w:t>目 的约定，将逾期付款违约金支付给承包人。</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4" w:name="_Toc43475976"/>
      <w:bookmarkEnd w:id="1504"/>
      <w:bookmarkStart w:id="1505" w:name="_Toc453057160"/>
      <w:bookmarkEnd w:id="1505"/>
      <w:bookmarkStart w:id="1506" w:name="_Toc451261350"/>
      <w:bookmarkEnd w:id="1506"/>
      <w:bookmarkStart w:id="1507" w:name="_Toc393546500"/>
      <w:bookmarkEnd w:id="1507"/>
      <w:bookmarkStart w:id="1508" w:name="_Toc330406441"/>
      <w:bookmarkEnd w:id="1508"/>
      <w:bookmarkStart w:id="1509" w:name="_Toc386467246"/>
      <w:bookmarkEnd w:id="1509"/>
      <w:r>
        <w:rPr>
          <w:rFonts w:hint="eastAsia" w:ascii="宋体" w:hAnsi="宋体" w:cs="宋体"/>
          <w:color w:val="000000" w:themeColor="text1"/>
          <w:sz w:val="24"/>
          <w:szCs w:val="24"/>
          <w:highlight w:val="none"/>
          <w14:textFill>
            <w14:solidFill>
              <w14:schemeClr w14:val="tx1"/>
            </w14:solidFill>
          </w14:textFill>
        </w:rPr>
        <w:t>17.6最终结清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17.6.1最终结清申请单</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承包人向监理人提交最终结清申请单（包括相关证明材料）的份数在项目专用合同条款数据表中约定；期限：缺陷责任期终止证书签发后28天内。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17.6.2</w:t>
      </w:r>
      <w:r>
        <w:rPr>
          <w:rFonts w:hint="eastAsia" w:ascii="宋体" w:hAnsi="宋体" w:cs="宋体"/>
          <w:b/>
          <w:bCs/>
          <w:color w:val="000000" w:themeColor="text1"/>
          <w:sz w:val="24"/>
          <w:highlight w:val="none"/>
          <w:lang w:val="zh-CN"/>
          <w14:textFill>
            <w14:solidFill>
              <w14:schemeClr w14:val="tx1"/>
            </w14:solidFill>
          </w14:textFill>
        </w:rPr>
        <w:t>最终结清证书和支付时间</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 xml:space="preserve">17.3.3 （2） </w:t>
      </w:r>
      <w:r>
        <w:rPr>
          <w:rFonts w:hint="eastAsia" w:ascii="宋体" w:hAnsi="宋体" w:cs="宋体"/>
          <w:color w:val="000000" w:themeColor="text1"/>
          <w:sz w:val="24"/>
          <w:highlight w:val="none"/>
          <w:lang w:val="zh-CN"/>
          <w14:textFill>
            <w14:solidFill>
              <w14:schemeClr w14:val="tx1"/>
            </w14:solidFill>
          </w14:textFill>
        </w:rPr>
        <w:t>目的约定，将逾期付款违约金支付给承包人。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10" w:name="_Toc386467247"/>
      <w:bookmarkEnd w:id="1510"/>
      <w:bookmarkStart w:id="1511" w:name="_Toc453057161"/>
      <w:bookmarkEnd w:id="1511"/>
      <w:bookmarkStart w:id="1512" w:name="_Toc393546501"/>
      <w:bookmarkEnd w:id="1512"/>
      <w:bookmarkStart w:id="1513" w:name="_Toc43475977"/>
      <w:bookmarkEnd w:id="1513"/>
      <w:bookmarkStart w:id="1514" w:name="_Toc330406442"/>
      <w:bookmarkEnd w:id="1514"/>
      <w:bookmarkStart w:id="1515" w:name="_Toc451261351"/>
      <w:bookmarkEnd w:id="1515"/>
      <w:r>
        <w:rPr>
          <w:rFonts w:hint="eastAsia" w:ascii="宋体" w:hAnsi="宋体" w:cs="宋体"/>
          <w:color w:val="000000" w:themeColor="text1"/>
          <w:sz w:val="28"/>
          <w:szCs w:val="28"/>
          <w:highlight w:val="none"/>
          <w14:textFill>
            <w14:solidFill>
              <w14:schemeClr w14:val="tx1"/>
            </w14:solidFill>
          </w14:textFill>
        </w:rPr>
        <w:t>18.交工验收</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6" w:name="_Toc386467248"/>
      <w:bookmarkEnd w:id="1516"/>
      <w:bookmarkStart w:id="1517" w:name="_Toc330406443"/>
      <w:bookmarkEnd w:id="1517"/>
      <w:bookmarkStart w:id="1518" w:name="_Toc43475978"/>
      <w:bookmarkEnd w:id="1518"/>
      <w:bookmarkStart w:id="1519" w:name="_Toc451261352"/>
      <w:bookmarkEnd w:id="1519"/>
      <w:bookmarkStart w:id="1520" w:name="_Toc393546502"/>
      <w:bookmarkEnd w:id="1520"/>
      <w:bookmarkStart w:id="1521" w:name="_Toc453057162"/>
      <w:bookmarkEnd w:id="1521"/>
      <w:r>
        <w:rPr>
          <w:rFonts w:hint="eastAsia" w:ascii="宋体" w:hAnsi="宋体" w:cs="宋体"/>
          <w:color w:val="000000" w:themeColor="text1"/>
          <w:sz w:val="24"/>
          <w:szCs w:val="24"/>
          <w:highlight w:val="none"/>
          <w14:textFill>
            <w14:solidFill>
              <w14:schemeClr w14:val="tx1"/>
            </w14:solidFill>
          </w14:textFill>
        </w:rPr>
        <w:t>18.2交工验收申请报告</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竣工资料的内容：承包人应按照《公路工程竣（交）工验收办法》和相关规定编制竣工资料。</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竣工资料的份数在项目专用合同条款数据表中约定。</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22" w:name="_Toc386467249"/>
      <w:bookmarkEnd w:id="1522"/>
      <w:bookmarkStart w:id="1523" w:name="_Toc453057163"/>
      <w:bookmarkEnd w:id="1523"/>
      <w:bookmarkStart w:id="1524" w:name="_Toc451261353"/>
      <w:bookmarkEnd w:id="1524"/>
      <w:bookmarkStart w:id="1525" w:name="_Toc330406444"/>
      <w:bookmarkEnd w:id="1525"/>
      <w:bookmarkStart w:id="1526" w:name="_Toc43475979"/>
      <w:bookmarkEnd w:id="1526"/>
      <w:bookmarkStart w:id="1527" w:name="_Toc393546503"/>
      <w:bookmarkEnd w:id="1527"/>
      <w:r>
        <w:rPr>
          <w:rFonts w:hint="eastAsia" w:ascii="宋体" w:hAnsi="宋体" w:cs="宋体"/>
          <w:color w:val="000000" w:themeColor="text1"/>
          <w:sz w:val="24"/>
          <w:szCs w:val="24"/>
          <w:highlight w:val="none"/>
          <w14:textFill>
            <w14:solidFill>
              <w14:schemeClr w14:val="tx1"/>
            </w14:solidFill>
          </w14:textFill>
        </w:rPr>
        <w:t>18.3 验收</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第18.3.5项约定为：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本款补充第18.3.7项：</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组织办理交工验收和签发交工验收证书的费用由发包人承担。但按照第18.3.4项规定达不到合格标准的交工验收费用由承包人承担。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本条补充第18.9款：</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28" w:name="_Toc453057164"/>
      <w:bookmarkEnd w:id="1528"/>
      <w:bookmarkStart w:id="1529" w:name="_Toc386467250"/>
      <w:bookmarkEnd w:id="1529"/>
      <w:bookmarkStart w:id="1530" w:name="_Toc330406445"/>
      <w:bookmarkEnd w:id="1530"/>
      <w:bookmarkStart w:id="1531" w:name="_Toc451261354"/>
      <w:bookmarkEnd w:id="1531"/>
      <w:bookmarkStart w:id="1532" w:name="_Toc43475980"/>
      <w:bookmarkEnd w:id="1532"/>
      <w:bookmarkStart w:id="1533" w:name="_Toc393546504"/>
      <w:bookmarkEnd w:id="1533"/>
      <w:r>
        <w:rPr>
          <w:rFonts w:hint="eastAsia" w:ascii="宋体" w:hAnsi="宋体" w:cs="宋体"/>
          <w:color w:val="000000" w:themeColor="text1"/>
          <w:sz w:val="24"/>
          <w:szCs w:val="24"/>
          <w:highlight w:val="none"/>
          <w14:textFill>
            <w14:solidFill>
              <w14:schemeClr w14:val="tx1"/>
            </w14:solidFill>
          </w14:textFill>
        </w:rPr>
        <w:t>18.9竣工文件</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承包人应按照《公路工程竣（交）工验收办法》中的相关规定，在缺陷责任期内为竣工验收补充竣工资料，并在签发缺陷责任期终止证书之前提交。</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34" w:name="_Toc451261355"/>
      <w:bookmarkEnd w:id="1534"/>
      <w:bookmarkStart w:id="1535" w:name="_Toc330406446"/>
      <w:bookmarkEnd w:id="1535"/>
      <w:bookmarkStart w:id="1536" w:name="_Toc386467251"/>
      <w:bookmarkEnd w:id="1536"/>
      <w:bookmarkStart w:id="1537" w:name="_Toc453057165"/>
      <w:bookmarkEnd w:id="1537"/>
      <w:bookmarkStart w:id="1538" w:name="_Toc43475981"/>
      <w:bookmarkEnd w:id="1538"/>
      <w:bookmarkStart w:id="1539" w:name="_Toc393546505"/>
      <w:bookmarkEnd w:id="1539"/>
      <w:r>
        <w:rPr>
          <w:rFonts w:hint="eastAsia" w:ascii="宋体" w:hAnsi="宋体" w:cs="宋体"/>
          <w:color w:val="000000" w:themeColor="text1"/>
          <w:sz w:val="28"/>
          <w:szCs w:val="28"/>
          <w:highlight w:val="none"/>
          <w14:textFill>
            <w14:solidFill>
              <w14:schemeClr w14:val="tx1"/>
            </w14:solidFill>
          </w14:textFill>
        </w:rPr>
        <w:t>19.缺陷责任与保修责任</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0" w:name="_Toc43475982"/>
      <w:bookmarkEnd w:id="1540"/>
      <w:bookmarkStart w:id="1541" w:name="_Toc451261356"/>
      <w:bookmarkEnd w:id="1541"/>
      <w:bookmarkStart w:id="1542" w:name="_Toc393546506"/>
      <w:bookmarkEnd w:id="1542"/>
      <w:bookmarkStart w:id="1543" w:name="_Toc386467252"/>
      <w:bookmarkEnd w:id="1543"/>
      <w:bookmarkStart w:id="1544" w:name="_Toc453057166"/>
      <w:bookmarkEnd w:id="1544"/>
      <w:bookmarkStart w:id="1545" w:name="_Toc330406447"/>
      <w:bookmarkEnd w:id="1545"/>
      <w:r>
        <w:rPr>
          <w:rFonts w:hint="eastAsia" w:ascii="宋体" w:hAnsi="宋体" w:cs="宋体"/>
          <w:color w:val="000000" w:themeColor="text1"/>
          <w:sz w:val="24"/>
          <w:szCs w:val="24"/>
          <w:highlight w:val="none"/>
          <w14:textFill>
            <w14:solidFill>
              <w14:schemeClr w14:val="tx1"/>
            </w14:solidFill>
          </w14:textFill>
        </w:rPr>
        <w:t>19.2缺陷责任</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第19.2.2项补充：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在缺陷责任期内，承包人应尽快完成在交工验收证书中写明的未完成工作，并完成对本工程缺陷的修复或监理人指令的修补工作。</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6" w:name="_Toc451261357"/>
      <w:bookmarkEnd w:id="1546"/>
      <w:bookmarkStart w:id="1547" w:name="_Toc43475983"/>
      <w:bookmarkEnd w:id="1547"/>
      <w:bookmarkStart w:id="1548" w:name="_Toc453057167"/>
      <w:bookmarkEnd w:id="1548"/>
      <w:bookmarkStart w:id="1549" w:name="_Toc330406448"/>
      <w:bookmarkEnd w:id="1549"/>
      <w:bookmarkStart w:id="1550" w:name="_Toc386467253"/>
      <w:bookmarkEnd w:id="1550"/>
      <w:bookmarkStart w:id="1551" w:name="_Toc393546507"/>
      <w:bookmarkEnd w:id="1551"/>
      <w:r>
        <w:rPr>
          <w:rFonts w:hint="eastAsia" w:ascii="宋体" w:hAnsi="宋体" w:cs="宋体"/>
          <w:color w:val="000000" w:themeColor="text1"/>
          <w:sz w:val="24"/>
          <w:szCs w:val="24"/>
          <w:highlight w:val="none"/>
          <w14:textFill>
            <w14:solidFill>
              <w14:schemeClr w14:val="tx1"/>
            </w14:solidFill>
          </w14:textFill>
        </w:rPr>
        <w:t>19.5承包人的进入权</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52" w:name="_Toc386467254"/>
      <w:bookmarkEnd w:id="1552"/>
      <w:bookmarkStart w:id="1553" w:name="_Toc453057168"/>
      <w:bookmarkEnd w:id="1553"/>
      <w:bookmarkStart w:id="1554" w:name="_Toc330406449"/>
      <w:bookmarkEnd w:id="1554"/>
      <w:bookmarkStart w:id="1555" w:name="_Toc393546508"/>
      <w:bookmarkEnd w:id="1555"/>
      <w:bookmarkStart w:id="1556" w:name="_Toc43475984"/>
      <w:bookmarkEnd w:id="1556"/>
      <w:bookmarkStart w:id="1557" w:name="_Toc451261358"/>
      <w:bookmarkEnd w:id="1557"/>
      <w:r>
        <w:rPr>
          <w:rFonts w:hint="eastAsia" w:ascii="宋体" w:hAnsi="宋体" w:cs="宋体"/>
          <w:color w:val="000000" w:themeColor="text1"/>
          <w:sz w:val="24"/>
          <w:szCs w:val="24"/>
          <w:highlight w:val="none"/>
          <w14:textFill>
            <w14:solidFill>
              <w14:schemeClr w14:val="tx1"/>
            </w14:solidFill>
          </w14:textFill>
        </w:rPr>
        <w:t>19.7保修责任</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（2）在全部工程交工验收前，已经发包人提前验收的单位工程，其保修期的起算日期相应提前。</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（3）工程保修期终止后28天内，监理人签发保修期终止证书。</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（4）若承包人不履行保修义务和责任，则承包人应承担由于违约造成的法律后果，并由发包人将其违约行为上报省级交通主管部门，作为不良记录纳入公路建设市场信用信息管理系统。</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58" w:name="_Toc393546509"/>
      <w:bookmarkEnd w:id="1558"/>
      <w:bookmarkStart w:id="1559" w:name="_Toc386467255"/>
      <w:bookmarkEnd w:id="1559"/>
      <w:bookmarkStart w:id="1560" w:name="_Toc453057169"/>
      <w:bookmarkEnd w:id="1560"/>
      <w:bookmarkStart w:id="1561" w:name="_Toc43475985"/>
      <w:bookmarkEnd w:id="1561"/>
      <w:bookmarkStart w:id="1562" w:name="_Toc330406450"/>
      <w:bookmarkEnd w:id="1562"/>
      <w:bookmarkStart w:id="1563" w:name="_Toc451261359"/>
      <w:bookmarkEnd w:id="1563"/>
      <w:r>
        <w:rPr>
          <w:rFonts w:hint="eastAsia" w:ascii="宋体" w:hAnsi="宋体" w:cs="宋体"/>
          <w:color w:val="000000" w:themeColor="text1"/>
          <w:sz w:val="28"/>
          <w:szCs w:val="28"/>
          <w:highlight w:val="none"/>
          <w14:textFill>
            <w14:solidFill>
              <w14:schemeClr w14:val="tx1"/>
            </w14:solidFill>
          </w14:textFill>
        </w:rPr>
        <w:t>20.保险</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4" w:name="_Toc393546510"/>
      <w:bookmarkEnd w:id="1564"/>
      <w:bookmarkStart w:id="1565" w:name="_Toc386467256"/>
      <w:bookmarkEnd w:id="1565"/>
      <w:bookmarkStart w:id="1566" w:name="_Toc43475986"/>
      <w:bookmarkEnd w:id="1566"/>
      <w:bookmarkStart w:id="1567" w:name="_Toc453057170"/>
      <w:bookmarkEnd w:id="1567"/>
      <w:bookmarkStart w:id="1568" w:name="_Toc451261360"/>
      <w:bookmarkEnd w:id="1568"/>
      <w:bookmarkStart w:id="1569" w:name="_Toc330406451"/>
      <w:bookmarkEnd w:id="1569"/>
      <w:r>
        <w:rPr>
          <w:rFonts w:hint="eastAsia" w:ascii="宋体" w:hAnsi="宋体" w:cs="宋体"/>
          <w:color w:val="000000" w:themeColor="text1"/>
          <w:sz w:val="24"/>
          <w:szCs w:val="24"/>
          <w:highlight w:val="none"/>
          <w14:textFill>
            <w14:solidFill>
              <w14:schemeClr w14:val="tx1"/>
            </w14:solidFill>
          </w14:textFill>
        </w:rPr>
        <w:t>20.1工程保险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保险金额：工程量清单第100章（不含建筑工程一切险及第三者责任险的保险费）至700章的合计金额。</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0" w:name="_Toc453057171"/>
      <w:bookmarkEnd w:id="1570"/>
      <w:bookmarkStart w:id="1571" w:name="_Toc330406452"/>
      <w:bookmarkEnd w:id="1571"/>
      <w:bookmarkStart w:id="1572" w:name="_Toc43475987"/>
      <w:bookmarkEnd w:id="1572"/>
      <w:bookmarkStart w:id="1573" w:name="_Toc386467257"/>
      <w:bookmarkEnd w:id="1573"/>
      <w:bookmarkStart w:id="1574" w:name="_Toc451261361"/>
      <w:bookmarkEnd w:id="1574"/>
      <w:bookmarkStart w:id="1575" w:name="_Toc393546511"/>
      <w:bookmarkEnd w:id="1575"/>
      <w:r>
        <w:rPr>
          <w:rFonts w:hint="eastAsia" w:ascii="宋体" w:hAnsi="宋体" w:cs="宋体"/>
          <w:color w:val="000000" w:themeColor="text1"/>
          <w:sz w:val="24"/>
          <w:szCs w:val="24"/>
          <w:highlight w:val="none"/>
          <w14:textFill>
            <w14:solidFill>
              <w14:schemeClr w14:val="tx1"/>
            </w14:solidFill>
          </w14:textFill>
        </w:rPr>
        <w:t>20.4第三者责任险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第20.4.2项补充：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第三者责任险的保险费由承包人报价时列入工程量清单100章内。发包人在接到保险单后，将按照保险单的费用直接向承包人支付。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6" w:name="_Toc393546512"/>
      <w:bookmarkEnd w:id="1576"/>
      <w:bookmarkStart w:id="1577" w:name="_Toc451261362"/>
      <w:bookmarkEnd w:id="1577"/>
      <w:bookmarkStart w:id="1578" w:name="_Toc330406453"/>
      <w:bookmarkEnd w:id="1578"/>
      <w:bookmarkStart w:id="1579" w:name="_Toc43475988"/>
      <w:bookmarkEnd w:id="1579"/>
      <w:bookmarkStart w:id="1580" w:name="_Toc453057172"/>
      <w:bookmarkEnd w:id="1580"/>
      <w:bookmarkStart w:id="1581" w:name="_Toc386467258"/>
      <w:bookmarkEnd w:id="1581"/>
      <w:r>
        <w:rPr>
          <w:rFonts w:hint="eastAsia" w:ascii="宋体" w:hAnsi="宋体" w:cs="宋体"/>
          <w:color w:val="000000" w:themeColor="text1"/>
          <w:sz w:val="24"/>
          <w:szCs w:val="24"/>
          <w:highlight w:val="none"/>
          <w14:textFill>
            <w14:solidFill>
              <w14:schemeClr w14:val="tx1"/>
            </w14:solidFill>
          </w14:textFill>
        </w:rPr>
        <w:t>20.5其他保险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82" w:name="_Toc386467259"/>
      <w:bookmarkEnd w:id="1582"/>
      <w:bookmarkStart w:id="1583" w:name="_Toc43475989"/>
      <w:bookmarkEnd w:id="1583"/>
      <w:bookmarkStart w:id="1584" w:name="_Toc451261363"/>
      <w:bookmarkEnd w:id="1584"/>
      <w:bookmarkStart w:id="1585" w:name="_Toc453057173"/>
      <w:bookmarkEnd w:id="1585"/>
      <w:bookmarkStart w:id="1586" w:name="_Toc330406454"/>
      <w:bookmarkEnd w:id="1586"/>
      <w:bookmarkStart w:id="1587" w:name="_Toc393546513"/>
      <w:bookmarkEnd w:id="1587"/>
      <w:r>
        <w:rPr>
          <w:rFonts w:hint="eastAsia" w:ascii="宋体" w:hAnsi="宋体" w:cs="宋体"/>
          <w:color w:val="000000" w:themeColor="text1"/>
          <w:sz w:val="24"/>
          <w:szCs w:val="24"/>
          <w:highlight w:val="none"/>
          <w14:textFill>
            <w14:solidFill>
              <w14:schemeClr w14:val="tx1"/>
            </w14:solidFill>
          </w14:textFill>
        </w:rPr>
        <w:t>20.6对各项保险的一般要求</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20.6.1保险凭证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承包人向发包人提交各项保险生效的证据和保险单副本的期限：开工后56天内。</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20.6.3 持续保险</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在整个合同期内，承包人应按合同条款保证足够的保险额。</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20.6.4保险金不足的补偿</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20.6.5未按约定投保的补救</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88" w:name="_Toc453057174"/>
      <w:bookmarkEnd w:id="1588"/>
      <w:bookmarkStart w:id="1589" w:name="_Toc330406455"/>
      <w:bookmarkEnd w:id="1589"/>
      <w:bookmarkStart w:id="1590" w:name="_Toc43475990"/>
      <w:bookmarkEnd w:id="1590"/>
      <w:bookmarkStart w:id="1591" w:name="_Toc386467260"/>
      <w:bookmarkEnd w:id="1591"/>
      <w:bookmarkStart w:id="1592" w:name="_Toc393546514"/>
      <w:bookmarkEnd w:id="1592"/>
      <w:bookmarkStart w:id="1593" w:name="_Toc451261364"/>
      <w:bookmarkEnd w:id="1593"/>
      <w:r>
        <w:rPr>
          <w:rFonts w:hint="eastAsia" w:ascii="宋体" w:hAnsi="宋体" w:cs="宋体"/>
          <w:color w:val="000000" w:themeColor="text1"/>
          <w:sz w:val="28"/>
          <w:szCs w:val="28"/>
          <w:highlight w:val="none"/>
          <w14:textFill>
            <w14:solidFill>
              <w14:schemeClr w14:val="tx1"/>
            </w14:solidFill>
          </w14:textFill>
        </w:rPr>
        <w:t>21.不可抗力</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4" w:name="_Toc453057175"/>
      <w:bookmarkEnd w:id="1594"/>
      <w:bookmarkStart w:id="1595" w:name="_Toc43475991"/>
      <w:bookmarkEnd w:id="1595"/>
      <w:bookmarkStart w:id="1596" w:name="_Toc451261365"/>
      <w:bookmarkEnd w:id="1596"/>
      <w:bookmarkStart w:id="1597" w:name="_Toc330406456"/>
      <w:bookmarkEnd w:id="1597"/>
      <w:bookmarkStart w:id="1598" w:name="_Toc386467261"/>
      <w:bookmarkEnd w:id="1598"/>
      <w:bookmarkStart w:id="1599" w:name="_Toc393546515"/>
      <w:bookmarkEnd w:id="1599"/>
      <w:r>
        <w:rPr>
          <w:rFonts w:hint="eastAsia" w:ascii="宋体" w:hAnsi="宋体" w:cs="宋体"/>
          <w:color w:val="000000" w:themeColor="text1"/>
          <w:sz w:val="24"/>
          <w:szCs w:val="24"/>
          <w:highlight w:val="none"/>
          <w14:textFill>
            <w14:solidFill>
              <w14:schemeClr w14:val="tx1"/>
            </w14:solidFill>
          </w14:textFill>
        </w:rPr>
        <w:t>21.1不可抗力的确认</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（1）地震、海啸、火山爆发、泥石流、暴雨（雪）、台风、龙卷风、水灾等自然灾害；</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（2）战争、骚乱、暴动，但纯属承包人或其分包人派遣与雇用的人员由于本合同工程施工原因引起者除外；</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（3）核反应、辐射或放射性污染；</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（4）空中飞行物体附落或非发包人或承包人责任造成的爆炸、火灾；</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（5）瘟疫；</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（6）项目专用合同条款约定的其他情形。</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00" w:name="_Toc330406457"/>
      <w:bookmarkEnd w:id="1600"/>
      <w:bookmarkStart w:id="1601" w:name="_Toc453057176"/>
      <w:bookmarkEnd w:id="1601"/>
      <w:bookmarkStart w:id="1602" w:name="_Toc43475992"/>
      <w:bookmarkEnd w:id="1602"/>
      <w:bookmarkStart w:id="1603" w:name="_Toc393546516"/>
      <w:bookmarkEnd w:id="1603"/>
      <w:bookmarkStart w:id="1604" w:name="_Toc386467262"/>
      <w:bookmarkEnd w:id="1604"/>
      <w:bookmarkStart w:id="1605" w:name="_Toc451261366"/>
      <w:bookmarkEnd w:id="1605"/>
      <w:r>
        <w:rPr>
          <w:rFonts w:hint="eastAsia" w:ascii="宋体" w:hAnsi="宋体" w:cs="宋体"/>
          <w:color w:val="000000" w:themeColor="text1"/>
          <w:sz w:val="24"/>
          <w:szCs w:val="24"/>
          <w:highlight w:val="none"/>
          <w14:textFill>
            <w14:solidFill>
              <w14:schemeClr w14:val="tx1"/>
            </w14:solidFill>
          </w14:textFill>
        </w:rPr>
        <w:t>21.3不可抗力后果及其处理</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21.3.4因不可抗力解除合同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06" w:name="_Toc386467263"/>
      <w:bookmarkEnd w:id="1606"/>
      <w:bookmarkStart w:id="1607" w:name="_Toc43475993"/>
      <w:bookmarkEnd w:id="1607"/>
      <w:bookmarkStart w:id="1608" w:name="_Toc453057177"/>
      <w:bookmarkEnd w:id="1608"/>
      <w:bookmarkStart w:id="1609" w:name="_Toc330406458"/>
      <w:bookmarkEnd w:id="1609"/>
      <w:bookmarkStart w:id="1610" w:name="_Toc451261367"/>
      <w:bookmarkEnd w:id="1610"/>
      <w:bookmarkStart w:id="1611" w:name="_Toc393546517"/>
      <w:bookmarkEnd w:id="1611"/>
      <w:r>
        <w:rPr>
          <w:rFonts w:hint="eastAsia" w:ascii="宋体" w:hAnsi="宋体" w:cs="宋体"/>
          <w:color w:val="000000" w:themeColor="text1"/>
          <w:sz w:val="28"/>
          <w:szCs w:val="28"/>
          <w:highlight w:val="none"/>
          <w14:textFill>
            <w14:solidFill>
              <w14:schemeClr w14:val="tx1"/>
            </w14:solidFill>
          </w14:textFill>
        </w:rPr>
        <w:t>22.违约</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2" w:name="_Toc453057178"/>
      <w:bookmarkEnd w:id="1612"/>
      <w:bookmarkStart w:id="1613" w:name="_Toc386467264"/>
      <w:bookmarkEnd w:id="1613"/>
      <w:bookmarkStart w:id="1614" w:name="_Toc451261368"/>
      <w:bookmarkEnd w:id="1614"/>
      <w:bookmarkStart w:id="1615" w:name="_Toc393546518"/>
      <w:bookmarkEnd w:id="1615"/>
      <w:bookmarkStart w:id="1616" w:name="_Toc43475994"/>
      <w:bookmarkEnd w:id="1616"/>
      <w:bookmarkStart w:id="1617" w:name="_Toc330406459"/>
      <w:bookmarkEnd w:id="1617"/>
      <w:r>
        <w:rPr>
          <w:rFonts w:hint="eastAsia" w:ascii="宋体" w:hAnsi="宋体" w:cs="宋体"/>
          <w:color w:val="000000" w:themeColor="text1"/>
          <w:sz w:val="24"/>
          <w:szCs w:val="24"/>
          <w:highlight w:val="none"/>
          <w14:textFill>
            <w14:solidFill>
              <w14:schemeClr w14:val="tx1"/>
            </w14:solidFill>
          </w14:textFill>
        </w:rPr>
        <w:t>22.1承包人违约</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22.1.1承包人违约的情形</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本项（7）目细化为：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（7）承包人未能按期开工；</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（8）承包人违反第4.6款或6.3款的规定，未按承诺或未按监理人的要求及时配备称职的主要管理人员、技术骨干或关键施工设备；</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（9）经监理人和发包人检查，发现承包人有安全问题或有违反安全管理规章制度的情况；</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（10）承包人不按合同约定履行义务的其他情况。</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22.1.2对承包人违约的处理</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8" w:name="_Toc453057179"/>
      <w:bookmarkEnd w:id="1618"/>
      <w:bookmarkStart w:id="1619" w:name="_Toc330406460"/>
      <w:bookmarkEnd w:id="1619"/>
      <w:bookmarkStart w:id="1620" w:name="_Toc451261369"/>
      <w:bookmarkEnd w:id="1620"/>
      <w:bookmarkStart w:id="1621" w:name="_Toc43475995"/>
      <w:bookmarkEnd w:id="1621"/>
      <w:bookmarkStart w:id="1622" w:name="_Toc386467265"/>
      <w:bookmarkEnd w:id="1622"/>
      <w:bookmarkStart w:id="1623" w:name="_Toc393546519"/>
      <w:bookmarkEnd w:id="1623"/>
      <w:r>
        <w:rPr>
          <w:rFonts w:hint="eastAsia" w:ascii="宋体" w:hAnsi="宋体" w:cs="宋体"/>
          <w:color w:val="000000" w:themeColor="text1"/>
          <w:sz w:val="24"/>
          <w:szCs w:val="24"/>
          <w:highlight w:val="none"/>
          <w14:textFill>
            <w14:solidFill>
              <w14:schemeClr w14:val="tx1"/>
            </w14:solidFill>
          </w14:textFill>
        </w:rPr>
        <w:t>22.2发包人违约</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22.2.1</w:t>
      </w:r>
      <w:r>
        <w:rPr>
          <w:rFonts w:hint="eastAsia" w:ascii="宋体" w:hAnsi="宋体" w:cs="宋体"/>
          <w:b/>
          <w:bCs/>
          <w:color w:val="000000" w:themeColor="text1"/>
          <w:sz w:val="24"/>
          <w:highlight w:val="none"/>
          <w:lang w:val="zh-CN"/>
          <w14:textFill>
            <w14:solidFill>
              <w14:schemeClr w14:val="tx1"/>
            </w14:solidFill>
          </w14:textFill>
        </w:rPr>
        <w:t>发包人违约的情形</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发包人无正当理由不按时返还履约保证金、质量保证金或农民工工资保证金的；</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发包人不履行合同约定其他义务的。</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22.2.2</w:t>
      </w:r>
      <w:r>
        <w:rPr>
          <w:rFonts w:hint="eastAsia" w:ascii="宋体" w:hAnsi="宋体" w:cs="宋体"/>
          <w:b/>
          <w:bCs/>
          <w:color w:val="000000" w:themeColor="text1"/>
          <w:sz w:val="24"/>
          <w:highlight w:val="none"/>
          <w:lang w:val="zh-CN"/>
          <w14:textFill>
            <w14:solidFill>
              <w14:schemeClr w14:val="tx1"/>
            </w14:solidFill>
          </w14:textFill>
        </w:rPr>
        <w:t>承包人有权暂停施工</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本项细化为：</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发包人发生除第</w:t>
      </w:r>
      <w:r>
        <w:rPr>
          <w:rFonts w:hint="eastAsia" w:ascii="宋体" w:hAnsi="宋体" w:cs="宋体"/>
          <w:color w:val="000000" w:themeColor="text1"/>
          <w:sz w:val="24"/>
          <w:highlight w:val="none"/>
          <w14:textFill>
            <w14:solidFill>
              <w14:schemeClr w14:val="tx1"/>
            </w14:solidFill>
          </w14:textFill>
        </w:rPr>
        <w:t xml:space="preserve">22.2.1 </w:t>
      </w:r>
      <w:r>
        <w:rPr>
          <w:rFonts w:hint="eastAsia" w:ascii="宋体" w:hAnsi="宋体" w:cs="宋体"/>
          <w:color w:val="000000" w:themeColor="text1"/>
          <w:sz w:val="24"/>
          <w:highlight w:val="none"/>
          <w:lang w:val="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目以外的违约情况时，承包人可向发包人发</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发包人发生第</w:t>
      </w:r>
      <w:r>
        <w:rPr>
          <w:rFonts w:hint="eastAsia" w:ascii="宋体" w:hAnsi="宋体" w:cs="宋体"/>
          <w:color w:val="000000" w:themeColor="text1"/>
          <w:sz w:val="24"/>
          <w:highlight w:val="none"/>
          <w14:textFill>
            <w14:solidFill>
              <w14:schemeClr w14:val="tx1"/>
            </w14:solidFill>
          </w14:textFill>
        </w:rPr>
        <w:t>22.2.1 （5）</w:t>
      </w:r>
      <w:r>
        <w:rPr>
          <w:rFonts w:hint="eastAsia" w:ascii="宋体" w:hAnsi="宋体" w:cs="宋体"/>
          <w:color w:val="000000" w:themeColor="text1"/>
          <w:sz w:val="24"/>
          <w:highlight w:val="none"/>
          <w:lang w:val="zh-CN"/>
          <w14:textFill>
            <w14:solidFill>
              <w14:schemeClr w14:val="tx1"/>
            </w14:solidFill>
          </w14:textFill>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22.2.4 解除合同后的付款</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（2）承包人为该工程施工订购并已付款的材料、工程设备和其他物品的金额，发包人付款后，该材料、工程设备和其他物品归发包人所有；</w:t>
      </w:r>
    </w:p>
    <w:p>
      <w:pPr>
        <w:pStyle w:val="2"/>
        <w:spacing w:before="120" w:line="400" w:lineRule="exact"/>
        <w:rPr>
          <w:rFonts w:ascii="宋体" w:hAnsi="宋体" w:cs="宋体"/>
          <w:color w:val="000000" w:themeColor="text1"/>
          <w:sz w:val="28"/>
          <w:szCs w:val="28"/>
          <w:highlight w:val="none"/>
          <w14:textFill>
            <w14:solidFill>
              <w14:schemeClr w14:val="tx1"/>
            </w14:solidFill>
          </w14:textFill>
        </w:rPr>
      </w:pPr>
      <w:bookmarkStart w:id="1624" w:name="_Toc453057180"/>
      <w:bookmarkEnd w:id="1624"/>
      <w:bookmarkStart w:id="1625" w:name="_Toc393546520"/>
      <w:bookmarkEnd w:id="1625"/>
      <w:bookmarkStart w:id="1626" w:name="_Toc451261370"/>
      <w:bookmarkEnd w:id="1626"/>
      <w:bookmarkStart w:id="1627" w:name="_Toc43475996"/>
      <w:bookmarkEnd w:id="1627"/>
      <w:bookmarkStart w:id="1628" w:name="_Toc330406461"/>
      <w:bookmarkEnd w:id="1628"/>
      <w:bookmarkStart w:id="1629" w:name="_Toc386467266"/>
      <w:bookmarkEnd w:id="1629"/>
      <w:r>
        <w:rPr>
          <w:rFonts w:hint="eastAsia" w:ascii="宋体" w:hAnsi="宋体" w:cs="宋体"/>
          <w:color w:val="000000" w:themeColor="text1"/>
          <w:sz w:val="28"/>
          <w:szCs w:val="28"/>
          <w:highlight w:val="none"/>
          <w14:textFill>
            <w14:solidFill>
              <w14:schemeClr w14:val="tx1"/>
            </w14:solidFill>
          </w14:textFill>
        </w:rPr>
        <w:t>23.索赔</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0" w:name="_Toc43475997"/>
      <w:bookmarkEnd w:id="1630"/>
      <w:bookmarkStart w:id="1631" w:name="_Toc453057181"/>
      <w:bookmarkEnd w:id="1631"/>
      <w:bookmarkStart w:id="1632" w:name="_Toc451261371"/>
      <w:bookmarkEnd w:id="1632"/>
      <w:bookmarkStart w:id="1633" w:name="_Toc386467267"/>
      <w:bookmarkEnd w:id="1633"/>
      <w:bookmarkStart w:id="1634" w:name="_Toc330406462"/>
      <w:bookmarkEnd w:id="1634"/>
      <w:bookmarkStart w:id="1635" w:name="_Toc393546521"/>
      <w:bookmarkEnd w:id="1635"/>
      <w:r>
        <w:rPr>
          <w:rFonts w:hint="eastAsia" w:ascii="宋体" w:hAnsi="宋体" w:cs="宋体"/>
          <w:color w:val="000000" w:themeColor="text1"/>
          <w:sz w:val="24"/>
          <w:szCs w:val="24"/>
          <w:highlight w:val="none"/>
          <w14:textFill>
            <w14:solidFill>
              <w14:schemeClr w14:val="tx1"/>
            </w14:solidFill>
          </w14:textFill>
        </w:rPr>
        <w:t>23.1承包人索赔的提出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本款第（4）项细化为：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6" w:name="_Toc453057182"/>
      <w:bookmarkEnd w:id="1636"/>
      <w:bookmarkStart w:id="1637" w:name="_Toc393546522"/>
      <w:bookmarkEnd w:id="1637"/>
      <w:bookmarkStart w:id="1638" w:name="_Toc386467268"/>
      <w:bookmarkEnd w:id="1638"/>
      <w:bookmarkStart w:id="1639" w:name="_Toc330406463"/>
      <w:bookmarkEnd w:id="1639"/>
      <w:bookmarkStart w:id="1640" w:name="_Toc451261372"/>
      <w:bookmarkEnd w:id="1640"/>
      <w:bookmarkStart w:id="1641" w:name="_Toc43475998"/>
      <w:bookmarkEnd w:id="1641"/>
      <w:r>
        <w:rPr>
          <w:rFonts w:hint="eastAsia" w:ascii="宋体" w:hAnsi="宋体" w:cs="宋体"/>
          <w:color w:val="000000" w:themeColor="text1"/>
          <w:sz w:val="24"/>
          <w:szCs w:val="24"/>
          <w:highlight w:val="none"/>
          <w14:textFill>
            <w14:solidFill>
              <w14:schemeClr w14:val="tx1"/>
            </w14:solidFill>
          </w14:textFill>
        </w:rPr>
        <w:t>23.2承包人索赔处理程序</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本款第（2）项细化为：</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2"/>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42" w:name="_Toc43475999"/>
      <w:bookmarkEnd w:id="1642"/>
      <w:bookmarkStart w:id="1643" w:name="_Toc393546523"/>
      <w:bookmarkEnd w:id="1643"/>
      <w:bookmarkStart w:id="1644" w:name="_Toc330406464"/>
      <w:bookmarkEnd w:id="1644"/>
      <w:bookmarkStart w:id="1645" w:name="_Toc451261373"/>
      <w:bookmarkEnd w:id="1645"/>
      <w:bookmarkStart w:id="1646" w:name="_Toc386467269"/>
      <w:bookmarkEnd w:id="1646"/>
      <w:bookmarkStart w:id="1647" w:name="_Toc453057183"/>
      <w:bookmarkEnd w:id="1647"/>
      <w:r>
        <w:rPr>
          <w:rFonts w:hint="eastAsia" w:ascii="宋体" w:hAnsi="宋体" w:cs="宋体"/>
          <w:color w:val="000000" w:themeColor="text1"/>
          <w:sz w:val="28"/>
          <w:szCs w:val="28"/>
          <w:highlight w:val="none"/>
          <w14:textFill>
            <w14:solidFill>
              <w14:schemeClr w14:val="tx1"/>
            </w14:solidFill>
          </w14:textFill>
        </w:rPr>
        <w:t>24.争议的解决</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48" w:name="_Toc386467270"/>
      <w:bookmarkEnd w:id="1648"/>
      <w:bookmarkStart w:id="1649" w:name="_Toc330406465"/>
      <w:bookmarkEnd w:id="1649"/>
      <w:bookmarkStart w:id="1650" w:name="_Toc393546524"/>
      <w:bookmarkEnd w:id="1650"/>
      <w:bookmarkStart w:id="1651" w:name="_Toc451261374"/>
      <w:bookmarkEnd w:id="1651"/>
      <w:bookmarkStart w:id="1652" w:name="_Toc453057184"/>
      <w:bookmarkEnd w:id="1652"/>
      <w:bookmarkStart w:id="1653" w:name="_Toc43476000"/>
      <w:bookmarkEnd w:id="1653"/>
      <w:r>
        <w:rPr>
          <w:rFonts w:hint="eastAsia" w:ascii="宋体" w:hAnsi="宋体" w:cs="宋体"/>
          <w:color w:val="000000" w:themeColor="text1"/>
          <w:sz w:val="24"/>
          <w:szCs w:val="24"/>
          <w:highlight w:val="none"/>
          <w14:textFill>
            <w14:solidFill>
              <w14:schemeClr w14:val="tx1"/>
            </w14:solidFill>
          </w14:textFill>
        </w:rPr>
        <w:t>24.3争议评审</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第24.3.1项补充：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本条补充第24.4、第24.5款（适用于采用仲裁方式最终解决争议的项目）：</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54" w:name="_Toc330406466"/>
      <w:bookmarkEnd w:id="1654"/>
      <w:bookmarkStart w:id="1655" w:name="_Toc451261375"/>
      <w:bookmarkEnd w:id="1655"/>
      <w:bookmarkStart w:id="1656" w:name="_Toc393546525"/>
      <w:bookmarkEnd w:id="1656"/>
      <w:bookmarkStart w:id="1657" w:name="_Toc43476001"/>
      <w:bookmarkEnd w:id="1657"/>
      <w:bookmarkStart w:id="1658" w:name="_Toc386467271"/>
      <w:bookmarkEnd w:id="1658"/>
      <w:bookmarkStart w:id="1659" w:name="_Toc453057185"/>
      <w:bookmarkEnd w:id="1659"/>
      <w:r>
        <w:rPr>
          <w:rFonts w:hint="eastAsia" w:ascii="宋体" w:hAnsi="宋体" w:cs="宋体"/>
          <w:color w:val="000000" w:themeColor="text1"/>
          <w:sz w:val="24"/>
          <w:szCs w:val="24"/>
          <w:highlight w:val="none"/>
          <w14:textFill>
            <w14:solidFill>
              <w14:schemeClr w14:val="tx1"/>
            </w14:solidFill>
          </w14:textFill>
        </w:rPr>
        <w:t>24.4仲裁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（1）对于未能友好解决或通过争议评审解决的争议，发包人或承包人任一方均有权提交给第24.1款约定的仲裁委员会仲裁。</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（3）仲裁裁决是终局性的并对发包人和承包人双方具有约束力。</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（4）全部仲裁费用应由败诉方承担；或按仲裁员会裁决的比例分担。</w:t>
      </w:r>
    </w:p>
    <w:p>
      <w:pPr>
        <w:pStyle w:val="2"/>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60" w:name="_Toc386467272"/>
      <w:bookmarkEnd w:id="1660"/>
      <w:bookmarkStart w:id="1661" w:name="_Toc393546526"/>
      <w:bookmarkEnd w:id="1661"/>
      <w:bookmarkStart w:id="1662" w:name="_Toc451261376"/>
      <w:bookmarkEnd w:id="1662"/>
      <w:bookmarkStart w:id="1663" w:name="_Toc330406467"/>
      <w:bookmarkEnd w:id="1663"/>
      <w:bookmarkStart w:id="1664" w:name="_Toc453057186"/>
      <w:bookmarkEnd w:id="1664"/>
      <w:bookmarkStart w:id="1665" w:name="_Toc43476002"/>
      <w:bookmarkEnd w:id="1665"/>
      <w:r>
        <w:rPr>
          <w:rFonts w:hint="eastAsia" w:ascii="宋体" w:hAnsi="宋体" w:cs="宋体"/>
          <w:color w:val="000000" w:themeColor="text1"/>
          <w:sz w:val="24"/>
          <w:szCs w:val="24"/>
          <w:highlight w:val="none"/>
          <w14:textFill>
            <w14:solidFill>
              <w14:schemeClr w14:val="tx1"/>
            </w14:solidFill>
          </w14:textFill>
        </w:rPr>
        <w:t>24.5仲裁的执行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（1）任何一方不履行仲裁机构的裁决的，对方可以向有管辖权的人民法院申请执行。</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3"/>
        <w:jc w:val="center"/>
        <w:rPr>
          <w:rFonts w:ascii="宋体" w:hAnsi="宋体"/>
          <w:color w:val="000000" w:themeColor="text1"/>
          <w:szCs w:val="36"/>
          <w:highlight w:val="none"/>
          <w14:textFill>
            <w14:solidFill>
              <w14:schemeClr w14:val="tx1"/>
            </w14:solidFill>
          </w14:textFill>
        </w:rPr>
      </w:pPr>
      <w:bookmarkStart w:id="1666" w:name="_Toc43476003"/>
      <w:bookmarkEnd w:id="1666"/>
      <w:r>
        <w:rPr>
          <w:rFonts w:hint="eastAsia"/>
          <w:color w:val="000000" w:themeColor="text1"/>
          <w:highlight w:val="none"/>
          <w14:textFill>
            <w14:solidFill>
              <w14:schemeClr w14:val="tx1"/>
            </w14:solidFill>
          </w14:textFill>
        </w:rPr>
        <w:t>B.项目专用合同条款</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说明：</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招标人在根据本范本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项目专用合同条款的编号应与通用合同条款和公路工程专用合同条款一致。</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项目专用合同条款可对下列内容进行补充和细化：</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(3)其他需要补充、细化的内容。</w:t>
      </w:r>
    </w:p>
    <w:p>
      <w:pPr>
        <w:pStyle w:val="4"/>
        <w:jc w:val="center"/>
        <w:rPr>
          <w:color w:val="000000" w:themeColor="text1"/>
          <w:highlight w:val="none"/>
          <w14:textFill>
            <w14:solidFill>
              <w14:schemeClr w14:val="tx1"/>
            </w14:solidFill>
          </w14:textFill>
        </w:rPr>
      </w:pPr>
      <w:bookmarkStart w:id="1667" w:name="_Toc43476004"/>
      <w:bookmarkEnd w:id="1667"/>
      <w:bookmarkStart w:id="1668" w:name="_Toc505844493"/>
      <w:bookmarkEnd w:id="1668"/>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项目专用条款数据表</w:t>
      </w:r>
    </w:p>
    <w:p>
      <w:pPr>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 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43"/>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0"/>
        <w:gridCol w:w="1464"/>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6"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484" w:type="dxa"/>
            <w:gridSpan w:val="2"/>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426"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84" w:type="dxa"/>
            <w:gridSpan w:val="2"/>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1.1.2.2</w:t>
            </w:r>
          </w:p>
        </w:tc>
        <w:tc>
          <w:tcPr>
            <w:tcW w:w="7426" w:type="dxa"/>
            <w:vAlign w:val="center"/>
          </w:tcPr>
          <w:p>
            <w:pPr>
              <w:pStyle w:val="73"/>
              <w:widowControl/>
              <w:snapToGrid w:val="0"/>
              <w:spacing w:line="400" w:lineRule="exact"/>
              <w:jc w:val="lef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单位名称：韶关市城郊公路事务中心</w:t>
            </w:r>
          </w:p>
          <w:p>
            <w:pPr>
              <w:pStyle w:val="73"/>
              <w:widowControl/>
              <w:snapToGrid w:val="0"/>
              <w:spacing w:line="400" w:lineRule="exact"/>
              <w:jc w:val="lef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地址：韶关市浈江区大德路26号          邮政编码：512023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1.1.2.6</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 理 人：/</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1.1.2.10</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试验人</w:t>
            </w:r>
            <w:r>
              <w:rPr>
                <w:rFonts w:hint="eastAsia" w:ascii="宋体" w:hAnsi="宋体" w:cs="宋体"/>
                <w:color w:val="000000" w:themeColor="text1"/>
                <w:szCs w:val="21"/>
                <w:highlight w:val="none"/>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pacing w:val="-1"/>
                <w:szCs w:val="21"/>
                <w:highlight w:val="none"/>
                <w14:textFill>
                  <w14:solidFill>
                    <w14:schemeClr w14:val="tx1"/>
                  </w14:solidFill>
                </w14:textFill>
              </w:rPr>
              <w:t>邮政</w:t>
            </w:r>
            <w:r>
              <w:rPr>
                <w:rFonts w:hint="eastAsia" w:ascii="宋体" w:hAnsi="宋体" w:cs="宋体"/>
                <w:color w:val="000000" w:themeColor="text1"/>
                <w:szCs w:val="21"/>
                <w:highlight w:val="none"/>
                <w14:textFill>
                  <w14:solidFill>
                    <w14:schemeClr w14:val="tx1"/>
                  </w14:solidFill>
                </w14:textFill>
              </w:rPr>
              <w:t>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1.1.4.5</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缺陷责任期：自实际交工日期起计算</w:t>
            </w:r>
            <w:r>
              <w:rPr>
                <w:rFonts w:hint="eastAsia" w:ascii="宋体" w:hAnsi="宋体" w:cs="宋体"/>
                <w:color w:val="000000" w:themeColor="text1"/>
                <w:szCs w:val="21"/>
                <w:highlight w:val="none"/>
                <w:u w:val="singl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个月，其中绿化工程自实际交工日期起计算</w:t>
            </w:r>
            <w:r>
              <w:rPr>
                <w:rFonts w:hint="eastAsia" w:ascii="宋体" w:hAnsi="宋体" w:cs="宋体"/>
                <w:color w:val="000000" w:themeColor="text1"/>
                <w:szCs w:val="21"/>
                <w:highlight w:val="none"/>
                <w:u w:val="single"/>
                <w14:textFill>
                  <w14:solidFill>
                    <w14:schemeClr w14:val="tx1"/>
                  </w14:solidFill>
                </w14:textFill>
              </w:rPr>
              <w:t xml:space="preserve"> / 个</w:t>
            </w:r>
            <w:r>
              <w:rPr>
                <w:rFonts w:hint="eastAsia" w:ascii="宋体" w:hAnsi="宋体" w:cs="宋体"/>
                <w:color w:val="000000" w:themeColor="text1"/>
                <w:szCs w:val="21"/>
                <w:highlight w:val="none"/>
                <w14:textFill>
                  <w14:solidFill>
                    <w14:schemeClr w14:val="tx1"/>
                  </w14:solidFill>
                </w14:textFill>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图纸需要修改和补充的，应由监理人取得发包人同意后，在该项工程或工程相应部位施工前</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监理人在行使下列权力前需要经发包人事先批准：</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（6）根据第15.3款发出的变更指示，均需要经发包人事先批准。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需缴纳违约金金额：项目经理</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万元/人次，总工程师</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万元/人次，其他主要管理人员</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万元/人次。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7426" w:type="dxa"/>
            <w:vAlign w:val="center"/>
          </w:tcPr>
          <w:p>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发包人是否提供材料或工程设备：</w:t>
            </w:r>
            <w:r>
              <w:rPr>
                <w:rFonts w:hint="eastAsia" w:ascii="宋体" w:hAnsi="宋体" w:cs="宋体"/>
                <w:color w:val="000000" w:themeColor="text1"/>
                <w:szCs w:val="21"/>
                <w:highlight w:val="none"/>
                <w:u w:val="single"/>
                <w14:textFill>
                  <w14:solidFill>
                    <w14:schemeClr w14:val="tx1"/>
                  </w14:solidFill>
                </w14:textFill>
              </w:rPr>
              <w:t>否</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如发包人负责提供部分材料或工程设备，相关规定如下：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发包人是否提供施工设备和临时设施：</w:t>
            </w:r>
            <w:r>
              <w:rPr>
                <w:rFonts w:hint="eastAsia" w:ascii="宋体" w:hAnsi="宋体" w:cs="宋体"/>
                <w:color w:val="000000" w:themeColor="text1"/>
                <w:szCs w:val="21"/>
                <w:highlight w:val="none"/>
                <w:u w:val="single"/>
                <w14:textFill>
                  <w14:solidFill>
                    <w14:schemeClr w14:val="tx1"/>
                  </w14:solidFill>
                </w14:textFill>
              </w:rPr>
              <w:t>否</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如发包人负责提供部分施工设备和临时设施，相关规定如下：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发包人提供测量基准点、基准线和水准点及其书面资料的期限：</w:t>
            </w:r>
            <w:r>
              <w:rPr>
                <w:rFonts w:hint="eastAsia" w:ascii="宋体" w:hAnsi="宋体" w:cs="宋体"/>
                <w:color w:val="000000" w:themeColor="text1"/>
                <w:szCs w:val="21"/>
                <w:highlight w:val="none"/>
                <w:u w:val="single"/>
                <w14:textFill>
                  <w14:solidFill>
                    <w14:schemeClr w14:val="tx1"/>
                  </w14:solidFill>
                </w14:textFill>
              </w:rPr>
              <w:t>在签订施工承包合同后一个月内。</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承包人将施工控制网资料报送监理人审批的期限：</w:t>
            </w:r>
            <w:r>
              <w:rPr>
                <w:rFonts w:hint="eastAsia" w:ascii="宋体" w:hAnsi="宋体" w:cs="宋体"/>
                <w:color w:val="000000" w:themeColor="text1"/>
                <w:szCs w:val="21"/>
                <w:highlight w:val="none"/>
                <w:u w:val="single"/>
                <w14:textFill>
                  <w14:solidFill>
                    <w14:schemeClr w14:val="tx1"/>
                  </w14:solidFill>
                </w14:textFill>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11.3（2）</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如顺延合同工期在</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及以内的，发包人将不予增加费用；</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如顺延合同工期在</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以上的，发包人将按如下原则给予补偿：</w:t>
            </w:r>
            <w:r>
              <w:rPr>
                <w:rFonts w:hint="eastAsia" w:ascii="宋体" w:hAnsi="宋体" w:cs="宋体"/>
                <w:color w:val="000000" w:themeColor="text1"/>
                <w:szCs w:val="21"/>
                <w:highlight w:val="none"/>
                <w:u w:val="single"/>
                <w14:textFill>
                  <w14:solidFill>
                    <w14:schemeClr w14:val="tx1"/>
                  </w14:solidFill>
                </w14:textFill>
              </w:rPr>
              <w:t>详见专用合同条款。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仅对超出</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以上部分进行补偿。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11.5（3）</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逾期交工违约金：</w:t>
            </w:r>
            <w:r>
              <w:rPr>
                <w:rFonts w:hint="eastAsia" w:ascii="宋体" w:hAnsi="宋体" w:cs="宋体"/>
                <w:color w:val="000000" w:themeColor="text1"/>
                <w:szCs w:val="21"/>
                <w:highlight w:val="none"/>
                <w:u w:val="single"/>
                <w14:textFill>
                  <w14:solidFill>
                    <w14:schemeClr w14:val="tx1"/>
                  </w14:solidFill>
                </w14:textFill>
              </w:rPr>
              <w:t>1000元/天。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11.5（3）</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逾期交工违约金限额：</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11.6</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提前交工的奖金：</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11.6</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提前交工的奖金限额：</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7426" w:type="dxa"/>
            <w:vAlign w:val="center"/>
          </w:tcPr>
          <w:p>
            <w:pPr>
              <w:pStyle w:val="53"/>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优质优价价款：合同工程量清单第200章～900章合计金额的 / %（含税金）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15.4.4.2</w:t>
            </w:r>
          </w:p>
        </w:tc>
        <w:tc>
          <w:tcPr>
            <w:tcW w:w="7426" w:type="dxa"/>
            <w:vAlign w:val="center"/>
          </w:tcPr>
          <w:p>
            <w:pPr>
              <w:pStyle w:val="53"/>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应急抢险工程变更金额确定原则：</w:t>
            </w:r>
          </w:p>
          <w:p>
            <w:pPr>
              <w:pStyle w:val="53"/>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□变更金额=审批的变更预算</w:t>
            </w:r>
          </w:p>
          <w:p>
            <w:pPr>
              <w:pStyle w:val="53"/>
              <w:spacing w:line="240" w:lineRule="auto"/>
              <w:ind w:firstLine="0"/>
              <w:rPr>
                <w:rFonts w:ascii="宋体" w:hAnsi="宋体" w:cs="宋体"/>
                <w:i/>
                <w:i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fldChar w:fldCharType="begin"/>
            </w:r>
            <w:r>
              <w:rPr>
                <w:rFonts w:hint="eastAsia" w:ascii="宋体" w:hAnsi="宋体" w:cs="宋体"/>
                <w:color w:val="000000" w:themeColor="text1"/>
                <w:sz w:val="2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 w:val="21"/>
                <w:szCs w:val="21"/>
                <w:highlight w:val="none"/>
                <w14:textFill>
                  <w14:solidFill>
                    <w14:schemeClr w14:val="tx1"/>
                  </w14:solidFill>
                </w14:textFill>
              </w:rPr>
              <w:instrText xml:space="preserve">,√)</w:instrText>
            </w:r>
            <w:r>
              <w:rPr>
                <w:rFonts w:hint="eastAsia" w:ascii="宋体" w:hAnsi="宋体" w:cs="宋体"/>
                <w:color w:val="000000" w:themeColor="text1"/>
                <w:sz w:val="21"/>
                <w:szCs w:val="21"/>
                <w:highlight w:val="none"/>
                <w14:textFill>
                  <w14:solidFill>
                    <w14:schemeClr w14:val="tx1"/>
                  </w14:solidFill>
                </w14:textFill>
              </w:rPr>
              <w:fldChar w:fldCharType="end"/>
            </w:r>
            <w:r>
              <w:rPr>
                <w:rFonts w:hint="eastAsia" w:ascii="宋体" w:hAnsi="宋体" w:cs="宋体"/>
                <w:color w:val="000000" w:themeColor="text1"/>
                <w:sz w:val="21"/>
                <w:szCs w:val="21"/>
                <w:highlight w:val="none"/>
                <w14:textFill>
                  <w14:solidFill>
                    <w14:schemeClr w14:val="tx1"/>
                  </w14:solidFill>
                </w14:textFill>
              </w:rPr>
              <w:t>变更金额=审批的变更预算×（1-中标下浮率）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15.5.2</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承包人提出的合理化建议降低了合同价格或者提高了工程经济效益的，发包人按所节约成本的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%或增加收益的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w:t>
            </w:r>
          </w:p>
        </w:tc>
        <w:tc>
          <w:tcPr>
            <w:tcW w:w="7426" w:type="dxa"/>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□因物价波动引起的价格调整按照第16.1项约定的原则处理</w:t>
            </w:r>
          </w:p>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17.1.7</w:t>
            </w:r>
          </w:p>
        </w:tc>
        <w:tc>
          <w:tcPr>
            <w:tcW w:w="7426" w:type="dxa"/>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路面备料款的暂定计量和支付：</w:t>
            </w:r>
          </w:p>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计量数量：以承包人实际进场并经监理人和发包人代表验收确认数量的</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开工预付款金额：</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17.2.1（2）</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材料、设备预付款比例：</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等主要材料、设备单据所列费用的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17.3.2</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承包人在每个付款周期末向监理人提交进度付款申请单的份数：</w:t>
            </w:r>
            <w:r>
              <w:rPr>
                <w:rFonts w:hint="eastAsia" w:ascii="宋体" w:hAnsi="宋体" w:cs="宋体"/>
                <w:color w:val="000000" w:themeColor="text1"/>
                <w:szCs w:val="21"/>
                <w:highlight w:val="none"/>
                <w:u w:val="single"/>
                <w14:textFill>
                  <w14:solidFill>
                    <w14:schemeClr w14:val="tx1"/>
                  </w14:solidFill>
                </w14:textFill>
              </w:rPr>
              <w:t xml:space="preserve"> 6 </w:t>
            </w:r>
            <w:r>
              <w:rPr>
                <w:rFonts w:hint="eastAsia" w:ascii="宋体" w:hAnsi="宋体" w:cs="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17.3.3（1）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进度付款证书最低限额：</w:t>
            </w:r>
            <w:r>
              <w:rPr>
                <w:rFonts w:hint="eastAsia" w:ascii="宋体" w:hAnsi="宋体" w:cs="宋体"/>
                <w:color w:val="000000" w:themeColor="text1"/>
                <w:szCs w:val="21"/>
                <w:highlight w:val="none"/>
                <w:u w:val="single"/>
                <w14:textFill>
                  <w14:solidFill>
                    <w14:schemeClr w14:val="tx1"/>
                  </w14:solidFill>
                </w14:textFill>
              </w:rPr>
              <w:t>50</w:t>
            </w:r>
            <w:r>
              <w:rPr>
                <w:rFonts w:hint="eastAsia" w:ascii="宋体" w:hAnsi="宋体" w:cs="宋体"/>
                <w:color w:val="000000" w:themeColor="text1"/>
                <w:szCs w:val="21"/>
                <w:highlight w:val="none"/>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17.3.3（2）</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逾期付款违约金的利率：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质量保证金限额：</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%合同价格质量保证金的优惠。</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质量保证金是否计付利息：</w:t>
            </w:r>
          </w:p>
          <w:p>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□是，利息的计算方式：</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17.5.1（1）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承包人向监理人提交交工付款申请单（包括相关证明材料）的份数：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17.6.1（1）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承包人向监理人提交最终结清申请单（包括相关证明材料）的份数：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18.2（2）</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竣工资料的份数：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单位工程或工程设备是否需投入施工期运行： </w:t>
            </w:r>
            <w:r>
              <w:rPr>
                <w:rFonts w:hint="eastAsia" w:ascii="宋体" w:hAnsi="宋体" w:cs="宋体"/>
                <w:color w:val="000000" w:themeColor="text1"/>
                <w:szCs w:val="21"/>
                <w:highlight w:val="none"/>
                <w:u w:val="single"/>
                <w14:textFill>
                  <w14:solidFill>
                    <w14:schemeClr w14:val="tx1"/>
                  </w14:solidFill>
                </w14:textFill>
              </w:rPr>
              <w:t>是</w:t>
            </w:r>
          </w:p>
          <w:p>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如单位工程或工程设备需要进行施工期运行，需要施工期运行的单位工程或工程设备规定如下：</w:t>
            </w:r>
            <w:r>
              <w:rPr>
                <w:rFonts w:hint="eastAsia" w:ascii="宋体" w:hAnsi="宋体" w:cs="宋体"/>
                <w:color w:val="000000" w:themeColor="text1"/>
                <w:szCs w:val="21"/>
                <w:highlight w:val="none"/>
                <w:u w:val="single"/>
                <w14:textFill>
                  <w14:solidFill>
                    <w14:schemeClr w14:val="tx1"/>
                  </w14:solidFill>
                </w14:textFill>
              </w:rPr>
              <w:t>沥青砼路面铺筑好温度降至可通车的规范值后须开放交通。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18.6.1</w:t>
            </w:r>
          </w:p>
        </w:tc>
        <w:tc>
          <w:tcPr>
            <w:tcW w:w="7426" w:type="dxa"/>
            <w:vAlign w:val="center"/>
          </w:tcPr>
          <w:p>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本工程及工程设备是否进行试运行：</w:t>
            </w:r>
            <w:r>
              <w:rPr>
                <w:rFonts w:hint="eastAsia" w:ascii="宋体" w:hAnsi="宋体" w:cs="宋体"/>
                <w:color w:val="000000" w:themeColor="text1"/>
                <w:szCs w:val="21"/>
                <w:highlight w:val="none"/>
                <w:u w:val="single"/>
                <w14:textFill>
                  <w14:solidFill>
                    <w14:schemeClr w14:val="tx1"/>
                  </w14:solidFill>
                </w14:textFill>
              </w:rPr>
              <w:t>否</w:t>
            </w:r>
          </w:p>
          <w:p>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如本工程及工程设备需要进行试运行，试运行的具体规定如下：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19.7（1）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保修期：</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自本项目实际交工日期之日起计算</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年（绿化工程、房建工程除外）；</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绿化工程：自本项目实际交工日期之日起计算</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个月后，移交发包人或发包人委托的养护单位进行后续的管理养护工作；</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房建工程：自该房建工程竣工验收合格之日起计算，其中：</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（1）地基基础工程和主体结构工程，为设计文件规定的该工程的合理使用年限；</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（2）屋面防水工程、有防水要求的卫生间、房间和外墙面的防渗漏，为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（3）装修工程为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（4）电气管线、给排水管道、设备安装工程为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（5）供热与供冷系统，为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个采暖期、供冷期；</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（6）住宅小区内的给排水设施、道路、电力等配套工程为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（7）其他约定如下：</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建筑工程一切险及第三者责任险的保险费率：</w:t>
            </w:r>
            <w:r>
              <w:rPr>
                <w:rFonts w:hint="eastAsia" w:ascii="宋体" w:hAnsi="宋体" w:cs="宋体"/>
                <w:color w:val="000000" w:themeColor="text1"/>
                <w:szCs w:val="21"/>
                <w:highlight w:val="none"/>
                <w:u w:val="single"/>
                <w14:textFill>
                  <w14:solidFill>
                    <w14:schemeClr w14:val="tx1"/>
                  </w14:solidFill>
                </w14:textFill>
              </w:rPr>
              <w:t>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20.4.2</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第三者责任险的最低投保金额：</w:t>
            </w:r>
            <w:r>
              <w:rPr>
                <w:rFonts w:hint="eastAsia" w:ascii="宋体" w:hAnsi="宋体" w:cs="宋体"/>
                <w:color w:val="000000" w:themeColor="text1"/>
                <w:szCs w:val="21"/>
                <w:highlight w:val="none"/>
                <w:u w:val="single"/>
                <w14:textFill>
                  <w14:solidFill>
                    <w14:schemeClr w14:val="tx1"/>
                  </w14:solidFill>
                </w14:textFill>
              </w:rPr>
              <w:t xml:space="preserve"> 500 </w:t>
            </w:r>
            <w:r>
              <w:rPr>
                <w:rFonts w:hint="eastAsia" w:ascii="宋体" w:hAnsi="宋体" w:cs="宋体"/>
                <w:color w:val="000000" w:themeColor="text1"/>
                <w:szCs w:val="21"/>
                <w:highlight w:val="none"/>
                <w14:textFill>
                  <w14:solidFill>
                    <w14:schemeClr w14:val="tx1"/>
                  </w14:solidFill>
                </w14:textFill>
              </w:rPr>
              <w:t>万元，事故次数不限(不计免赔额)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21.1.1 </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21.1.1 (6)不可抗力的其他情形：</w:t>
            </w:r>
            <w:r>
              <w:rPr>
                <w:rFonts w:hint="eastAsia" w:ascii="宋体" w:hAnsi="宋体" w:cs="宋体"/>
                <w:color w:val="000000" w:themeColor="text1"/>
                <w:szCs w:val="21"/>
                <w:highlight w:val="none"/>
                <w:u w:val="single"/>
                <w14:textFill>
                  <w14:solidFill>
                    <w14:schemeClr w14:val="tx1"/>
                  </w14:solidFill>
                </w14:textFill>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426" w:type="dxa"/>
            <w:vAlign w:val="center"/>
          </w:tcPr>
          <w:p>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争议的最终解决方式：</w:t>
            </w:r>
            <w:r>
              <w:rPr>
                <w:rFonts w:hint="eastAsia" w:ascii="宋体" w:hAnsi="宋体" w:cs="宋体"/>
                <w:color w:val="000000" w:themeColor="text1"/>
                <w:szCs w:val="21"/>
                <w:highlight w:val="none"/>
                <w:u w:val="single"/>
                <w14:textFill>
                  <w14:solidFill>
                    <w14:schemeClr w14:val="tx1"/>
                  </w14:solidFill>
                </w14:textFill>
              </w:rPr>
              <w:t>向项目所在地的人民法院提起诉讼。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1" w:hRule="atLeast"/>
          <w:jc w:val="center"/>
        </w:trPr>
        <w:tc>
          <w:tcPr>
            <w:tcW w:w="856"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w:t>
            </w:r>
          </w:p>
        </w:tc>
        <w:tc>
          <w:tcPr>
            <w:tcW w:w="1484"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25.4</w:t>
            </w:r>
          </w:p>
        </w:tc>
        <w:tc>
          <w:tcPr>
            <w:tcW w:w="7426"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结算单元按合同约定完成并通过质量中间验收，原则上</w:t>
            </w:r>
            <w:r>
              <w:rPr>
                <w:rFonts w:hint="eastAsia" w:ascii="宋体" w:hAnsi="宋体" w:cs="宋体"/>
                <w:color w:val="000000" w:themeColor="text1"/>
                <w:szCs w:val="21"/>
                <w:highlight w:val="none"/>
                <w:u w:val="single"/>
                <w14:textFill>
                  <w14:solidFill>
                    <w14:schemeClr w14:val="tx1"/>
                  </w14:solidFill>
                </w14:textFill>
              </w:rPr>
              <w:t>3个月</w:t>
            </w:r>
            <w:r>
              <w:rPr>
                <w:rFonts w:hint="eastAsia" w:ascii="宋体" w:hAnsi="宋体" w:cs="宋体"/>
                <w:color w:val="000000" w:themeColor="text1"/>
                <w:szCs w:val="21"/>
                <w:highlight w:val="none"/>
                <w14:textFill>
                  <w14:solidFill>
                    <w14:schemeClr w14:val="tx1"/>
                  </w14:solidFill>
                </w14:textFill>
              </w:rPr>
              <w:t>内完成过程结算文件的编制、审核、签认工作。</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未按要求完成过程结算的费用项, 最高支付金额不宜超过发包人审核确认的</w:t>
            </w:r>
            <w:r>
              <w:rPr>
                <w:rFonts w:hint="eastAsia" w:ascii="宋体" w:hAnsi="宋体" w:cs="宋体"/>
                <w:color w:val="000000" w:themeColor="text1"/>
                <w:szCs w:val="21"/>
                <w:highlight w:val="none"/>
                <w:u w:val="single"/>
                <w14:textFill>
                  <w14:solidFill>
                    <w14:schemeClr w14:val="tx1"/>
                  </w14:solidFill>
                </w14:textFill>
              </w:rPr>
              <w:t xml:space="preserve"> 97 %</w:t>
            </w:r>
            <w:r>
              <w:rPr>
                <w:rFonts w:hint="eastAsia" w:ascii="宋体" w:hAnsi="宋体" w:cs="宋体"/>
                <w:color w:val="000000" w:themeColor="text1"/>
                <w:szCs w:val="21"/>
                <w:highlight w:val="none"/>
                <w14:textFill>
                  <w14:solidFill>
                    <w14:schemeClr w14:val="tx1"/>
                  </w14:solidFill>
                </w14:textFill>
              </w:rPr>
              <w:t>, 过程结算后方可支付剩余金额。完工结算率低于30%的合同段, 在后续计量支付中可暂扣</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的工程进度款。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66" w:type="dxa"/>
            <w:gridSpan w:val="4"/>
            <w:vAlign w:val="center"/>
          </w:tcPr>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6"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将第4.6.3（1）目细化为：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4.6.3承包人安排在施工场地的主要管理人员和技术骨干应与承包人承诺的名单一致，并保持相对稳定。</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万元／人次(用备选人替换首选人的调整不受此限)，质检工程师、计划工程师</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万元／人次，其他主要管理人员(道路工程师、桥梁工程师、隧道工程师、地质工程师、测量工程师、试验工程师、安全主任、财务负责人)的调整部分需缴纳违约金</w:t>
            </w:r>
            <w:r>
              <w:rPr>
                <w:rFonts w:hint="eastAsia" w:ascii="宋体" w:hAnsi="宋体" w:cs="宋体"/>
                <w:color w:val="000000" w:themeColor="text1"/>
                <w:szCs w:val="21"/>
                <w:highlight w:val="none"/>
                <w:u w:val="singl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万元／人次。发包人可随着工程的进度情况，动态增减管理人员要求。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w:t>
            </w:r>
          </w:p>
        </w:tc>
        <w:tc>
          <w:tcPr>
            <w:tcW w:w="8890" w:type="dxa"/>
            <w:gridSpan w:val="2"/>
            <w:vAlign w:val="center"/>
          </w:tcPr>
          <w:p>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 在本款后增加（7）项如下：</w:t>
            </w:r>
          </w:p>
          <w:p>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增加第 4.15 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 建设路域环境保护工作</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承包人在工程施工阶段和工程验收阶段必须执行以下要求：</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4.15.1 工程施工阶段</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1.混合料应集中场站搅拌，拌和设备应做好密封，或配备防尘设备。各种料场、预制场要</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根据工程进度统筹考虑，施工过程中要采取有效措施防止污染周边环境，项目完工后应将临时占地恢复到临时占地使用前的状况或按设计达到设计要求。</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2.对于公路施工中路用粉状材料宜采用罐装方式运输，施工通道、混合料拌和站应经常进</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行洒水降尘，路面施工应注意保持水分，避免扬尘。</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3.在施工期间，应随时保持现场整洁，施工设备和工程材料、工程设备整齐规范存放和储</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存，废料与垃圾及不再需要的临时设施应及时从现场清除、拆除并运走。</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4.路基施工时要完善施工中的临时排水系统，加强施工便道的管理。取（弃）土场必须先</w:t>
            </w:r>
          </w:p>
          <w:p>
            <w:pPr>
              <w:spacing w:line="276" w:lineRule="auto"/>
              <w:ind w:leftChars="-95" w:hanging="199" w:hangingChars="9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挡后弃，按设计复垦施工，严禁在制定的取（弃）土场以外的地方乱挖乱弃。</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（三）验收内容与标准</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公路建设路域环境验收范围包括公路及公路用地（公路两侧边沟外缘起不少于 1 米的土</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地）和公路建筑控制区（从公路两侧边沟外缘起算的间距：国道不少于 20 米，省道不少于 15米，县道不少于 10 米，乡道不少于 5 米）。验收应达到以下标准：</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1.公路及公路用地范围内，路面干净整洁，边坡稳定，排水系统顺畅等，交通标志清晰无</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污染，无违法跨越和穿越公路的施工临时构筑物。</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2.公路建筑控制区不得留有施工建筑垃圾，公路视线范围内不得有因公路施工导致的乱挖</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乱弃。</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3.由于施工引起的红线外的所有乱堆乱挖乱弃等影响路域环境的应恢复到原状（复耕复</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绿），取（弃）土场严格执行施工图设计，临时占地须恢复到临时占地使用前的状况或按设计复绿复垦。若受到自然资源和林业部门处罚的需按要求完成整改。</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（四）验收程序</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1.工程完工后，发包人组织参建单位对工程路域环境进行全面检查，承包人对检查中发现</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的问题及时整改。</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2.发包人对整改情况进行复核，认为满足路域环境验收条件时，发包人向上级主管部</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门提交项目路域环境整改资料，提请上级主管部门组织专项验收。</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3.上级主管部门对路域环境进行专项验收，全线按设计图纸及验收内容标准进行无遗漏验</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收，形成工程路域环境整治清单，验收成员签名，并明确完成整改时间。</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4.发包人及监理人组织承包人进行整改，在整改到位后，申请上级主管部门进行复查验收，</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复查通过后，完成专项验收工作，出具工程专项验收表。复查验收未通过，继续整改，直至整改验收合格为止。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删除“6.5.1计算机系统配置”条款。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8890" w:type="dxa"/>
            <w:gridSpan w:val="2"/>
            <w:vAlign w:val="center"/>
          </w:tcPr>
          <w:p>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增加 7.7 款 </w:t>
            </w:r>
          </w:p>
          <w:p>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7.7 交通维护 </w:t>
            </w:r>
          </w:p>
          <w:p>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由于本项目在施工过程中不能全封闭，需要采用半幅通车半幅封闭的施工方案，因此，对 </w:t>
            </w:r>
          </w:p>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已铺筑好的路面结构层(含水泥稳定碎石底基层、基层、沥青砼路面，下同)，在未达到龄期（或 </w:t>
            </w:r>
          </w:p>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沥青砼未降至常温）之前，为防止车辆碾压，造成损坏，必须实行交通维护管理措施。具体如 </w:t>
            </w:r>
          </w:p>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下： </w:t>
            </w:r>
          </w:p>
          <w:p>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（1）承包人应对施工现场实行全天候交通管制：在每个施工作业面(或已铺筑好路面结构 </w:t>
            </w:r>
          </w:p>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层但未达到龄期的路段)两端设置交通指挥点，配置专职指挥人员和通讯设备，全天候不间断的 </w:t>
            </w:r>
          </w:p>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指挥交通，确保未封闭的半幅道路单向通车，杜绝一切车辆行驶未达龄期的路面结构层。 </w:t>
            </w:r>
          </w:p>
          <w:p>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（2）如多次发生交通维护管理不到位、造成车辆碾压未达到龄期的路面结构的情况，发包 </w:t>
            </w:r>
          </w:p>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人将其作为履约不良单位上报省市交通运输主管部门。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8890" w:type="dxa"/>
            <w:gridSpan w:val="2"/>
            <w:vAlign w:val="center"/>
          </w:tcPr>
          <w:p>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将本款“12.1 承包人暂停施工的责任” 项修改如下： </w:t>
            </w:r>
          </w:p>
          <w:p>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12.1 承包人暂停施工的责任 </w:t>
            </w:r>
          </w:p>
          <w:p>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12.1（6）由承包人承担的其他暂停施工：无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pPr>
              <w:spacing w:line="276"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8890" w:type="dxa"/>
            <w:gridSpan w:val="2"/>
            <w:vAlign w:val="center"/>
          </w:tcPr>
          <w:p>
            <w:pPr>
              <w:spacing w:line="276"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本款“</w:t>
            </w:r>
            <w:r>
              <w:rPr>
                <w:rFonts w:hint="eastAsia" w:ascii="宋体" w:hAnsi="宋体" w:cs="宋体"/>
                <w:color w:val="000000" w:themeColor="text1"/>
                <w:szCs w:val="21"/>
                <w:highlight w:val="none"/>
                <w14:textFill>
                  <w14:solidFill>
                    <w14:schemeClr w14:val="tx1"/>
                  </w14:solidFill>
                </w14:textFill>
              </w:rPr>
              <w:t>13.1 工程质量要求</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增加13.1</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条款</w:t>
            </w:r>
          </w:p>
          <w:p>
            <w:pPr>
              <w:spacing w:line="276" w:lineRule="auto"/>
              <w:ind w:firstLine="420" w:firstLineChars="20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r>
              <w:rPr>
                <w:rFonts w:hint="eastAsia" w:ascii="宋体" w:hAnsi="宋体" w:cs="宋体"/>
                <w:color w:val="000000" w:themeColor="text1"/>
                <w:szCs w:val="21"/>
                <w:highlight w:val="none"/>
                <w:lang w:val="en-US" w:eastAsia="zh-CN"/>
                <w14:textFill>
                  <w14:solidFill>
                    <w14:schemeClr w14:val="tx1"/>
                  </w14:solidFill>
                </w14:textFill>
              </w:rPr>
              <w:t>4 若承包人在项目竣工验收时工程质量评分未达到≥80，处以罚款，罚款金额为中标价的3%。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8890" w:type="dxa"/>
            <w:gridSpan w:val="2"/>
            <w:vAlign w:val="center"/>
          </w:tcPr>
          <w:p>
            <w:pPr>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删除“13.11优质优价价款”条款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13.13</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本款“13.工程质量”补充检测，增加13.13条款：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如上级部门、主管部门、质量监督部门在检查时发现工程质量问题，提出批评和整改要求，发包人有权视问题严重程度给予承包人2-5万元/次的违约处理。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本条补充第14.5款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14.5工地试验室</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14.5.1、在工程正式开工前，承包人必须在工程现场设立与工程内容相适应的工地试验室</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（建设和运作费用由承包人自行承担）用于对原材料、混合料和工程成品的自检。工地试验室的具体要求按照《关于印发广东省交通运输厅关于公路水运工程工地试验室的管理办法(试行)的通知(粤交基[2011]1671 号) 》和《关于贯彻《广东省交通运输厅关于公路水运工程工地试验室的管理办法》的实施意见(粤交监督[2012]27 号) 》执行。该工地试验室的母体必须具备公路工程综合丙级（或以上）试验检测资质（承包人若无相应资质，可委托有相应资质的试验检测机构进行试验检测,但该机构不得与本工程其他参与单位有隶属关系或其他利害关系），且必须配备至少 1 名试验工程师（持有行政主管部门核发的公路工程试验检测师资格证书或试验检测工程师资格证书，累计 3 年从事类似工程经验）和 1 名试验员（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省交通厅及省质量监督总站的要求。</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14.5.2、所有材料、工程设备和工程的试验和检验必须按公路工程的现行规范规定的要求</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和频率进行，并必须有监理人员和业主代表旁站，否则，可视其试验和检验结果无效，需另行重新试验和检验，因此而产生的费用和工期的延误均由承包人承担。</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14.5.3 承包人应按合同约定或发包人及监理人的指示进行必要的现场工艺或试验段试验。</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将15.4.4、15.4.5款修改为：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发包人与承包人如按上述原则协商未果，发包人有权根据实际情况按上述某一原则进行处理，承包人必须无条件接受。</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所有的变更设计都必须按发包人及其上级主管部门颁布的变更设计管理办法进行审批。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876" w:type="dxa"/>
            <w:gridSpan w:val="2"/>
            <w:vAlign w:val="center"/>
          </w:tcPr>
          <w:p>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将本款“17.1.2 计量方法”项修改如下：</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 计量方法</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6" w:type="dxa"/>
            <w:gridSpan w:val="2"/>
            <w:vAlign w:val="center"/>
          </w:tcPr>
          <w:p>
            <w:pPr>
              <w:spacing w:line="273"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17.3.1 付款周期</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本项补充条款修改为：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根据工程进度需要，由承包人提交计量资料，监理人在收到承包人进度付款申清单以及相应的支持性证明文件后的14天内完成核查，发包人应在监理人收到进度付款申请单后及时将进度应付款支付给承包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第17.3.3 增加以下内容：</w:t>
            </w:r>
          </w:p>
          <w:p>
            <w:pPr>
              <w:spacing w:line="276"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（5）进度应付款还需经发包人上级主管部门审批确认后方能支付，承包人必须无条件接受。</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增加“17.3.6”条款：</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17.3.6进度款的支付比例：月支付额的</w:t>
            </w:r>
            <w:r>
              <w:rPr>
                <w:rFonts w:hint="eastAsia" w:ascii="宋体" w:hAnsi="宋体" w:cs="宋体"/>
                <w:color w:val="000000" w:themeColor="text1"/>
                <w:szCs w:val="21"/>
                <w:highlight w:val="none"/>
                <w:u w:val="single"/>
                <w14:textFill>
                  <w14:solidFill>
                    <w14:schemeClr w14:val="tx1"/>
                  </w14:solidFill>
                </w14:textFill>
              </w:rPr>
              <w:t xml:space="preserve">90 </w:t>
            </w:r>
            <w:r>
              <w:rPr>
                <w:rFonts w:hint="eastAsia" w:ascii="宋体" w:hAnsi="宋体" w:cs="宋体"/>
                <w:color w:val="000000" w:themeColor="text1"/>
                <w:szCs w:val="21"/>
                <w:highlight w:val="none"/>
                <w14:textFill>
                  <w14:solidFill>
                    <w14:schemeClr w14:val="tx1"/>
                  </w14:solidFill>
                </w14:textFill>
              </w:rPr>
              <w:t>%。</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增加“17.3.7”条款</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17.3.7待工程交工验收完成后，进度款总额支付至结算价的</w:t>
            </w:r>
            <w:r>
              <w:rPr>
                <w:rFonts w:hint="eastAsia" w:ascii="宋体" w:hAnsi="宋体" w:cs="宋体"/>
                <w:color w:val="000000" w:themeColor="text1"/>
                <w:szCs w:val="21"/>
                <w:highlight w:val="none"/>
                <w:u w:val="single"/>
                <w14:textFill>
                  <w14:solidFill>
                    <w14:schemeClr w14:val="tx1"/>
                  </w14:solidFill>
                </w14:textFill>
              </w:rPr>
              <w:t xml:space="preserve"> 97 </w:t>
            </w:r>
            <w:r>
              <w:rPr>
                <w:rFonts w:hint="eastAsia" w:ascii="宋体" w:hAnsi="宋体" w:cs="宋体"/>
                <w:color w:val="000000" w:themeColor="text1"/>
                <w:szCs w:val="21"/>
                <w:highlight w:val="none"/>
                <w14:textFill>
                  <w14:solidFill>
                    <w14:schemeClr w14:val="tx1"/>
                  </w14:solidFill>
                </w14:textFill>
              </w:rPr>
              <w:t>%。发包人根据财政资金到位情况，按实际完成工程量进行计量支付。质量保证金为合同价的3%，承包人可以现金的形式提交给发包人，承包人提交质量保证金后，发包人可支付至进度款的100%，质量缺陷责任期满后一个月内退还质量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876" w:type="dxa"/>
            <w:gridSpan w:val="2"/>
            <w:vAlign w:val="center"/>
          </w:tcPr>
          <w:p>
            <w:pPr>
              <w:spacing w:line="273"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 </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 质量保证金</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 17.4.2 项细化为：</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质量保证金：项目完成竣工决算审查和竣工决算审计，且发包人和承包人最终确定结算金额，质量缺陷责任期满后一个月内，发包人将质量保证金一次性退还给承包人。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 w:type="dxa"/>
            <w:gridSpan w:val="2"/>
            <w:vAlign w:val="center"/>
          </w:tcPr>
          <w:p>
            <w:pPr>
              <w:spacing w:line="273"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18.10</w:t>
            </w:r>
          </w:p>
        </w:tc>
        <w:tc>
          <w:tcPr>
            <w:tcW w:w="8890" w:type="dxa"/>
            <w:gridSpan w:val="2"/>
            <w:vAlign w:val="center"/>
          </w:tcPr>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增加“18.10”条款</w:t>
            </w:r>
          </w:p>
          <w:p>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18.10该项目为养护工程项目，根据相关管理规定，工程完工交付使用后6个月之内可组织竣工验收。质量缺陷责任期为12个月。</w:t>
            </w:r>
          </w:p>
        </w:tc>
      </w:tr>
    </w:tbl>
    <w:p>
      <w:pPr>
        <w:spacing w:before="240" w:after="240"/>
        <w:jc w:val="center"/>
        <w:rPr>
          <w:rFonts w:ascii="宋体" w:hAnsi="宋体" w:cs="宋体"/>
          <w:b/>
          <w:color w:val="000000" w:themeColor="text1"/>
          <w:sz w:val="32"/>
          <w:szCs w:val="32"/>
          <w:highlight w:val="none"/>
          <w14:textFill>
            <w14:solidFill>
              <w14:schemeClr w14:val="tx1"/>
            </w14:solidFill>
          </w14:textFill>
        </w:rPr>
      </w:pPr>
      <w:bookmarkStart w:id="1669" w:name="_Toc505844494"/>
      <w:bookmarkEnd w:id="1669"/>
      <w:bookmarkStart w:id="1670" w:name="_Toc505844504"/>
      <w:bookmarkStart w:id="1671" w:name="_Toc16186"/>
      <w:r>
        <w:rPr>
          <w:rFonts w:hint="eastAsia"/>
          <w:color w:val="000000" w:themeColor="text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项目专用合同条款</w:t>
      </w:r>
    </w:p>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pPr>
        <w:ind w:firstLine="480" w:firstLineChars="200"/>
        <w:rPr>
          <w:rFonts w:ascii="宋体" w:hAnsi="宋体" w:cs="宋体"/>
          <w:color w:val="000000" w:themeColor="text1"/>
          <w:sz w:val="24"/>
          <w:highlight w:val="none"/>
          <w14:textFill>
            <w14:solidFill>
              <w14:schemeClr w14:val="tx1"/>
            </w14:solidFill>
          </w14:textFill>
        </w:rPr>
      </w:pPr>
    </w:p>
    <w:p>
      <w:pPr>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1、一般约定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1.1.2 款细化为：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合同当事人和人员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1.1.2.9 目～第 1.1.2.11 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1.1.2.9 发包人代表：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发包人代表（或称发包人驻地代表）是发包人派出到合同段执行发包人授予的一定权力及职责的现场管理人员。</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1.1.2.10 试验检测中心承包人（试验人）：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受发包人委托实施本合同工程试验检测工作管理的法人或其他组织，代表发包人对本合同工程进行抽检，以及对承包人的试验检测工作进行现场管理。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1.1.2.11 第三方监测、风险管理及科研单位：</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受发包人委托实施本合同工程监测、风险管理及科研任务的法人或其他组织。</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1.1.6.10 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1.1.6.10 首件工程认可制：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承包人不得对施工图的任何部分进行修改，所有设计修改必须经设计单位认可及发包人同意，否则视为承包人违约并按 22.1 款处理。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针对图纸与工程量清单的差、错、漏等问题，承包人应在合同签订后 3 个月内提出，合同签订后 6 个月内完成设计工程量核查，统一作为一次变更处理。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发包人义务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提供施工场地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 其他义务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不提供进出施工现场的水、陆交通通道，不提供水、电、通讯的接入点及施工船舶临时停泊水域及停靠码头，由承包人自行落实解决，相关费用已包含在合同价格中，发包人不另行支付（除合同另有约定外）。</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（3）发包人应在合同签订前向承包人提供工程款支付担保。</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3.监理人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监理人的职责和权力</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3.1.1 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3.1.1（6）本项细化为：</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 15.3 款发出的变更指示，均需要经发包人事先批准。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3.1.2 项补充：</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本条增加第 3.6 款和第 3.7 款：</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发包人、监理人、试验人、承包人、风险管理等单位的关系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发包人代表（或称发包人驻地代表）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发包人代表根据发包人的授权，代表发包人履行项目管理和控制职责，具体职责和权限由发包人另行明确。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发包人代表对承包人的现场工程质量、进度、安全、文明环保等进行检查和督导，并有权要求承包人对存在问题进行整改。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pStyle w:val="61"/>
        <w:spacing w:line="360" w:lineRule="auto"/>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szCs w:val="21"/>
          <w:highlight w:val="none"/>
          <w14:textFill>
            <w14:solidFill>
              <w14:schemeClr w14:val="tx1"/>
            </w14:solidFill>
          </w14:textFill>
        </w:rPr>
        <w:t>4、承包人</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4.1承包人的一般义务</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4.1.2 依法纳税</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4.1.4 对施工作业和施工方法的完备性负责</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本项细化为：</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4.1.5 保证工程施工和人员的安全</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承包人在施工中必须按相关规定和标准设置安全标志、标牌等必要的安全设施，否则发包人将委托其他单位制作或设置，发生的费用从安全生产费中扣除，不足部分从工程款中扣除。</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4.1.7 避免施工对公众与他人的利益造成损害</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（4）承包人未经河道管理部门许可，不得擅自改变河岸现水边线、采用推填方式占用河道解决施工作业面不足或施工便道问题，否则引起的一切后果由承包人承担。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（5）如桥梁桩基位于水域等地基软弱地段，承包人应采取相应的施工辅助措施，发生费用已包含在合同总价中。</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（6）承包人应按交警、交通、铁路、航道、海事、国土、市政园林、水务、管道等管理部门的规定办理施工方案报批等相关手续，相关费用已包含在合同总价中（除合同另有约定外）。</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承包人利用现有道路作为施工便道的，需对道路采取一定的保护措施，施工完成后应以不低于现有标准对施工损坏的道路进行修复（具体标准须满足权属单位的要求），由此产生的一切费用均由承包人承担。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（9）承包人由于未切实履行以上条款的约定，导致发生工程阻工、停工，造成项目工期延误，视为承包人违约，按 22.1 条处理。</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4.1.8 为他人提供方便</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本款细化为：</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（3）承包人应按照监理人或发包人的要求负责安装其他工程所需的预埋件。由于承包人未按相关设计图纸施工预埋件，造成的损失（包括拆除、重新预埋所需费用）由承包人承担。</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（4）承包人应配合试验、检测单位完成相应的试验或检测工作，包括桩基检测、地质钻孔等，所需配合费用已包含在合同总价中（桩基静载、梁板荷载试验除外）。</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4.1.10其他义务</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4.1.10（1）目补充：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4.1.10(2)目细化为：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4.1.10(3)目细化为：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4.1.10(4)目细化为：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4.1.10(6)目细化为：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承包人应履行的其他义务：</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①工序衔接与协调</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多个承包人在同一区域施工时，发包人和监理人有权协调工程的实施并对工程的衔接发出指示，承包人应在发包人和监理人的统一协调下工作，承包人由此增加的费用已包含在合同总价中。</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交工验收前，承包人应将测量控制点、高边坡、软基、桥梁等观测点的资料移交给养护单位使用。</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②施工工艺要求</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③卫生与供水</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④项目审计、稽查和检查等的配合</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A、与本工程项目相关的审计和稽查，承包人应高度重视并委派专人积极予以配合，对审计和稽查的有关意见承包人应无条件地及时整改。</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B、有关单位对本项目的各种检查和视察等活动，承包人和监理人有义务积极配合开展各项工作。</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C、本工程项目有关的各类统计报表和汇报材料包括项目后评价报告，承包人和监理人有义务配合发包人做好编制工作并提供相应的资料。</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⑤双标管理（标杆管理、标准化管理）</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⑥工程质量和施工档案</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在施工过程中，如果工程质量不符合设计和规范要求以及优质工程有关管理规定，监理人或发包人要求停工和返工的，承包人必须立即执行，由此产生的各种费用由承包人承担，工期不予顺延。</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⑦施工补勘</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在工程施工期间，如果监理人要求承包人进行补钻孔或勘探性的开挖工作，须事先征得发包人同意。如果此项费用未包含在工程量清单项目中，则按变更处理。</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⑧遗留问题的处理</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⑨验收及其他</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⑩应履行的其他义务</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B、承包人应根据发包人的要求和施工现场实际情况开展施工作业，必须按发包人的指令开展施工，必要时必须借助地方道路或收费公路作为运输通道。</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C、海事、海洋、航道、环保、边防、公安、渔政、港口、交通维护、治安协调等有关事宜费用。</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D、承担因违反有关部门规定造成的损失和违约金</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E、承包人应根据工程施工情况及监理人的指令，及时向监理人提交开工报告、测量报告、试验检验报告、隐蔽工程验收通知、工程质量自检报告、交工验收申请报告及工程事故报告等。</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F、承包人在进场后 1 个月内对用地红线进行全面复核，如有误，必须立即书面通知发包人。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4.2 履约担保</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承包人在收到中标通知书后 28 天之内并在签订合同协议书之前，应按投标人须知第 7.7.1 款规定的金额和形式提交履约担保，由此所发生的费用由承包人承担。承包人应保证其履约担保在发包人开始扣留质量保证金前一直有效。发包人开始扣留质量保证金时同步一次性向承包人退还全部履约担保。</w:t>
      </w:r>
    </w:p>
    <w:p>
      <w:pPr>
        <w:pStyle w:val="61"/>
        <w:spacing w:line="360" w:lineRule="auto"/>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    4.3 分包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4.3.2 项补充：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承包人如有分包计划，所有的分包必须符合交通运输部现行《公路工程施工分包管理办法》及《广东省交通运输厅关于公路工程施工分包管理实施细则》关于施工分包和劳务合作的有关规定。</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如实际的分包单价（或总额价）超出承包人与发包人签定的承包合同对应的清单单价（或总额价），视为承包人的风险，承包人应从合同总价中进行调配，发包人不因此向承包人增加支付任何费用。</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承包人应无条件提供本合同段的临时工程和设施（包括但不限于便道、便桥、电力线路等）供分包人使用，不得向分包人收取临时工程和设施费用。</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本款补充第 4.3.8、4.3.9 项：</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4.3.8 特殊的分包人或供货人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特殊分包人（或供货人）承担部分的计量由承包人负责统一上报，承包人应将属特殊分包人（或供货人）的计量支付款项，及时向特殊分包人（或供货人）支付。</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特殊分包人（或供货人）承担部分的原始资料存档和竣工资料编制等工作，由所在合同段的承包人负责。</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如发生第 11.5 款约定的承包人工程进度严重滞后，发包人有权对承包人部分工程进行特殊分包，承包人应无条件接受，并按第 11.5 款约定处理。</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4.3.9 发包人的强制分包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w:t>
      </w:r>
      <w:r>
        <w:rPr>
          <w:rFonts w:hint="eastAsia" w:ascii="宋体" w:hAnsi="宋体" w:cs="宋体"/>
          <w:color w:val="000000" w:themeColor="text1"/>
          <w:sz w:val="24"/>
          <w:szCs w:val="21"/>
          <w:highlight w:val="none"/>
          <w:u w:val="single"/>
          <w14:textFill>
            <w14:solidFill>
              <w14:schemeClr w14:val="tx1"/>
            </w14:solidFill>
          </w14:textFill>
        </w:rPr>
        <w:t xml:space="preserve"> 分包部分的造价计算原则由发包人按项目特点，根据分包的内容约定相应费用的扣除方式 </w:t>
      </w:r>
      <w:r>
        <w:rPr>
          <w:rFonts w:hint="eastAsia" w:ascii="宋体" w:hAnsi="宋体" w:cs="宋体"/>
          <w:color w:val="000000" w:themeColor="text1"/>
          <w:sz w:val="24"/>
          <w:szCs w:val="21"/>
          <w:highlight w:val="none"/>
          <w14:textFill>
            <w14:solidFill>
              <w14:schemeClr w14:val="tx1"/>
            </w14:solidFill>
          </w14:textFill>
        </w:rPr>
        <w:t>；</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B、发包人委托政府主管部门或发包人选取的第三方机构按 15.4.4 款约定的原则重新编制切割工程的预算，并按预算金额（不下浮）从承包人的合同总价中扣除。</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发包人有权从以上两种方式中进行选择，承包人必须无条件服从。</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4.6 承包人人员的管理</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4.6.1 项补充：</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承包人应按监理人批准的人员安排报告及时安排相关人员进场，如果承包人在接到监理人要求人员进场的通知 5 天后仍未安排相关人员进场，视为承包人违约。</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4.6.3 项细化为：</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（2）为保证承包人的档案资料整理工作具有连续性、稳定性，要求承包人的档案资料整理负责人在本项目连续工作 1 年及以上，否则视为承包人违约。</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（4）承包人应按《公路水运工程安全生产监督管理办法》和《广东省高速公路工程施工安全标准化指南》等相关规定，设置独立的安全管理机构，配置专职安全生产管理人员：</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（5）项目经理和项目总工必须按要求出席发包人组织的各种会议，包括监理人主持的重要会议。特殊情况无法出席的，必须取得发包人或监理人批准，任何迟到或早退按缺席处理。</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（6）承包人应严格按照环境保护的有关规定，明确环境保护的主要负责人，并按监理人的要求做好防御措施以及实施记录。</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（7）承包人应严格按照水土保持的有关规定，明确水土保持的主要负责人，并按监理人的要求做好防御措施以及实施记录。</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（8）承包人应配合发包人采用信息化管理手段对主要施工管理人员进行考核的措施。</w:t>
      </w: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在本款后增加 4.6.6～4.6.7 项如下：</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4.6.6 劳务聘用</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（3）承包人应为农民工办理工伤保险。</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（4）发包人制定的农民工工资监管办法及有关规定，承包人须积极配合并无条件的接受。</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劳务合作须符合《广东省交通运输厅关于公路工程施工分包管理的实施细则》的通知有关规定；劳务合作单位须按照《广东省高速公路工程施工安全标准化指南》相关要求配备安全生产管理人员：施工作业人员在 30 人及以下时，应配备 1 名兼职安全生产管理人员；施工作业人员在 31～50 人时，应配备 1 名专职安全生产管理人员；施工作业人员在 51 人～200 人时，应配备 2 名专职安全生产管理人员；施工作业人员在201 人及以上时，每增加 100 人，应增加 1 名专职安全生产管理人员，并根据所承担工程的施工危险程度予以增加。</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（6）推广以工代赈方式促进沿线群众就业。</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4.6.7 施工班组及施工员登记制度</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在施工过程中，监理人只要有充分的理由，可以随时取消不能令其满意的施工员的资格，收回项目施工员证。</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4.7 撤换承包人项目经理和其他人员</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本款细化为：</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 不利物质条件</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第4.11.2项细化为：</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4.11.3可预见的不利物质条件</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第4.11.3（1）目补充：</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5.材料和工程设备</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 5.1.2 项补充：</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（2）统一供应材料的采购</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统一供应材料的品种详见附件十《统一采购供应材料一览表》，具体采购必须严格执行发包人的管理要求。</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对于此类材料的供货，还应满足以下规定：</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②为恰当和正确地使用、安装和实施这些材料和工程设备所必需的但一览表中未列明的其他任何辅助性材料以及人工费均已经包含在承包人的合同价款中。</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④承包人承担工程全部完工后，如统一供应材料实际用量与按设计图纸（包括变更）计算的理论用量（含合理损耗）偏差超过 5%（石油沥青、改性沥青为 2%）而无法提供合理解释的，发包人有权对承包人处以偏差部分 100％价值的违约金。</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（3）其他主材的采购</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除统一供应材料以外的主材，承包人可自行决定采购方式。在开始采购前至少 28天，承包人应将采购方案报监理人审批，并严格执行发包人有关材料管理的各项要求。</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（4）工程地材的采购</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承包人必须通过合法的方式获取石源和砂源，应确保材料的合法来源及品质要求，对材料的运输方式、供应强度及运距等自行测算并承担风险。</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（5）其他材料和工程设备的采购</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除以上（1）～（5）条之外的其他材料和工程设备，承包人应将选定的各项材料和工程设备的供应商及品种、规格、质量证明文件、数量和供货计划等报送监理人和发包人核备。</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（6）监理人和发包人对承包人采购材料和工程设备的审批、核备、监督等并不免除承包人的责任。</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增加 5.1.3 项</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承包人采购的材料应得到发包人和监理人的同意，经检验合格后方可使用。</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本款补充第 5.1.4 项、第 5.1.5 项：</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5.1.4 项目的部分材料或设备如采用甲控乙购方式管理的，承包人应按照发包人明确的甲控乙购材料或设备品种（详见《甲控乙购材料一览表》）、技术指标及质量要求、采购方式和管理要求进行采购。</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5.1.5 材料的防护、标识和可追溯性</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根据材料特性对材料的运输、储存和保管的方法予以规定和执行，防止材料发生损坏、混淆、变质和受到污染。各种原材料、半成品的储存方式及所用的仓库、储罐、场地等应提前得到监理人的同意和确认。</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承包人应对材料的种类、特性和检验状态进行标识，确保每批材料保持良好状态并能追溯到采购日期、供应商和相关的质量证明文件。</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 发包人提供的材料和工程设备</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5.2.1 项细化为：</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 发包人按一览表约定的内容提供材料设备，并负责向承包人提供产品合格证明，对其真实性负责。但此项规定并不表明免除承包人检验材料设备质量的责任。</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 工程开工后，承包人应根据进度计划向发包人提出本款规定的材料设备使用计划，由发包人按计划提供材料。</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 发包人在所供材料设备到货前 24 小时，以书面形式通知承包人；到货时，由承包人派人清点，必要时，发包人可派人参加。</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 材料设备办理清点交接手续后，承包人承担产品的储存、保管责任。(5) 一览表约定的数量为暂定数量，发包人按承包人实际接收材料设备数量进行结算。</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 一览表约定的到货地点不一致时，发包人负责运达一览表指定地点；发包人采购单价与一览表材料设备单价不符，发包人仅承担价差（含税）。</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(8) 为恰当和正确地使用、安装和实施这些材料和工程设备所必需的但一览表中未列明的其他任何辅助性材料以及人工费应已经包含在承包人的合同总价中。</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(9) 发包人供应的材料设备款，发包人将在供应后一个至两个月内从承包人工程进度款中扣回。但为保证材料设备款在交工验收时得到全额扣回，发包人有权调整扣回时间及比例。</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5.4 禁止使用不合格的材料和工程设备</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在 5.4.2 项末尾增加：承包人还应承担由此带来的一切损失。</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本条补充第 5.5 款、第 5.6 款、第 5.7 款、第 5.8 款：</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 代用材料的使用</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5.5.1 承包人需要使用代用材料时，应经监理人认可并由发包人同意后才能使用，由此增减的合同价款双方以书面形式议定。承包人申请使用代用材料，仅限于出现下列情况时：</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(1)市场上无供应或在一定时间内突然供应短缺；</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(2)政府或有关管理机构的后继规章、规定禁止使用；</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(3)发包人或监理人要求使用其他替代品；或者承包人提出，发包人和监理人批准使用其他替代品；</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(4)其他原因导致使用替代品成为必要的。</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如果使用代用材料，承包人应在使用前至少 14 天，以书面形式通知监理人并提交下列文件：</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(1)拟采用的替代品的名称、数量、规格、型号、品牌、性能、价格及其他必要的详细资料；</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(2)替代品使用的工程部位；</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(3)采用替代品的理由和原因申述；</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(4)替代品与合同中约定的产品之间的差异以及使用替代品后可能对工程产生任何方面的影响；</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(5)价格上的差异；</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(6)监理人为作出适当的决定而随时要求承包人提供的任何其他文件。</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5.5.2 机制砂的使用</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机制砂应满足设计文件和技术规范的要求，并按照国家、省有关文件的规定使用。</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 材料、工程设备和工程的试验和检验</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5.6.2承包人应于工程开工前完成工地试验室建设和资质认证工作，工地试验室建设、相关配置及管理应满足标准化要求，并按发包人发布的项目管理制度执行。</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5.6.3承包人工地试验室资质范围以外的试验和检验项目，经监理人和发包人同意可对外委托具有相应资质的检测试验机构进行试验，但承包人应将检测试验机构有关资料报备监理人和试验人。</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5.6.4 承包人根据合同约定或监理人指示进行的现场材料试验，应由承包人提供试验场所、试验人员、试验设备器材以及其他必要的试验条件。</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5.6.5 如有必要，发包人、监理人、试验人可以免费使用承包人的试验场所、试验设备器材以及其他试验条件，进行以工程质量检查为目的的复核性材料试验，承包人应予以协助。</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5.6.6 承包人的试验和检验和外委试验应严格执行专用项目管理制度的相关规定和要求。 由承包人、监理人、试验人三方共同委外的检查项目的检测费用由承包人承担。</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5.6.7 承包人应根据材料、工程设备进场计划和工程施工计划，制订相应试验和检验计划，按计划开展试验检测工作，并将上述计划报送监理人和和试验人。</w:t>
      </w:r>
    </w:p>
    <w:p>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5.6.8 承包人的试验和检验过程须接受监理人的旁站监督；承包人应接受试验检测中心的监督指导，并按试验检测中心制定的管理制度开展试验检测工作。</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5.6.10</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发包人、监理人、试验人和发包人认可的相关政府部门或其他第三方机构的检查和检验，不免除承包人合同约定的责任。 </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5.7标准试验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5.7.2 当用于工程施工的原材料发生变化时，承包人应重新进行上述标准试验，并履行平行试验和审批程序。 </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5.8 工艺试验 </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5.8.1 承包人应按合同约定或监理人指示进行现场工艺试验。对大型的现场工艺试验，应编制工艺试验方案和计划，报送监理人审批后实施。 </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5.8.2 对于特殊工艺质量检验，承包人应制定相应的检验方案和工艺，经评委评审和发包人审核确认后应用于现场工程质量控制和检验。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施工设备和临时设施</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承包人提供的施工设备和临时设施</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6.1.1 项补充：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6.1.3 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要求承包人增加或更换施工设备</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承包人在接到上述指令 14 天内未按要求执行，将按第 22.1 款视为承包人违约。</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6.5 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 信息化管理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6.5.1 计算机系统配置</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发包人采用信息化手段对本项目进行管理。承包人的计算机及网络配置应满足项目信息化管理和发包人的有关要求。</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承包人应确保有专用计算机和一条专用网络连接线，同时应充分考虑可视化管理的手段，网络速度不小于 100Mbps。</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项目管理系统专用计算机的管理要求：</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(1)项目管理系统专用的计算机应由熟悉计算机操作的管理人员专人管理，管理人员必须参加发包人举办的培训班。</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(2)严禁在专用的计算机上安装软驱、光驱或进行登录 Internet 网及其局域网的操作。</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(3)严禁在专用计算机上安装或卸载软件。</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(4)本网络系统对操作者进行了权限设置，任何操作员的违规操作将按照有关规定处理。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(6)承包人应安排专人配合发包人将项目信息管理系统与广东省交通运输厅建设管养平台进行对接，保证网络畅通。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7.交通运输</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场内施工道路</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7.2.3 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7.2.4 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7.2.4 施工便道要求：</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场外交通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7.3.3 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为保证道路交通安全及运输畅通，承包人应采取以下措施：</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（a）承包人必须在与市政、交通和交警等部门的协商下采取足够的交通引导措施，以防止施工期间出现道路堵塞；</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（b）承包人制定施工材料运输计划时，应尽量避开现有道路交通高峰时的运输活动。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（c）承包人须编制交通组织方案，报相关部门审查批复，必要时组织评审，费用由承包人负责（合同另有约定除外）。</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8．测量放线</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 施工测量</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8.2.3 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地面线定测误差引起土石方数量变化原则上不予调整。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施工安全、治安保卫和环境保护</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 承包人的施工安全责任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9.2.1 项补充：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承包人应按《广东省高速公路工程施工安全标准化指南》的规定履行安全职责。本项目需要编制专项施工方案的工程包括但不限于以下内容补充第（11）~（14）目：</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（11）旧桥涵（含分离立交、匝道桥、现浇、连续梁）的拆除与加固；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（12）纵断面调整路段的路基路面施工；</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（13）旧收费雨棚及收费岛拆除，旧门架式监控或标志设施拆除；</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（14）其他危险性较大的工程。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9.2.2 项补充：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9.2.3 项补充：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9.2.3.2 项目的安全生产、职业健康和环境保护管理，应接受政府主管部门及其授权委托机构、发包人及其所委托的监理机构的监督、检查、协调与指导。</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9.2.3.3 承包人应建立健全并落实安全生产“一岗双责”责任制和全员安全生产责任制，确保管生产同时管安全，实现全员全过程安全管理。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9.2.4 项补充：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承包人必须重视应急管理，在应急管理方面要做好但不限于以下工作：</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（1）建立和完善应急组织体系。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（3）承包人应经常组织应急预案演练，不断完善应急预案，提升应急管理水平。发生突发事件时，迅速启动应急预案，开展各项应急处置工作。</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国家、省和广东省交通运输厅关于印发《广东省交通运输厅关于公路水运建设工程安全生产费用的管理办法》的通知等相关规定要求，本合同设立安全生产费。安全生产费按计费基数（工程量清单第100章至第900章费用之和，并扣除安全生产费本身和机电工程设备购置费）的1.5%（不含新建、改建、扩建以及拆除、加固等建设工程专项交通安全维护费）（房建工程按</w:t>
      </w:r>
      <w:r>
        <w:rPr>
          <w:rFonts w:hint="eastAsia" w:ascii="宋体" w:hAnsi="宋体" w:cs="宋体"/>
          <w:color w:val="000000" w:themeColor="text1"/>
          <w:sz w:val="24"/>
          <w:highlight w:val="none"/>
          <w:u w:val="singl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%）以固定金额的形式计入工程量清单支付子目102-3中。</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（1）安全生产费用预付款比例及扣回方式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i/>
          <w:i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（4）安全生产费用应专门用于完善和改进工程项目安全作业环境、安全施工措施和条件，严禁挪用。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（5）承包人应根据实际需要使用安全生产费用，因设计变更造成承包人安全生产费用实际投入总额与合同约定不一致的，差额部分的安全生产费用按照批复变更金额和规定提取比例同时调整。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（6）非因设计变更造成承包人安全生产费用实际投入总额与合同约定不一致的，承包人安全生产费用实际支出超过合同约定安全生产费用总额的，发包人不再另行支付，超出部分由承包人自行承担。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（8）工程交工验收后，安全生产费用实际投入总额少于工程量清单中安全生产费用总额的，经监理人核实后，未计量部分（除变更费用外）原则上不再支付。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9.2.6 项细化为: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9.2.8（4）目细化为：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在本款补充第 9.2.12 项～第 9.2.16 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9.2.12 涉水及船舶安全管理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①船舶必须持有效的船舶检验证书（包括但不限于船舶国籍证书、船舶登记证书等）；</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②船舶配备的有关航行安全设施设备必须具有船舶检验部门签发的有效技术证书，并在有效期内；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③船舶应配备不低于船舶证书上要求的最低配员数量的合格船员；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④交通船应具有载客证书或临时载客证书；</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⑤所有船舶必须配备 AIS、VHF 等设备；</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⑥承包人应采取有效措施维护施工现场通航安全及现有航道的航行安全；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⑦为钢结构及大型预制构件运输而设置的临时航道的设计必须取得有关行业主管部门的批准，并在完善相关许可手续后，方可实施；</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⑧承包人须与船舶所有人签订安全协议；</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承包人应承担因此产生的一切费用，并保障发包人免于承担相关责任。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9.2.13 施工安全风险评估</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9.2.14 施工作业人员的安全教育培训</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9.2.15施工防护标准化</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9.2.16 加强路堑边坡管理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（4）加强边坡施工过程管理及其他具体要求按《广东省交通运输厅关于切实加强我省高速公路路堑边坡管理的通知》执行。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 环境保护</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9.4.7（1）目补充：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施工噪声和施工时间应满足国家及地方环境保护法律法规的规定和要求，不得影响周边单位和居民正常的生产生活。施工单位应使用经环保主管部门信息编码登记且符合排放标准的非道路移动机械。</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9.4.7（2）目补充：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e.隧道出渣、钻孔灌注桩施工时排出的泥浆等施工废弃物要妥善处理，弃置形式及地点须经相关主管部门的批准，严禁向海洋、河流、荒地或市政管道等排放。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f.承包人必须依照《广东省交通运输厅关于加强公路水运建设项目施工现场扬尘管理的通知》，加强施工现场管理，防止工程周边扬尘污染，运输车辆经冲洗干净后方可驶出建设工地。</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9.4.10 项末补充：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9.4 款下增加 9.4.12～9.4.17 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9.4.16 承包人应严格执行《广东省公路工程施工标准化指南》关于环境保护的相关要求。</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9.4.17 文明环保施工价款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进度计划</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 合同进度计划</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10.3 年度施工计划</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在本款末增加以下内容：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在年度施工计划的基础上，承包人应根据发包人及监理人的具体安排编制和落实其他阶段性施工计划。</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10.5 款、第 10.6 款、第 10.7 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 工程进度记录</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承包人应保持每日、每月和其他定期的工程进度记录和报告，这些记录和报告包括下列有关资料：</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(a)气象条件；</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(b)施工记录；</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(c)施工设施和设备状况；</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(d)承包人人员统计；</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(e)现场材料，材料搬移记录、交货期、发票及有关资料；</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(f)环境保护、水土保持实施记录；</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(g)安全生产实施记录；</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(h)所有在施工过程中发生的其他事项。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10.6 工程的进度奖罚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11.开工和竣工</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发包人的工期延误</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在履行合同过程中，由于发包人的下列原因造成工期延误的，承包人在满足发包人的项目总体工期目标前提下，有权要求发包人顺延工期，需要修订合同进度计划的，按照第 10.2 款的约定办理。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由于征地拆迁的原因造成关键线路上的工程暂停施工；</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未按合同约定及时支付预付款、进度款；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如顺延合同工期在项目专用合同条款数据表的时间以内的，发包人将不予增加费用；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如顺延合同工期在项目专用合同条款数据表的时间以上的，发包人将按如下原则给予补偿：</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①驻地建设场地租金；</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②合同承诺投入且已进场的机械设备停置费，停置费按以下两种情况计算：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a.《公路工程机械台班费用定额》包含的机械设备停置费按如下公式计算：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停置费=（折旧费+检修费+维护费）*50%+人工费+机上人员管理费+养路费及车船使用税</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其中：机上人员管理费按人工费的 10%计算；车船使用税按规定的广东省车船使用税标准计算。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 《公路工程机械台班费用定额》未包含的机械设备停置费按如下公式计算：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按照年限平均法直线计提折旧，折旧年限为 10 年，年折旧额=固定资产原值×（1-残值率）/折旧年限，残值率为 4%；月折旧额=年折旧额/12，末月的天数≥16 时，按 1个月计算，否则末月不计。</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④仅对超出</w:t>
      </w:r>
      <w:r>
        <w:rPr>
          <w:rFonts w:hint="eastAsia" w:ascii="宋体" w:hAnsi="宋体" w:cs="宋体"/>
          <w:color w:val="000000" w:themeColor="text1"/>
          <w:sz w:val="24"/>
          <w:highlight w:val="none"/>
          <w:u w:val="single"/>
          <w14:textFill>
            <w14:solidFill>
              <w14:schemeClr w14:val="tx1"/>
            </w14:solidFill>
          </w14:textFill>
        </w:rPr>
        <w:t>6个月</w:t>
      </w:r>
      <w:r>
        <w:rPr>
          <w:rFonts w:hint="eastAsia" w:ascii="宋体" w:hAnsi="宋体" w:cs="宋体"/>
          <w:color w:val="000000" w:themeColor="text1"/>
          <w:sz w:val="24"/>
          <w:highlight w:val="none"/>
          <w14:textFill>
            <w14:solidFill>
              <w14:schemeClr w14:val="tx1"/>
            </w14:solidFill>
          </w14:textFill>
        </w:rPr>
        <w:t>以上部分进行补偿；</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⑤除上述规定的补偿项目之外，其余由于工期顺延增加的费用由承包人承担。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（3）由于重大设计方案调整造成关键线路上的工程暂停施工；</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（4）甲供材料断供或供应不及时。</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异常恶劣的气候条件</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异常恶劣的气候条件是指十级以上强风暴、龙卷风或五十年一遇以上洪水造成重大破坏等情况无法施工持续 30 天以上者。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承包人的工期延误</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在本款后增加第(6)项：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暂停施工</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承包人暂停施工的责任</w:t>
      </w:r>
    </w:p>
    <w:p>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(6)由承包人承担的其他暂停施工：</w:t>
      </w:r>
      <w:r>
        <w:rPr>
          <w:rFonts w:hint="eastAsia" w:ascii="宋体" w:hAnsi="宋体" w:cs="宋体"/>
          <w:color w:val="000000" w:themeColor="text1"/>
          <w:sz w:val="24"/>
          <w:highlight w:val="none"/>
          <w:u w:val="single"/>
          <w14:textFill>
            <w14:solidFill>
              <w14:schemeClr w14:val="tx1"/>
            </w14:solidFill>
          </w14:textFill>
        </w:rPr>
        <w:t xml:space="preserve"> 无</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发包人暂停施工的责任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由于发包人原因引起的暂停施工造成工期延误的，按第 11.3 款的约定执行。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工程质量</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工程质量要求</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在本款第 13.1.2 项后增加以下内容：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增加第 13.7～13.12 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 承包人偷工减料</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 承包人质量自检</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 不定期现场检查</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发包人和监理人将不定期进行现场检查，对检查结果按本合同《工程质量、安全及文明施工违约项目一览表》进行处理，承包人必须接受。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13.10 施工误差</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施工质量不满足要求的，承包人须承担一切返工费用。其中：</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优质优价价款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发包人将根据工程实际开展各项工程的质量评比和奖罚，项目（如项目采用分段管理，则按项目段计列）用于奖励的金额比例详见项目专用合同条款数据表的约定，由项目统筹使用。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未解除承包人的义务和责任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变更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变更程序</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在本款第 15.3.4 项后增加以下内容：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同时工程变更还应执行广东省交通运输厅及发包人颁布的相关变更管理办法规定。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 变更的估价原则</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 15.4.1～15.4.5 项删除，并用以下内容代替：</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因变更引起的价格调整，应按以下优先顺序所列原则进行处理：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如果取消某项工作，则该项工作的总额价不予支付；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 如上述价格调整原则不适用或按上述原则计算的单价不合理，经发包人同意，按以下原则执行。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15.4.4.1 参照招标人公布的最高投标限价编制时选用的有关定额及补充的定额，人工、材料、机械单价按最高投标限价采用的月份（**年**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下浮率=（本合同段最高投标限价-中标总价）/本合同段最高投标限价*100%</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15.4.4.2 按变更程序办理的应急抢险工程，经变更预算对应审批权限单位同意后，可根据实际情况编制预算，变更金额确定原则在项目专用合同条款数据表中约定。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15.4.4.3 新增机电设备的变更作价，按以下优先顺序所列原则进行处理：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（1）参考省内近 1 年内通车的高速公路项目合同单价（或总额价）进行确定；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（2）变更预算按发包人核定的市场价格加上采保费、税金及合理利润进行计算，变更单价或费用=变更预算×（1-中标下浮率）</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发包人与承包人如按上述原则协商未果，发包人有权根据实际情况按上述某一原则进行处理，承包人必须无条件接受。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所有的变更设计都必须按发包人及其上级主管部门颁布的变更设计管理办法进行审批。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价格调整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物价波动引起的价格调整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16.1.2.1 统一采购供应材料、甲控乙购材料价差调整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发包人招标文件规定的统一采购供应材料、甲控乙购材料按以下办法进行价差调整：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（1）材料范围：详见招标文件中《统一采购供应材料一览表》、《甲控乙购材料一览表》；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（2）材料价差计算方法：</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按月调整材料价差，具体如下：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以广东省交通运输工程造价事务中心每月公布的广东省交通建设工程主要外购材料信息价为依据，每个月 15 日（不含当天）后供应的货物纳入下个月进行价格调整。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A=(B-C)(1+D)</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A:实际调整价差，A 为正值时，由发包人补给承包人该价差，A 为负值时，由发包人从承包人承包价中扣回该价差。</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B:实际采购供应价，该价格为实际支付给供应商（卖方）的价格，该价格按与供应商签定的采购供应合同（含补充合同/协议）确定。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C:材料基准价格，由招标人在招标文件（或补遗书）中统一规定。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D:销售货物增值税税率。增值税税率应采用材料发票开具的税率。材料供应商根据结算价格提交增值税发票给承包人。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 承包人自行采购材料价差调整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16.1.2.2.1 工程范围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16.1.2.1.2 材料范围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可调差主要材料范围如下：</w:t>
      </w:r>
    </w:p>
    <w:p>
      <w:pPr>
        <w:pStyle w:val="61"/>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可调差材料一览表</w:t>
      </w:r>
    </w:p>
    <w:tbl>
      <w:tblPr>
        <w:tblStyle w:val="4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22" w:type="dxa"/>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w:t>
            </w:r>
          </w:p>
        </w:tc>
        <w:tc>
          <w:tcPr>
            <w:tcW w:w="1222" w:type="dxa"/>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代号</w:t>
            </w:r>
          </w:p>
        </w:tc>
        <w:tc>
          <w:tcPr>
            <w:tcW w:w="1222" w:type="dxa"/>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223" w:type="dxa"/>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23" w:type="dxa"/>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w:t>
            </w:r>
          </w:p>
        </w:tc>
        <w:tc>
          <w:tcPr>
            <w:tcW w:w="1223" w:type="dxa"/>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代号</w:t>
            </w:r>
          </w:p>
        </w:tc>
        <w:tc>
          <w:tcPr>
            <w:tcW w:w="1223" w:type="dxa"/>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钢材</w:t>
            </w: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水泥</w:t>
            </w: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w:t>
            </w: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砂石料</w:t>
            </w: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w:t>
            </w: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油料</w:t>
            </w: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w:t>
            </w: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pPr>
              <w:pStyle w:val="61"/>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pPr>
              <w:pStyle w:val="61"/>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pPr>
              <w:pStyle w:val="61"/>
              <w:spacing w:line="360" w:lineRule="auto"/>
              <w:ind w:firstLine="630"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2.表中材料代号按交通运输部颁布的《公路工程预算定额》（JTG/T3832-2018）编制。</w:t>
            </w:r>
          </w:p>
        </w:tc>
      </w:tr>
    </w:tbl>
    <w:p>
      <w:pPr>
        <w:pStyle w:val="61"/>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16.1.2.2.3风险幅度（r）</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风险幅度是指交通建设项目合同双方各自应承担的材料价格涨跌风险比例大小。风险幅度范围内的价差应作为建设单位（项目法人）、承包人的风险，不予调差。各类材料幅度系数如下：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砂石料，r＝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%；(幅度系数范围为（-5～+5）%)</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水泥、半成品，r＝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%；(幅度系数范围为（-4～+4）%)</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钢材、油料及其他，r＝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%；(幅度系数范围为（-3～+3）%)</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16.1.2.2.4计算方法</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ΔC=（ΔP-Po×r）×Q×（1+D），其中：</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｜ΔP｜＞｜Po×r｜ ΔP＝Pi（i=1,…,n）－Po，i指计量申报时间。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ΔC—价差调整费用，系按调价周期计算的当次费用。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ΔP—材料价格差。</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Po—基准价（不含税），指建设单位（项目法人）确定最高投标限价时所采用的交通建设项目所在地地级市及以上工程造价专业机构发布的</w:t>
      </w:r>
      <w:r>
        <w:rPr>
          <w:rFonts w:hint="eastAsia" w:ascii="宋体" w:hAnsi="宋体" w:cs="宋体"/>
          <w:color w:val="000000" w:themeColor="text1"/>
          <w:sz w:val="24"/>
          <w:highlight w:val="none"/>
          <w:u w:val="single"/>
          <w14:textFill>
            <w14:solidFill>
              <w14:schemeClr w14:val="tx1"/>
            </w14:solidFill>
          </w14:textFill>
        </w:rPr>
        <w:t xml:space="preserve">   年  月（或季度）</w:t>
      </w:r>
      <w:r>
        <w:rPr>
          <w:rFonts w:hint="eastAsia" w:ascii="宋体" w:hAnsi="宋体" w:cs="宋体"/>
          <w:color w:val="000000" w:themeColor="text1"/>
          <w:sz w:val="24"/>
          <w:highlight w:val="none"/>
          <w14:textFill>
            <w14:solidFill>
              <w14:schemeClr w14:val="tx1"/>
            </w14:solidFill>
          </w14:textFill>
        </w:rPr>
        <w:t>信息价，如项目或合同段跨两个以上地级市的，按权重取平均值计算。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Pi—信息价（不含税），指采购材料时交通建设项目所在地级市及以上工程造价专业机构发布的上季（月）度信息价，如项目或合同段跨两个以上地级市的，按权重取平均值计算。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r—风险幅度系数。当ΔP&gt;0时，r为正值，当ΔP&lt;0 时，r为负值。</w:t>
      </w:r>
    </w:p>
    <w:p>
      <w:pPr>
        <w:pStyle w:val="61"/>
        <w:spacing w:line="269" w:lineRule="auto"/>
        <w:ind w:firstLine="480" w:firstLineChars="200"/>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调价材料单位用量指标表</w:t>
      </w:r>
    </w:p>
    <w:tbl>
      <w:tblPr>
        <w:tblStyle w:val="43"/>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调价的材料名称</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调价的清单</w:t>
            </w:r>
          </w:p>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子目编号</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调价的项目名称</w:t>
            </w: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计算调价材料数量的单位</w:t>
            </w:r>
          </w:p>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碎石</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w:t>
            </w:r>
            <w:r>
              <w:rPr>
                <w:rFonts w:hint="eastAsia" w:ascii="宋体" w:hAnsi="宋体" w:cs="宋体"/>
                <w:color w:val="000000" w:themeColor="text1"/>
                <w:sz w:val="22"/>
                <w:szCs w:val="20"/>
                <w:highlight w:val="none"/>
                <w14:textFill>
                  <w14:solidFill>
                    <w14:schemeClr w14:val="tx1"/>
                  </w14:solidFill>
                </w14:textFill>
              </w:rPr>
              <w:t>m³/m³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砂</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w:t>
            </w:r>
            <w:r>
              <w:rPr>
                <w:rFonts w:hint="eastAsia" w:ascii="宋体" w:hAnsi="宋体" w:cs="宋体"/>
                <w:color w:val="000000" w:themeColor="text1"/>
                <w:sz w:val="22"/>
                <w:szCs w:val="20"/>
                <w:highlight w:val="none"/>
                <w14:textFill>
                  <w14:solidFill>
                    <w14:schemeClr w14:val="tx1"/>
                  </w14:solidFill>
                </w14:textFill>
              </w:rPr>
              <w:t>m³/m³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水泥</w:t>
            </w:r>
          </w:p>
        </w:tc>
        <w:tc>
          <w:tcPr>
            <w:tcW w:w="2271" w:type="dxa"/>
            <w:vAlign w:val="center"/>
          </w:tcPr>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清单的200-900章中所有含轻质土、水泥稳定层、水泥混凝土的清单子目</w:t>
            </w:r>
          </w:p>
        </w:tc>
        <w:tc>
          <w:tcPr>
            <w:tcW w:w="2172" w:type="dxa"/>
            <w:vAlign w:val="center"/>
          </w:tcPr>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轻质土、水泥稳定层、水泥混凝土中的水泥</w:t>
            </w:r>
          </w:p>
        </w:tc>
        <w:tc>
          <w:tcPr>
            <w:tcW w:w="3273" w:type="dxa"/>
            <w:vAlign w:val="center"/>
          </w:tcPr>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1、轻质土：按批准的施工配合比计算水泥用量。</w:t>
            </w:r>
          </w:p>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2、水泥稳定层：按批准的施工配合比计算水泥用量。</w:t>
            </w:r>
          </w:p>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3、桥梁桩基础混凝土（按m计量的须换算为m³）：</w:t>
            </w: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（不分混凝土标号)</w:t>
            </w:r>
          </w:p>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4、其他实体工程混凝土：</w:t>
            </w:r>
          </w:p>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（C20及以下）</w:t>
            </w:r>
          </w:p>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（C25、C30、C35）</w:t>
            </w:r>
          </w:p>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（C40）</w:t>
            </w:r>
          </w:p>
          <w:p>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实体工程中所有钢筋的清单子目</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w:t>
            </w:r>
            <w:r>
              <w:rPr>
                <w:rFonts w:hint="eastAsia" w:ascii="宋体" w:hAnsi="宋体" w:cs="宋体"/>
                <w:color w:val="000000" w:themeColor="text1"/>
                <w:sz w:val="22"/>
                <w:szCs w:val="20"/>
                <w:highlight w:val="none"/>
                <w14:textFill>
                  <w14:solidFill>
                    <w14:schemeClr w14:val="tx1"/>
                  </w14:solidFill>
                </w14:textFill>
              </w:rPr>
              <w:t>/t（各钢筋清单子目取此同一单位用量）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实体工程中所有钢绞线的清单子目</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w:t>
            </w:r>
            <w:r>
              <w:rPr>
                <w:rFonts w:hint="eastAsia" w:ascii="宋体" w:hAnsi="宋体" w:cs="宋体"/>
                <w:color w:val="000000" w:themeColor="text1"/>
                <w:sz w:val="22"/>
                <w:szCs w:val="20"/>
                <w:highlight w:val="none"/>
                <w14:textFill>
                  <w14:solidFill>
                    <w14:schemeClr w14:val="tx1"/>
                  </w14:solidFill>
                </w14:textFill>
              </w:rPr>
              <w:t>/t（各钢绞线清单子目取此同一单位用量）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实体工程中所有含沥青的清单子目</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按批准的施工配合比计算沥青用量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柴油</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kg/m³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w:t>
            </w:r>
          </w:p>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管桩</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实体工程中所有混凝土管桩的清单子目</w:t>
            </w: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混凝土管桩</w:t>
            </w: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w:t>
            </w:r>
          </w:p>
        </w:tc>
        <w:tc>
          <w:tcPr>
            <w:tcW w:w="2271"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c>
          <w:tcPr>
            <w:tcW w:w="2172"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c>
          <w:tcPr>
            <w:tcW w:w="3273" w:type="dxa"/>
            <w:vAlign w:val="center"/>
          </w:tcPr>
          <w:p>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r>
    </w:tbl>
    <w:p>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1.石料单位用量指标中单位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m³/m³代表每计量1立方米实体工程消耗的石料堆方数量为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立方米；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kg/m³代表每计量1立方米实体工程消耗的重量为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公斤。其余以此类推。</w:t>
      </w:r>
    </w:p>
    <w:p>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4.沥青视采用的品种，按照定额材料代号3001001020号“国产沥青”或3001001021号“进口石油沥青”、3001002010号“国产改性沥青”或3001002011号“进口改性沥青”的价格进行调整。</w:t>
      </w:r>
    </w:p>
    <w:p>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5.沥青混合料及改性沥青混合料拌合消耗的燃油、天然气统一按定额材料代号3003001 号“重油”价格进行调整。</w:t>
      </w:r>
    </w:p>
    <w:p>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6.混凝土管桩仅按成品信息价格进行调差。</w:t>
      </w:r>
    </w:p>
    <w:p>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7.表中的单位用量指标，发包人应参照《公路工程预算定额》的定额消耗量确定。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实际采购价格法</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ΔC=（ΔP-Po×r）×Q，其中｜ΔP｜＞｜Po×r｜ ΔP＝Pa－Po，式中：ΔC、ΔP、Q、r同16.1.2款。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Po—基准价，指项目招标时，建设单位（项目法人）确定最高投标限价时采用的材料单价。建设单位（项目法人）应在招标文件中明确基准价（Po）的价格。</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Pa—采购价，经建设单位（项目法人）、监理核实的， 有相应的合法支撑依据的实际采购材料价格</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①，分批采购时按权重取平均值计算。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采用实际采购价格法调整材料价差的其他约定，同16.1.2.2目。</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16.1.4砂石料运输费用调整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合同工程量清单中的沥青混凝土路面上面层用的砂石料（砂石料指碎石及同母材的机制砂）材料单价包含了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公里运输费用（其中：水路运输 Y 公里，公路运输 Z 公里），如实际运输方式和运输距离与清单预算不一致时，运输费用按如下原则进行调整：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1、本项目实际运距指单个沥青拌和场至单个石场的运输距离，运输距离及砂石料用量以承包人、监理人、发包人三方确定为准；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2、从不同石场采购的砂石料按各自的实际运距计算调整费用，公路运输单价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元/m³·km，水运单价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元/m³·km，调整运输费用=（（水路运输实际运距-Y-A）×</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+（公路运输实际运距-Z-B）×</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）×砂石料运输数量，正数为发包人向承包人支付调差（承包人应向发包人提供等额的完税发票），负数为发包人向承包人扣回调差（从应付工程款中扣除）。其中：</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(1)当水路运输实际运距在（Y-k）～（Y+k）公里之间（含界值）时，水路运输费用不作调整；小于（Y-k）公里时，A=-k；大于（Y+k）公里时，A=k；</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(2)当公路运输实际运距在（Z-k）～（Z+k）公里之间（含界值）时，公路运输费用不作调整；小于（Z-k）公里时，B=-k；大于（Z+k）公里时，B=k；</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(3)运输运距以公里为单位，运输数量以m³为单位；k一般取值30。</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(4)采用铁路运输，铁路运输单价及运输费用调整同水路运输；</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(5)可补偿的实际运距费用按其对应数量计算最多不超过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3、按以上原则计算的调整费用为包干费用，不再考虑路桥费、装卸费、转运、仓储、管理费。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16.1.5 税费增减</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由材料价差调整所产生的材料采购增值税增减额由发包人承担，其他税费由承包人承担。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法律变化引起的价格调整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16.3 款、第 16.4 款、第 16.5 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执行国家和行业标准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除非发包人和监理人专门批准，如果本工程技术规范和图纸标准低于国家和行业标准，则应按国家和行业标准执行，承包人不能因此提出增加费用的要求和索赔。</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工期拖期的价格调整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16.5其他原因引起的价格调整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16.5.1应急抢险工程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16.5.2施工图设计和合同清单工程数量出现“差、错、漏、碰”的，经勘误后，按合同条款及计量支付规则约定的计量原则，作变更处理。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16.5.3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（其他可调整价格的情形）。</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计量与支付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计量</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本项目工程量清单中要求承包人以“总额”方式报价的子目，各子目的支付原则和支付进度按本合同文件工程量清单计量规则中的规定执行。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17.1.6-17.1.8 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17.1.6 变更工程的暂定计量和支付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17.1.7 路面备料款的计量和支付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发包人将对承包人的路面碎石、机制砂备料款进行暂定计量，具体操作办法如下：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（1）计量数量：以承包人实际进场并经监理人和发包人代表验收确认数量的项目专用合同条款数据表约定的比例计；</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（2）计量单价：本合同段招标最高投标限价清单预算采用的相应规格材料预算价</w:t>
      </w:r>
      <w:r>
        <w:rPr>
          <w:rFonts w:hint="eastAsia" w:ascii="宋体" w:hAnsi="宋体" w:cs="宋体"/>
          <w:color w:val="000000" w:themeColor="text1"/>
          <w:sz w:val="24"/>
          <w:highlight w:val="none"/>
          <w:u w:val="single"/>
          <w14:textFill>
            <w14:solidFill>
              <w14:schemeClr w14:val="tx1"/>
            </w14:solidFill>
          </w14:textFill>
        </w:rPr>
        <w:t>（含税/不含税）</w:t>
      </w:r>
      <w:r>
        <w:rPr>
          <w:rFonts w:hint="eastAsia" w:ascii="宋体" w:hAnsi="宋体" w:cs="宋体"/>
          <w:color w:val="000000" w:themeColor="text1"/>
          <w:sz w:val="24"/>
          <w:highlight w:val="none"/>
          <w14:textFill>
            <w14:solidFill>
              <w14:schemeClr w14:val="tx1"/>
            </w14:solidFill>
          </w14:textFill>
        </w:rPr>
        <w:t>；</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（3）计量方式：每月计量一次；</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（4）暂定计量备料款的扣回：承包人所备的碎石、机制砂材料已用于路面施工并得到正常计量后，发包人将在计量当期扣回对应的暂定计量备料款。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17.1.8 过程结算的计量和支付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发包人制定过程结算制度并明确有关过程结算的计量支付规则，未按要求完成过程结算的费用项，最高支付金额不宜超过建设单位审核确认的 97%，过程结算完成后方可支付余下金额。完工结算率低于 30%的，在后续计量支付中可暂扣工程进度款一定比例，具体在过程结算条款中明确。</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预付款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本款补充第(3)目如下：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如有需要，发包人可根据实际情况制定更符合工程需要的预付款月扣款比例。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工程进度付款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 17.3.5 项细化如下: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 农民工工资保证金</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按广东省交通运输厅转发人力资源社会保障部等部门《工程建设领域农民工工资保证金规定》的通知执行。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质量保证金</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17.4.2 项细化为：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项目完成竣工决算审查备案和竣工决算审计，且发包人和承包人最终确定结算金额后 30天内，发包人退还剩余质量保证金的80%给承包人。通过竣工验收后30天内，发包人将质量保证金的余额一次性退还给承包人。若承包人在项目竣工验收时工程质量评分未达优良等级，发包人全额扣回承包人在施工过程中所获得的全部优质优价价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 最终结清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交工验收</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验收</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18.3.2 项补充：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18.9 竣工文件</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在本款后增加以下内容：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如有需要发包人有权指定单位或相关部门进行整个项目的竣工资料统一编制，承包人应予以积极配合，所发生费用由承包人承担。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 缺陷责任与保修责任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缺陷责任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19.2.2 项后增加以下内容：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 保修责任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19.7（1）目补充：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详见项目专用合同条款数据表中约定。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保险</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工程保险</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20.1 款修改为：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建筑工程一切险及第三者责任险</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w:t>
      </w:r>
      <w:r>
        <w:rPr>
          <w:rFonts w:hint="eastAsia" w:ascii="宋体" w:hAnsi="宋体" w:cs="宋体"/>
          <w:color w:val="000000" w:themeColor="text1"/>
          <w:sz w:val="24"/>
          <w:highlight w:val="none"/>
          <w:u w:val="single"/>
          <w14:textFill>
            <w14:solidFill>
              <w14:schemeClr w14:val="tx1"/>
            </w14:solidFill>
          </w14:textFill>
        </w:rPr>
        <w:t>工程量清单第 100 章至 900 章费用之和，扣除建筑工程一切险及第三者责任险的保险费、机电工程设备购置费。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20.1.2 保险标的出险后，承包人应自行向保险人报案、登记、索赔并报告发包人，并做好资料整理、工程损失计算等。上述工作所产生的费用由承包人承担。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20.1.3 因保险事故产生的修复、索赔等责任由承包人承担。若承包人放弃索赔或因自身原因延误索赔，发包人保留索赔的权利，保险索赔所得费用归发包人所有。</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 第三者责任险</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20.4.2 项补充：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第三者责任险的购买、报险、索赔等，参照第 20.1 款约定执行。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21.不可抗力</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不可抗力的确认</w:t>
      </w:r>
    </w:p>
    <w:p>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21.1.1 (6)不可抗力的其他情形： </w:t>
      </w:r>
      <w:r>
        <w:rPr>
          <w:rFonts w:hint="eastAsia" w:ascii="宋体" w:hAnsi="宋体" w:cs="宋体"/>
          <w:color w:val="000000" w:themeColor="text1"/>
          <w:sz w:val="24"/>
          <w:highlight w:val="none"/>
          <w:u w:val="single"/>
          <w14:textFill>
            <w14:solidFill>
              <w14:schemeClr w14:val="tx1"/>
            </w14:solidFill>
          </w14:textFill>
        </w:rPr>
        <w:t>详见项目专用合同条款数据表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不可抗力后果及其处理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 违约</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承包人违约</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22.1.1(4)目补充为：承包人未能按合同进度计划及时完成合同约定的工作，或未切实履行第 4.1.7 款的约定，导致发生工程阻工、停工，已造成或预期造成工期延误；</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将本款第(4)目修改如下：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在本款下增加第(5)～第(7)目如下：</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（7）本项目所有承包人的违约金均由业主掌握使用，可部分或全部用于本项目的各项评比和奖励。</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发包人违约</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如果发包人无合理的理由去阻挠或拒绝符合合同规定的付款证书颁发所需的批准，则可视为发包人违约。承包人有权终止合同，并在通知发包人和将通知副本提交监理人的 28 天后，合同终止生效。</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如果合同因发包人违约而终止，承包人可要求发包人支付以下费用：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(a)发包人需向承包人支付合同终止之日前已完成的全部工程费用。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(b)即将交付承包人的，或承包人依法有责任接收的为该工程合理订购的材料、工程设备或货物的费用，发包人一经支付此项费用，该材料、工程设备或货物即成为发包人的财产。</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(c)已合理开支的确定属于承包人为完成整个工程而合理发生的其他费用，而该费用未在本条款的其他各项下支付。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(d)考虑已完工程的付款比例，给予适当人员、设备等的退场费。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22.2.3 发包人除按本款规定支付上述费用给承包人外，亦有权要求承包人偿还按合同条款规定的或未结清的承包人欠发包人的各种款项。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承包人（包括其分包人）出于追索本合同条款以外的利益，以有违社会规范的行为构成对发包人骚扰的，承包人须承担法律和经济责任。</w:t>
      </w:r>
    </w:p>
    <w:p>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增加第 25 条</w:t>
      </w:r>
    </w:p>
    <w:p>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25 本项目需增加的专用合同条款</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 承包人退出机制</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发包人对不能满足各阶段工作目标的承包人实行强制退出本项目建设的办法。</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25.1.1 部分退出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（1）人员退出：承包人的主要管理人员和技术骨干如不满足要求的，按 4.6.3 项的规定进行违约处理。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（2）机械退出：机械设备达不到额定产能的 85 %者退出，并按监理人或发包人的要求及时组织性能良好的同类型的机械进驻施工现场。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（3）专业队伍退出：在施工过程中累计发生两次生产安全事故或两次较大质量问题者强制退出。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（4）工程进度达不到上述要求，承包人增加人员、设备仍达不到进度要求的，发包人有权对相应分项工程进行强制分割处理。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25.1.2 整体退出</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（1）出现转包、非法分包；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（2）出现重大安全责任，造成严重社会影响；</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（3）出现重大质量事故，严重影响工程质量和进度，造成严重社会影响；</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（4）由承包人自身原因导致使上述计划任务无法完成的；</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整体退出的施工企业，发包人将建议交通主管部门降低其信用等级。</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25.1.3 退出清算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（1）发包人对承包人整体退出本项目工程建设进行公示，并要求承包人对拖欠款项的单位和个人及时清算。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（2）发包人扣押履约担保、质量保证金、停止计量支付。</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（3）承包人必须向发包人提交已完成工程的齐全的施工资料。</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（4）清算后特殊分包单位的确定原则：</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由发包人选择本项目实力较强、 质量进度评比排名靠前的承包单位或由发包人通过合法方式选择分包单位；</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分包单位选择情况上报上级行政主管部门；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特殊分包单位应具备特殊分包工程相对应的资质要求。</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（5）清算后费用承担：特殊分包范围内的项目，由于上述（4）确定的分包价与承包人合同价产生的价差由承包人承担。</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（6）承包人应无条件接受，指定特殊分包单位无须向承包人交纳管理费。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但无论如何，承包人应按发包人要求提供已有的临时设施（如便道、电力线路等）供特殊分包人使用，承包人不得为此要求增加任何费用。</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工程管理要求</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 电子文件归档和电子档案管理：</w:t>
      </w:r>
    </w:p>
    <w:p>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工程交工验收后，承包人需根据有关规定提供工程相关的电子档案，含关键工序、重点部位、隐蔽工程等影像资料等。</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25.4 过程结算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2.发包人、承包人均应保障承担过程结算工作人员的配置和稳定, 做到过程结算和工程建设同步推进、应结尽结。</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3.结算单元按合同约定完成并通过质量中间验收，原则上按项目专用合同条款数据表约定的时间完成过程结算文件的编制、审核、签认工作。</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4.未按要求完成过程结算的费用项, 按项目专用合同条款数据表约定内容执行。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5.发包人、承包人签署认可的过程结算文件, 是最终结算文件和竣工决算文件的组成部分,具有法律效力, 最终结算时不需对已确认的过程结算重新办理确认。</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25.5 合同结算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本合同工程交工验收后，承包人应按《广东省交通运输厅关于印发广东省公路建设项目竣工决算实行备案制管理的通知》的具体要求完成结算工作，发包人可根据项目实际情况制定相应的奖罚措施。</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为了按期完成工程竣工决算审查备案、审计及竣工验收工作，如发包人和承包人对结算确实存在分歧，经双方协商未果情况下，发包人有权进行合同单方结算，承包人须无条件接受。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25.6 本合同未尽事宜</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发包人对项目实施动态管理，根据工程进展情况及项目目标实现情况，通过修正专用项目管理制度，不断建设完善项目管理责任体系，承包人须积极配合并无条件的接受。</w:t>
      </w: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br w:type="page"/>
      </w:r>
    </w:p>
    <w:bookmarkEnd w:id="1670"/>
    <w:bookmarkEnd w:id="1671"/>
    <w:p>
      <w:pPr>
        <w:pStyle w:val="2"/>
        <w:spacing w:after="120" w:line="240" w:lineRule="auto"/>
        <w:jc w:val="center"/>
        <w:rPr>
          <w:rFonts w:ascii="宋体" w:hAnsi="宋体"/>
          <w:color w:val="000000" w:themeColor="text1"/>
          <w:highlight w:val="none"/>
          <w14:textFill>
            <w14:solidFill>
              <w14:schemeClr w14:val="tx1"/>
            </w14:solidFill>
          </w14:textFill>
        </w:rPr>
      </w:pPr>
      <w:bookmarkStart w:id="1672" w:name="_Toc43476005"/>
      <w:bookmarkEnd w:id="1672"/>
      <w:r>
        <w:rPr>
          <w:rFonts w:ascii="宋体" w:hAnsi="宋体"/>
          <w:color w:val="000000" w:themeColor="text1"/>
          <w:highlight w:val="none"/>
          <w14:textFill>
            <w14:solidFill>
              <w14:schemeClr w14:val="tx1"/>
            </w14:solidFill>
          </w14:textFill>
        </w:rPr>
        <w:t>第三节合同附件格式</w:t>
      </w:r>
    </w:p>
    <w:p>
      <w:pPr>
        <w:rPr>
          <w:rFonts w:ascii="宋体" w:hAnsi="宋体"/>
          <w:color w:val="000000" w:themeColor="text1"/>
          <w:sz w:val="24"/>
          <w:highlight w:val="none"/>
          <w14:textFill>
            <w14:solidFill>
              <w14:schemeClr w14:val="tx1"/>
            </w14:solidFill>
          </w14:textFill>
        </w:rPr>
      </w:pP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73" w:name="_Toc43476006"/>
      <w:bookmarkEnd w:id="1673"/>
      <w:bookmarkStart w:id="1674" w:name="_Toc4937"/>
      <w:bookmarkEnd w:id="1674"/>
      <w:r>
        <w:rPr>
          <w:rFonts w:ascii="宋体" w:hAnsi="宋体"/>
          <w:color w:val="000000" w:themeColor="text1"/>
          <w:sz w:val="24"/>
          <w:szCs w:val="24"/>
          <w:highlight w:val="none"/>
          <w14:textFill>
            <w14:solidFill>
              <w14:schemeClr w14:val="tx1"/>
            </w14:solidFill>
          </w14:textFill>
        </w:rPr>
        <w:t>附件一</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合同协议书</w:t>
      </w:r>
    </w:p>
    <w:p>
      <w:pPr>
        <w:rPr>
          <w:rFonts w:ascii="宋体" w:hAnsi="宋体"/>
          <w:color w:val="000000" w:themeColor="text1"/>
          <w:sz w:val="24"/>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合同协议书</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（发包人名称，以下简称“发包人”）</w:t>
      </w:r>
      <w:r>
        <w:rPr>
          <w:rFonts w:ascii="宋体" w:hAnsi="宋体"/>
          <w:color w:val="000000" w:themeColor="text1"/>
          <w:sz w:val="24"/>
          <w:highlight w:val="none"/>
          <w14:textFill>
            <w14:solidFill>
              <w14:schemeClr w14:val="tx1"/>
            </w14:solidFill>
          </w14:textFill>
        </w:rPr>
        <w:t>为实施</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，已接受</w:t>
      </w:r>
      <w:r>
        <w:rPr>
          <w:rFonts w:ascii="宋体" w:hAnsi="宋体"/>
          <w:color w:val="000000" w:themeColor="text1"/>
          <w:sz w:val="24"/>
          <w:highlight w:val="none"/>
          <w:u w:val="single"/>
          <w14:textFill>
            <w14:solidFill>
              <w14:schemeClr w14:val="tx1"/>
            </w14:solidFill>
          </w14:textFill>
        </w:rPr>
        <w:t>（承包人名称，以下简称“承包人”）</w:t>
      </w:r>
      <w:r>
        <w:rPr>
          <w:rFonts w:ascii="宋体" w:hAnsi="宋体"/>
          <w:color w:val="000000" w:themeColor="text1"/>
          <w:sz w:val="24"/>
          <w:highlight w:val="none"/>
          <w14:textFill>
            <w14:solidFill>
              <w14:schemeClr w14:val="tx1"/>
            </w14:solidFill>
          </w14:textFill>
        </w:rPr>
        <w:t>对该项目标段施工的投标。发包人和承包人共同达成如下协议。</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1.第标段由K+</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至K+</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，长约</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km，公路等级为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，设计时速为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路面，有立交</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处；特大桥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m；大中桥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m；隧道</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m以及其他构造物工程等。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下列文件应视为构成合同文件的组成部分</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（1）本协议书及各种合同附件（含评标期间和合同谈判过程中的澄清文件和补充资料）；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（2）中标通知书；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（3）投标函及投标函附录；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（4）项目专用合同条款；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（5）公路工程专用合同条款；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（6）通用合同条款；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（7）工程量清单计量规则；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（8）技术规范；</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（9）图纸；</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（10）已标价工程量清单；</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（11）承包人有关人员、设备投入的承诺及投标文件中的施工组织设计；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（12）其他合同文件。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w:t>
      </w:r>
      <w:r>
        <w:rPr>
          <w:rFonts w:hint="eastAsia" w:ascii="宋体" w:hAnsi="宋体"/>
          <w:color w:val="000000" w:themeColor="text1"/>
          <w:sz w:val="24"/>
          <w:highlight w:val="none"/>
          <w14:textFill>
            <w14:solidFill>
              <w14:schemeClr w14:val="tx1"/>
            </w14:solidFill>
          </w14:textFill>
        </w:rPr>
        <w:t>合同</w:t>
      </w:r>
      <w:r>
        <w:rPr>
          <w:rFonts w:ascii="宋体" w:hAnsi="宋体"/>
          <w:color w:val="000000" w:themeColor="text1"/>
          <w:sz w:val="24"/>
          <w:highlight w:val="none"/>
          <w14:textFill>
            <w14:solidFill>
              <w14:schemeClr w14:val="tx1"/>
            </w14:solidFill>
          </w14:textFill>
        </w:rPr>
        <w:t>文件互相补充和解释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合同文件之间存在矛盾</w:t>
      </w:r>
      <w:r>
        <w:rPr>
          <w:rFonts w:ascii="宋体" w:hAnsi="宋体"/>
          <w:color w:val="000000" w:themeColor="text1"/>
          <w:sz w:val="24"/>
          <w:highlight w:val="none"/>
          <w14:textFill>
            <w14:solidFill>
              <w14:schemeClr w14:val="tx1"/>
            </w14:solidFill>
          </w14:textFill>
        </w:rPr>
        <w:t>或不一致之处，以</w:t>
      </w:r>
      <w:r>
        <w:rPr>
          <w:rFonts w:hint="eastAsia" w:ascii="宋体" w:hAnsi="宋体"/>
          <w:color w:val="000000" w:themeColor="text1"/>
          <w:sz w:val="24"/>
          <w:highlight w:val="none"/>
          <w14:textFill>
            <w14:solidFill>
              <w14:schemeClr w14:val="tx1"/>
            </w14:solidFill>
          </w14:textFill>
        </w:rPr>
        <w:t>上述文件的排列顺序</w:t>
      </w:r>
      <w:r>
        <w:rPr>
          <w:rFonts w:ascii="宋体" w:hAnsi="宋体"/>
          <w:color w:val="000000" w:themeColor="text1"/>
          <w:sz w:val="24"/>
          <w:highlight w:val="none"/>
          <w14:textFill>
            <w14:solidFill>
              <w14:schemeClr w14:val="tx1"/>
            </w14:solidFill>
          </w14:textFill>
        </w:rPr>
        <w:t>在先者为准。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根据工程量清单所列的预计数量和单价或总额价计算的签约</w:t>
      </w:r>
      <w:r>
        <w:rPr>
          <w:rFonts w:ascii="宋体" w:hAnsi="宋体"/>
          <w:color w:val="000000" w:themeColor="text1"/>
          <w:sz w:val="24"/>
          <w:highlight w:val="none"/>
          <w14:textFill>
            <w14:solidFill>
              <w14:schemeClr w14:val="tx1"/>
            </w14:solidFill>
          </w14:textFill>
        </w:rPr>
        <w:t>合同价：</w:t>
      </w:r>
      <w:r>
        <w:rPr>
          <w:rFonts w:ascii="宋体" w:hAnsi="宋体"/>
          <w:color w:val="000000" w:themeColor="text1"/>
          <w:sz w:val="24"/>
          <w:highlight w:val="none"/>
          <w:u w:val="single"/>
          <w14:textFill>
            <w14:solidFill>
              <w14:schemeClr w14:val="tx1"/>
            </w14:solidFill>
          </w14:textFill>
        </w:rPr>
        <w:t>人民币（大写）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承包人项目经理：</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承包人项目总工：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工程质量符合标准</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工程安全目标：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 承包人承诺按合同约定承担工程的实施、完成及缺陷修复。</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发包人承诺按合同约定的条件、时间和方式向承包人支付合同价款。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 承包人应按照监理人指示开工，工期为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日历天。</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 本协议书在承包人提供履约保证金后，由双方法定代表人或其委托代理人签署并加盖单位章后生效。全部工程完工后经交工验收合格、缺陷责任期满签发缺陷责任终止证书后失效。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10.本协议书正本二份、副本份，合同双方各执正本一份，副本份，当正本与副本的内容不一致时，以正本为准。</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.合同未尽事宜，双方另行签订补充协议。补充协议是合同的组成部分。</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                                   年   月   日</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75" w:name="_Toc43476007"/>
      <w:bookmarkEnd w:id="1675"/>
      <w:bookmarkStart w:id="1676" w:name="_Toc505844505"/>
      <w:bookmarkEnd w:id="1676"/>
      <w:bookmarkStart w:id="1677" w:name="_Toc3544"/>
      <w:bookmarkEnd w:id="1677"/>
      <w:r>
        <w:rPr>
          <w:rFonts w:ascii="宋体" w:hAnsi="宋体"/>
          <w:b w:val="0"/>
          <w:bCs w:val="0"/>
          <w:color w:val="000000" w:themeColor="text1"/>
          <w:kern w:val="2"/>
          <w:sz w:val="21"/>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附件二   廉政合同</w:t>
      </w:r>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廉政合同</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项目法人 </w:t>
      </w:r>
      <w:r>
        <w:rPr>
          <w:rFonts w:hint="eastAsia" w:ascii="宋体" w:hAnsi="宋体"/>
          <w:color w:val="000000" w:themeColor="text1"/>
          <w:sz w:val="24"/>
          <w:highlight w:val="none"/>
          <w:u w:val="single"/>
          <w14:textFill>
            <w14:solidFill>
              <w14:schemeClr w14:val="tx1"/>
            </w14:solidFill>
          </w14:textFill>
        </w:rPr>
        <w:t>（项目法人名称，以下简称“发包人”）</w:t>
      </w:r>
      <w:r>
        <w:rPr>
          <w:rFonts w:hint="eastAsia" w:ascii="宋体" w:hAnsi="宋体"/>
          <w:color w:val="000000" w:themeColor="text1"/>
          <w:sz w:val="24"/>
          <w:highlight w:val="none"/>
          <w14:textFill>
            <w14:solidFill>
              <w14:schemeClr w14:val="tx1"/>
            </w14:solidFill>
          </w14:textFill>
        </w:rPr>
        <w:t>与该项目标段的施工单位</w:t>
      </w:r>
      <w:r>
        <w:rPr>
          <w:rFonts w:hint="eastAsia" w:ascii="宋体" w:hAnsi="宋体"/>
          <w:color w:val="000000" w:themeColor="text1"/>
          <w:sz w:val="24"/>
          <w:highlight w:val="none"/>
          <w:u w:val="single"/>
          <w14:textFill>
            <w14:solidFill>
              <w14:schemeClr w14:val="tx1"/>
            </w14:solidFill>
          </w14:textFill>
        </w:rPr>
        <w:t>（施工单位名称，以下简称“承包人”）</w:t>
      </w:r>
      <w:r>
        <w:rPr>
          <w:rFonts w:hint="eastAsia" w:ascii="宋体" w:hAnsi="宋体"/>
          <w:color w:val="000000" w:themeColor="text1"/>
          <w:sz w:val="24"/>
          <w:highlight w:val="none"/>
          <w14:textFill>
            <w14:solidFill>
              <w14:schemeClr w14:val="tx1"/>
            </w14:solidFill>
          </w14:textFill>
        </w:rPr>
        <w:t>，特订立如下合同。</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1.发包人和承包人双方的权利和义务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（1）严格遵守党的政策规定和国家有关法律法规及交通运输部的有关规定。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（2）严格执行</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合同文件，自觉按合同办事。</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（4）建立健全廉政制度，开展廉政教育，设立廉政告示牌，公布举报电话，监督并认真查处违法违纪行为。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（5）发现对方在业务活动中有违反廉政规定的行为，有及时提醒对方纠正的权利和义务。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（6）发现对方严重违反本合同义务条款的行为，有向其上级有关部门举报、建议给予处理并要求告知处理结果的权利。</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2.发包人的义务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（4）发包人工作人员及其配偶、子女不得从事与发包人工作有关的材料设备供应、工程分包、劳务等经济活动等。</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（6）发包人工作人员要秉公办事，不准营私舞弊，不准利用职权从事各种个人有偿中介活动和安排个人施工队伍。</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3.承包人的义务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（1）承包人不得以任何理由向发包人及其工作人员行贿或馈赠礼金、有价证券、贵重礼品。</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（2）承包人不得以任何名义为发包人及其工作人员报销应由发包人单位或个人支付的任何费用。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（3）承包人不得以任何理由安排发包人工作人员参加超标准宴请及娱乐活动。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（4）承包人不得为发包人单位和个人购置或提供通讯工具、交通工具和高档办公用品等。</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4.违约责任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6.本合同有效期为发包人和承包人签署之日起至该工程项目竣工验收后止。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7.本合同作为</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合同的附件，与工程施工合同具有同等的法律效力，经合同双方签署后立即生效。</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8.本合同一式四份，由发包人和承包人各执—份，送交发包人和承包人的监督单位各一份</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                               年   月   日</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发包人监督单位：</w:t>
      </w:r>
      <w:r>
        <w:rPr>
          <w:rFonts w:hint="eastAsia" w:ascii="宋体" w:hAnsi="宋体"/>
          <w:color w:val="000000" w:themeColor="text1"/>
          <w:sz w:val="24"/>
          <w:highlight w:val="none"/>
          <w:u w:val="single"/>
          <w14:textFill>
            <w14:solidFill>
              <w14:schemeClr w14:val="tx1"/>
            </w14:solidFill>
          </w14:textFill>
        </w:rPr>
        <w:t>（全称） （盖单位章）</w:t>
      </w:r>
      <w:r>
        <w:rPr>
          <w:rFonts w:hint="eastAsia" w:ascii="宋体" w:hAnsi="宋体"/>
          <w:color w:val="000000" w:themeColor="text1"/>
          <w:sz w:val="24"/>
          <w:highlight w:val="none"/>
          <w14:textFill>
            <w14:solidFill>
              <w14:schemeClr w14:val="tx1"/>
            </w14:solidFill>
          </w14:textFill>
        </w:rPr>
        <w:t xml:space="preserve">      承包人监督单位：</w:t>
      </w:r>
      <w:r>
        <w:rPr>
          <w:rFonts w:hint="eastAsia" w:ascii="宋体" w:hAnsi="宋体"/>
          <w:color w:val="000000" w:themeColor="text1"/>
          <w:sz w:val="24"/>
          <w:highlight w:val="none"/>
          <w:u w:val="single"/>
          <w14:textFill>
            <w14:solidFill>
              <w14:schemeClr w14:val="tx1"/>
            </w14:solidFill>
          </w14:textFill>
        </w:rPr>
        <w:t>（全称） （盖单位章）</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78" w:name="_Toc43476008"/>
      <w:bookmarkEnd w:id="1678"/>
      <w:bookmarkStart w:id="1679" w:name="_Toc505844506"/>
      <w:bookmarkEnd w:id="1679"/>
      <w:bookmarkStart w:id="1680" w:name="_Toc30177"/>
      <w:bookmarkEnd w:id="1680"/>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附件三   安全生产合同</w:t>
      </w:r>
    </w:p>
    <w:p>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安全生产合同</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color w:val="000000" w:themeColor="text1"/>
          <w:sz w:val="24"/>
          <w:highlight w:val="none"/>
          <w:u w:val="single"/>
          <w14:textFill>
            <w14:solidFill>
              <w14:schemeClr w14:val="tx1"/>
            </w14:solidFill>
          </w14:textFill>
        </w:rPr>
        <w:t xml:space="preserve">   (项目名称)   标类（或标段）     </w:t>
      </w:r>
      <w:r>
        <w:rPr>
          <w:rFonts w:hint="eastAsia" w:ascii="宋体" w:hAnsi="宋体"/>
          <w:color w:val="000000" w:themeColor="text1"/>
          <w:sz w:val="24"/>
          <w:highlight w:val="none"/>
          <w14:textFill>
            <w14:solidFill>
              <w14:schemeClr w14:val="tx1"/>
            </w14:solidFill>
          </w14:textFill>
        </w:rPr>
        <w:t>工程安全生产管理工作，明确项目参建各方的安全生产责任，促进实现工程项目安全管理目标，建设单位全称（以下简称“发包人”）与施工单位全称（以下简称“承包人”）特此签订安全生产合同：</w:t>
      </w:r>
    </w:p>
    <w:p>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1.发包人职责</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(1)编制工程招标文件及项目概算时，应确定保障建设工程安全作业环境及安全施工措施所需的安全生产费用，并不低于国家规定的标准。</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(2)按照有关规定对承包人的安全生产条件、安全生产信用情况、安全生产管理体系及保障措施等提出明确要求并检查实施情况。</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(3)开展工程项目安全生产条件核查，按规定组织风险评估。针对工程项目特点和风险评估情况制定项目生产安全事故综合应急预案，并定期组织演练。</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(4)按照法律法规及合同文件约定督促承包人落实安全生产责任，对承包人的安全生产工作统一协调、管理，定期进行安全检查，发现安全问题的，应当及时督促整改。</w:t>
      </w:r>
    </w:p>
    <w:p>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2.承包人职责</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(1)严格执行安全生产有关法律法规、规章及标准规范，落实合同、《广东省高速公路工程施工安全标准化指南》《公路工程施工安全防护设施技术指南》以及其他有关安全生产方面的规定和要求。</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(2)应具备相应的安全生产条件及安全生产资质，对施工现场的安全生产负主体责任，主要负责人依法对项目安全生产工作全面负责。</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(3)坚持国家安全生产方针、政策及原则，建立健全并落实项目安全生产管理制度、责任、组织机构等管理体系，配足符合资质条件的专职安全生产管理人员。</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(4)应保证本项目合同段所应具备的安全生产条件必需的资金投入，依法参加各类安全保险，保障从业人员安全生产方面的权利。</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(6)按规定编制危险性较大工程专项施工方案，按程序逐级审批，必要时应组织专家论证。</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(7)各类施工设备设施及用品、用具等应具备相关资质证书，定期检查维护，按规定及时报废；特种设备及支撑体系设施设备投入使用前应按规定组织验收。</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(8)两区三厂、临建设施等选址及相关防护设施的设置应符合安全要求。</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(9)建立施工现场及驻地消防安全责任制度，确定消防安全责任人，落实消防安全管理和消防安全检查，及时消除火灾事故隐患。</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(10)按规定建立并落实安全风险分级管控及事故隐患排查治理双重预防工作机制，并按要求开展各类安全生产检查，重大事故隐患及时上报和专项治理。</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(11)建立健全本项目合同段生产安全事故应急预案体系，并定期组织演练。</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(12)及时、如实报告生产安全事故。发生事故时，应立即组织抢救，并积极配合事故调查处理。</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(13)安全生产法律法规、政策等规定的其他职责。</w:t>
      </w:r>
    </w:p>
    <w:p>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3.违约责任</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如因发包人或承包人违约造成安全事故，将依法追究责任。</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4.本合同由双方法定代表人或其授权的代理人签署并加盖单位章后生效，全部工程竣工验收后失效。 .</w:t>
      </w:r>
    </w:p>
    <w:p>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5.本合同正本二份、副本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份，合同双方各执正本一份，副本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份，当正本与副本的内容不一致时，以正本为准。</w:t>
      </w:r>
    </w:p>
    <w:p>
      <w:pPr>
        <w:pStyle w:val="78"/>
        <w:spacing w:line="360" w:lineRule="auto"/>
        <w:rPr>
          <w:rFonts w:ascii="宋体" w:hAnsi="宋体"/>
          <w:color w:val="000000" w:themeColor="text1"/>
          <w:sz w:val="24"/>
          <w:szCs w:val="24"/>
          <w:highlight w:val="none"/>
          <w14:textFill>
            <w14:solidFill>
              <w14:schemeClr w14:val="tx1"/>
            </w14:solidFill>
          </w14:textFill>
        </w:rPr>
      </w:pPr>
    </w:p>
    <w:p>
      <w:pPr>
        <w:pStyle w:val="78"/>
        <w:spacing w:line="360" w:lineRule="auto"/>
        <w:rPr>
          <w:rFonts w:ascii="宋体" w:hAnsi="宋体"/>
          <w:color w:val="000000" w:themeColor="text1"/>
          <w:sz w:val="24"/>
          <w:szCs w:val="24"/>
          <w:highlight w:val="none"/>
          <w14:textFill>
            <w14:solidFill>
              <w14:schemeClr w14:val="tx1"/>
            </w14:solidFill>
          </w14:textFill>
        </w:rPr>
      </w:pPr>
    </w:p>
    <w:p>
      <w:pPr>
        <w:pStyle w:val="78"/>
        <w:spacing w:line="360" w:lineRule="auto"/>
        <w:rPr>
          <w:rFonts w:ascii="宋体" w:hAnsi="宋体"/>
          <w:color w:val="000000" w:themeColor="text1"/>
          <w:sz w:val="24"/>
          <w:szCs w:val="24"/>
          <w:highlight w:val="none"/>
          <w14:textFill>
            <w14:solidFill>
              <w14:schemeClr w14:val="tx1"/>
            </w14:solidFill>
          </w14:textFill>
        </w:rPr>
      </w:pPr>
    </w:p>
    <w:p>
      <w:pPr>
        <w:pStyle w:val="78"/>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发包人： (盖单位章)                         承包人： (盖单位章)</w:t>
      </w:r>
    </w:p>
    <w:p>
      <w:pPr>
        <w:pStyle w:val="78"/>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法定代表人或其委托代理人： (签字)           法定代表人或其委托代理人： (签字)</w:t>
      </w:r>
    </w:p>
    <w:p>
      <w:pPr>
        <w:pStyle w:val="78"/>
        <w:spacing w:line="360" w:lineRule="auto"/>
        <w:ind w:firstLine="720" w:firstLineChars="300"/>
        <w:rPr>
          <w:rFonts w:ascii="宋体" w:hAnsi="宋体"/>
          <w:color w:val="000000" w:themeColor="text1"/>
          <w:sz w:val="24"/>
          <w:szCs w:val="24"/>
          <w:highlight w:val="none"/>
          <w14:textFill>
            <w14:solidFill>
              <w14:schemeClr w14:val="tx1"/>
            </w14:solidFill>
          </w14:textFill>
        </w:rPr>
      </w:pPr>
      <w:bookmarkStart w:id="1681" w:name="_Toc17112"/>
      <w:bookmarkEnd w:id="1681"/>
      <w:bookmarkStart w:id="1682" w:name="_Toc43476009"/>
      <w:bookmarkEnd w:id="1682"/>
      <w:r>
        <w:rPr>
          <w:rFonts w:hint="eastAsia" w:ascii="宋体" w:hAnsi="宋体"/>
          <w:b w:val="0"/>
          <w:bCs w:val="0"/>
          <w:color w:val="000000" w:themeColor="text1"/>
          <w:sz w:val="24"/>
          <w:szCs w:val="24"/>
          <w:highlight w:val="none"/>
          <w14:textFill>
            <w14:solidFill>
              <w14:schemeClr w14:val="tx1"/>
            </w14:solidFill>
          </w14:textFill>
        </w:rPr>
        <w:t>年    月    日                               年    月    日</w:t>
      </w:r>
      <w:r>
        <w:rPr>
          <w:rFonts w:hint="eastAsia" w:ascii="宋体" w:hAnsi="宋体"/>
          <w:b w:val="0"/>
          <w:bCs w:val="0"/>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附件四   其他管理人员和技术人员最低要求</w:t>
      </w:r>
    </w:p>
    <w:p>
      <w:pPr>
        <w:rPr>
          <w:color w:val="000000" w:themeColor="text1"/>
          <w:highlight w:val="none"/>
          <w14:textFill>
            <w14:solidFill>
              <w14:schemeClr w14:val="tx1"/>
            </w14:solidFill>
          </w14:textFill>
        </w:rPr>
      </w:pPr>
    </w:p>
    <w:tbl>
      <w:tblPr>
        <w:tblStyle w:val="43"/>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pPr>
              <w:spacing w:line="276" w:lineRule="auto"/>
              <w:jc w:val="center"/>
              <w:rPr>
                <w:rFonts w:ascii="宋体" w:hAnsi="宋体"/>
                <w:color w:val="000000" w:themeColor="text1"/>
                <w:sz w:val="24"/>
                <w:highlight w:val="none"/>
                <w14:textFill>
                  <w14:solidFill>
                    <w14:schemeClr w14:val="tx1"/>
                  </w14:solidFill>
                </w14:textFill>
              </w:rPr>
            </w:pPr>
            <w:bookmarkStart w:id="1683" w:name="_Toc505844507"/>
            <w:r>
              <w:rPr>
                <w:rFonts w:hint="eastAsia" w:ascii="宋体" w:hAnsi="宋体"/>
                <w:color w:val="000000" w:themeColor="text1"/>
                <w:sz w:val="24"/>
                <w:highlight w:val="none"/>
                <w14:textFill>
                  <w14:solidFill>
                    <w14:schemeClr w14:val="tx1"/>
                  </w14:solidFill>
                </w14:textFill>
              </w:rPr>
              <w:t>人  员</w:t>
            </w:r>
          </w:p>
        </w:tc>
        <w:tc>
          <w:tcPr>
            <w:tcW w:w="1143" w:type="dxa"/>
            <w:tcBorders>
              <w:top w:val="single" w:color="auto" w:sz="12" w:space="0"/>
            </w:tcBorders>
            <w:vAlign w:val="center"/>
          </w:tcPr>
          <w:p>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  量</w:t>
            </w:r>
          </w:p>
        </w:tc>
        <w:tc>
          <w:tcPr>
            <w:tcW w:w="6488" w:type="dxa"/>
            <w:tcBorders>
              <w:top w:val="single" w:color="auto" w:sz="12" w:space="0"/>
            </w:tcBorders>
            <w:vAlign w:val="center"/>
          </w:tcPr>
          <w:p>
            <w:pPr>
              <w:spacing w:line="276"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pStyle w:val="54"/>
              <w:rPr>
                <w:color w:val="000000" w:themeColor="text1"/>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pPr>
              <w:spacing w:line="276" w:lineRule="auto"/>
              <w:rPr>
                <w:rFonts w:ascii="宋体" w:hAnsi="宋体"/>
                <w:color w:val="000000" w:themeColor="text1"/>
                <w:sz w:val="24"/>
                <w:highlight w:val="none"/>
                <w14:textFill>
                  <w14:solidFill>
                    <w14:schemeClr w14:val="tx1"/>
                  </w14:solidFill>
                </w14:textFill>
              </w:rPr>
            </w:pPr>
          </w:p>
        </w:tc>
        <w:tc>
          <w:tcPr>
            <w:tcW w:w="1143" w:type="dxa"/>
            <w:tcBorders>
              <w:bottom w:val="single" w:color="auto" w:sz="12" w:space="0"/>
            </w:tcBorders>
            <w:vAlign w:val="center"/>
          </w:tcPr>
          <w:p>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tcBorders>
              <w:bottom w:val="single" w:color="auto" w:sz="12" w:space="0"/>
            </w:tcBorders>
            <w:vAlign w:val="center"/>
          </w:tcPr>
          <w:p>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注：本表所要求人员须按招标文件投标函的格式承诺，中标人在进场前向招标人提交实际投入的人员。</w:t>
      </w:r>
    </w:p>
    <w:p>
      <w:pPr>
        <w:pStyle w:val="78"/>
        <w:spacing w:line="360" w:lineRule="auto"/>
        <w:rPr>
          <w:rFonts w:ascii="宋体" w:hAnsi="宋体"/>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bookmarkEnd w:id="1683"/>
    <w:p>
      <w:pPr>
        <w:pStyle w:val="78"/>
        <w:spacing w:line="360" w:lineRule="auto"/>
        <w:rPr>
          <w:rFonts w:ascii="宋体" w:hAnsi="宋体"/>
          <w:color w:val="000000" w:themeColor="text1"/>
          <w:sz w:val="24"/>
          <w:szCs w:val="24"/>
          <w:highlight w:val="none"/>
          <w14:textFill>
            <w14:solidFill>
              <w14:schemeClr w14:val="tx1"/>
            </w14:solidFill>
          </w14:textFill>
        </w:rPr>
      </w:pPr>
      <w:bookmarkStart w:id="1684" w:name="_Toc26675"/>
      <w:bookmarkEnd w:id="1684"/>
      <w:bookmarkStart w:id="1685" w:name="_Toc43476011"/>
      <w:bookmarkEnd w:id="1685"/>
      <w:bookmarkStart w:id="1686" w:name="_Toc43476010"/>
      <w:bookmarkEnd w:id="1686"/>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附件五   主要设备最低要求</w:t>
      </w:r>
    </w:p>
    <w:tbl>
      <w:tblPr>
        <w:tblStyle w:val="43"/>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53"/>
        <w:rPr>
          <w:rFonts w:ascii="宋体" w:hAnsi="宋体"/>
          <w:color w:val="000000" w:themeColor="text1"/>
          <w:sz w:val="24"/>
          <w:highlight w:val="none"/>
          <w14:textFill>
            <w14:solidFill>
              <w14:schemeClr w14:val="tx1"/>
            </w14:solidFill>
          </w14:textFill>
        </w:rPr>
      </w:pPr>
    </w:p>
    <w:p>
      <w:pPr>
        <w:pStyle w:val="80"/>
        <w:spacing w:before="81"/>
        <w:ind w:right="164"/>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注：1、本表所要求的主要机械设备和试验检测设备须按招标文件投标函的格式承诺，中标人在进场前向招标人提交实际投入的机械设备。</w:t>
      </w:r>
    </w:p>
    <w:p>
      <w:pPr>
        <w:pStyle w:val="80"/>
        <w:spacing w:before="81"/>
        <w:ind w:right="164"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2、招标人有权根据标段的工程特点、工程量及工程进度情况要求增加相应的施工设备，由此不存在索赔问题</w:t>
      </w:r>
      <w:r>
        <w:rPr>
          <w:rFonts w:hint="eastAsia" w:ascii="宋体" w:hAnsi="宋体" w:cs="宋体"/>
          <w:color w:val="000000" w:themeColor="text1"/>
          <w:sz w:val="24"/>
          <w:highlight w:val="none"/>
          <w14:textFill>
            <w14:solidFill>
              <w14:schemeClr w14:val="tx1"/>
            </w14:solidFill>
          </w14:textFill>
        </w:rPr>
        <w:t>。</w:t>
      </w:r>
    </w:p>
    <w:p>
      <w:pPr>
        <w:pStyle w:val="3"/>
        <w:rPr>
          <w:color w:val="000000" w:themeColor="text1"/>
          <w:highlight w:val="none"/>
          <w14:textFill>
            <w14:solidFill>
              <w14:schemeClr w14:val="tx1"/>
            </w14:solidFill>
          </w14:textFill>
        </w:rPr>
      </w:pPr>
      <w:bookmarkStart w:id="1687" w:name="_Toc16658"/>
      <w:bookmarkEnd w:id="1687"/>
      <w:bookmarkStart w:id="1688" w:name="_Toc505844508"/>
      <w:bookmarkEnd w:id="1688"/>
      <w:bookmarkStart w:id="1689" w:name="_Toc43476012"/>
      <w:bookmarkEnd w:id="1689"/>
      <w:r>
        <w:rPr>
          <w:rFonts w:hint="eastAsia"/>
          <w:color w:val="000000" w:themeColor="text1"/>
          <w:highlight w:val="none"/>
          <w14:textFill>
            <w14:solidFill>
              <w14:schemeClr w14:val="tx1"/>
            </w14:solidFill>
          </w14:textFill>
        </w:rPr>
        <w:br w:type="page"/>
      </w:r>
      <w:r>
        <w:rPr>
          <w:rFonts w:hint="eastAsia"/>
          <w:color w:val="000000" w:themeColor="text1"/>
          <w:sz w:val="24"/>
          <w:szCs w:val="24"/>
          <w:highlight w:val="none"/>
          <w14:textFill>
            <w14:solidFill>
              <w14:schemeClr w14:val="tx1"/>
            </w14:solidFill>
          </w14:textFill>
        </w:rPr>
        <w:t>附件六  项目经理委托书</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p>
    <w:p>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项目经理委任书</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（发包人全称</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（职务、姓名）</w:t>
      </w:r>
      <w:r>
        <w:rPr>
          <w:rFonts w:hint="eastAsia" w:ascii="宋体" w:hAnsi="宋体"/>
          <w:color w:val="000000" w:themeColor="text1"/>
          <w:sz w:val="24"/>
          <w:highlight w:val="none"/>
          <w14:textFill>
            <w14:solidFill>
              <w14:schemeClr w14:val="tx1"/>
            </w14:solidFill>
          </w14:textFill>
        </w:rPr>
        <w:t xml:space="preserve"> 代表本单位委任 </w:t>
      </w:r>
      <w:r>
        <w:rPr>
          <w:rFonts w:hint="eastAsia" w:ascii="宋体" w:hAnsi="宋体"/>
          <w:color w:val="000000" w:themeColor="text1"/>
          <w:sz w:val="24"/>
          <w:highlight w:val="none"/>
          <w:u w:val="single"/>
          <w14:textFill>
            <w14:solidFill>
              <w14:schemeClr w14:val="tx1"/>
            </w14:solidFill>
          </w14:textFill>
        </w:rPr>
        <w:t>（职务、姓名）</w:t>
      </w:r>
      <w:r>
        <w:rPr>
          <w:rFonts w:hint="eastAsia" w:ascii="宋体" w:hAnsi="宋体"/>
          <w:color w:val="000000" w:themeColor="text1"/>
          <w:sz w:val="24"/>
          <w:highlight w:val="none"/>
          <w14:textFill>
            <w14:solidFill>
              <w14:schemeClr w14:val="tx1"/>
            </w14:solidFill>
          </w14:textFill>
        </w:rPr>
        <w:t xml:space="preserve"> 为</w:t>
      </w: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sz w:val="24"/>
          <w:highlight w:val="none"/>
          <w:u w:val="single"/>
          <w14:textFill>
            <w14:solidFill>
              <w14:schemeClr w14:val="tx1"/>
            </w14:solidFill>
          </w14:textFill>
        </w:rPr>
        <w:t xml:space="preserve"> （姓名） </w:t>
      </w:r>
      <w:r>
        <w:rPr>
          <w:rFonts w:hint="eastAsia" w:ascii="宋体" w:hAnsi="宋体"/>
          <w:color w:val="000000" w:themeColor="text1"/>
          <w:sz w:val="24"/>
          <w:highlight w:val="none"/>
          <w14:textFill>
            <w14:solidFill>
              <w14:schemeClr w14:val="tx1"/>
            </w14:solidFill>
          </w14:textFill>
        </w:rPr>
        <w:t>代表本单位全面负责。</w:t>
      </w:r>
    </w:p>
    <w:p>
      <w:pPr>
        <w:spacing w:line="400" w:lineRule="exact"/>
        <w:rPr>
          <w:rFonts w:ascii="宋体" w:hAnsi="宋体"/>
          <w:color w:val="000000" w:themeColor="text1"/>
          <w:sz w:val="24"/>
          <w:highlight w:val="none"/>
          <w14:textFill>
            <w14:solidFill>
              <w14:schemeClr w14:val="tx1"/>
            </w14:solidFill>
          </w14:textFill>
        </w:rPr>
      </w:pPr>
    </w:p>
    <w:p>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wordWrap w:val="0"/>
        <w:spacing w:line="400" w:lineRule="exact"/>
        <w:jc w:val="center"/>
        <w:rPr>
          <w:rFonts w:ascii="宋体" w:hAnsi="宋体"/>
          <w:color w:val="000000" w:themeColor="text1"/>
          <w:sz w:val="24"/>
          <w:highlight w:val="none"/>
          <w14:textFill>
            <w14:solidFill>
              <w14:schemeClr w14:val="tx1"/>
            </w14:solidFill>
          </w14:textFill>
        </w:rPr>
      </w:pPr>
    </w:p>
    <w:p>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承包人：（盖单位章）</w:t>
      </w:r>
    </w:p>
    <w:p>
      <w:pPr>
        <w:wordWrap w:val="0"/>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 </w:t>
      </w:r>
    </w:p>
    <w:p>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（姓名） </w:t>
      </w:r>
    </w:p>
    <w:p>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（签字） </w:t>
      </w:r>
    </w:p>
    <w:p>
      <w:pPr>
        <w:spacing w:line="400" w:lineRule="exact"/>
        <w:rPr>
          <w:rFonts w:ascii="宋体" w:hAnsi="宋体"/>
          <w:color w:val="000000" w:themeColor="text1"/>
          <w:sz w:val="24"/>
          <w:highlight w:val="none"/>
          <w14:textFill>
            <w14:solidFill>
              <w14:schemeClr w14:val="tx1"/>
            </w14:solidFill>
          </w14:textFill>
        </w:rPr>
      </w:pPr>
    </w:p>
    <w:p>
      <w:pPr>
        <w:wordWrap w:val="0"/>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400" w:lineRule="exact"/>
        <w:rPr>
          <w:rFonts w:ascii="宋体" w:hAnsi="宋体"/>
          <w:color w:val="000000" w:themeColor="text1"/>
          <w:sz w:val="24"/>
          <w:highlight w:val="none"/>
          <w14:textFill>
            <w14:solidFill>
              <w14:schemeClr w14:val="tx1"/>
            </w14:solidFill>
          </w14:textFill>
        </w:rPr>
      </w:pPr>
    </w:p>
    <w:p>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抄送：</w:t>
      </w:r>
      <w:r>
        <w:rPr>
          <w:rFonts w:hint="eastAsia" w:ascii="宋体" w:hAnsi="宋体"/>
          <w:color w:val="000000" w:themeColor="text1"/>
          <w:sz w:val="24"/>
          <w:highlight w:val="none"/>
          <w:u w:val="single"/>
          <w14:textFill>
            <w14:solidFill>
              <w14:schemeClr w14:val="tx1"/>
            </w14:solidFill>
          </w14:textFill>
        </w:rPr>
        <w:t xml:space="preserve">  （监理人）</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90" w:name="_Toc505844509"/>
      <w:bookmarkEnd w:id="1690"/>
      <w:bookmarkStart w:id="1691" w:name="_Toc505608633"/>
      <w:bookmarkEnd w:id="1691"/>
      <w:bookmarkStart w:id="1692" w:name="_Toc43476013"/>
      <w:bookmarkEnd w:id="1692"/>
      <w:bookmarkStart w:id="1693" w:name="_Toc21137"/>
      <w:bookmarkEnd w:id="1693"/>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 xml:space="preserve">七   </w:t>
      </w:r>
      <w:r>
        <w:rPr>
          <w:rFonts w:ascii="宋体" w:hAnsi="宋体"/>
          <w:color w:val="000000" w:themeColor="text1"/>
          <w:sz w:val="24"/>
          <w:szCs w:val="24"/>
          <w:highlight w:val="none"/>
          <w14:textFill>
            <w14:solidFill>
              <w14:schemeClr w14:val="tx1"/>
            </w14:solidFill>
          </w14:textFill>
        </w:rPr>
        <w:t>履约担保格式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如采用银行保函，格式如下。</w:t>
      </w: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履约保证金</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（发包人名称）：</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鉴于（发包人名称，以下简称“发包人”）接受（承包人名称）（以下称“承包人”）于</w:t>
      </w:r>
      <w:r>
        <w:rPr>
          <w:rFonts w:hint="eastAsia" w:ascii="宋体" w:hAnsi="宋体"/>
          <w:color w:val="000000" w:themeColor="text1"/>
          <w:sz w:val="24"/>
          <w:highlight w:val="none"/>
          <w:u w:val="single"/>
          <w14:textFill>
            <w14:solidFill>
              <w14:schemeClr w14:val="tx1"/>
            </w14:solidFill>
          </w14:textFill>
        </w:rPr>
        <w:t xml:space="preserve">     年   月   日</w:t>
      </w:r>
      <w:r>
        <w:rPr>
          <w:rFonts w:ascii="宋体" w:hAnsi="宋体"/>
          <w:color w:val="000000" w:themeColor="text1"/>
          <w:sz w:val="24"/>
          <w:highlight w:val="none"/>
          <w14:textFill>
            <w14:solidFill>
              <w14:schemeClr w14:val="tx1"/>
            </w14:solidFill>
          </w14:textFill>
        </w:rPr>
        <w:t>参加</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的投标。我方愿意无条件地、不可撤销地就承包人履行与你方订立的合同，向你方提供担保。</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1.担保金额人民币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2.担保有效期自发包人与承包人签订的合同生效之日起至发包人签发</w:t>
      </w:r>
      <w:r>
        <w:rPr>
          <w:rFonts w:hint="eastAsia" w:ascii="宋体" w:hAnsi="宋体"/>
          <w:color w:val="000000" w:themeColor="text1"/>
          <w:sz w:val="24"/>
          <w:highlight w:val="none"/>
          <w14:textFill>
            <w14:solidFill>
              <w14:schemeClr w14:val="tx1"/>
            </w14:solidFill>
          </w14:textFill>
        </w:rPr>
        <w:t>交工验收</w:t>
      </w:r>
      <w:r>
        <w:rPr>
          <w:rFonts w:ascii="宋体" w:hAnsi="宋体"/>
          <w:color w:val="000000" w:themeColor="text1"/>
          <w:sz w:val="24"/>
          <w:highlight w:val="none"/>
          <w14:textFill>
            <w14:solidFill>
              <w14:schemeClr w14:val="tx1"/>
            </w14:solidFill>
          </w14:textFill>
        </w:rPr>
        <w:t>证书</w:t>
      </w:r>
      <w:r>
        <w:rPr>
          <w:rFonts w:hint="eastAsia" w:ascii="宋体" w:hAnsi="宋体"/>
          <w:color w:val="000000" w:themeColor="text1"/>
          <w:sz w:val="24"/>
          <w:highlight w:val="none"/>
          <w14:textFill>
            <w14:solidFill>
              <w14:schemeClr w14:val="tx1"/>
            </w14:solidFill>
          </w14:textFill>
        </w:rPr>
        <w:t>且承包人按照合同约定缴纳质量保证金</w:t>
      </w:r>
      <w:r>
        <w:rPr>
          <w:rFonts w:ascii="宋体" w:hAnsi="宋体"/>
          <w:color w:val="000000" w:themeColor="text1"/>
          <w:sz w:val="24"/>
          <w:highlight w:val="none"/>
          <w14:textFill>
            <w14:solidFill>
              <w14:schemeClr w14:val="tx1"/>
            </w14:solidFill>
          </w14:textFill>
        </w:rPr>
        <w:t>之日止。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highlight w:val="none"/>
          <w14:textFill>
            <w14:solidFill>
              <w14:schemeClr w14:val="tx1"/>
            </w14:solidFill>
          </w14:textFill>
        </w:rPr>
        <w:t>，无须你方出具证明或陈述理由</w:t>
      </w:r>
      <w:r>
        <w:rPr>
          <w:rFonts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4.发包人和承包人按</w:t>
      </w:r>
      <w:r>
        <w:rPr>
          <w:rFonts w:hint="eastAsia" w:ascii="宋体" w:hAnsi="宋体"/>
          <w:color w:val="000000" w:themeColor="text1"/>
          <w:sz w:val="24"/>
          <w:highlight w:val="none"/>
          <w14:textFill>
            <w14:solidFill>
              <w14:schemeClr w14:val="tx1"/>
            </w14:solidFill>
          </w14:textFill>
        </w:rPr>
        <w:t>合同条款</w:t>
      </w:r>
      <w:r>
        <w:rPr>
          <w:rFonts w:ascii="宋体" w:hAnsi="宋体"/>
          <w:color w:val="000000" w:themeColor="text1"/>
          <w:sz w:val="24"/>
          <w:highlight w:val="none"/>
          <w14:textFill>
            <w14:solidFill>
              <w14:schemeClr w14:val="tx1"/>
            </w14:solidFill>
          </w14:textFill>
        </w:rPr>
        <w:t>第15条变更合同时，</w:t>
      </w:r>
      <w:r>
        <w:rPr>
          <w:rFonts w:hint="eastAsia" w:ascii="宋体" w:hAnsi="宋体"/>
          <w:color w:val="000000" w:themeColor="text1"/>
          <w:sz w:val="24"/>
          <w:highlight w:val="none"/>
          <w14:textFill>
            <w14:solidFill>
              <w14:schemeClr w14:val="tx1"/>
            </w14:solidFill>
          </w14:textFill>
        </w:rPr>
        <w:t>无论我方是否收到该变更，</w:t>
      </w:r>
      <w:r>
        <w:rPr>
          <w:rFonts w:ascii="宋体" w:hAnsi="宋体"/>
          <w:color w:val="000000" w:themeColor="text1"/>
          <w:sz w:val="24"/>
          <w:highlight w:val="none"/>
          <w14:textFill>
            <w14:solidFill>
              <w14:schemeClr w14:val="tx1"/>
            </w14:solidFill>
          </w14:textFill>
        </w:rPr>
        <w:t>我方承担本担保规定的义务不变。</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担保人：（盖单位章）</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法定代表人或其委托代理人：（签字）</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地址：</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电话：</w:t>
      </w:r>
    </w:p>
    <w:p>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传真：</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94" w:name="_Toc43476014"/>
      <w:bookmarkEnd w:id="1694"/>
      <w:bookmarkStart w:id="1695" w:name="_Toc505844510"/>
      <w:bookmarkEnd w:id="1695"/>
      <w:bookmarkStart w:id="1696" w:name="_Toc9453"/>
      <w:bookmarkEnd w:id="1696"/>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八   工程资金监管协议</w:t>
      </w:r>
      <w:r>
        <w:rPr>
          <w:rFonts w:ascii="宋体" w:hAnsi="宋体"/>
          <w:color w:val="000000" w:themeColor="text1"/>
          <w:sz w:val="24"/>
          <w:szCs w:val="24"/>
          <w:highlight w:val="none"/>
          <w14:textFill>
            <w14:solidFill>
              <w14:schemeClr w14:val="tx1"/>
            </w14:solidFill>
          </w14:textFill>
        </w:rPr>
        <w:t>格式</w:t>
      </w: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工程资金监管协议</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 包 人：（以下简称“甲方”）</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包 人：（以下简称“乙方”）</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经办银行：（以下简称“丙方”）</w:t>
      </w:r>
    </w:p>
    <w:p>
      <w:pPr>
        <w:rPr>
          <w:rFonts w:ascii="宋体" w:hAnsi="宋体"/>
          <w:color w:val="000000" w:themeColor="text1"/>
          <w:sz w:val="24"/>
          <w:highlight w:val="none"/>
          <w14:textFill>
            <w14:solidFill>
              <w14:schemeClr w14:val="tx1"/>
            </w14:solidFill>
          </w14:textFill>
        </w:rPr>
      </w:pP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为了促进（项目名称）的顺利实施，管好用好建设资金，确保工程资金专款专用，同时为承包人提供便捷有效的银行业务服务，根据</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合同条款有关规定，经甲、乙、丙三方协商，达成协议如下：</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资金管理的内容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（1）乙方为完成</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工程成立的项目经理部在丙方开设基本结算户；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（2）甲方应按合同规定将工程款汇入乙方在丙方开设的账户；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（3）乙方应将流动资金及甲方所拨付资金专项用于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（4）丙方应为乙方提供便捷有效的银行业务服务，并接受甲方委托对乙方在丙方开设的基本结算户资金使用情况进行监督。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（1）按照（项目名称）合同有关条款规定的时间和方式，向乙方支付工程款；</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（2）在发现乙方将本项目资金挪用、转移时，甲方有权中止工程支付，直至乙方改正为止；</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（3）不定期审查丙方对乙方的资金使用监督情况，如丙方不能履行其责任，甲方有权随时终止本协议；</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（4）在乙、丙双方发生争议时，甲方应负责协调、解决。</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（1）项目经理部成立以后，乙方应尽快在丙方开设基本结算户；</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（3）办理材料、设备等采购业务金额在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万元以上的，应出示购货合同、协议和发票；在办理总额超过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（4）用银行转账支票办理支付款项时，必须将转账支票送交丙方，由丙方负责办理支票转付手续；</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（5）向分包单位支付工程进度款时，应附甲方批准分包的文件；</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4.丙方的权责</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（1）成立</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工程资金管理服务小组，明确业务流程，提高工作效率，杜绝“压票”现象；</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（2）根据乙方提供的购货合同、协议和发票，检查其所购材料、设备是否用于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工程建设，对本标段以外的购货款项，有权拒绝办理，并及时报告甲方；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（5）定期将乙方前一个周期的支付情况，整理后书面报送甲方；乙方复印备案的材料一并送甲方。</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5.甲、乙、丙三方都应履行保密责任，不得将其他两方的业务情况透露给三方以外的其他单位或个人。</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6.本协议有效期自乙方在丙方开户起，至工程交工验收甲方向乙方颁发交工验收证书后结束。</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7.本协议未尽事宜，由甲方牵头，三方协商解决。</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8.本协议正本三份、副本份。合同三方各执正本一份、副本份，当正本与副本内容不一致时，以正本为准。</w:t>
      </w:r>
    </w:p>
    <w:p>
      <w:pPr>
        <w:spacing w:line="360" w:lineRule="exact"/>
        <w:ind w:firstLine="465"/>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经办银行：（盖单位章）</w:t>
      </w:r>
    </w:p>
    <w:p>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pPr>
        <w:spacing w:line="360" w:lineRule="exact"/>
        <w:ind w:firstLine="465"/>
        <w:rPr>
          <w:rFonts w:ascii="宋体" w:hAnsi="宋体"/>
          <w:color w:val="000000" w:themeColor="text1"/>
          <w:sz w:val="24"/>
          <w:highlight w:val="none"/>
          <w14:textFill>
            <w14:solidFill>
              <w14:schemeClr w14:val="tx1"/>
            </w14:solidFill>
          </w14:textFill>
        </w:rPr>
        <w:sectPr>
          <w:footerReference r:id="rId10" w:type="first"/>
          <w:footerReference r:id="rId9"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年   月   日</w:t>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697" w:name="_Toc452498666"/>
      <w:bookmarkEnd w:id="1697"/>
      <w:bookmarkStart w:id="1698" w:name="_Toc451261387"/>
      <w:bookmarkEnd w:id="1698"/>
      <w:bookmarkStart w:id="1699" w:name="_Toc198"/>
      <w:bookmarkEnd w:id="1699"/>
      <w:bookmarkStart w:id="1700" w:name="_Toc43476015"/>
      <w:bookmarkEnd w:id="1700"/>
      <w:bookmarkStart w:id="1701" w:name="_Toc452498896"/>
      <w:bookmarkEnd w:id="1701"/>
      <w:bookmarkStart w:id="1702" w:name="_Toc453056969"/>
      <w:bookmarkEnd w:id="1702"/>
      <w:bookmarkStart w:id="1703" w:name="_Toc453057197"/>
      <w:bookmarkEnd w:id="1703"/>
      <w:bookmarkStart w:id="1704" w:name="_Toc9003"/>
      <w:bookmarkEnd w:id="1704"/>
      <w:r>
        <w:rPr>
          <w:rFonts w:hint="eastAsia" w:ascii="宋体" w:hAnsi="宋体"/>
          <w:color w:val="000000" w:themeColor="text1"/>
          <w:sz w:val="24"/>
          <w:szCs w:val="24"/>
          <w:highlight w:val="none"/>
          <w14:textFill>
            <w14:solidFill>
              <w14:schemeClr w14:val="tx1"/>
            </w14:solidFill>
          </w14:textFill>
        </w:rPr>
        <w:t>附件九  特殊材料设备供应一览表</w:t>
      </w:r>
    </w:p>
    <w:p>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特殊材料设备供应一览表</w:t>
      </w:r>
    </w:p>
    <w:tbl>
      <w:tblPr>
        <w:tblStyle w:val="43"/>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76"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c>
          <w:tcPr>
            <w:tcW w:w="992"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2"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709"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992"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r>
    </w:tbl>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705" w:name="_Toc43476016"/>
      <w:bookmarkEnd w:id="1705"/>
      <w:r>
        <w:rPr>
          <w:rFonts w:hint="eastAsia" w:ascii="宋体" w:hAnsi="宋体"/>
          <w:color w:val="000000" w:themeColor="text1"/>
          <w:sz w:val="24"/>
          <w:szCs w:val="24"/>
          <w:highlight w:val="none"/>
          <w14:textFill>
            <w14:solidFill>
              <w14:schemeClr w14:val="tx1"/>
            </w14:solidFill>
          </w14:textFill>
        </w:rPr>
        <w:t>附件十  统一采购供应材料一览表</w:t>
      </w:r>
    </w:p>
    <w:p>
      <w:pPr>
        <w:pStyle w:val="68"/>
        <w:rPr>
          <w:rFonts w:ascii="宋体" w:hAnsi="宋体" w:cs="宋体"/>
          <w:color w:val="000000" w:themeColor="text1"/>
          <w:sz w:val="24"/>
          <w:highlight w:val="none"/>
          <w14:textFill>
            <w14:solidFill>
              <w14:schemeClr w14:val="tx1"/>
            </w14:solidFill>
          </w14:textFill>
        </w:rPr>
      </w:pPr>
    </w:p>
    <w:tbl>
      <w:tblPr>
        <w:tblStyle w:val="43"/>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559"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到达工地价格（元）</w:t>
            </w:r>
          </w:p>
        </w:tc>
        <w:tc>
          <w:tcPr>
            <w:tcW w:w="992"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3"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8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709"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pPr>
              <w:pStyle w:val="68"/>
              <w:rPr>
                <w:rFonts w:ascii="宋体" w:hAnsi="宋体" w:cs="宋体"/>
                <w:color w:val="000000" w:themeColor="text1"/>
                <w:sz w:val="28"/>
                <w:szCs w:val="28"/>
                <w:highlight w:val="none"/>
                <w14:textFill>
                  <w14:solidFill>
                    <w14:schemeClr w14:val="tx1"/>
                  </w14:solidFill>
                </w14:textFill>
              </w:rPr>
            </w:pPr>
          </w:p>
        </w:tc>
        <w:tc>
          <w:tcPr>
            <w:tcW w:w="708" w:type="dxa"/>
          </w:tcPr>
          <w:p>
            <w:pPr>
              <w:pStyle w:val="68"/>
              <w:rPr>
                <w:rFonts w:ascii="宋体" w:hAnsi="宋体" w:cs="宋体"/>
                <w:color w:val="000000" w:themeColor="text1"/>
                <w:sz w:val="28"/>
                <w:szCs w:val="28"/>
                <w:highlight w:val="none"/>
                <w14:textFill>
                  <w14:solidFill>
                    <w14:schemeClr w14:val="tx1"/>
                  </w14:solidFill>
                </w14:textFill>
              </w:rPr>
            </w:pPr>
          </w:p>
        </w:tc>
        <w:tc>
          <w:tcPr>
            <w:tcW w:w="851" w:type="dxa"/>
          </w:tcPr>
          <w:p>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pPr>
              <w:pStyle w:val="68"/>
              <w:rPr>
                <w:rFonts w:ascii="宋体" w:hAnsi="宋体" w:cs="宋体"/>
                <w:color w:val="000000" w:themeColor="text1"/>
                <w:sz w:val="28"/>
                <w:szCs w:val="28"/>
                <w:highlight w:val="none"/>
                <w14:textFill>
                  <w14:solidFill>
                    <w14:schemeClr w14:val="tx1"/>
                  </w14:solidFill>
                </w14:textFill>
              </w:rPr>
            </w:pPr>
          </w:p>
        </w:tc>
        <w:tc>
          <w:tcPr>
            <w:tcW w:w="992" w:type="dxa"/>
          </w:tcPr>
          <w:p>
            <w:pPr>
              <w:pStyle w:val="68"/>
              <w:rPr>
                <w:rFonts w:ascii="宋体" w:hAnsi="宋体" w:cs="宋体"/>
                <w:color w:val="000000" w:themeColor="text1"/>
                <w:sz w:val="28"/>
                <w:szCs w:val="28"/>
                <w:highlight w:val="none"/>
                <w14:textFill>
                  <w14:solidFill>
                    <w14:schemeClr w14:val="tx1"/>
                  </w14:solidFill>
                </w14:textFill>
              </w:rPr>
            </w:pPr>
          </w:p>
        </w:tc>
        <w:tc>
          <w:tcPr>
            <w:tcW w:w="993" w:type="dxa"/>
          </w:tcPr>
          <w:p>
            <w:pPr>
              <w:pStyle w:val="68"/>
              <w:rPr>
                <w:rFonts w:ascii="宋体" w:hAnsi="宋体" w:cs="宋体"/>
                <w:color w:val="000000" w:themeColor="text1"/>
                <w:sz w:val="28"/>
                <w:szCs w:val="28"/>
                <w:highlight w:val="none"/>
                <w14:textFill>
                  <w14:solidFill>
                    <w14:schemeClr w14:val="tx1"/>
                  </w14:solidFill>
                </w14:textFill>
              </w:rPr>
            </w:pPr>
          </w:p>
        </w:tc>
        <w:tc>
          <w:tcPr>
            <w:tcW w:w="850" w:type="dxa"/>
          </w:tcPr>
          <w:p>
            <w:pPr>
              <w:pStyle w:val="68"/>
              <w:rPr>
                <w:rFonts w:ascii="宋体" w:hAnsi="宋体" w:cs="宋体"/>
                <w:color w:val="000000" w:themeColor="text1"/>
                <w:sz w:val="28"/>
                <w:szCs w:val="28"/>
                <w:highlight w:val="none"/>
                <w14:textFill>
                  <w14:solidFill>
                    <w14:schemeClr w14:val="tx1"/>
                  </w14:solidFill>
                </w14:textFill>
              </w:rPr>
            </w:pPr>
          </w:p>
        </w:tc>
        <w:tc>
          <w:tcPr>
            <w:tcW w:w="709" w:type="dxa"/>
          </w:tcPr>
          <w:p>
            <w:pPr>
              <w:pStyle w:val="68"/>
              <w:rPr>
                <w:rFonts w:ascii="宋体" w:hAnsi="宋体" w:cs="宋体"/>
                <w:color w:val="000000" w:themeColor="text1"/>
                <w:sz w:val="28"/>
                <w:szCs w:val="28"/>
                <w:highlight w:val="none"/>
                <w14:textFill>
                  <w14:solidFill>
                    <w14:schemeClr w14:val="tx1"/>
                  </w14:solidFill>
                </w14:textFill>
              </w:rPr>
            </w:pPr>
          </w:p>
        </w:tc>
      </w:tr>
    </w:tbl>
    <w:p>
      <w:pPr>
        <w:pStyle w:val="68"/>
        <w:rPr>
          <w:rFonts w:ascii="宋体" w:hAnsi="宋体" w:cs="宋体"/>
          <w:color w:val="000000" w:themeColor="text1"/>
          <w:sz w:val="28"/>
          <w:szCs w:val="28"/>
          <w:highlight w:val="none"/>
          <w14:textFill>
            <w14:solidFill>
              <w14:schemeClr w14:val="tx1"/>
            </w14:solidFill>
          </w14:textFill>
        </w:rPr>
      </w:pPr>
    </w:p>
    <w:p>
      <w:pPr>
        <w:pStyle w:val="68"/>
        <w:rPr>
          <w:rFonts w:ascii="宋体" w:hAnsi="宋体" w:cs="宋体"/>
          <w:color w:val="000000" w:themeColor="text1"/>
          <w:sz w:val="28"/>
          <w:szCs w:val="28"/>
          <w:highlight w:val="none"/>
          <w14:textFill>
            <w14:solidFill>
              <w14:schemeClr w14:val="tx1"/>
            </w14:solidFill>
          </w14:textFill>
        </w:rPr>
      </w:pPr>
    </w:p>
    <w:p>
      <w:pPr>
        <w:pStyle w:val="68"/>
        <w:rPr>
          <w:rFonts w:ascii="宋体" w:hAnsi="宋体" w:cs="宋体"/>
          <w:color w:val="000000" w:themeColor="text1"/>
          <w:sz w:val="28"/>
          <w:szCs w:val="28"/>
          <w:highlight w:val="none"/>
          <w14:textFill>
            <w14:solidFill>
              <w14:schemeClr w14:val="tx1"/>
            </w14:solidFill>
          </w14:textFill>
        </w:rPr>
      </w:pPr>
    </w:p>
    <w:p>
      <w:pPr>
        <w:pStyle w:val="68"/>
        <w:rPr>
          <w:rFonts w:ascii="宋体" w:hAnsi="宋体" w:cs="宋体"/>
          <w:color w:val="000000" w:themeColor="text1"/>
          <w:sz w:val="28"/>
          <w:szCs w:val="28"/>
          <w:highlight w:val="none"/>
          <w14:textFill>
            <w14:solidFill>
              <w14:schemeClr w14:val="tx1"/>
            </w14:solidFill>
          </w14:textFill>
        </w:rPr>
      </w:pP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706" w:name="_Toc453057198"/>
      <w:bookmarkEnd w:id="1706"/>
      <w:bookmarkStart w:id="1707" w:name="_Toc452498667"/>
      <w:bookmarkEnd w:id="1707"/>
      <w:bookmarkStart w:id="1708" w:name="_Toc451261388"/>
      <w:bookmarkEnd w:id="1708"/>
      <w:bookmarkStart w:id="1709" w:name="_Toc43476017"/>
      <w:bookmarkEnd w:id="1709"/>
      <w:bookmarkStart w:id="1710" w:name="_Toc14336"/>
      <w:bookmarkEnd w:id="1710"/>
      <w:bookmarkStart w:id="1711" w:name="_Toc452498897"/>
      <w:bookmarkEnd w:id="1711"/>
      <w:bookmarkStart w:id="1712" w:name="_Toc16722"/>
      <w:bookmarkEnd w:id="1712"/>
      <w:bookmarkStart w:id="1713" w:name="_Toc453056970"/>
      <w:bookmarkEnd w:id="1713"/>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附件十一  承包人违约金一览表</w:t>
      </w:r>
    </w:p>
    <w:p>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22.1.2附表   承包人违约金一览表</w:t>
      </w:r>
    </w:p>
    <w:tbl>
      <w:tblPr>
        <w:tblStyle w:val="43"/>
        <w:tblW w:w="9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350"/>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合同依据</w:t>
            </w:r>
          </w:p>
        </w:tc>
        <w:tc>
          <w:tcPr>
            <w:tcW w:w="353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违约内容</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违约金标准</w:t>
            </w:r>
          </w:p>
        </w:tc>
        <w:tc>
          <w:tcPr>
            <w:tcW w:w="19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未得到监理人批准，承包人擅自对施工图的任何部分进行修改。</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施工组织设计未经审批即开始实施。</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 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属于严重违约，建议参照“违规分包或转包”进行重罚。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未按批复的施工组织设计方案组织施工，随意调整或变更。</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超过一定规模的危险性较大工程未组织专家论证、审查。</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因设计出现重大变更、施工方法发生重大调整、外部施工环境或施工条件发生重大变化等未及时进行修编的。</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违规分包或转包</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承包人在接到监理人要求人员进场的通知 5 天后仍未安排相关人员进场，从第 6 天算起扣除承包人的违约金。</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项目经理、项目技术负责人2万元/人日；其他主要技术人员1万元/人日</w:t>
            </w:r>
          </w:p>
        </w:tc>
        <w:tc>
          <w:tcPr>
            <w:tcW w:w="1914"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如果承包人接到通知15天未安排相关人员 进场，将要求其更换人选，同时执行人员更换违约条款。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4.6.3（2）</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承包人的档案资料整理负责人在本项目连续工作不足 1 年。</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1万元/人次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4.6.3（3）</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项目经理、总工程师驻守现场不足 22天/月，处以不足天数的违约金。</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5000元/天</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4.6.3（4）</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专职安全生产管理人员没有按规定配备：年度施工产值 5000 万元以上不足2 亿元的按每 5000 万元不少于 1 名的比例配备；2 亿元以上的不少于 5 名，且按专业配备（不足 5000 万至少配备1 名）。</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5万元/人次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4.6.3（5）</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项目经理或总工程师无故缺席发包人指定的各种会议，包括监理人主持的重要会议（如工地例会等）。</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不签订劳动合同、非法使用农民工的，或者拖延和克扣农民工工资的，由此造成劳务人员上访或劳动纠纷的。</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未按交通运输主管部门、上级主管或管理单位等要求落实从业人员实名制管理和工资支付管理的。</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分项工程的施工员没在现场管理的。</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重要工序（桩基、面层施工等），没有施工员在现场管理的。</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超过24小时没有施工员在场而继续施工的。</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5000元/次</w:t>
            </w:r>
          </w:p>
        </w:tc>
        <w:tc>
          <w:tcPr>
            <w:tcW w:w="1914" w:type="dxa"/>
          </w:tcPr>
          <w:p>
            <w:pPr>
              <w:pStyle w:val="68"/>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承包人应按照《投标人拟投入的关键设备承诺表》中所列的品牌进行采购，不得变更设备品牌。</w:t>
            </w:r>
          </w:p>
        </w:tc>
        <w:tc>
          <w:tcPr>
            <w:tcW w:w="235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未按照《投标人拟投入的关键设备承诺表》中所列设备品牌进行采购，按以下标准向发包人提交违约金：关键设备 80 万元/类，其他主要设备 30 万元/类。</w:t>
            </w:r>
          </w:p>
        </w:tc>
        <w:tc>
          <w:tcPr>
            <w:tcW w:w="1914"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本条可适用于机电工程（包括收费、监控、通信三大系统及通信管道、隧道消防和供配电等）采用设备选型评分的情形，由招标人自行选择设置相应内容。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未经监理人同意，承包人将专用于本工程的材料、工程设备、施工设备和临时设施运出施工场地或挪作他用。</w:t>
            </w:r>
          </w:p>
        </w:tc>
        <w:tc>
          <w:tcPr>
            <w:tcW w:w="2350" w:type="dxa"/>
            <w:vAlign w:val="center"/>
          </w:tcPr>
          <w:p>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pPr>
              <w:pStyle w:val="68"/>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按施工进度计划须到位而未到位的主要设备，或擅自改变主要设备型号。</w:t>
            </w:r>
          </w:p>
        </w:tc>
        <w:tc>
          <w:tcPr>
            <w:tcW w:w="2350" w:type="dxa"/>
            <w:vAlign w:val="center"/>
          </w:tcPr>
          <w:p>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pPr>
              <w:pStyle w:val="68"/>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承包人未按监理人要求增加或更换施工设备。</w:t>
            </w:r>
          </w:p>
        </w:tc>
        <w:tc>
          <w:tcPr>
            <w:tcW w:w="2350" w:type="dxa"/>
            <w:vAlign w:val="center"/>
          </w:tcPr>
          <w:p>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pPr>
              <w:pStyle w:val="68"/>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承包人未按期开工。</w:t>
            </w:r>
          </w:p>
        </w:tc>
        <w:tc>
          <w:tcPr>
            <w:tcW w:w="2350"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参照工期延误的标准扣除违约金。</w:t>
            </w:r>
          </w:p>
        </w:tc>
        <w:tc>
          <w:tcPr>
            <w:tcW w:w="1914" w:type="dxa"/>
            <w:vAlign w:val="center"/>
          </w:tcPr>
          <w:p>
            <w:pPr>
              <w:pStyle w:val="68"/>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111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w:t>
            </w:r>
          </w:p>
        </w:tc>
        <w:tc>
          <w:tcPr>
            <w:tcW w:w="3534"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承包人的工期延误</w:t>
            </w:r>
          </w:p>
        </w:tc>
        <w:tc>
          <w:tcPr>
            <w:tcW w:w="2350"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按照项目专用条款数据表第11.5款规定的标准扣除。</w:t>
            </w:r>
          </w:p>
        </w:tc>
        <w:tc>
          <w:tcPr>
            <w:tcW w:w="1914" w:type="dxa"/>
            <w:vAlign w:val="center"/>
          </w:tcPr>
          <w:p>
            <w:pPr>
              <w:pStyle w:val="68"/>
              <w:jc w:val="center"/>
              <w:rPr>
                <w:rFonts w:ascii="宋体" w:hAnsi="宋体" w:cs="宋体"/>
                <w:color w:val="000000" w:themeColor="text1"/>
                <w:sz w:val="24"/>
                <w:highlight w:val="none"/>
                <w14:textFill>
                  <w14:solidFill>
                    <w14:schemeClr w14:val="tx1"/>
                  </w14:solidFill>
                </w14:textFill>
              </w:rPr>
            </w:pPr>
          </w:p>
        </w:tc>
      </w:tr>
    </w:tbl>
    <w:p>
      <w:pPr>
        <w:pStyle w:val="68"/>
        <w:jc w:val="right"/>
        <w:rPr>
          <w:rFonts w:ascii="宋体" w:hAnsi="宋体" w:cs="宋体"/>
          <w:color w:val="000000" w:themeColor="text1"/>
          <w:sz w:val="24"/>
          <w:highlight w:val="none"/>
          <w14:textFill>
            <w14:solidFill>
              <w14:schemeClr w14:val="tx1"/>
            </w14:solidFill>
          </w14:textFill>
        </w:rPr>
      </w:pPr>
    </w:p>
    <w:p>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78"/>
        <w:spacing w:line="360" w:lineRule="auto"/>
        <w:rPr>
          <w:rFonts w:ascii="宋体" w:hAnsi="宋体"/>
          <w:color w:val="000000" w:themeColor="text1"/>
          <w:sz w:val="24"/>
          <w:szCs w:val="24"/>
          <w:highlight w:val="none"/>
          <w14:textFill>
            <w14:solidFill>
              <w14:schemeClr w14:val="tx1"/>
            </w14:solidFill>
          </w14:textFill>
        </w:rPr>
      </w:pPr>
      <w:bookmarkStart w:id="1714" w:name="_Toc5359"/>
      <w:bookmarkEnd w:id="1714"/>
      <w:bookmarkStart w:id="1715" w:name="_Toc452498668"/>
      <w:bookmarkEnd w:id="1715"/>
      <w:bookmarkStart w:id="1716" w:name="_Toc12136"/>
      <w:bookmarkEnd w:id="1716"/>
      <w:bookmarkStart w:id="1717" w:name="_Toc453056971"/>
      <w:bookmarkEnd w:id="1717"/>
      <w:bookmarkStart w:id="1718" w:name="_Toc453057199"/>
      <w:bookmarkEnd w:id="1718"/>
      <w:bookmarkStart w:id="1719" w:name="_Toc452498898"/>
      <w:bookmarkEnd w:id="1719"/>
      <w:bookmarkStart w:id="1720" w:name="_Toc43476018"/>
      <w:bookmarkEnd w:id="1720"/>
      <w:bookmarkStart w:id="1721" w:name="_Toc451261389"/>
      <w:bookmarkEnd w:id="1721"/>
      <w:r>
        <w:rPr>
          <w:rFonts w:hint="eastAsia"/>
          <w:bCs w:val="0"/>
          <w:color w:val="000000" w:themeColor="text1"/>
          <w:sz w:val="24"/>
          <w:szCs w:val="24"/>
          <w:highlight w:val="none"/>
          <w14:textFill>
            <w14:solidFill>
              <w14:schemeClr w14:val="tx1"/>
            </w14:solidFill>
          </w14:textFill>
        </w:rPr>
        <w:t>附件十二  工程质量、安全及文明施工处罚项目一览表</w:t>
      </w:r>
    </w:p>
    <w:p>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工程质量、安全及文明施工处罚项目一览表</w:t>
      </w:r>
    </w:p>
    <w:tbl>
      <w:tblPr>
        <w:tblStyle w:val="43"/>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类别</w:t>
            </w: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019"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路基及砌体工程</w:t>
            </w: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填土没有路拱(要求2％～4％)，排水不畅的；路基施工未采取临时防护排水措施的，每处违约金2000元。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路基平整度不符合规范要求的，每处违约金2000元。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路基填土未经平地机整平就进行压实施工的，每处违约金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填土松铺厚度或现场实测的压实层厚度超过试验段报告明确的松铺厚度或压实层厚时，每处违约金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路槽底面以下 0-80cm 范围内，填料最大粒径不超过 10cm，在 80cm 以下的填料最大粒径不超过 15cm。违者每次违约金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路基填土应按规定作液限、塑限指数及 CBR 值试验。违者每次违约金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确保填方边坡碾压密实，边坡坡面要夯实，路基宽度在设计基础上每边超填不小于 50cm，等植草前刷坡。违者每处违约金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填土压实度达不到设计要求的，每检测段违约金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石方路基靠近边坡范围采用光面爆破，爆破后及时清理险石、松石，违者每处违约金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路堤填石要求逐层水平填筑石块，摆放平整，码砌边部，空隙用石渣石屑嵌压稳定，石块尺寸符合规范要求，违者每处违约金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粉喷桩应严格控制喷粉时间、停粉时间、水泥喷入量，不得中断喷粉，确保喷粉桩长度，桩身上部范围必须进行二次搅拌，违者每次违约金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软基换填处理未将软土清除干净就进行回填施工的，每处违约金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软基处理未按要求进行沉降和稳定性观测的，每次违约金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软基路段施工前应调查软土分布范围、软土深度，进行土工试验，发现与设计不符的，应通知监理人，违者每次违约金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袋装砂井施工中，砂袋未垂吊、灌沙不饱满的，每根违约金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袋装砂井、砂袋织物和塑料排水板的材料质量必须符合设计要求，违者每处违约金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土工格栅、土工布等土工材料质量不符合设计要求，搭接宽度、搭接方式不符合有关要求的，每处违约金 2000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结构物台背回填施工应符合以下要求，违者每次或每处违约金 2000 元：</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（1）除肋式及桩柱式外，回填必须在上部结构安装完毕，结构物验收合格，且砼强度达到设计的 85%后方可进行；</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（2）回填必须在构造物两端对称填筑压实，以免产生变形、破坏，每层松铺厚度不大于 20cm；</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（3）回填界面路基填筑时必须超填 50cm 以上，超填部分回填施工前清除，保证界面密实；</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（4）回填砂施工采用水密法，配合插入式振捣捧小型夯实设备，小型压路机进行，必须达到设计压实度；</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19" w:type="dxa"/>
            <w:vAlign w:val="center"/>
          </w:tcPr>
          <w:p>
            <w:pPr>
              <w:pStyle w:val="68"/>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砌体工程不满足下列规定者，每项违约金2000元，并作返工处理：</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（1）不得采用风化石，表面石料粒径需≥30cm；</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（2））构造物表面平顺，无凹凸扭曲现象，砂浆抹边的棱角线、平直度：2m拉线(直尺)检查≤l0mm；</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（3）上边坡护面墙砌体一律勾凹缝；</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（4）勾缝不得有瞎缝、丢缝、裂纹和脱落现象，缝宽统一；</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（5）石缝不大于40mm，砌缝内砂浆均匀饱满，不得有空洞；</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（6）层间错缝不大于80mm，三块石相接空隙不大于70mm；</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（7）砂浆抹面，平整度用2m直尺检查≤8mm，不得有裂缝、空鼓现象；</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（8）泄水孔排列整齐、按设计设置坡度，无堵塞现象；</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19" w:type="dxa"/>
            <w:vAlign w:val="center"/>
          </w:tcPr>
          <w:p>
            <w:pPr>
              <w:pStyle w:val="68"/>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浆砌工程存在下列情况之一的，违约金2000元：</w:t>
            </w:r>
          </w:p>
          <w:p>
            <w:pPr>
              <w:pStyle w:val="68"/>
              <w:numPr>
                <w:ilvl w:val="0"/>
                <w:numId w:val="1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铺砌厚度不满足要求；</w:t>
            </w:r>
          </w:p>
          <w:p>
            <w:pPr>
              <w:pStyle w:val="68"/>
              <w:numPr>
                <w:ilvl w:val="0"/>
                <w:numId w:val="1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垫层厚度不满足要求的；</w:t>
            </w:r>
          </w:p>
          <w:p>
            <w:pPr>
              <w:pStyle w:val="68"/>
              <w:numPr>
                <w:ilvl w:val="0"/>
                <w:numId w:val="1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砌缝内砂浆不饱满的；</w:t>
            </w:r>
          </w:p>
          <w:p>
            <w:pPr>
              <w:pStyle w:val="68"/>
              <w:numPr>
                <w:ilvl w:val="0"/>
                <w:numId w:val="1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砂浆不采用机械拌和的</w:t>
            </w:r>
          </w:p>
          <w:p>
            <w:pPr>
              <w:pStyle w:val="68"/>
              <w:numPr>
                <w:ilvl w:val="0"/>
                <w:numId w:val="1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砌缝没有错开的：</w:t>
            </w:r>
          </w:p>
          <w:p>
            <w:pPr>
              <w:pStyle w:val="68"/>
              <w:numPr>
                <w:ilvl w:val="0"/>
                <w:numId w:val="1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砂浆强度达不到规定要求的：</w:t>
            </w:r>
          </w:p>
          <w:p>
            <w:pPr>
              <w:pStyle w:val="68"/>
              <w:numPr>
                <w:ilvl w:val="0"/>
                <w:numId w:val="1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沟底未清理干净，有浮土、泥浆等杂物的；</w:t>
            </w:r>
          </w:p>
          <w:p>
            <w:pPr>
              <w:pStyle w:val="68"/>
              <w:numPr>
                <w:ilvl w:val="0"/>
                <w:numId w:val="1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排水盲沟断面不符合设计要求，回填碎石含泥量超标的，土工布铺设不符合要求的，违者每处违约金2000元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19"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边坡开挖未做到开挖一级、防护一级的，每次违约金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717" w:type="dxa"/>
            <w:tcBorders>
              <w:bottom w:val="single" w:color="auto" w:sz="4" w:space="0"/>
            </w:tcBorders>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19" w:type="dxa"/>
            <w:tcBorders>
              <w:bottom w:val="single" w:color="auto" w:sz="4" w:space="0"/>
            </w:tcBorders>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路堑边坡支挡工程存在以下类别的问题时，每处违约金 5000 元。</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（1）锚杆或锚索长度不足；</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（2）压浆不规范；</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（3）张拉力不足；</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（4）强度不合格。</w:t>
            </w:r>
          </w:p>
        </w:tc>
      </w:tr>
    </w:tbl>
    <w:p>
      <w:pPr>
        <w:pStyle w:val="68"/>
        <w:rPr>
          <w:rFonts w:ascii="宋体" w:hAnsi="宋体" w:cs="宋体"/>
          <w:color w:val="000000" w:themeColor="text1"/>
          <w:sz w:val="24"/>
          <w:highlight w:val="none"/>
          <w14:textFill>
            <w14:solidFill>
              <w14:schemeClr w14:val="tx1"/>
            </w14:solidFill>
          </w14:textFill>
        </w:rPr>
      </w:pPr>
    </w:p>
    <w:p>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续上表</w:t>
      </w:r>
    </w:p>
    <w:tbl>
      <w:tblPr>
        <w:tblStyle w:val="43"/>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涵</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w:t>
            </w: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程</w:t>
            </w:r>
          </w:p>
        </w:tc>
        <w:tc>
          <w:tcPr>
            <w:tcW w:w="518" w:type="dxa"/>
            <w:vAlign w:val="center"/>
          </w:tcPr>
          <w:p>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防撞栏出现大量麻面；线形有明显波折、错台；墙角或接缝漏浆；表面多处露筋，每十米违约金2000元。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构造物不按要求进行养生的，每处违约金2000元。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构造物施工未采取措施保证钢筋保护层厚度就浇筑砼的，每次违约金2000元。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下列情况，违者每次违约金2000元：</w:t>
            </w:r>
          </w:p>
          <w:p>
            <w:pPr>
              <w:pStyle w:val="68"/>
              <w:numPr>
                <w:ilvl w:val="0"/>
                <w:numId w:val="13"/>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伸缩缝位置必须保证满足设计要求，安装时必须按气温来确定安装宽度；</w:t>
            </w:r>
          </w:p>
          <w:p>
            <w:pPr>
              <w:pStyle w:val="68"/>
              <w:numPr>
                <w:ilvl w:val="0"/>
                <w:numId w:val="13"/>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预留槽口底面的砼必须密实、平整；</w:t>
            </w:r>
          </w:p>
          <w:p>
            <w:pPr>
              <w:pStyle w:val="68"/>
              <w:numPr>
                <w:ilvl w:val="0"/>
                <w:numId w:val="13"/>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张拉千斤顶没有按规范要求标定，造成拉力不符设计要求的，每次违约金2000元。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预应力筋有烧伤或划伤，必须立即撤换，违者每次违约金5000元。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预应力筋因施工不当造成断丝且无法补救时，每次违约金8000元。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预制梁施工必须符合设计要求，吊装位置准确，标高误差±lcm，违者违约金2000元。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一个经过自检的钢筋骨架中钢筋焊接长度不足及焊缝不饱满超过3处的，违约金 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一个经过自检的钢筋骨架有3处钢筋间距(包括土筋和构造筋)不符合规范要求的违约金2000元。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钢筋骨架己生锈，在浇筑砼前未作去锈处理的，每次违约金2000元。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在钻孔桩的施工中泥浆循环系统未设沉淀池的，或沉淀池规格不符合有关要求的，每处违约金2000元。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桩基检测评定为C类桩的，每根违约金2000元，出现不合格桩的，每根违约金5000元。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浇注砼时，自由下落高度超过2m而不用串筒的，每次违约金2000元。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砼施工配合比不按重量比的，每次违约金5000元。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两梁板之间接缝不得有杂物，填充料符合设计要求，违者违约金2000元。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砼拌和现场的称量和配水机械装置应维持良好状态，拌和机的容量要满足要求，桥梁施工要具备应急拌和机。正在施工的现场不满足上述要求的，每次违约金2000元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压浆不按配合比制浆，水灰比失控，强度达不到要求的，每次违约金3000元。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压浆不饱满的，每条管违约金3000元。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预制、现浇砼构件必须采用足够强度、大面积的钢板制模板，违者每次违约金3000元。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各标段第一根立柱、盖梁和第一段防撞栏必须经发包人和监理人检查外观质量合格后，方可进行第二根立柱、盖梁和第二段防撞栏的施工，违者每次违约金5000元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结构标高尺寸误差超出规范允许值，每处违约金2000元。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桥面铺装应符合路面的要求，其强度、厚度、平整度、横坡、抗滑构造深度均应符合要求；桥面与伸缩缝的缝面必须结合良好，保证平整，违者每处违约金2000元。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达不到以下要求的，每处违约金2000元：</w:t>
            </w:r>
          </w:p>
          <w:p>
            <w:pPr>
              <w:pStyle w:val="68"/>
              <w:numPr>
                <w:ilvl w:val="0"/>
                <w:numId w:val="14"/>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钢模板大面平整、坚固，板面缝隙小，错台不大于lmm；</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在盖梁浇筑前，立柱应用薄膜包裹，并用胶布密封固定，防止漏浆损坏立柱外观质量；裸露在砼外的结构钢筋或施工用的临时钢构件，时间需超过一个月，必须采取防锈措施(包裹或油漆)。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伸缩缝施工出现下列情况，违者每次或每处违约金2000元：</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（1)伸缩缝位置必须保证满足设计要求，安装时必须按气温来确定安装宽度；</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（2)预留槽口底面的砼必须密实、平整；在填充前必须保证干净，不得有杂物；</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支座垫石标高误差超过±5mm，表面不清洁、不平整，有脱空松动的，每处违约金 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检测发现混凝土强度不合格的构件，每处违约金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w:t>
            </w:r>
          </w:p>
          <w:p>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面工程</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路面基层必须碾压密实，表面干燥、清洁、无浮土，平整度和路拱度符合要求，违者每处违约金2000元。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水泥砼路面存在下列问题的，每处违约金1,000元：</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（1)粗细骨料不符合设计要求；</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（2)基层和底基层压实度没有≥98%，表面坑洼，明显离析；</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（3)基层和底基层没有清理杂物，有浮土；</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（4)砼养生不及时；</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（5)膨胀传力杆活动端与固定端方向没有相反；</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pPr>
              <w:pStyle w:val="68"/>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水泥砼路面检测发现混凝土强度不合格的构件，每处违约金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沥青路面存在以下问题的，每处违约金 10000-50000 元：</w:t>
            </w:r>
          </w:p>
          <w:p>
            <w:pPr>
              <w:pStyle w:val="68"/>
              <w:widowControl/>
              <w:numPr>
                <w:ilvl w:val="0"/>
                <w:numId w:val="15"/>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沥青及矿料质量及混合料级配及混合料指标不符合要求的；</w:t>
            </w:r>
          </w:p>
          <w:p>
            <w:pPr>
              <w:pStyle w:val="68"/>
              <w:widowControl/>
              <w:numPr>
                <w:ilvl w:val="0"/>
                <w:numId w:val="15"/>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沥青混合料的拌合温度、摊铺温度、碾压温度不符合规范或设计要求；</w:t>
            </w:r>
          </w:p>
          <w:p>
            <w:pPr>
              <w:pStyle w:val="68"/>
              <w:widowControl/>
              <w:numPr>
                <w:ilvl w:val="0"/>
                <w:numId w:val="15"/>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沥青混合料的生产，未按要求做抽提实验、筛分试验、马歇尔实验；</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4）拌和后的混合料不均匀一致，有花白、粗细料分离和结团成块现象；</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5）路面不平整密实，有泛油、松散、裂缝和明显离析现象；</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6)面层施工前未按要求对基层裂缝进行处理；</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7)面层和路缘石及其他构造物不密贴，有积水或漏水现象的；</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8)运输车辆未采取保温措施，运输过程中不加帆布遮盖的；</w:t>
            </w:r>
          </w:p>
          <w:p>
            <w:pPr>
              <w:pStyle w:val="68"/>
              <w:widowControl/>
              <w:numPr>
                <w:ilvl w:val="0"/>
                <w:numId w:val="16"/>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下雨时摊铺，或雨后地面过湿而没有采取措施就摊铺的；</w:t>
            </w:r>
          </w:p>
          <w:p>
            <w:pPr>
              <w:pStyle w:val="68"/>
              <w:widowControl/>
              <w:numPr>
                <w:ilvl w:val="0"/>
                <w:numId w:val="16"/>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纵横缝施工不符合规范要求的。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rPr>
                <w:rFonts w:ascii="宋体" w:hAnsi="宋体" w:cs="宋体"/>
                <w:color w:val="000000" w:themeColor="text1"/>
                <w:sz w:val="24"/>
                <w:highlight w:val="none"/>
                <w14:textFill>
                  <w14:solidFill>
                    <w14:schemeClr w14:val="tx1"/>
                  </w14:solidFill>
                </w14:textFill>
              </w:rPr>
            </w:pP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隧道</w:t>
            </w:r>
          </w:p>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 2000 元：</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(1)隧道工程应严格控制超欠挖，超挖时必须用同级等强度的砼或同级片石砼回填密实，不得用土石或洞渣回填，违者每次处违约金 2000 元；</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(2)周边收敛量测埋点、量测频率不符合规范，数据处理不及时每次违约金2000元。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 1000 元：</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(1)防水板破损穿孔、搭接漏焊；</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(2)防水板漏水；</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(3)锚垫板未按要求施工；</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(4)没有按要求进行光面爆破；</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(5)洞内装修工程未达到设计要求，没有保持线形平顺，误差超过 1cm；</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(6)排水管没有保持畅通，出现渗水、滴水现象；</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(7)二次衬砌台车刚度不够，施工缝接合处理不好；</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(8）通风、照明、防尘措施、运行不符合要求；</w:t>
            </w:r>
          </w:p>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(9）钢拱架与隔栅定位不合设计要求。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隧道开挖应满足隧道净空及衬砌厚度的要求，控制超挖，严禁欠挖，不许有超限突石。一经发现，处以承包人 1000 元--10000 元的违约金，并要求处理合格。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隧道拱墙范围内的超挖，要求用与拱圈同级强度的混凝土一次回填密实，衬砌背后的支撑块或其他杂物应清除干净，并按要求填塞紧密，否则，对承包人处以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衬砌混凝土强度应满足设计及《公路工程质量检验评定标准》要求，否则，除要求及时采取措施处理外，并处以承包人 10000 元的违约金。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隧道洞身施工完毕后，不得出现渗水、漏水现象，如出现以上问题，除要求施工单位予以补救外，处以 5000 元/处的违约金。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按照规范，隧道作业未开启通风设备的违约金 10000 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绿化工程</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如果绿化工程质量不合格或造成质量隐患，按以下标准对承包人进行违约金：以清单单位为违约金依据，即1000元／丛、1000元／株、500元／㎡、500元／t以及10000元／个等。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桥梁施工现场及构件预制场、钢筋加工场、搅拌站、施工驻地须悬挂安全生产标牌，违者每处违约金l000元。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基坑开挖未有效围护的，桩孔施工后未加盖的，每处违约金1000元。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电力线路架设零乱不牢固；电源线老化、绝缘损坏、接头处无包扎的；使用花线或劣质电线；不设电箱、漏电开关；施工现场未设安全警示牌，每处违约金1000元。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高空作业未设置稳固爬梯；不设围栏、安全网，每处违约金l000元。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爆破作业应按批准的爆破方案及施工安全技术规程的要求进行，并对人身、工程本身及所有财产采取保护措施，违者每次违约金2000元。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爆破器材设专人保管，严格领用手续，违者每次违约金2000元。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对于安全风险大的高空作业、梁板吊装，要求制订安全预案，违者每次违约金2000元。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梁板吊运安装施工方案应经过监理人审批，吊车、龙门架、架桥机要经过安全生产管理部门检查合格，并在设备上张贴“四证”公示牌（当地无法办理使用登记证，张贴“三证”）才能施工作业，违者每次违约金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出现以下情况每次违约金2000元：</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施工车辆和机械带病上岗，操作人员无证上岗和违反操作规程；</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发生各种事故苗头及事故未及时不整改和隐瞒不报</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每月安全大检查，安全管理人员无故不在位；</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主要施工机械设备应悬挂操作规程；</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作业人员酒后作业、机器设备带病作业的；</w:t>
            </w:r>
          </w:p>
          <w:p>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施工现场人员出现以下情况，每人／次违约金500元：</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不戴安全帽；</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高空作业不系安全带；</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水上作业不穿救生衣；</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赤脚或穿拖鞋；</w:t>
            </w:r>
          </w:p>
          <w:p>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文明施工</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承包人驻地建设应包括防护、围墙、临时便道和安全、卫生、防火设施，违者每项违约金5000元。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承包人项目经理部应按发包人统一要求设置组织机构、质量管理、安全生产等宣传牌，违者每项违约金5000元。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单项工程的施工现场未按要求设立标示牌的，施工点无安全员的，每处违约金500元。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施工现场管理人员不佩带工作证，每人／次违约金200元。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路基施工作业面、便道不及时洒水降尘的，每次违约金3000元。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桥梁施工过程中的泥浆及废弃物等，须在该项工程完工时即时清除干净，违者违约金30000元。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施工现场未采取有效措施，造成水源污染、空气污染等不良后果，引起群众抗议、投诉或有关行政主管部门处理的，每次违约金 10000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弃土、弃渣占农田果园、堵塞水道以及造成水土流失的，每次违约金 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水土保持防护措施不完善，造成水土流失，污染当地农田水利的，每次违约金5000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pPr>
              <w:pStyle w:val="68"/>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 境保护</w:t>
            </w:r>
          </w:p>
          <w:p>
            <w:pPr>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tcPr>
          <w:p>
            <w:pPr>
              <w:pStyle w:val="80"/>
              <w:spacing w:before="86"/>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未建立健全的环境保护管理机构，违约金 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tcPr>
          <w:p>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环境保护规章制度不齐全，违约金 5000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tcPr>
          <w:p>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施工方案中没有环保措施，违约金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tcPr>
          <w:p>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未对可能造成环境污染的项目进行监测，违约金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tcPr>
          <w:p>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未配备必要的环境保护监测仪器，违约金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tcPr>
          <w:p>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环境保护学习、宣传、教育、培训不健全，违约金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tcPr>
          <w:p>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未建立环境保护管理台帐，报送资料不及时，违约金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tcPr>
          <w:p>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驻地环保设施不完善或设施缺乏维护而造成环境污染，视严重程度违约金</w:t>
            </w:r>
          </w:p>
          <w:p>
            <w:pPr>
              <w:pStyle w:val="80"/>
              <w:spacing w:before="3"/>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tcPr>
          <w:p>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临近居民区施工噪声超标，违约金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tcPr>
          <w:p>
            <w:pPr>
              <w:pStyle w:val="80"/>
              <w:spacing w:before="85" w:line="242" w:lineRule="auto"/>
              <w:ind w:left="108"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施工废料、废渣或弃土乱堆乱弃于施工现场而未运至弃土场，违约金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tcPr>
          <w:p>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施工废水排放未经处理而对周边造成污染，违约金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tcPr>
          <w:p>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施工废气排放未经处理而对周边造成污染，违约金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tcPr>
          <w:p>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施工粉尘未有效控制而对周边造成污染，违约金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tcPr>
          <w:p>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生活污水没有处理直接排放而造成污染，违约金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tcPr>
          <w:p>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生活垃圾没有集中且定期运走而造成污染，违约金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tcPr>
          <w:p>
            <w:pPr>
              <w:pStyle w:val="80"/>
              <w:spacing w:before="86" w:line="242" w:lineRule="auto"/>
              <w:ind w:left="108" w:right="11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驻地噪音超过有关的规定，影响当地居民的正常生活，违约金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内业资料</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开工前须结合工程特点进行分项、分部和单位工程划分，现场质量检查、质量验收资料按照划分进行归纳收集，违者每次违约金2000元。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内业原始资料弄虚作假的，不及时填写的，填写不完整规范的，每次违约金1000元。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内业原始资料和整理资料未按有关要求采用文件盒及时归档，每次违约金500元。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分部工程完成时，须将原始资料、施工记录、进度照片等资料整理归纳，装订成册，违者每次违约金2000元。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试验设备不齐全，未建立试验台帐，每次违约金5000元。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不按照有关规定进行技术交底就进行施工作业的，每次违约金2000元。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上一道工序未经监理人签认就进行下一道工序施工的，每次违约金5000元。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要求返工的工程未在规定的时间内进行返工或要求清除出施工现场材料未在规定的时间内清除出场的，每延误一天罚1000元。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水泥、钢筋、钢筋笼等存放不满足要求的，每次违约金2000元。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所有桩标须加固保护，树立易于识别得标志，违者每处违约金2000元。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实验及检测仪器未标定或标定不合格仍使用的，每次违约金2000元。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检验项目、方法、频率，没有按设计或规范要求执行；原材料送检和其它自检项目的试验(如钢筋焊接，土的重击实试验)不及时，频率未达到规定要求，每次违约金2000元。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未经检验合格的材料(原材料、锚具等)用于施工的，每次违约金5000元。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其他不按照《广东省公路施工标准化指南》和《广东省高速公路工程施工组织设计和施工方案标准化管理指南》有关规定进行管理或施工作业的，每次违约金 1,000—50,000 元，并限期纠正。</w:t>
            </w:r>
          </w:p>
        </w:tc>
      </w:tr>
    </w:tbl>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78"/>
        <w:spacing w:line="360" w:lineRule="auto"/>
        <w:rPr>
          <w:b w:val="0"/>
          <w:bCs w:val="0"/>
          <w:color w:val="000000" w:themeColor="text1"/>
          <w:sz w:val="24"/>
          <w:szCs w:val="24"/>
          <w:highlight w:val="none"/>
          <w14:textFill>
            <w14:solidFill>
              <w14:schemeClr w14:val="tx1"/>
            </w14:solidFill>
          </w14:textFill>
        </w:rPr>
      </w:pPr>
      <w:bookmarkStart w:id="1722" w:name="_Toc43476019"/>
      <w:bookmarkEnd w:id="1722"/>
      <w:r>
        <w:rPr>
          <w:rFonts w:hint="eastAsia"/>
          <w:bCs w:val="0"/>
          <w:color w:val="000000" w:themeColor="text1"/>
          <w:sz w:val="24"/>
          <w:szCs w:val="24"/>
          <w:highlight w:val="none"/>
          <w14:textFill>
            <w14:solidFill>
              <w14:schemeClr w14:val="tx1"/>
            </w14:solidFill>
          </w14:textFill>
        </w:rPr>
        <w:t>附件十三  建设工程农民工工资支付保证书</w:t>
      </w:r>
    </w:p>
    <w:p>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建设工程农民工工资支付保证书</w:t>
      </w:r>
    </w:p>
    <w:p>
      <w:pPr>
        <w:spacing w:line="360" w:lineRule="exact"/>
        <w:ind w:firstLine="465"/>
        <w:rPr>
          <w:rFonts w:ascii="宋体" w:hAnsi="宋体" w:cs="宋体"/>
          <w:color w:val="000000" w:themeColor="text1"/>
          <w:sz w:val="24"/>
          <w:highlight w:val="none"/>
          <w14:textFill>
            <w14:solidFill>
              <w14:schemeClr w14:val="tx1"/>
            </w14:solidFill>
          </w14:textFill>
        </w:rPr>
      </w:pPr>
    </w:p>
    <w:p>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(以下简称“承包人”)拟与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(以下简称“发包人”)签订</w:t>
      </w:r>
      <w:r>
        <w:rPr>
          <w:rFonts w:hint="eastAsia" w:ascii="宋体" w:hAnsi="宋体" w:cs="宋体"/>
          <w:color w:val="000000" w:themeColor="text1"/>
          <w:sz w:val="24"/>
          <w:highlight w:val="none"/>
          <w:u w:val="single"/>
          <w14:textFill>
            <w14:solidFill>
              <w14:schemeClr w14:val="tx1"/>
            </w14:solidFill>
          </w14:textFill>
        </w:rPr>
        <w:t xml:space="preserve">   项目名称  标类（或标段）    </w:t>
      </w:r>
      <w:r>
        <w:rPr>
          <w:rFonts w:hint="eastAsia" w:ascii="宋体" w:hAnsi="宋体" w:cs="宋体"/>
          <w:color w:val="000000" w:themeColor="text1"/>
          <w:sz w:val="24"/>
          <w:highlight w:val="none"/>
          <w14:textFill>
            <w14:solidFill>
              <w14:schemeClr w14:val="tx1"/>
            </w14:solidFill>
          </w14:textFill>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二、决不违反有关规定，将工程转包、分包给不具备用工主体资格的组织或个人，并独自承担因违反上述规定而引发的民工工资纠纷等所有民事及刑事的法律连带责任。</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四、承诺在工地现场宣传栏中公布发包人关于农民工工资管理的有关法律法规、制度，公开发包人的投诉电话。</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六、承诺指定专人负责对农民工工资进行发放，实行专户管理，以银行转账方式按月直接支付工资（原则上是当月支付，最多不超过拖欠两个月）。</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八、承诺在收到中标通知书后且合同签署前，按规定向发包人缴纳工资保障金，金额为元</w:t>
      </w:r>
      <w:r>
        <w:rPr>
          <w:rFonts w:hint="eastAsia" w:ascii="宋体" w:hAnsi="宋体" w:cs="宋体"/>
          <w:color w:val="000000" w:themeColor="text1"/>
          <w:sz w:val="24"/>
          <w:highlight w:val="none"/>
          <w:u w:val="single"/>
          <w14:textFill>
            <w14:solidFill>
              <w14:schemeClr w14:val="tx1"/>
            </w14:solidFill>
          </w14:textFill>
        </w:rPr>
        <w:t>人民币（按照本项目合同额1.5%，原则上不超过100万）</w:t>
      </w:r>
      <w:r>
        <w:rPr>
          <w:rFonts w:hint="eastAsia" w:ascii="宋体" w:hAnsi="宋体" w:cs="宋体"/>
          <w:color w:val="000000" w:themeColor="text1"/>
          <w:sz w:val="24"/>
          <w:highlight w:val="none"/>
          <w14:textFill>
            <w14:solidFill>
              <w14:schemeClr w14:val="tx1"/>
            </w14:solidFill>
          </w14:textFill>
        </w:rPr>
        <w:t>，用于支付拖欠的农民工工资，如工资保障金不足，发包人有权利在应支付给承包人的工程款或是履约保证金中划扣支付。该保障金余额发包人将于本项目施工完毕，并交工验收合格后退还。</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十、在合同工程实施过程中如有发生</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(1)不按规定签订劳动合同或签订劳动合同不规范情况；或</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(2)拖欠农民工工资、侵害农民工合法权益、农民工劳动安全保护欠缺的情况；或</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欠薪导致的闹事、打斗、死伤、上访事件，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十一、本保证书作为本项目施工承包合同的有效组成部分，纳入合同一并签署，在承包人法定代表人或委托代理人签署并加盖公章后生效，并保证在施工承包合同有效期内一直保持有效。</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16"/>
        <w:tabs>
          <w:tab w:val="left" w:pos="6543"/>
        </w:tabs>
        <w:spacing w:before="1"/>
        <w:ind w:left="297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 包 人</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盖章</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6"/>
        <w:tabs>
          <w:tab w:val="left" w:pos="8055"/>
        </w:tabs>
        <w:spacing w:before="138"/>
        <w:ind w:left="3037"/>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w:t>
      </w:r>
      <w:r>
        <w:rPr>
          <w:rFonts w:hint="eastAsia" w:ascii="宋体" w:hAnsi="宋体" w:cs="宋体"/>
          <w:color w:val="000000" w:themeColor="text1"/>
          <w:spacing w:val="-2"/>
          <w:sz w:val="24"/>
          <w:highlight w:val="non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或其委托代理人</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05"/>
        <w:spacing w:line="360" w:lineRule="auto"/>
        <w:ind w:firstLine="4800" w:firstLineChars="2000"/>
        <w:rPr>
          <w:rFonts w:ascii="宋体" w:hAnsi="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 xml:space="preserve">  日</w:t>
      </w:r>
    </w:p>
    <w:p>
      <w:pPr>
        <w:pStyle w:val="106"/>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pStyle w:val="78"/>
        <w:spacing w:line="360" w:lineRule="auto"/>
        <w:rPr>
          <w:bCs w:val="0"/>
          <w:color w:val="000000" w:themeColor="text1"/>
          <w:sz w:val="24"/>
          <w:szCs w:val="24"/>
          <w:highlight w:val="none"/>
          <w14:textFill>
            <w14:solidFill>
              <w14:schemeClr w14:val="tx1"/>
            </w14:solidFill>
          </w14:textFill>
        </w:rPr>
      </w:pPr>
      <w:bookmarkStart w:id="1723" w:name="_Toc43476022"/>
      <w:bookmarkEnd w:id="1723"/>
      <w:bookmarkStart w:id="1724" w:name="_Toc43476020"/>
      <w:bookmarkEnd w:id="1724"/>
      <w:bookmarkStart w:id="1725" w:name="_Toc29766"/>
      <w:r>
        <w:rPr>
          <w:rFonts w:hint="eastAsia"/>
          <w:bCs w:val="0"/>
          <w:color w:val="000000" w:themeColor="text1"/>
          <w:sz w:val="24"/>
          <w:szCs w:val="24"/>
          <w:highlight w:val="none"/>
          <w14:textFill>
            <w14:solidFill>
              <w14:schemeClr w14:val="tx1"/>
            </w14:solidFill>
          </w14:textFill>
        </w:rPr>
        <w:t>附件十四  工程结算协议</w:t>
      </w:r>
      <w:bookmarkEnd w:id="1725"/>
    </w:p>
    <w:p>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工程结算协议</w:t>
      </w:r>
    </w:p>
    <w:p>
      <w:pPr>
        <w:spacing w:line="360" w:lineRule="exact"/>
        <w:ind w:firstLine="465"/>
        <w:rPr>
          <w:rFonts w:ascii="宋体" w:hAnsi="宋体" w:cs="宋体"/>
          <w:color w:val="000000" w:themeColor="text1"/>
          <w:sz w:val="24"/>
          <w:highlight w:val="none"/>
          <w14:textFill>
            <w14:solidFill>
              <w14:schemeClr w14:val="tx1"/>
            </w14:solidFill>
          </w14:textFill>
        </w:rPr>
      </w:pPr>
    </w:p>
    <w:p>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甲方（发包人）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乙方（承包人）：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p>
    <w:p>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日，甲方与乙方签订了《   合同》（下简称“合同”），约定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（注：填写乙方负责承包的工程内容）。</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工程已完成交工验收，且乙方已取得上述工程交工证书。基于上述，甲、乙双方经协商一致，特就乙方承包的 工程的结算事宜订立本协议，以共同遵守。</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工程（以下简称“本工程”）结算价暂定为人民币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元（大写：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）。若政府审计部门之后进行审计，且作出的审计决定和行业主管部门造价审查结果不一致，双方同意按以下原则处理：</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行业主管部门和审计部门对不同内容进行核减的，综合行业主管部门和审计部门的意见进行调整。</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二、甲、乙双方确认，截至</w:t>
      </w:r>
      <w:r>
        <w:rPr>
          <w:rFonts w:hint="eastAsia" w:ascii="宋体" w:hAnsi="宋体" w:cs="宋体"/>
          <w:color w:val="000000" w:themeColor="text1"/>
          <w:sz w:val="24"/>
          <w:highlight w:val="none"/>
          <w:u w:val="single"/>
          <w14:textFill>
            <w14:solidFill>
              <w14:schemeClr w14:val="tx1"/>
            </w14:solidFill>
          </w14:textFill>
        </w:rPr>
        <w:t>年  月  日</w:t>
      </w:r>
      <w:r>
        <w:rPr>
          <w:rFonts w:hint="eastAsia" w:ascii="宋体" w:hAnsi="宋体" w:cs="宋体"/>
          <w:color w:val="000000" w:themeColor="text1"/>
          <w:sz w:val="24"/>
          <w:highlight w:val="none"/>
          <w14:textFill>
            <w14:solidFill>
              <w14:schemeClr w14:val="tx1"/>
            </w14:solidFill>
          </w14:textFill>
        </w:rPr>
        <w:t>，甲方就本工程已向乙方支付款项累计</w:t>
      </w:r>
      <w:r>
        <w:rPr>
          <w:rFonts w:hint="eastAsia" w:ascii="宋体" w:hAnsi="宋体" w:cs="宋体"/>
          <w:color w:val="000000" w:themeColor="text1"/>
          <w:sz w:val="24"/>
          <w:highlight w:val="none"/>
          <w:u w:val="single"/>
          <w14:textFill>
            <w14:solidFill>
              <w14:schemeClr w14:val="tx1"/>
            </w14:solidFill>
          </w14:textFill>
        </w:rPr>
        <w:t>人民币  元</w:t>
      </w:r>
      <w:r>
        <w:rPr>
          <w:rFonts w:hint="eastAsia" w:ascii="宋体" w:hAnsi="宋体" w:cs="宋体"/>
          <w:color w:val="000000" w:themeColor="text1"/>
          <w:sz w:val="24"/>
          <w:highlight w:val="none"/>
          <w14:textFill>
            <w14:solidFill>
              <w14:schemeClr w14:val="tx1"/>
            </w14:solidFill>
          </w14:textFill>
        </w:rPr>
        <w:t>。甲方将在本结算书生效后 15 个工作日内向乙方支付至结算金额的 100％，即</w:t>
      </w:r>
      <w:r>
        <w:rPr>
          <w:rFonts w:hint="eastAsia" w:ascii="宋体" w:hAnsi="宋体" w:cs="宋体"/>
          <w:color w:val="000000" w:themeColor="text1"/>
          <w:sz w:val="24"/>
          <w:highlight w:val="none"/>
          <w:u w:val="single"/>
          <w14:textFill>
            <w14:solidFill>
              <w14:schemeClr w14:val="tx1"/>
            </w14:solidFill>
          </w14:textFill>
        </w:rPr>
        <w:t xml:space="preserve">人民币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。如本工程缺陷责任期满且未发现存在工程缺陷，在监理人出具该工程缺陷责任期届满证明并签订本协议后28 天内支付工程质量保证金的 80%。</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三、甲方向乙方退还全部质量保证金需同时满足以下条件：</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1、乙方承包的工程的缺陷责任期已届满，并由监理人出具了该工程缺陷责任期届满的证明；</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2、在缺陷责任期内按合同约定进行了缺陷工程的修复且项目完成竣工验收。</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如甲方已付款项少于本协议第一条的核准的金额，则甲方应在乙方满足了质量保证金退还的全部条件后</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天</w:t>
      </w:r>
      <w:r>
        <w:rPr>
          <w:rFonts w:hint="eastAsia" w:ascii="宋体" w:hAnsi="宋体" w:cs="宋体"/>
          <w:color w:val="000000" w:themeColor="text1"/>
          <w:sz w:val="24"/>
          <w:highlight w:val="none"/>
          <w14:textFill>
            <w14:solidFill>
              <w14:schemeClr w14:val="tx1"/>
            </w14:solidFill>
          </w14:textFill>
        </w:rPr>
        <w:t>内将少付工程款（含质量保证金）支付予乙方。</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如甲方已付款项超过本协议第一条的核准的金额，则乙方应在收到甲方发出的还款通知后 天内将超出核准金额的工程款返还给甲方，且甲方无需将质量保证金退还给乙方。</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四、如甲方或乙方未按本协议约定履行付款义务，则每延迟一天，违约方需向对方支付相当于未付款项的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%作为违约金。</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五、本协议条款与合同如有冲突，以本协议为准。</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六、本协议经双方法定代表人（负责人）或授权代表签字并加盖公章后生效。</w:t>
      </w:r>
    </w:p>
    <w:p>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七、本协议一式</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，甲、乙双方各执</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w:t>
      </w:r>
    </w:p>
    <w:p>
      <w:pPr>
        <w:pStyle w:val="104"/>
        <w:spacing w:line="360" w:lineRule="auto"/>
        <w:rPr>
          <w:rFonts w:ascii="宋体" w:hAnsi="宋体" w:cs="宋体"/>
          <w:color w:val="000000" w:themeColor="text1"/>
          <w:sz w:val="24"/>
          <w:highlight w:val="none"/>
          <w14:textFill>
            <w14:solidFill>
              <w14:schemeClr w14:val="tx1"/>
            </w14:solidFill>
          </w14:textFill>
        </w:rPr>
      </w:pPr>
    </w:p>
    <w:p>
      <w:pPr>
        <w:pStyle w:val="104"/>
        <w:spacing w:line="360" w:lineRule="auto"/>
        <w:rPr>
          <w:rFonts w:ascii="宋体" w:hAnsi="宋体" w:cs="宋体"/>
          <w:color w:val="000000" w:themeColor="text1"/>
          <w:sz w:val="24"/>
          <w:highlight w:val="none"/>
          <w14:textFill>
            <w14:solidFill>
              <w14:schemeClr w14:val="tx1"/>
            </w14:solidFill>
          </w14:textFill>
        </w:rPr>
      </w:pPr>
    </w:p>
    <w:p>
      <w:pPr>
        <w:pStyle w:val="10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  方：（盖章）       乙  方：（盖章）</w:t>
      </w:r>
    </w:p>
    <w:p>
      <w:pPr>
        <w:pStyle w:val="10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签署代表：      签署代表：</w:t>
      </w:r>
    </w:p>
    <w:p>
      <w:pPr>
        <w:pStyle w:val="104"/>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签署日期：      签署日期：</w:t>
      </w:r>
    </w:p>
    <w:p>
      <w:pPr>
        <w:pStyle w:val="104"/>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pStyle w:val="107"/>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附件十五：分包合同</w:t>
      </w: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公路工程施工分包合同</w:t>
      </w: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br w:type="page"/>
      </w:r>
    </w:p>
    <w:p>
      <w:pPr>
        <w:pStyle w:val="107"/>
        <w:jc w:val="center"/>
        <w:rPr>
          <w:rFonts w:hAnsi="宋体" w:cs="宋体"/>
          <w:color w:val="000000" w:themeColor="text1"/>
          <w:sz w:val="44"/>
          <w:szCs w:val="44"/>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t>公路工程施工分包合同</w:t>
      </w:r>
    </w:p>
    <w:p>
      <w:pPr>
        <w:pStyle w:val="107"/>
        <w:spacing w:line="280" w:lineRule="exact"/>
        <w:ind w:right="630"/>
        <w:jc w:val="right"/>
        <w:rPr>
          <w:rFonts w:hAnsi="宋体" w:cs="宋体"/>
          <w:color w:val="000000" w:themeColor="text1"/>
          <w:szCs w:val="21"/>
          <w:highlight w:val="none"/>
          <w14:textFill>
            <w14:solidFill>
              <w14:schemeClr w14:val="tx1"/>
            </w14:solidFill>
          </w14:textFill>
        </w:rPr>
      </w:pPr>
    </w:p>
    <w:p>
      <w:pPr>
        <w:pStyle w:val="107"/>
        <w:ind w:right="1380" w:firstLine="5400" w:firstLineChars="2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分包合同编号：</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甲方(承包人) ：</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乙方(分包人) ：</w:t>
      </w:r>
    </w:p>
    <w:p>
      <w:pPr>
        <w:pStyle w:val="107"/>
        <w:rPr>
          <w:rFonts w:hAnsi="宋体" w:cs="宋体"/>
          <w:color w:val="000000" w:themeColor="text1"/>
          <w:highlight w:val="none"/>
          <w14:textFill>
            <w14:solidFill>
              <w14:schemeClr w14:val="tx1"/>
            </w14:solidFill>
          </w14:textFill>
        </w:rPr>
      </w:pP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  分包人情况</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1.1分包人名称：；注册地址：；</w:t>
      </w:r>
    </w:p>
    <w:p>
      <w:pPr>
        <w:pStyle w:val="107"/>
        <w:ind w:firstLine="72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法定代表人姓名：，职称：，职务：。</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1.2分包项目负责人姓名，职称：，资格：：分包技术负责人姓名：职称：，资格：：</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1.3分包人拟投入的主要管理人员（见附表1）</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1.4分包人拟投入的主要机械设备（见附表2)</w:t>
      </w:r>
    </w:p>
    <w:p>
      <w:pPr>
        <w:pStyle w:val="107"/>
        <w:ind w:firstLine="422"/>
        <w:jc w:val="left"/>
        <w:rPr>
          <w:rFonts w:hAnsi="宋体" w:cs="宋体"/>
          <w:b/>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2.分包专项工程概况</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2.1分包专项工程名称及地点</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2.2 分包专项工程范围、内容： </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 分包方式：</w:t>
      </w:r>
    </w:p>
    <w:p>
      <w:pPr>
        <w:pStyle w:val="107"/>
        <w:ind w:firstLine="422"/>
        <w:jc w:val="left"/>
        <w:rPr>
          <w:rFonts w:hAnsi="宋体" w:cs="宋体"/>
          <w:b/>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3.分包合同有关款项</w:t>
      </w:r>
    </w:p>
    <w:p>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3.1 分包价款</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3.1.3（税费内容约定）。 </w:t>
      </w:r>
    </w:p>
    <w:p>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3.2履约保函或保证金：</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3.2.1乙方与甲方签订合同后的天内，应向甲方交纳：（b履约保函；b履约保证金），即：</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a.分包合同价的％履约保函和分包合同价的％质量保函。</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b.分包合同价的％履约保证金计元和分包合同价的％质量保证金计元。</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3.3有关本分包专项工程款项约定</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3.3.1动员预付款元，甲方在发包人动员预付款支付后，并乙方交纳上述保函或保证金后的    天内向乙方支付；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3.3.2质量保证金限额为合同总价％。质量保证金参照总包合同中的规定执行。若在缺陷责任期内发生涉及乙方施工项目的维修费用，则由乙方全额承担，并在质量保证金中扣除。</w:t>
      </w:r>
    </w:p>
    <w:p>
      <w:pPr>
        <w:pStyle w:val="107"/>
        <w:ind w:firstLine="422"/>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3.3.3安全生产费用按总包合同的专用条款的规定进行计量支付，按实投入使用，</w:t>
      </w:r>
      <w:r>
        <w:rPr>
          <w:rFonts w:hint="eastAsia" w:hAnsi="宋体" w:cs="宋体"/>
          <w:bCs/>
          <w:color w:val="000000" w:themeColor="text1"/>
          <w:highlight w:val="none"/>
          <w14:textFill>
            <w14:solidFill>
              <w14:schemeClr w14:val="tx1"/>
            </w14:solidFill>
          </w14:textFill>
        </w:rPr>
        <w:t>承建工程竣工后，最终由甲乙双方结算。</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3.3.4农民工工资支付保证金按项目专用条款或发包人规定的比例在计量支付时提取，在乙方项目完工并出具无拖欠农民工工资承诺后退还。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3.3.5本合同约定的所有保证金、保留金等到期无争议需要返还的，均不计利息。</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3.3.3（质量和进度考核相关条款）。</w:t>
      </w:r>
    </w:p>
    <w:p>
      <w:pPr>
        <w:pStyle w:val="107"/>
        <w:ind w:firstLine="422"/>
        <w:jc w:val="left"/>
        <w:rPr>
          <w:rFonts w:hAnsi="宋体" w:cs="宋体"/>
          <w:b/>
          <w:color w:val="000000" w:themeColor="text1"/>
          <w:highlight w:val="none"/>
          <w14:textFill>
            <w14:solidFill>
              <w14:schemeClr w14:val="tx1"/>
            </w14:solidFill>
          </w14:textFill>
        </w:rPr>
      </w:pPr>
    </w:p>
    <w:p>
      <w:pPr>
        <w:pStyle w:val="107"/>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4.双方责任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4.1甲方责任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4.1.1及时向乙方提供施工设计图及有关技术资料。</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4.1.2协调建设单位，办理永久征地手续，提供乙方使用。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4.1.3开工前由甲方牵头联系建设单位和设计单位对乙方进行交桩，负责完成线路复测、控制桩复测及加密等工作，乙方配合。</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4.1.4监督、协助乙方办理临时用地，但不承担因临时用地造成的任何费用及责任。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4.1.5按招标文件和建设单位规章制度对乙方施工进行监控，监督乙方文明施工、质量管理、安全生产、施工进度。</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4.1.6负责牵头联系建设单位、设计单位、监理单位有关工作。</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4.1.7负责转发政府、建设、设计、监理等相关单位，甲方认为有必要传达的文件、通知及其他资料。</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4.1.8负责成立中心试验室，并承担需要中心试验室负责的试验、检测工作，依照甲乙双方协商的工程试验检测费用支付。</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4.1.9负责建设拌和站，并按商品砼约定价格及供货方式提供砼，砼使用搅拌运输车提供至“可以安全送达”的施工区域。</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4.1.10负责对乙方临时设施及标示标牌的统一规划，但不承担所发生的费用。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4.1.11负责对建设单位计量工作（按乙方当期实际进度完成情况上报建设单位审批），负责办理乙方中间结算和完工决算，并拨付工程款。</w:t>
      </w:r>
    </w:p>
    <w:p>
      <w:pPr>
        <w:pStyle w:val="107"/>
        <w:ind w:left="1"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4.1.12负责制定并下达有关“技术、质量、安全、环保、文明施工、试验、资料”等有关管理规定，提供乙方使用。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4.1.13负责下达年、季、月施工计划，并对乙方施工进行全方位监控。</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4.1.14负责根据进度计划，及时提供甲供材料。</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4.1.15施工过程中，负责对乙方主要管理人员（项目经理、副经理、总工、现场技术主管、专职安全员、资料员等）进行考核和评估，对不符合要求的管理人员有权下达限期更换指令。</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4.1.16合同履行过程中，甲方有权对乙方的资金去向进行监控，并对擅自挪用的资金提出整改意见，并视造成的后果进行必要处罚。</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4.1.17施工过程中，甲方有权监督乙方的农民工管理及工资发放，如果出现乙方无理由拖欠农民工工资，甲方有权直接代发，所代发工资直接从乙方工程款中扣除。</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4.1.18协助乙方办理相关工程施工事宜，传达下发上级所发的本合同相关文件和信息。</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4.2乙方责任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4.2.2乙方应配合甲方完成线路复测、控制桩复测及加密等工作，交桩后由乙方对控制桩、加密桩等进行妥善保护，并自行负责施工过程中的测量工作，并承担全部费用。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4.2.4乙方主要管理人员（项目负责人、技术负责人）必须坚守工地，严格请销假制度，未经甲方同意，乙方主要人员擅离工作岗位，处以元/人·日的罚款。</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4.2.5乙方应按照合同要求为其履行合同所雇用的全部人员缴纳工伤保险费、在整个施工期间为其现场机构雇用的全部人员投保人身意外伤害险并为其施工设备办理保险，其费用由乙方承担。</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4.2.6乙方应按照甲方统一规划方案进行临时设施的建设及标示并承担费用。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4.2.7甲方未提供规划方案的临时设施，乙方自行建设，但严格按照甲方转发的相关“标准化管理规定”自行负责修建、管理、养护及拆除。</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4.2.8乙方施工工地宣传标识以及对外的舆论宣传必须以甲方的名义进行。</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4.2.11乙方自行购置的路基、路面、桥梁附属工程的砂、碎石、等主要原材料，必须符合国家现行标准并报经甲方试验部门同意后方可用于本工程，不得擅自更换。</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4.2.12负责本合同承包范围内工程的实施、完成及缺陷修复等工作并承担相应费用，接受甲方的领导、整体协调以及施工中的监督、指令、检查。</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4.2.13在施工中及时按甲方要求调整生产要素，并在规定时间内上报各种文件、资料和报表。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4.2.14服从甲方管理，参加甲方组织的各种工程施工会议和甲方开展的工程管理活动，否则，甲方有权对乙方实施经济处罚。</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4.2.16乙方须按文明施工，环境保护标准组织施工。在业主组织的工地检查和为迎接政府视察及甲方组织的工地检查中，要按要求组织整理施工现场，检查中如被批评、处罚，责任及费用全部由乙方承担。</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4.2.17乙方应积极配合甲方进行结算，及时提供相应资料，因“乙方原因造成计量不能按时批复”或者“建设单位资金不足”，工程款支付不到位，乙方必须自行解决资金问题，确保工期目标的实现，并承担全部责任。</w:t>
      </w:r>
    </w:p>
    <w:p>
      <w:pPr>
        <w:pStyle w:val="107"/>
        <w:tabs>
          <w:tab w:val="left" w:pos="2745"/>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4.2.19工程完工后，乙方应进行场地清理平整，做到工完场清，并提供竣工验收有关资料，在工程未交付前，应负责已完工程的保护工作，若有损坏，应自费予以修复。</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4.2.21乙方委派专人（有乙方的授权委托书）与甲方办理各种涉及合同、经济、财务等方面的手续。</w:t>
      </w:r>
    </w:p>
    <w:p>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4.2.24乙方在施工中与第三方产生的债权债务及纠纷等问题由乙方自行负责处理，并承担全部责任和费用。</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4.2.25乙方应不折不扣地按合同文件规定承担本合同工程的实施、完成、维护及缺陷的修复；甲方不承担任何停工及窝工损失费；由于建设单位原因造成的停工或窝工，乙方配合甲方向建设单位争取费用补偿。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4.2.26乙方应自行组织工程施工，不得将工程转包或分包，否则甲方有权终止合同，乙方承担违约责任。</w:t>
      </w:r>
    </w:p>
    <w:p>
      <w:pPr>
        <w:pStyle w:val="107"/>
        <w:ind w:firstLine="422"/>
        <w:jc w:val="left"/>
        <w:rPr>
          <w:rFonts w:hAnsi="宋体" w:cs="宋体"/>
          <w:b/>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5 合同工期和要求</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5.1根据甲方的总体施工计划要求，乙方完成分包专项工程的合同工期天，自年   月   日开工，至年   月   日完工。</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5.2如甲方总体施工计划调整时，乙方应作相应的调整，由此增加的费用由甲乙双方协商解决。</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5.3如因乙方原因未能按时开工或延误工期，由此引起的损失由乙方承担，必要时，甲方有权单方面终止合同。因发包人原因或不可抗力造成的工期延误，则按照发包人同意的相应工期予以顺延。</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6工程质量及质量保修</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6.1乙方应向甲方负责其分包工程的质量。甲方应对乙方分包的工程进行全面有效质量管理。</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6.4乙方的各项试验和检测内容应到甲方的试验室或甲方认可的有资质的试验检测机构完成，其费用由方承担。试验检测的频率、方法、操作规程等，应严格按照相关的技术标准执行。</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6.5甲方按照现行的验收办法、评定标准、施工技术规范及施工图等报请发包人组织验收。分包专项工程涉及的竣工资料（a.由甲方统一编制，乙方承担竣工资料编制费用；b.由乙方编制，乙方承担竣工资料编制费用；）。</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6.6乙方分包专项工程的质量保修期等同于发包人要求甲方的保修期，保修期间发生在乙方工作范围内的保修费用由乙方承担。</w:t>
      </w:r>
    </w:p>
    <w:p>
      <w:pPr>
        <w:pStyle w:val="107"/>
        <w:ind w:firstLine="422"/>
        <w:jc w:val="center"/>
        <w:rPr>
          <w:rFonts w:hAnsi="宋体" w:cs="宋体"/>
          <w:color w:val="000000" w:themeColor="text1"/>
          <w:highlight w:val="none"/>
          <w14:textFill>
            <w14:solidFill>
              <w14:schemeClr w14:val="tx1"/>
            </w14:solidFill>
          </w14:textFill>
        </w:rPr>
      </w:pPr>
    </w:p>
    <w:p>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 工程变更和质量事故处理</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7.2乙方实施完成的工程变更项目的费用待发包人批复并支付给甲方后,甲方扣除一定比例即%的管理费用后结算支付给乙方。</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7.3乙方应向甲方及时报告分包工程发生质量问题和事故，甲方应按公路工程质量事故处理相关规定及时报告，按规定程序处理。根据质量事故发生的原因，由责任方承担造成的责任和损失。</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8 工程款项的结算与支付</w:t>
      </w:r>
    </w:p>
    <w:p>
      <w:pPr>
        <w:pStyle w:val="107"/>
        <w:ind w:left="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8.1中期支付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8.1.2甲方向乙方支付的动员预付款，从中期支付款的第一期开始逐月按比例扣回，扣完为止。</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8.2完工结算</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对于完工时尚不能完成结算的细目，双方核实列出清单，说明情况和结算原则，签字确认，待终期结算时视项目决算审计及发包人决算支付情况一并结清。</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8.2.2完工结算时，对乙方的履约保证金、质量保证金、安全生产费用等按合同约定办理结算。</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8.3最终结算支付</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8.4分包人应设置会计帐簿，健全财务制度，及时、准确、完整地进行会计核算；所得的分包款项应有明确的收支明细帐目和凭证。</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9 材料物资和机械设备</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9.1材料</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保管费的费用扣回。</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9.1.2除上述甲方提供的材料物资外，用于乙方施工的其他材料物资由乙方自行采购和提供，并负责其保管、检测、使用、运输等全部费用。</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9.2机械设备</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9.2.1乙方施工所需机械设备均由乙方自行采购和提供，并符合工程施工和进度的要求。</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10 安全生产管理</w:t>
      </w:r>
    </w:p>
    <w:p>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10.2乙方应按规定对所属员工进行安全教育，并对其施工安全负责。乙方应服从甲方的安全生产管理，乙方不服从管理导致生产安全事故的，由乙方承担主要责任。</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10.3乙方施工范围内安全防护设施的采购、提供、搭拆、保管和维护，由乙方负责实施并承担费用。劳动防护用品费用由乙方承担，并按安全生产相关规定进行用品发放、并督促员工正确使用劳动防护用品。</w:t>
      </w:r>
    </w:p>
    <w:p>
      <w:pPr>
        <w:pStyle w:val="107"/>
        <w:ind w:firstLine="422"/>
        <w:rPr>
          <w:rFonts w:hAnsi="宋体" w:cs="宋体"/>
          <w:color w:val="000000" w:themeColor="text1"/>
          <w:highlight w:val="none"/>
          <w14:textFill>
            <w14:solidFill>
              <w14:schemeClr w14:val="tx1"/>
            </w14:solidFill>
          </w14:textFill>
        </w:rPr>
      </w:pPr>
    </w:p>
    <w:p>
      <w:pPr>
        <w:pStyle w:val="107"/>
        <w:ind w:firstLine="48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11劳务管理</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12保险</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12.2除上一条款险种外，其他保险由乙方自行投保并承担费用，其中，高危等项目，乙方必须投保。乙方并将所有自行投保合同报甲方备案。</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13现场管理</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13.1乙方应做到文明施工，做到施工场地整洁有序，设立必要宣传、告示等标志、标牌。</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13.2乙方施工所需的临时道路、桥梁等设施由方修建和维护，在使用中对临时设施有损坏时，乙方可通过甲方指出由损坏人给予修复或赔偿的要求。</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14违约责任</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14.1 乙方分包的工程项目，不得再行转包或分包，否则将无条件被认为乙方违约，由此引起的一切责任、事故和损失由乙方负责。</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14.2在施工过程中经检验达不到验收规范和评定标准，不能保证工程质量，或因乙方原因造成发包人、监理人或有关部门的极大不满，则甲方有权终止合同，由此造成的损失由乙方承担。</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14.4因乙方原因，出现下列情况之一的，甲方有权采取认为合理的一切措施进行处理，由此引起的损失由乙方承担。</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14.4.1乙方的主要人员、机械设备及流动资金不能按时到位的，严重制约了工程的施工；</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14.4.2进度滞后该工程总体进度计划的10％或落到工程管理曲线下线以下的；</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14.4.3不按施工技术规范和标准要求施工，造成工程质量低劣的达不到验收标准的；</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 4不遵守甲方的管理，不能服从发包人和监理人的指令，造成工程不能管理无法推进。</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14.5乙方应按本合同规定的工期及质量要求完成，否则应偿付给甲方元/天的逾期违约金，限额为％本合同的签约合同价。</w:t>
      </w:r>
    </w:p>
    <w:p>
      <w:pPr>
        <w:pStyle w:val="107"/>
        <w:ind w:firstLine="422"/>
        <w:rPr>
          <w:rFonts w:hAnsi="宋体" w:cs="宋体"/>
          <w:color w:val="000000" w:themeColor="text1"/>
          <w:highlight w:val="none"/>
          <w14:textFill>
            <w14:solidFill>
              <w14:schemeClr w14:val="tx1"/>
            </w14:solidFill>
          </w14:textFill>
        </w:rPr>
      </w:pPr>
    </w:p>
    <w:p>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15 附则</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15.1合同生效：本合同经甲乙双方签字盖章后，须经驻地监理办审查，报发包人备案之日起生效。</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15.2合同终止日期：在全部工程竣工，办理竣工验收款项结清后失效。</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15.3本合同发生纠纷时，甲乙双方应及时协商解决。若协商不成时，可按以下第项解决：(a)向工程所在地经济合同仲裁委员会申请仲裁，(b)向人民法院起诉。</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15.4本合同要求鉴证(公证)的，可向工程所在地的市(县)工商行政管理局进行鉴证或公证处公证。</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15.5本合同一式份，甲乙双方各执正本一份，副本份，驻地监理办、发包人备案各一份。</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15.6 双方商定的补充条款：</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1.</w:t>
      </w: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2.</w:t>
      </w:r>
    </w:p>
    <w:p>
      <w:pPr>
        <w:pStyle w:val="107"/>
        <w:ind w:firstLine="96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pPr>
        <w:pStyle w:val="107"/>
        <w:ind w:firstLine="960" w:firstLineChars="400"/>
        <w:rPr>
          <w:rFonts w:hAnsi="宋体" w:cs="宋体"/>
          <w:color w:val="000000" w:themeColor="text1"/>
          <w:highlight w:val="none"/>
          <w14:textFill>
            <w14:solidFill>
              <w14:schemeClr w14:val="tx1"/>
            </w14:solidFill>
          </w14:textFill>
        </w:rPr>
      </w:pPr>
    </w:p>
    <w:p>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15.7本合同未尽事宜，发包人与甲方签订总包合同的相关条款已有的，按其办理；未涉及的，按照本工程合同文件的精神，甲乙双方协商解决。</w:t>
      </w:r>
    </w:p>
    <w:p>
      <w:pPr>
        <w:pStyle w:val="107"/>
        <w:ind w:firstLine="960" w:firstLineChars="400"/>
        <w:rPr>
          <w:rFonts w:hAnsi="宋体" w:cs="宋体"/>
          <w:color w:val="000000" w:themeColor="text1"/>
          <w:highlight w:val="none"/>
          <w14:textFill>
            <w14:solidFill>
              <w14:schemeClr w14:val="tx1"/>
            </w14:solidFill>
          </w14:textFill>
        </w:rPr>
      </w:pPr>
    </w:p>
    <w:p>
      <w:pPr>
        <w:pStyle w:val="107"/>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合同附件：</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(一)分包人营业执照复印件。</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(二)分包人有关企业信息介绍等资料。</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(三)分包管理人员身份证、资格证书、职称证书、劳动合同关系材料复印件。</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(四)分包人拟投入的主要管理人员表（附表1）</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(五)分包人拟投入的主要机械设备表（附表2)</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(六)分包专项工程工程量清单(附表3)</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(五)承包人供应的材料清单 (附表4)。</w:t>
      </w:r>
    </w:p>
    <w:p>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(六)其它：</w:t>
      </w:r>
    </w:p>
    <w:p>
      <w:pPr>
        <w:pStyle w:val="107"/>
        <w:ind w:firstLine="480"/>
        <w:rPr>
          <w:rFonts w:hAnsi="宋体" w:cs="宋体"/>
          <w:color w:val="000000" w:themeColor="text1"/>
          <w:highlight w:val="none"/>
          <w14:textFill>
            <w14:solidFill>
              <w14:schemeClr w14:val="tx1"/>
            </w14:solidFill>
          </w14:textFill>
        </w:rPr>
      </w:pPr>
    </w:p>
    <w:p>
      <w:pPr>
        <w:pStyle w:val="107"/>
        <w:ind w:firstLine="480"/>
        <w:rPr>
          <w:rFonts w:hAnsi="宋体" w:cs="宋体"/>
          <w:color w:val="000000" w:themeColor="text1"/>
          <w:highlight w:val="none"/>
          <w14:textFill>
            <w14:solidFill>
              <w14:schemeClr w14:val="tx1"/>
            </w14:solidFill>
          </w14:textFill>
        </w:rPr>
      </w:pPr>
    </w:p>
    <w:p>
      <w:pPr>
        <w:pStyle w:val="107"/>
        <w:ind w:firstLine="480"/>
        <w:rPr>
          <w:rFonts w:hAnsi="宋体" w:cs="宋体"/>
          <w:color w:val="000000" w:themeColor="text1"/>
          <w:highlight w:val="none"/>
          <w14:textFill>
            <w14:solidFill>
              <w14:schemeClr w14:val="tx1"/>
            </w14:solidFill>
          </w14:textFill>
        </w:rPr>
      </w:pPr>
    </w:p>
    <w:p>
      <w:pPr>
        <w:pStyle w:val="107"/>
        <w:ind w:firstLine="480"/>
        <w:rPr>
          <w:rFonts w:hAnsi="宋体" w:cs="宋体"/>
          <w:color w:val="000000" w:themeColor="text1"/>
          <w:highlight w:val="none"/>
          <w14:textFill>
            <w14:solidFill>
              <w14:schemeClr w14:val="tx1"/>
            </w14:solidFill>
          </w14:textFill>
        </w:rPr>
      </w:pP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方：(盖章)                           乙  方：(盖章)</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附表1：分包人投入人员表</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岗位</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p>
        </w:tc>
        <w:tc>
          <w:tcPr>
            <w:tcW w:w="10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姓名</w:t>
            </w:r>
          </w:p>
        </w:tc>
        <w:tc>
          <w:tcPr>
            <w:tcW w:w="19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身份证号</w:t>
            </w:r>
          </w:p>
        </w:tc>
        <w:tc>
          <w:tcPr>
            <w:tcW w:w="1025"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职称</w:t>
            </w:r>
          </w:p>
        </w:tc>
        <w:tc>
          <w:tcPr>
            <w:tcW w:w="1339"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资格</w:t>
            </w:r>
          </w:p>
        </w:tc>
        <w:tc>
          <w:tcPr>
            <w:tcW w:w="1355"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拟进场时间</w:t>
            </w:r>
          </w:p>
        </w:tc>
        <w:tc>
          <w:tcPr>
            <w:tcW w:w="1141"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技术（质量）负责人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安全负责人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财务负责人</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pPr>
              <w:pStyle w:val="107"/>
              <w:jc w:val="center"/>
              <w:rPr>
                <w:rFonts w:hAnsi="宋体" w:cs="宋体"/>
                <w:color w:val="000000" w:themeColor="text1"/>
                <w:szCs w:val="21"/>
                <w:highlight w:val="none"/>
                <w14:textFill>
                  <w14:solidFill>
                    <w14:schemeClr w14:val="tx1"/>
                  </w14:solidFill>
                </w14:textFill>
              </w:rPr>
            </w:pPr>
          </w:p>
        </w:tc>
        <w:tc>
          <w:tcPr>
            <w:tcW w:w="1080" w:type="dxa"/>
          </w:tcPr>
          <w:p>
            <w:pPr>
              <w:pStyle w:val="107"/>
              <w:jc w:val="center"/>
              <w:rPr>
                <w:rFonts w:hAnsi="宋体" w:cs="宋体"/>
                <w:color w:val="000000" w:themeColor="text1"/>
                <w:szCs w:val="21"/>
                <w:highlight w:val="none"/>
                <w14:textFill>
                  <w14:solidFill>
                    <w14:schemeClr w14:val="tx1"/>
                  </w14:solidFill>
                </w14:textFill>
              </w:rPr>
            </w:pPr>
          </w:p>
        </w:tc>
        <w:tc>
          <w:tcPr>
            <w:tcW w:w="1980" w:type="dxa"/>
          </w:tcPr>
          <w:p>
            <w:pPr>
              <w:pStyle w:val="107"/>
              <w:jc w:val="center"/>
              <w:rPr>
                <w:rFonts w:hAnsi="宋体" w:cs="宋体"/>
                <w:color w:val="000000" w:themeColor="text1"/>
                <w:szCs w:val="21"/>
                <w:highlight w:val="none"/>
                <w14:textFill>
                  <w14:solidFill>
                    <w14:schemeClr w14:val="tx1"/>
                  </w14:solidFill>
                </w14:textFill>
              </w:rPr>
            </w:pPr>
          </w:p>
        </w:tc>
        <w:tc>
          <w:tcPr>
            <w:tcW w:w="1025" w:type="dxa"/>
          </w:tcPr>
          <w:p>
            <w:pPr>
              <w:pStyle w:val="107"/>
              <w:jc w:val="center"/>
              <w:rPr>
                <w:rFonts w:hAnsi="宋体" w:cs="宋体"/>
                <w:color w:val="000000" w:themeColor="text1"/>
                <w:szCs w:val="21"/>
                <w:highlight w:val="none"/>
                <w14:textFill>
                  <w14:solidFill>
                    <w14:schemeClr w14:val="tx1"/>
                  </w14:solidFill>
                </w14:textFill>
              </w:rPr>
            </w:pPr>
          </w:p>
        </w:tc>
        <w:tc>
          <w:tcPr>
            <w:tcW w:w="1339" w:type="dxa"/>
          </w:tcPr>
          <w:p>
            <w:pPr>
              <w:pStyle w:val="107"/>
              <w:jc w:val="center"/>
              <w:rPr>
                <w:rFonts w:hAnsi="宋体" w:cs="宋体"/>
                <w:color w:val="000000" w:themeColor="text1"/>
                <w:szCs w:val="21"/>
                <w:highlight w:val="none"/>
                <w14:textFill>
                  <w14:solidFill>
                    <w14:schemeClr w14:val="tx1"/>
                  </w14:solidFill>
                </w14:textFill>
              </w:rPr>
            </w:pPr>
          </w:p>
        </w:tc>
        <w:tc>
          <w:tcPr>
            <w:tcW w:w="1355" w:type="dxa"/>
          </w:tcPr>
          <w:p>
            <w:pPr>
              <w:pStyle w:val="107"/>
              <w:jc w:val="center"/>
              <w:rPr>
                <w:rFonts w:hAnsi="宋体" w:cs="宋体"/>
                <w:color w:val="000000" w:themeColor="text1"/>
                <w:szCs w:val="21"/>
                <w:highlight w:val="none"/>
                <w14:textFill>
                  <w14:solidFill>
                    <w14:schemeClr w14:val="tx1"/>
                  </w14:solidFill>
                </w14:textFill>
              </w:rPr>
            </w:pPr>
          </w:p>
        </w:tc>
        <w:tc>
          <w:tcPr>
            <w:tcW w:w="1141" w:type="dxa"/>
          </w:tcPr>
          <w:p>
            <w:pPr>
              <w:pStyle w:val="107"/>
              <w:jc w:val="center"/>
              <w:rPr>
                <w:rFonts w:hAnsi="宋体" w:cs="宋体"/>
                <w:color w:val="000000" w:themeColor="text1"/>
                <w:szCs w:val="21"/>
                <w:highlight w:val="none"/>
                <w14:textFill>
                  <w14:solidFill>
                    <w14:schemeClr w14:val="tx1"/>
                  </w14:solidFill>
                </w14:textFill>
              </w:rPr>
            </w:pPr>
          </w:p>
        </w:tc>
      </w:tr>
    </w:tbl>
    <w:p>
      <w:pPr>
        <w:pStyle w:val="107"/>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附：身份证件、职称证书、资格证书、劳动合同等复印件。</w:t>
      </w:r>
    </w:p>
    <w:p>
      <w:pPr>
        <w:pStyle w:val="107"/>
        <w:jc w:val="center"/>
        <w:rPr>
          <w:rFonts w:hAnsi="宋体" w:cs="宋体"/>
          <w:b/>
          <w:color w:val="000000" w:themeColor="text1"/>
          <w:sz w:val="28"/>
          <w:szCs w:val="28"/>
          <w:highlight w:val="none"/>
          <w14:textFill>
            <w14:solidFill>
              <w14:schemeClr w14:val="tx1"/>
            </w14:solidFill>
          </w14:textFill>
        </w:rPr>
      </w:pPr>
    </w:p>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附表2：分包人投入设备表</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设备名称</w:t>
            </w:r>
          </w:p>
        </w:tc>
        <w:tc>
          <w:tcPr>
            <w:tcW w:w="159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型号</w:t>
            </w:r>
          </w:p>
        </w:tc>
        <w:tc>
          <w:tcPr>
            <w:tcW w:w="10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性能</w:t>
            </w:r>
          </w:p>
        </w:tc>
        <w:tc>
          <w:tcPr>
            <w:tcW w:w="10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8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进场时间</w:t>
            </w:r>
          </w:p>
        </w:tc>
        <w:tc>
          <w:tcPr>
            <w:tcW w:w="14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承诺违约金（元/日）</w:t>
            </w:r>
          </w:p>
        </w:tc>
        <w:tc>
          <w:tcPr>
            <w:tcW w:w="14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7"/>
              <w:jc w:val="center"/>
              <w:rPr>
                <w:rFonts w:hAnsi="宋体" w:cs="宋体"/>
                <w:color w:val="000000" w:themeColor="text1"/>
                <w:sz w:val="18"/>
                <w:highlight w:val="none"/>
                <w14:textFill>
                  <w14:solidFill>
                    <w14:schemeClr w14:val="tx1"/>
                  </w14:solidFill>
                </w14:textFill>
              </w:rPr>
            </w:pPr>
          </w:p>
        </w:tc>
        <w:tc>
          <w:tcPr>
            <w:tcW w:w="159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7"/>
              <w:jc w:val="center"/>
              <w:rPr>
                <w:rFonts w:hAnsi="宋体" w:cs="宋体"/>
                <w:color w:val="000000" w:themeColor="text1"/>
                <w:sz w:val="18"/>
                <w:highlight w:val="none"/>
                <w14:textFill>
                  <w14:solidFill>
                    <w14:schemeClr w14:val="tx1"/>
                  </w14:solidFill>
                </w14:textFill>
              </w:rPr>
            </w:pPr>
          </w:p>
        </w:tc>
        <w:tc>
          <w:tcPr>
            <w:tcW w:w="159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pPr>
              <w:pStyle w:val="107"/>
              <w:jc w:val="center"/>
              <w:rPr>
                <w:rFonts w:hAnsi="宋体" w:cs="宋体"/>
                <w:color w:val="000000" w:themeColor="text1"/>
                <w:sz w:val="18"/>
                <w:highlight w:val="none"/>
                <w14:textFill>
                  <w14:solidFill>
                    <w14:schemeClr w14:val="tx1"/>
                  </w14:solidFill>
                </w14:textFill>
              </w:rPr>
            </w:pPr>
          </w:p>
        </w:tc>
        <w:tc>
          <w:tcPr>
            <w:tcW w:w="159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08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c>
          <w:tcPr>
            <w:tcW w:w="1440" w:type="dxa"/>
          </w:tcPr>
          <w:p>
            <w:pPr>
              <w:pStyle w:val="107"/>
              <w:jc w:val="center"/>
              <w:rPr>
                <w:rFonts w:hAnsi="宋体" w:cs="宋体"/>
                <w:color w:val="000000" w:themeColor="text1"/>
                <w:sz w:val="18"/>
                <w:highlight w:val="none"/>
                <w14:textFill>
                  <w14:solidFill>
                    <w14:schemeClr w14:val="tx1"/>
                  </w14:solidFill>
                </w14:textFill>
              </w:rPr>
            </w:pPr>
          </w:p>
        </w:tc>
      </w:tr>
    </w:tbl>
    <w:p>
      <w:pPr>
        <w:pStyle w:val="107"/>
        <w:rPr>
          <w:rFonts w:hAnsi="宋体" w:cs="宋体"/>
          <w:color w:val="000000" w:themeColor="text1"/>
          <w:szCs w:val="21"/>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附表3：分包专项工程工程量清单</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3"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清单编号</w:t>
            </w:r>
          </w:p>
        </w:tc>
        <w:tc>
          <w:tcPr>
            <w:tcW w:w="1752"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工程名称</w:t>
            </w:r>
          </w:p>
        </w:tc>
        <w:tc>
          <w:tcPr>
            <w:tcW w:w="1122"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122"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1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40"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金额</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23"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7"/>
              <w:rPr>
                <w:rFonts w:hAnsi="宋体" w:cs="宋体"/>
                <w:b/>
                <w:color w:val="000000" w:themeColor="text1"/>
                <w:sz w:val="28"/>
                <w:szCs w:val="28"/>
                <w:highlight w:val="none"/>
                <w14:textFill>
                  <w14:solidFill>
                    <w14:schemeClr w14:val="tx1"/>
                  </w14:solidFill>
                </w14:textFill>
              </w:rPr>
            </w:pPr>
          </w:p>
        </w:tc>
        <w:tc>
          <w:tcPr>
            <w:tcW w:w="175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23"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7"/>
              <w:rPr>
                <w:rFonts w:hAnsi="宋体" w:cs="宋体"/>
                <w:b/>
                <w:color w:val="000000" w:themeColor="text1"/>
                <w:sz w:val="28"/>
                <w:szCs w:val="28"/>
                <w:highlight w:val="none"/>
                <w14:textFill>
                  <w14:solidFill>
                    <w14:schemeClr w14:val="tx1"/>
                  </w14:solidFill>
                </w14:textFill>
              </w:rPr>
            </w:pPr>
          </w:p>
        </w:tc>
        <w:tc>
          <w:tcPr>
            <w:tcW w:w="175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23"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7"/>
              <w:rPr>
                <w:rFonts w:hAnsi="宋体" w:cs="宋体"/>
                <w:b/>
                <w:color w:val="000000" w:themeColor="text1"/>
                <w:sz w:val="28"/>
                <w:szCs w:val="28"/>
                <w:highlight w:val="none"/>
                <w14:textFill>
                  <w14:solidFill>
                    <w14:schemeClr w14:val="tx1"/>
                  </w14:solidFill>
                </w14:textFill>
              </w:rPr>
            </w:pPr>
          </w:p>
        </w:tc>
        <w:tc>
          <w:tcPr>
            <w:tcW w:w="175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22"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40" w:type="dxa"/>
          </w:tcPr>
          <w:p>
            <w:pPr>
              <w:pStyle w:val="107"/>
              <w:rPr>
                <w:rFonts w:hAnsi="宋体" w:cs="宋体"/>
                <w:b/>
                <w:color w:val="000000" w:themeColor="text1"/>
                <w:sz w:val="28"/>
                <w:szCs w:val="28"/>
                <w:highlight w:val="none"/>
                <w14:textFill>
                  <w14:solidFill>
                    <w14:schemeClr w14:val="tx1"/>
                  </w14:solidFill>
                </w14:textFill>
              </w:rPr>
            </w:pPr>
          </w:p>
        </w:tc>
        <w:tc>
          <w:tcPr>
            <w:tcW w:w="1123" w:type="dxa"/>
          </w:tcPr>
          <w:p>
            <w:pPr>
              <w:pStyle w:val="107"/>
              <w:rPr>
                <w:rFonts w:hAnsi="宋体" w:cs="宋体"/>
                <w:b/>
                <w:color w:val="000000" w:themeColor="text1"/>
                <w:sz w:val="28"/>
                <w:szCs w:val="28"/>
                <w:highlight w:val="none"/>
                <w14:textFill>
                  <w14:solidFill>
                    <w14:schemeClr w14:val="tx1"/>
                  </w14:solidFill>
                </w14:textFill>
              </w:rPr>
            </w:pPr>
          </w:p>
        </w:tc>
      </w:tr>
    </w:tbl>
    <w:p>
      <w:pPr>
        <w:pStyle w:val="107"/>
        <w:rPr>
          <w:rFonts w:hAnsi="宋体" w:cs="宋体"/>
          <w:b/>
          <w:color w:val="000000" w:themeColor="text1"/>
          <w:sz w:val="28"/>
          <w:szCs w:val="28"/>
          <w:highlight w:val="none"/>
          <w14:textFill>
            <w14:solidFill>
              <w14:schemeClr w14:val="tx1"/>
            </w14:solidFill>
          </w14:textFill>
        </w:rPr>
      </w:pPr>
    </w:p>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附表4：承包人供应材料清单</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493"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材料品种</w:t>
            </w:r>
          </w:p>
        </w:tc>
        <w:tc>
          <w:tcPr>
            <w:tcW w:w="1004"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规格</w:t>
            </w:r>
          </w:p>
        </w:tc>
        <w:tc>
          <w:tcPr>
            <w:tcW w:w="1004"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004" w:type="dxa"/>
            <w:vAlign w:val="center"/>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04"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结算</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tc>
        <w:tc>
          <w:tcPr>
            <w:tcW w:w="1005"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时间</w:t>
            </w:r>
          </w:p>
        </w:tc>
        <w:tc>
          <w:tcPr>
            <w:tcW w:w="1005" w:type="dxa"/>
          </w:tcPr>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pPr>
              <w:pStyle w:val="107"/>
              <w:rPr>
                <w:rFonts w:hAnsi="宋体" w:cs="宋体"/>
                <w:b/>
                <w:color w:val="000000" w:themeColor="text1"/>
                <w:sz w:val="28"/>
                <w:szCs w:val="28"/>
                <w:highlight w:val="none"/>
                <w14:textFill>
                  <w14:solidFill>
                    <w14:schemeClr w14:val="tx1"/>
                  </w14:solidFill>
                </w14:textFill>
              </w:rPr>
            </w:pPr>
          </w:p>
        </w:tc>
        <w:tc>
          <w:tcPr>
            <w:tcW w:w="1493"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4"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c>
          <w:tcPr>
            <w:tcW w:w="1005" w:type="dxa"/>
          </w:tcPr>
          <w:p>
            <w:pPr>
              <w:pStyle w:val="107"/>
              <w:rPr>
                <w:rFonts w:hAnsi="宋体" w:cs="宋体"/>
                <w:b/>
                <w:color w:val="000000" w:themeColor="text1"/>
                <w:sz w:val="28"/>
                <w:szCs w:val="28"/>
                <w:highlight w:val="none"/>
                <w14:textFill>
                  <w14:solidFill>
                    <w14:schemeClr w14:val="tx1"/>
                  </w14:solidFill>
                </w14:textFill>
              </w:rPr>
            </w:pPr>
          </w:p>
        </w:tc>
      </w:tr>
    </w:tbl>
    <w:p>
      <w:pPr>
        <w:pStyle w:val="107"/>
        <w:rPr>
          <w:rFonts w:hAnsi="宋体" w:cs="宋体"/>
          <w:color w:val="000000" w:themeColor="text1"/>
          <w:highlight w:val="none"/>
          <w14:textFill>
            <w14:solidFill>
              <w14:schemeClr w14:val="tx1"/>
            </w14:solidFill>
          </w14:textFill>
        </w:rPr>
      </w:pPr>
    </w:p>
    <w:p>
      <w:pPr>
        <w:pStyle w:val="107"/>
        <w:rPr>
          <w:rFonts w:hAnsi="宋体" w:cs="宋体"/>
          <w:color w:val="000000" w:themeColor="text1"/>
          <w:highlight w:val="none"/>
          <w14:textFill>
            <w14:solidFill>
              <w14:schemeClr w14:val="tx1"/>
            </w14:solidFill>
          </w14:textFill>
        </w:rPr>
      </w:pPr>
    </w:p>
    <w:p>
      <w:pPr>
        <w:pStyle w:val="107"/>
        <w:rPr>
          <w:rFonts w:hAnsi="宋体" w:cs="宋体"/>
          <w:color w:val="000000" w:themeColor="text1"/>
          <w:sz w:val="28"/>
          <w:szCs w:val="28"/>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p>
    <w:p>
      <w:pPr>
        <w:pStyle w:val="107"/>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附件十六：施工劳务合作协议</w:t>
      </w: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r>
        <w:rPr>
          <w:rFonts w:hint="eastAsia" w:hAnsi="宋体" w:cs="宋体"/>
          <w:color w:val="000000" w:themeColor="text1"/>
          <w:sz w:val="48"/>
          <w:szCs w:val="48"/>
          <w:highlight w:val="none"/>
          <w14:textFill>
            <w14:solidFill>
              <w14:schemeClr w14:val="tx1"/>
            </w14:solidFill>
          </w14:textFill>
        </w:rPr>
        <w:t>公路工程施工劳务合作协议</w:t>
      </w: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p>
    <w:p>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pPr>
        <w:pStyle w:val="107"/>
        <w:jc w:val="center"/>
        <w:rPr>
          <w:rFonts w:hAnsi="宋体" w:cs="宋体"/>
          <w:color w:val="000000" w:themeColor="text1"/>
          <w:sz w:val="28"/>
          <w:szCs w:val="28"/>
          <w:highlight w:val="none"/>
          <w14:textFill>
            <w14:solidFill>
              <w14:schemeClr w14:val="tx1"/>
            </w14:solidFill>
          </w14:textFill>
        </w:rPr>
      </w:pPr>
    </w:p>
    <w:p>
      <w:pPr>
        <w:pStyle w:val="107"/>
        <w:jc w:val="left"/>
        <w:rPr>
          <w:rFonts w:hAnsi="宋体" w:cs="宋体"/>
          <w:color w:val="000000" w:themeColor="text1"/>
          <w:sz w:val="32"/>
          <w:szCs w:val="32"/>
          <w:highlight w:val="none"/>
          <w14:textFill>
            <w14:solidFill>
              <w14:schemeClr w14:val="tx1"/>
            </w14:solidFill>
          </w14:textFill>
        </w:rPr>
      </w:pPr>
    </w:p>
    <w:p>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color w:val="000000" w:themeColor="text1"/>
          <w:sz w:val="32"/>
          <w:szCs w:val="32"/>
          <w:highlight w:val="none"/>
          <w14:textFill>
            <w14:solidFill>
              <w14:schemeClr w14:val="tx1"/>
            </w14:solidFill>
          </w14:textFill>
        </w:rPr>
        <w:t>公路工程施工劳务合作合同</w:t>
      </w:r>
    </w:p>
    <w:p>
      <w:pPr>
        <w:pStyle w:val="107"/>
        <w:spacing w:line="280" w:lineRule="exact"/>
        <w:ind w:right="630"/>
        <w:jc w:val="right"/>
        <w:rPr>
          <w:rFonts w:hAnsi="宋体" w:cs="宋体"/>
          <w:color w:val="000000" w:themeColor="text1"/>
          <w:szCs w:val="21"/>
          <w:highlight w:val="none"/>
          <w14:textFill>
            <w14:solidFill>
              <w14:schemeClr w14:val="tx1"/>
            </w14:solidFill>
          </w14:textFill>
        </w:rPr>
      </w:pPr>
    </w:p>
    <w:p>
      <w:pPr>
        <w:pStyle w:val="107"/>
        <w:ind w:right="-15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劳务合同编号：</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 (承包人或专项工程分包人)：</w:t>
      </w:r>
    </w:p>
    <w:p>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乙方（劳务单位）：</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工程名称、地点和劳务内容</w:t>
      </w:r>
    </w:p>
    <w:p>
      <w:pPr>
        <w:pStyle w:val="107"/>
        <w:numPr>
          <w:ilvl w:val="1"/>
          <w:numId w:val="20"/>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工程名称</w:t>
      </w:r>
    </w:p>
    <w:p>
      <w:pPr>
        <w:pStyle w:val="107"/>
        <w:numPr>
          <w:ilvl w:val="1"/>
          <w:numId w:val="20"/>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工程地点和范围</w:t>
      </w:r>
    </w:p>
    <w:p>
      <w:pPr>
        <w:pStyle w:val="107"/>
        <w:numPr>
          <w:ilvl w:val="1"/>
          <w:numId w:val="20"/>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劳务内容和方式：</w:t>
      </w:r>
    </w:p>
    <w:p>
      <w:pPr>
        <w:pStyle w:val="107"/>
        <w:numPr>
          <w:ilvl w:val="1"/>
          <w:numId w:val="20"/>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劳务人员数量共计人。其中，技工人，普工人(劳务人员工种及花名册附后)。</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劳务及管理费的结算支付</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2.1劳务承包项目实行工序劳务费用单价承包形式，计件单价和暂估数量见《劳务计价清单》（附表1）。劳务费用中的结算工程量按每月得到甲方项目经理部签认计量的工程量为准。 </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2.3劳务计价清单未涉及的工程内容，或由于待料、停电、气候恶劣等非乙方的责任而造成的停工按计日工结算。计日工单价根据发生时的市场价由双方商定。</w:t>
      </w:r>
    </w:p>
    <w:p>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2.4本合同劳务计价单价不含甲方提供的材料费用和机械设备费用，但含税金，税金由甲方代扣代缴（综合税率为%）。乙方办理劳务费结算支付时应提供符合要求的票据。</w:t>
      </w:r>
    </w:p>
    <w:p>
      <w:pPr>
        <w:pStyle w:val="107"/>
        <w:numPr>
          <w:ilvl w:val="1"/>
          <w:numId w:val="21"/>
        </w:numPr>
        <w:ind w:left="0"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有关款项的约定：</w:t>
      </w:r>
    </w:p>
    <w:p>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2.5.1农民工工资支付保证金按项目总包合同专用条款或业主规定的比例在计量支付时提取，在乙方劳务作业全部完成并出具无拖欠农民工工资承诺后退还。</w:t>
      </w:r>
    </w:p>
    <w:p>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2.5.2质量和进度考核基金按项目业主的考核办法的规定比例在中期计量支付时提取，并按考核办法的规定实施考核和奖惩。</w:t>
      </w:r>
    </w:p>
    <w:p>
      <w:pPr>
        <w:pStyle w:val="107"/>
        <w:ind w:firstLine="432" w:firstLineChars="180"/>
        <w:rPr>
          <w:rFonts w:hAnsi="宋体" w:cs="宋体"/>
          <w:b/>
          <w:color w:val="000000" w:themeColor="text1"/>
          <w:spacing w:val="-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2.6劳务承包合同总价为甲乙双方验工计量支付的各分项价款之和</w:t>
      </w:r>
      <w:r>
        <w:rPr>
          <w:rFonts w:hint="eastAsia" w:hAnsi="宋体" w:cs="宋体"/>
          <w:b/>
          <w:color w:val="000000" w:themeColor="text1"/>
          <w:spacing w:val="-8"/>
          <w:highlight w:val="none"/>
          <w14:textFill>
            <w14:solidFill>
              <w14:schemeClr w14:val="tx1"/>
            </w14:solidFill>
          </w14:textFill>
        </w:rPr>
        <w:t>。</w:t>
      </w:r>
    </w:p>
    <w:p>
      <w:pPr>
        <w:pStyle w:val="107"/>
        <w:numPr>
          <w:ilvl w:val="0"/>
          <w:numId w:val="19"/>
        </w:numPr>
        <w:rPr>
          <w:rFonts w:hAnsi="宋体" w:cs="宋体"/>
          <w:b/>
          <w:color w:val="000000" w:themeColor="text1"/>
          <w:spacing w:val="-8"/>
          <w:highlight w:val="none"/>
          <w14:textFill>
            <w14:solidFill>
              <w14:schemeClr w14:val="tx1"/>
            </w14:solidFill>
          </w14:textFill>
        </w:rPr>
      </w:pPr>
      <w:r>
        <w:rPr>
          <w:rFonts w:hint="eastAsia" w:hAnsi="宋体" w:cs="宋体"/>
          <w:b/>
          <w:color w:val="000000" w:themeColor="text1"/>
          <w:spacing w:val="-8"/>
          <w:highlight w:val="none"/>
          <w14:textFill>
            <w14:solidFill>
              <w14:schemeClr w14:val="tx1"/>
            </w14:solidFill>
          </w14:textFill>
        </w:rPr>
        <w:t>双方责任</w:t>
      </w:r>
    </w:p>
    <w:p>
      <w:pPr>
        <w:pStyle w:val="107"/>
        <w:ind w:left="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3.1甲方责任</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3.1.1为加强对乙方劳务人员的组织与管理，甲方成立现场管理机构标段项目经理部，对工程施工全过程实施全面监控管理。</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3.1.2负责编制实施性施工组织设计，负责施工测量和技术管理。</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3.1.3按施工组织设计及时供应材料和提供机械设备，满足工程进度的需要。</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3.1.4负责在施工前对乙方劳务人员进行技术交底，让乙方劳务人员熟练掌握有关操作规程和操作技术。</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3.1.5编制施工进度计划，人员、材料、设备等进场计划，并组织乙方劳务人员按规定程序进行劳务作业。</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3.1.6负责原材料、设备、构配件、半成品的检验和试验。</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3.1.7对乙方安排的劳务人员进行岗前专业培训，并记录教育培训档案。</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3.1.8监督乙方劳务人员进行文明施工、安全生产，保证作业现场施工安全。</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3.1.9负责办理征地拆迁以及本协议作业项目的道路、用电、用水，以满足施工需要。</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3.1.10、甲方负责对每道工序的质量进行检验，乙方完成每道工序须由甲方工程技术人员检验认可，否则乙方不能进入下一道工序的劳务作业。</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3.1.11对已完劳务作业项目组织验收，负责工程资料的收集和汇总并按协议规定办理劳务费用结算。</w:t>
      </w:r>
    </w:p>
    <w:p>
      <w:pPr>
        <w:pStyle w:val="107"/>
        <w:ind w:firstLine="3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3.2乙方责任</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3.2.1按甲方要求安排符合施工需要的劳务作业人员。乙方必须安排与之有劳动合同关系的劳务作业人员，未签订劳动合同的不得进入施工现场从事劳务作业活动。</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3.2.2乙方应派出现场负责人协助甲方对劳务人员进行劳务作业管理。</w:t>
      </w:r>
    </w:p>
    <w:p>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3.2.3乙方劳务人员应按甲方劳务培训计划参加相关工法、操作规程的学习，严格按规定程序进行劳务作业。</w:t>
      </w:r>
    </w:p>
    <w:p>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3.2.4乙方应当建立、健全职业病防治责任制，加强对职业病防治的管理，对产生的职业病危害承担责任。</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3.2.6乙方劳务人员在劳务作业中发生质量、安全责任事故，应及时报告甲方管理人员，不得擅自处理或隐瞒。</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3.2.7劳务作业过程中，乙方劳务人员与当地发生的债权债务及治安等问题由乙方负责处理，并承担相应责任和费用。</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3.2.8乙方劳务人员须认真按照行业技术规范和设计要求以及甲方的管理进行劳务作业，随时接受甲方管理人员的监督检查。</w:t>
      </w:r>
    </w:p>
    <w:p>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3.2.9乙方不得将本工程转包或者分包给其他单位或个人施工，须自行完成本协议规定的施工作业项目；在施工过程中，不得偷工减料，不得倒卖或挪用甲方供应的材料、设备、构配件、成品、半成品。</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工期</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  本劳务协议工期______日历天，自______年_______月______日开始至______年____月______日结束。乙方应按甲方安排的工作计划进场和退场，进、退场费用由______方承担。</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  在乙方工作期限期满之前，如需终止雇佣，甲方应在期满前_____天书面通知乙方。</w:t>
      </w:r>
    </w:p>
    <w:p>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 如需延长乙方工作期限，甲方应在期满前______天书面通知乙方。</w:t>
      </w:r>
    </w:p>
    <w:p>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材料物资和机械设备</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 甲方提供的材料和机械设备到达工地或指定地点之后，发生的搬运、装卸、整理、清除等所有劳务工作均由方负责并承担费用。</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劳务作业人员管理</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 乙方提供的特种作业人员，应取得特种作业上岗操作证书。乙方应对劳务人员进行岗前的业务培训和安全生产教育。</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5.3  乙方法定代表人应书面授权一名委托代理人实际履行合同义务并作为有效签字人，并配备相应的管理人员，加强对劳务人员的管理。 </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5.5 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highlight w:val="none"/>
          <w:u w:val="single"/>
          <w14:textFill>
            <w14:solidFill>
              <w14:schemeClr w14:val="tx1"/>
            </w14:solidFill>
          </w14:textFill>
        </w:rPr>
        <w:t xml:space="preserve">       . </w:t>
      </w:r>
      <w:r>
        <w:rPr>
          <w:rFonts w:hint="eastAsia" w:hAnsi="宋体" w:cs="宋体"/>
          <w:color w:val="000000" w:themeColor="text1"/>
          <w:highlight w:val="none"/>
          <w14:textFill>
            <w14:solidFill>
              <w14:schemeClr w14:val="tx1"/>
            </w14:solidFill>
          </w14:textFill>
        </w:rPr>
        <w:t>元。</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劳务作业管理</w:t>
      </w:r>
    </w:p>
    <w:p>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6.1乙方承担的工程内容，不得再行转包或分包，否则视为乙方违约，由此引起的一切责任和损失均由乙方负责。</w:t>
      </w:r>
    </w:p>
    <w:p>
      <w:pPr>
        <w:pStyle w:val="107"/>
        <w:ind w:firstLine="49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 乙方违反合同约定，工程质量未达到合同约定要求的，甲方有权终止合同，并处以万元的违约金，并且由此引起的一切损失由乙方负责并赔偿甲方的损失。</w:t>
      </w:r>
    </w:p>
    <w:p>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6.3乙方应按甲方规定格式和要求及时报送完整的资料给甲方，配合甲方办理中期计量支付及交工验收。</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安全管理</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 乙方应严格按施工方案和操作规程施工，因乙方原因导致的安全事故，由乙方承担主要责任，甲方承担连带责任。</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 甲方的施工方案和现场指挥应符合安全施工要求，因甲方原因导致的安全事故，其责任与损失由甲方承担。</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 乙方应配备专职安全员，协助并服从甲方进行安全管理。</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7.5 乙方的特种作业人员应持证上岗，证件复印件留甲方备查。</w:t>
      </w:r>
    </w:p>
    <w:p>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7.6 因乙方原因，导致发生安全事故和治安事件等，整改不力的，甲方有权终止本合同，并追偿损失。</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结算支付</w:t>
      </w:r>
    </w:p>
    <w:p>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8.1甲方每月在得到业主支付的计量款后按合同约定进行劳务费的结算和支付。</w:t>
      </w:r>
    </w:p>
    <w:p>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8.2甲方无故未按时支付劳务款的，按同期中国人民银行贷款利率偿付给乙方逾期付款违约金。</w:t>
      </w:r>
    </w:p>
    <w:p>
      <w:pPr>
        <w:pStyle w:val="107"/>
        <w:numPr>
          <w:ilvl w:val="0"/>
          <w:numId w:val="19"/>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 xml:space="preserve"> 附则</w:t>
      </w:r>
    </w:p>
    <w:p>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9.1本协议发生纠纷时，当事人双方应及时协商解决。若协商不成时，应按以下第(  )项解决：(a)向工程所在地的仲裁委员会申请仲裁，(b)向人民法院起诉。</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9.2本协议一式份，甲乙双方各执正本一份，副本份，其余副本报驻地监理办和发包人。合同经发包人备案后生效。</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合同订立时间：年   月   日；签订合同地点：。</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9.3双方商定的补充条款：</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pPr>
        <w:pStyle w:val="107"/>
        <w:ind w:firstLine="480" w:firstLineChars="200"/>
        <w:rPr>
          <w:rFonts w:hAnsi="宋体" w:cs="宋体"/>
          <w:color w:val="000000" w:themeColor="text1"/>
          <w:highlight w:val="none"/>
          <w14:textFill>
            <w14:solidFill>
              <w14:schemeClr w14:val="tx1"/>
            </w14:solidFill>
          </w14:textFill>
        </w:rPr>
      </w:pP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四、本合同未尽事宜，业主与甲方签订的相关条款已有的，按其办理，未涉及的，双方协商解决。</w:t>
      </w:r>
    </w:p>
    <w:p>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合同附件：</w:t>
      </w:r>
    </w:p>
    <w:p>
      <w:pPr>
        <w:pStyle w:val="107"/>
        <w:numPr>
          <w:ilvl w:val="0"/>
          <w:numId w:val="22"/>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劳务计价清单</w:t>
      </w:r>
    </w:p>
    <w:p>
      <w:pPr>
        <w:pStyle w:val="107"/>
        <w:numPr>
          <w:ilvl w:val="0"/>
          <w:numId w:val="22"/>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甲方提供材料清单</w:t>
      </w:r>
    </w:p>
    <w:p>
      <w:pPr>
        <w:pStyle w:val="107"/>
        <w:numPr>
          <w:ilvl w:val="0"/>
          <w:numId w:val="22"/>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甲方提供机械设备清单</w:t>
      </w:r>
    </w:p>
    <w:p>
      <w:pPr>
        <w:pStyle w:val="107"/>
        <w:numPr>
          <w:ilvl w:val="0"/>
          <w:numId w:val="22"/>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乙方投入关键人员表</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 (盖章)                            乙  方：(盖章)</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pPr>
        <w:pStyle w:val="107"/>
        <w:rPr>
          <w:rFonts w:hAnsi="宋体" w:cs="宋体"/>
          <w:color w:val="000000" w:themeColor="text1"/>
          <w:highlight w:val="none"/>
          <w14:textFill>
            <w14:solidFill>
              <w14:schemeClr w14:val="tx1"/>
            </w14:solidFill>
          </w14:textFill>
        </w:rPr>
      </w:pPr>
    </w:p>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附表1：劳务计价清单</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编号</w:t>
            </w:r>
          </w:p>
        </w:tc>
        <w:tc>
          <w:tcPr>
            <w:tcW w:w="1752"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工程项目名称</w:t>
            </w:r>
          </w:p>
        </w:tc>
        <w:tc>
          <w:tcPr>
            <w:tcW w:w="1122"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791"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1471"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 (元)</w:t>
            </w:r>
          </w:p>
        </w:tc>
        <w:tc>
          <w:tcPr>
            <w:tcW w:w="1140"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金额 (元)</w:t>
            </w:r>
          </w:p>
        </w:tc>
        <w:tc>
          <w:tcPr>
            <w:tcW w:w="1123" w:type="dxa"/>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pPr>
              <w:pStyle w:val="107"/>
              <w:rPr>
                <w:rFonts w:hAnsi="宋体" w:cs="宋体"/>
                <w:b/>
                <w:color w:val="000000" w:themeColor="text1"/>
                <w:szCs w:val="21"/>
                <w:highlight w:val="none"/>
                <w14:textFill>
                  <w14:solidFill>
                    <w14:schemeClr w14:val="tx1"/>
                  </w14:solidFill>
                </w14:textFill>
              </w:rPr>
            </w:pPr>
          </w:p>
        </w:tc>
        <w:tc>
          <w:tcPr>
            <w:tcW w:w="1752" w:type="dxa"/>
          </w:tcPr>
          <w:p>
            <w:pPr>
              <w:pStyle w:val="107"/>
              <w:rPr>
                <w:rFonts w:hAnsi="宋体" w:cs="宋体"/>
                <w:b/>
                <w:color w:val="000000" w:themeColor="text1"/>
                <w:szCs w:val="21"/>
                <w:highlight w:val="none"/>
                <w14:textFill>
                  <w14:solidFill>
                    <w14:schemeClr w14:val="tx1"/>
                  </w14:solidFill>
                </w14:textFill>
              </w:rPr>
            </w:pPr>
          </w:p>
        </w:tc>
        <w:tc>
          <w:tcPr>
            <w:tcW w:w="1122" w:type="dxa"/>
          </w:tcPr>
          <w:p>
            <w:pPr>
              <w:pStyle w:val="107"/>
              <w:rPr>
                <w:rFonts w:hAnsi="宋体" w:cs="宋体"/>
                <w:b/>
                <w:color w:val="000000" w:themeColor="text1"/>
                <w:szCs w:val="21"/>
                <w:highlight w:val="none"/>
                <w14:textFill>
                  <w14:solidFill>
                    <w14:schemeClr w14:val="tx1"/>
                  </w14:solidFill>
                </w14:textFill>
              </w:rPr>
            </w:pPr>
          </w:p>
        </w:tc>
        <w:tc>
          <w:tcPr>
            <w:tcW w:w="791" w:type="dxa"/>
          </w:tcPr>
          <w:p>
            <w:pPr>
              <w:pStyle w:val="107"/>
              <w:rPr>
                <w:rFonts w:hAnsi="宋体" w:cs="宋体"/>
                <w:b/>
                <w:color w:val="000000" w:themeColor="text1"/>
                <w:szCs w:val="21"/>
                <w:highlight w:val="none"/>
                <w14:textFill>
                  <w14:solidFill>
                    <w14:schemeClr w14:val="tx1"/>
                  </w14:solidFill>
                </w14:textFill>
              </w:rPr>
            </w:pPr>
          </w:p>
        </w:tc>
        <w:tc>
          <w:tcPr>
            <w:tcW w:w="1471" w:type="dxa"/>
          </w:tcPr>
          <w:p>
            <w:pPr>
              <w:pStyle w:val="107"/>
              <w:rPr>
                <w:rFonts w:hAnsi="宋体" w:cs="宋体"/>
                <w:b/>
                <w:color w:val="000000" w:themeColor="text1"/>
                <w:szCs w:val="21"/>
                <w:highlight w:val="none"/>
                <w14:textFill>
                  <w14:solidFill>
                    <w14:schemeClr w14:val="tx1"/>
                  </w14:solidFill>
                </w14:textFill>
              </w:rPr>
            </w:pPr>
          </w:p>
        </w:tc>
        <w:tc>
          <w:tcPr>
            <w:tcW w:w="1140" w:type="dxa"/>
          </w:tcPr>
          <w:p>
            <w:pPr>
              <w:pStyle w:val="107"/>
              <w:rPr>
                <w:rFonts w:hAnsi="宋体" w:cs="宋体"/>
                <w:b/>
                <w:color w:val="000000" w:themeColor="text1"/>
                <w:szCs w:val="21"/>
                <w:highlight w:val="none"/>
                <w14:textFill>
                  <w14:solidFill>
                    <w14:schemeClr w14:val="tx1"/>
                  </w14:solidFill>
                </w14:textFill>
              </w:rPr>
            </w:pPr>
          </w:p>
        </w:tc>
        <w:tc>
          <w:tcPr>
            <w:tcW w:w="1123" w:type="dxa"/>
          </w:tcPr>
          <w:p>
            <w:pPr>
              <w:pStyle w:val="107"/>
              <w:rPr>
                <w:rFonts w:hAnsi="宋体" w:cs="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pPr>
              <w:pStyle w:val="107"/>
              <w:rPr>
                <w:rFonts w:hAnsi="宋体" w:cs="宋体"/>
                <w:b/>
                <w:color w:val="000000" w:themeColor="text1"/>
                <w:szCs w:val="21"/>
                <w:highlight w:val="none"/>
                <w14:textFill>
                  <w14:solidFill>
                    <w14:schemeClr w14:val="tx1"/>
                  </w14:solidFill>
                </w14:textFill>
              </w:rPr>
            </w:pPr>
          </w:p>
        </w:tc>
        <w:tc>
          <w:tcPr>
            <w:tcW w:w="1752" w:type="dxa"/>
          </w:tcPr>
          <w:p>
            <w:pPr>
              <w:pStyle w:val="107"/>
              <w:rPr>
                <w:rFonts w:hAnsi="宋体" w:cs="宋体"/>
                <w:b/>
                <w:color w:val="000000" w:themeColor="text1"/>
                <w:szCs w:val="21"/>
                <w:highlight w:val="none"/>
                <w14:textFill>
                  <w14:solidFill>
                    <w14:schemeClr w14:val="tx1"/>
                  </w14:solidFill>
                </w14:textFill>
              </w:rPr>
            </w:pPr>
          </w:p>
        </w:tc>
        <w:tc>
          <w:tcPr>
            <w:tcW w:w="1122" w:type="dxa"/>
          </w:tcPr>
          <w:p>
            <w:pPr>
              <w:pStyle w:val="107"/>
              <w:rPr>
                <w:rFonts w:hAnsi="宋体" w:cs="宋体"/>
                <w:b/>
                <w:color w:val="000000" w:themeColor="text1"/>
                <w:szCs w:val="21"/>
                <w:highlight w:val="none"/>
                <w14:textFill>
                  <w14:solidFill>
                    <w14:schemeClr w14:val="tx1"/>
                  </w14:solidFill>
                </w14:textFill>
              </w:rPr>
            </w:pPr>
          </w:p>
        </w:tc>
        <w:tc>
          <w:tcPr>
            <w:tcW w:w="791" w:type="dxa"/>
          </w:tcPr>
          <w:p>
            <w:pPr>
              <w:pStyle w:val="107"/>
              <w:rPr>
                <w:rFonts w:hAnsi="宋体" w:cs="宋体"/>
                <w:b/>
                <w:color w:val="000000" w:themeColor="text1"/>
                <w:szCs w:val="21"/>
                <w:highlight w:val="none"/>
                <w14:textFill>
                  <w14:solidFill>
                    <w14:schemeClr w14:val="tx1"/>
                  </w14:solidFill>
                </w14:textFill>
              </w:rPr>
            </w:pPr>
          </w:p>
        </w:tc>
        <w:tc>
          <w:tcPr>
            <w:tcW w:w="1471" w:type="dxa"/>
          </w:tcPr>
          <w:p>
            <w:pPr>
              <w:pStyle w:val="107"/>
              <w:rPr>
                <w:rFonts w:hAnsi="宋体" w:cs="宋体"/>
                <w:b/>
                <w:color w:val="000000" w:themeColor="text1"/>
                <w:szCs w:val="21"/>
                <w:highlight w:val="none"/>
                <w14:textFill>
                  <w14:solidFill>
                    <w14:schemeClr w14:val="tx1"/>
                  </w14:solidFill>
                </w14:textFill>
              </w:rPr>
            </w:pPr>
          </w:p>
        </w:tc>
        <w:tc>
          <w:tcPr>
            <w:tcW w:w="1140" w:type="dxa"/>
          </w:tcPr>
          <w:p>
            <w:pPr>
              <w:pStyle w:val="107"/>
              <w:rPr>
                <w:rFonts w:hAnsi="宋体" w:cs="宋体"/>
                <w:b/>
                <w:color w:val="000000" w:themeColor="text1"/>
                <w:szCs w:val="21"/>
                <w:highlight w:val="none"/>
                <w14:textFill>
                  <w14:solidFill>
                    <w14:schemeClr w14:val="tx1"/>
                  </w14:solidFill>
                </w14:textFill>
              </w:rPr>
            </w:pPr>
          </w:p>
        </w:tc>
        <w:tc>
          <w:tcPr>
            <w:tcW w:w="1123" w:type="dxa"/>
          </w:tcPr>
          <w:p>
            <w:pPr>
              <w:pStyle w:val="107"/>
              <w:rPr>
                <w:rFonts w:hAnsi="宋体" w:cs="宋体"/>
                <w:b/>
                <w:color w:val="000000" w:themeColor="text1"/>
                <w:szCs w:val="21"/>
                <w:highlight w:val="none"/>
                <w14:textFill>
                  <w14:solidFill>
                    <w14:schemeClr w14:val="tx1"/>
                  </w14:solidFill>
                </w14:textFill>
              </w:rPr>
            </w:pPr>
          </w:p>
        </w:tc>
      </w:tr>
    </w:tbl>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附表2：甲方提供材料清单</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38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品种</w:t>
            </w:r>
          </w:p>
        </w:tc>
        <w:tc>
          <w:tcPr>
            <w:tcW w:w="124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68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1206"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图纸数量</w:t>
            </w:r>
          </w:p>
        </w:tc>
        <w:tc>
          <w:tcPr>
            <w:tcW w:w="64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w:t>
            </w:r>
          </w:p>
        </w:tc>
        <w:tc>
          <w:tcPr>
            <w:tcW w:w="1601"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损耗系数%</w:t>
            </w:r>
          </w:p>
        </w:tc>
        <w:tc>
          <w:tcPr>
            <w:tcW w:w="72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交货</w:t>
            </w:r>
          </w:p>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时间</w:t>
            </w:r>
          </w:p>
        </w:tc>
        <w:tc>
          <w:tcPr>
            <w:tcW w:w="74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bl>
    <w:p>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附表3：甲方提供机械设备清单</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工程及合同段名称：                               劳务单位：        </w:t>
      </w:r>
    </w:p>
    <w:tbl>
      <w:tblPr>
        <w:tblStyle w:val="43"/>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905"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设备名称</w:t>
            </w:r>
          </w:p>
        </w:tc>
        <w:tc>
          <w:tcPr>
            <w:tcW w:w="1656"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725"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895"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211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849"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pPr>
              <w:pStyle w:val="107"/>
              <w:jc w:val="center"/>
              <w:rPr>
                <w:rFonts w:hAnsi="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pPr>
              <w:pStyle w:val="107"/>
              <w:jc w:val="center"/>
              <w:rPr>
                <w:rFonts w:hAnsi="宋体" w:cs="宋体"/>
                <w:b/>
                <w:bCs/>
                <w:color w:val="000000" w:themeColor="text1"/>
                <w:szCs w:val="21"/>
                <w:highlight w:val="none"/>
                <w14:textFill>
                  <w14:solidFill>
                    <w14:schemeClr w14:val="tx1"/>
                  </w14:solidFill>
                </w14:textFill>
              </w:rPr>
            </w:pPr>
          </w:p>
        </w:tc>
      </w:tr>
    </w:tbl>
    <w:p>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附表4：乙方投入关键人员表</w:t>
      </w:r>
    </w:p>
    <w:p>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454"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岗位或工种</w:t>
            </w:r>
          </w:p>
        </w:tc>
        <w:tc>
          <w:tcPr>
            <w:tcW w:w="1028"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姓名</w:t>
            </w:r>
          </w:p>
        </w:tc>
        <w:tc>
          <w:tcPr>
            <w:tcW w:w="1883"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身份证号</w:t>
            </w:r>
          </w:p>
        </w:tc>
        <w:tc>
          <w:tcPr>
            <w:tcW w:w="1348"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劳动合同号</w:t>
            </w:r>
          </w:p>
        </w:tc>
        <w:tc>
          <w:tcPr>
            <w:tcW w:w="1409"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679" w:type="dxa"/>
            <w:vAlign w:val="center"/>
          </w:tcPr>
          <w:p>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409" w:type="dxa"/>
          </w:tcPr>
          <w:p>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pPr>
              <w:pStyle w:val="107"/>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pPr>
              <w:pStyle w:val="107"/>
              <w:jc w:val="center"/>
              <w:rPr>
                <w:rFonts w:hAnsi="宋体" w:cs="宋体"/>
                <w:color w:val="000000" w:themeColor="text1"/>
                <w:szCs w:val="21"/>
                <w:highlight w:val="none"/>
                <w14:textFill>
                  <w14:solidFill>
                    <w14:schemeClr w14:val="tx1"/>
                  </w14:solidFill>
                </w14:textFill>
              </w:rPr>
            </w:pPr>
          </w:p>
        </w:tc>
        <w:tc>
          <w:tcPr>
            <w:tcW w:w="1409" w:type="dxa"/>
          </w:tcPr>
          <w:p>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pPr>
              <w:pStyle w:val="107"/>
              <w:jc w:val="center"/>
              <w:rPr>
                <w:rFonts w:hAnsi="宋体" w:cs="宋体"/>
                <w:color w:val="000000" w:themeColor="text1"/>
                <w:szCs w:val="21"/>
                <w:highlight w:val="none"/>
                <w14:textFill>
                  <w14:solidFill>
                    <w14:schemeClr w14:val="tx1"/>
                  </w14:solidFill>
                </w14:textFill>
              </w:rPr>
            </w:pPr>
          </w:p>
        </w:tc>
      </w:tr>
    </w:tbl>
    <w:p>
      <w:pPr>
        <w:jc w:val="center"/>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pStyle w:val="53"/>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第五章  工程量清单</w:t>
      </w:r>
    </w:p>
    <w:p>
      <w:pPr>
        <w:pStyle w:val="2"/>
        <w:spacing w:after="600" w:line="240" w:lineRule="auto"/>
        <w:jc w:val="center"/>
        <w:rPr>
          <w:rFonts w:ascii="宋体" w:hAnsi="宋体"/>
          <w:color w:val="000000" w:themeColor="text1"/>
          <w:sz w:val="36"/>
          <w:szCs w:val="36"/>
          <w:highlight w:val="none"/>
          <w14:textFill>
            <w14:solidFill>
              <w14:schemeClr w14:val="tx1"/>
            </w14:solidFill>
          </w14:textFill>
        </w:rPr>
      </w:pPr>
      <w:bookmarkStart w:id="1726" w:name="_Toc18365"/>
      <w:bookmarkEnd w:id="1726"/>
      <w:bookmarkStart w:id="1727" w:name="_Toc234382953"/>
      <w:bookmarkEnd w:id="1727"/>
      <w:bookmarkStart w:id="1728" w:name="_Toc43476023"/>
      <w:bookmarkEnd w:id="1728"/>
      <w:r>
        <w:rPr>
          <w:rFonts w:ascii="宋体" w:hAnsi="宋体"/>
          <w:color w:val="000000" w:themeColor="text1"/>
          <w:sz w:val="36"/>
          <w:szCs w:val="36"/>
          <w:highlight w:val="none"/>
          <w14:textFill>
            <w14:solidFill>
              <w14:schemeClr w14:val="tx1"/>
            </w14:solidFill>
          </w14:textFill>
        </w:rPr>
        <w:br w:type="page"/>
      </w:r>
      <w:r>
        <w:rPr>
          <w:rFonts w:ascii="宋体" w:hAnsi="宋体"/>
          <w:color w:val="000000" w:themeColor="text1"/>
          <w:sz w:val="36"/>
          <w:szCs w:val="36"/>
          <w:highlight w:val="none"/>
          <w14:textFill>
            <w14:solidFill>
              <w14:schemeClr w14:val="tx1"/>
            </w14:solidFill>
          </w14:textFill>
        </w:rPr>
        <w:t>第五章  工程量清单</w:t>
      </w:r>
    </w:p>
    <w:p>
      <w:pPr>
        <w:pStyle w:val="3"/>
        <w:rPr>
          <w:color w:val="000000" w:themeColor="text1"/>
          <w:highlight w:val="none"/>
          <w14:textFill>
            <w14:solidFill>
              <w14:schemeClr w14:val="tx1"/>
            </w14:solidFill>
          </w14:textFill>
        </w:rPr>
      </w:pPr>
      <w:bookmarkStart w:id="1729" w:name="_Toc43476024"/>
      <w:bookmarkEnd w:id="1729"/>
      <w:r>
        <w:rPr>
          <w:rFonts w:hint="eastAsia"/>
          <w:color w:val="000000" w:themeColor="text1"/>
          <w:highlight w:val="none"/>
          <w14:textFill>
            <w14:solidFill>
              <w14:schemeClr w14:val="tx1"/>
            </w14:solidFill>
          </w14:textFill>
        </w:rPr>
        <w:t>工程量清单（另册）</w:t>
      </w:r>
    </w:p>
    <w:p>
      <w:pPr>
        <w:spacing w:line="400" w:lineRule="exact"/>
        <w:rPr>
          <w:rFonts w:ascii="宋体" w:hAnsi="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pPr>
        <w:pStyle w:val="53"/>
        <w:rPr>
          <w:color w:val="000000" w:themeColor="text1"/>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rFonts w:ascii="宋体" w:hAnsi="宋体"/>
          <w:color w:val="000000" w:themeColor="text1"/>
          <w:sz w:val="84"/>
          <w:szCs w:val="84"/>
          <w:highlight w:val="none"/>
          <w14:textFill>
            <w14:solidFill>
              <w14:schemeClr w14:val="tx1"/>
            </w14:solidFill>
          </w14:textFill>
        </w:rPr>
      </w:pPr>
      <w:bookmarkStart w:id="1730" w:name="_Toc43476025"/>
      <w:bookmarkEnd w:id="1730"/>
      <w:r>
        <w:rPr>
          <w:rFonts w:hint="eastAsia"/>
          <w:color w:val="000000" w:themeColor="text1"/>
          <w:sz w:val="84"/>
          <w:szCs w:val="84"/>
          <w:highlight w:val="none"/>
          <w14:textFill>
            <w14:solidFill>
              <w14:schemeClr w14:val="tx1"/>
            </w14:solidFill>
          </w14:textFill>
        </w:rPr>
        <w:t>第二卷</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1731" w:name="_Toc43476026"/>
      <w:bookmarkEnd w:id="1731"/>
      <w:r>
        <w:rPr>
          <w:rFonts w:hint="eastAsia"/>
          <w:color w:val="000000" w:themeColor="text1"/>
          <w:highlight w:val="none"/>
          <w14:textFill>
            <w14:solidFill>
              <w14:schemeClr w14:val="tx1"/>
            </w14:solidFill>
          </w14:textFill>
        </w:rPr>
        <w:t>第六章图纸（另册）</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sz w:val="84"/>
          <w:szCs w:val="84"/>
          <w:highlight w:val="none"/>
          <w14:textFill>
            <w14:solidFill>
              <w14:schemeClr w14:val="tx1"/>
            </w14:solidFill>
          </w14:textFill>
        </w:rPr>
      </w:pPr>
      <w:bookmarkStart w:id="1732" w:name="_Toc43476027"/>
      <w:bookmarkEnd w:id="1732"/>
      <w:r>
        <w:rPr>
          <w:rFonts w:hint="eastAsia"/>
          <w:color w:val="000000" w:themeColor="text1"/>
          <w:sz w:val="84"/>
          <w:szCs w:val="84"/>
          <w:highlight w:val="none"/>
          <w14:textFill>
            <w14:solidFill>
              <w14:schemeClr w14:val="tx1"/>
            </w14:solidFill>
          </w14:textFill>
        </w:rPr>
        <w:t>第三卷</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1733" w:name="_Toc43476028"/>
      <w:bookmarkEnd w:id="1733"/>
      <w:r>
        <w:rPr>
          <w:rFonts w:hint="eastAsia"/>
          <w:color w:val="000000" w:themeColor="text1"/>
          <w:highlight w:val="none"/>
          <w14:textFill>
            <w14:solidFill>
              <w14:schemeClr w14:val="tx1"/>
            </w14:solidFill>
          </w14:textFill>
        </w:rPr>
        <w:t>第七章技术规范（自行收集）</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1734" w:name="_Toc43476029"/>
      <w:bookmarkEnd w:id="1734"/>
      <w:r>
        <w:rPr>
          <w:rFonts w:hint="eastAsia"/>
          <w:color w:val="000000" w:themeColor="text1"/>
          <w:highlight w:val="none"/>
          <w14:textFill>
            <w14:solidFill>
              <w14:schemeClr w14:val="tx1"/>
            </w14:solidFill>
          </w14:textFill>
        </w:rPr>
        <w:t>第八章  工程量清单计量规则</w:t>
      </w:r>
    </w:p>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工程量清单计量规则具体应执行《广东省公路工程造价标准化管理指</w:t>
      </w:r>
    </w:p>
    <w:p>
      <w:pP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南》（粤交基〔2022〕483 号）及现行的相关补充规定</w:t>
      </w:r>
      <w:r>
        <w:rPr>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sz w:val="84"/>
          <w:szCs w:val="84"/>
          <w:highlight w:val="none"/>
          <w14:textFill>
            <w14:solidFill>
              <w14:schemeClr w14:val="tx1"/>
            </w14:solidFill>
          </w14:textFill>
        </w:rPr>
      </w:pPr>
      <w:bookmarkStart w:id="1735" w:name="_Toc43476030"/>
      <w:bookmarkEnd w:id="1735"/>
      <w:r>
        <w:rPr>
          <w:rFonts w:hint="eastAsia"/>
          <w:color w:val="000000" w:themeColor="text1"/>
          <w:sz w:val="84"/>
          <w:szCs w:val="84"/>
          <w:highlight w:val="none"/>
          <w14:textFill>
            <w14:solidFill>
              <w14:schemeClr w14:val="tx1"/>
            </w14:solidFill>
          </w14:textFill>
        </w:rPr>
        <w:t>第四卷</w:t>
      </w:r>
    </w:p>
    <w:p>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jc w:val="center"/>
        <w:rPr>
          <w:rFonts w:ascii="宋体" w:hAnsi="宋体"/>
          <w:color w:val="000000" w:themeColor="text1"/>
          <w:sz w:val="72"/>
          <w:szCs w:val="72"/>
          <w:highlight w:val="none"/>
          <w:u w:val="single"/>
          <w14:textFill>
            <w14:solidFill>
              <w14:schemeClr w14:val="tx1"/>
            </w14:solidFill>
          </w14:textFill>
        </w:rPr>
      </w:pPr>
    </w:p>
    <w:p>
      <w:pPr>
        <w:pStyle w:val="2"/>
        <w:jc w:val="center"/>
        <w:rPr>
          <w:color w:val="000000" w:themeColor="text1"/>
          <w:highlight w:val="none"/>
          <w14:textFill>
            <w14:solidFill>
              <w14:schemeClr w14:val="tx1"/>
            </w14:solidFill>
          </w14:textFill>
        </w:rPr>
      </w:pPr>
      <w:bookmarkStart w:id="1736" w:name="_Toc43476031"/>
      <w:bookmarkEnd w:id="1736"/>
      <w:r>
        <w:rPr>
          <w:rFonts w:hint="eastAsia"/>
          <w:color w:val="000000" w:themeColor="text1"/>
          <w:highlight w:val="none"/>
          <w14:textFill>
            <w14:solidFill>
              <w14:schemeClr w14:val="tx1"/>
            </w14:solidFill>
          </w14:textFill>
        </w:rPr>
        <w:t>第九章投标文件格式</w:t>
      </w:r>
    </w:p>
    <w:p>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spacing w:line="360" w:lineRule="auto"/>
        <w:ind w:firstLine="643" w:firstLineChars="200"/>
        <w:jc w:val="center"/>
        <w:rPr>
          <w:rFonts w:ascii="宋体" w:hAnsi="宋体"/>
          <w:b/>
          <w:color w:val="000000" w:themeColor="text1"/>
          <w:sz w:val="32"/>
          <w:szCs w:val="32"/>
          <w:highlight w:val="none"/>
          <w:u w:val="single"/>
          <w14:textFill>
            <w14:solidFill>
              <w14:schemeClr w14:val="tx1"/>
            </w14:solidFill>
          </w14:textFill>
        </w:rPr>
      </w:pP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广东省</w:t>
      </w: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pPr>
        <w:spacing w:line="360" w:lineRule="auto"/>
        <w:ind w:firstLine="883" w:firstLineChars="20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spacing w:line="360" w:lineRule="auto"/>
        <w:jc w:val="center"/>
        <w:rPr>
          <w:rFonts w:ascii="宋体" w:hAnsi="宋体"/>
          <w:b/>
          <w:color w:val="000000" w:themeColor="text1"/>
          <w:sz w:val="52"/>
          <w:szCs w:val="52"/>
          <w:highlight w:val="none"/>
          <w14:textFill>
            <w14:solidFill>
              <w14:schemeClr w14:val="tx1"/>
            </w14:solidFill>
          </w14:textFill>
        </w:rPr>
      </w:pPr>
    </w:p>
    <w:p>
      <w:pPr>
        <w:jc w:val="center"/>
        <w:rPr>
          <w:rFonts w:ascii="宋体" w:hAns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投 标 文 件</w:t>
      </w:r>
    </w:p>
    <w:p>
      <w:pPr>
        <w:pStyle w:val="53"/>
        <w:rPr>
          <w:color w:val="000000" w:themeColor="text1"/>
          <w:highlight w:val="none"/>
          <w14:textFill>
            <w14:solidFill>
              <w14:schemeClr w14:val="tx1"/>
            </w14:solidFill>
          </w14:textFill>
        </w:rPr>
      </w:pPr>
    </w:p>
    <w:p>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（第一信封：商务及技术文件）</w:t>
      </w: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tabs>
          <w:tab w:val="left" w:pos="3848"/>
        </w:tabs>
        <w:spacing w:before="101" w:line="380" w:lineRule="auto"/>
        <w:ind w:left="2555" w:right="776" w:hanging="1614"/>
        <w:rPr>
          <w:rFonts w:ascii="宋体" w:hAnsi="宋体" w:cs="宋体"/>
          <w:b/>
          <w:bCs/>
          <w:color w:val="000000" w:themeColor="text1"/>
          <w:sz w:val="31"/>
          <w:szCs w:val="31"/>
          <w:highlight w:val="none"/>
          <w14:textFill>
            <w14:solidFill>
              <w14:schemeClr w14:val="tx1"/>
            </w14:solidFill>
          </w14:textFill>
        </w:rPr>
      </w:pPr>
      <w:r>
        <w:rPr>
          <w:rFonts w:ascii="宋体" w:hAnsi="宋体" w:cs="宋体"/>
          <w:b/>
          <w:bCs/>
          <w:color w:val="000000" w:themeColor="text1"/>
          <w:spacing w:val="-4"/>
          <w:sz w:val="31"/>
          <w:szCs w:val="31"/>
          <w:highlight w:val="none"/>
          <w14:textFill>
            <w14:solidFill>
              <w14:schemeClr w14:val="tx1"/>
            </w14:solidFill>
          </w14:textFill>
        </w:rPr>
        <w:t>投标人：</w:t>
      </w:r>
      <w:r>
        <w:rPr>
          <w:rFonts w:ascii="宋体" w:hAnsi="宋体" w:cs="宋体"/>
          <w:b/>
          <w:bCs/>
          <w:color w:val="000000" w:themeColor="text1"/>
          <w:spacing w:val="-4"/>
          <w:sz w:val="31"/>
          <w:szCs w:val="31"/>
          <w:highlight w:val="none"/>
          <w:u w:val="single"/>
          <w14:textFill>
            <w14:solidFill>
              <w14:schemeClr w14:val="tx1"/>
            </w14:solidFill>
          </w14:textFill>
        </w:rPr>
        <w:t xml:space="preserve">           </w:t>
      </w:r>
      <w:r>
        <w:rPr>
          <w:rFonts w:ascii="宋体" w:hAnsi="宋体" w:cs="宋体"/>
          <w:b/>
          <w:bCs/>
          <w:color w:val="000000" w:themeColor="text1"/>
          <w:spacing w:val="-3"/>
          <w:sz w:val="31"/>
          <w:szCs w:val="31"/>
          <w:highlight w:val="none"/>
          <w:u w:val="single"/>
          <w14:textFill>
            <w14:solidFill>
              <w14:schemeClr w14:val="tx1"/>
            </w14:solidFill>
          </w14:textFill>
        </w:rPr>
        <w:t xml:space="preserve"> </w:t>
      </w:r>
      <w:r>
        <w:rPr>
          <w:rFonts w:ascii="宋体" w:hAnsi="宋体" w:cs="宋体"/>
          <w:b/>
          <w:bCs/>
          <w:color w:val="000000" w:themeColor="text1"/>
          <w:spacing w:val="-2"/>
          <w:sz w:val="31"/>
          <w:szCs w:val="31"/>
          <w:highlight w:val="none"/>
          <w:u w:val="single"/>
          <w14:textFill>
            <w14:solidFill>
              <w14:schemeClr w14:val="tx1"/>
            </w14:solidFill>
          </w14:textFill>
        </w:rPr>
        <w:t xml:space="preserve">              </w:t>
      </w:r>
      <w:r>
        <w:rPr>
          <w:rFonts w:ascii="宋体" w:hAnsi="宋体" w:cs="宋体"/>
          <w:b/>
          <w:bCs/>
          <w:color w:val="000000" w:themeColor="text1"/>
          <w:spacing w:val="-2"/>
          <w:sz w:val="31"/>
          <w:szCs w:val="31"/>
          <w:highlight w:val="none"/>
          <w14:textFill>
            <w14:solidFill>
              <w14:schemeClr w14:val="tx1"/>
            </w14:solidFill>
          </w14:textFill>
        </w:rPr>
        <w:t>(盖单位章)</w:t>
      </w:r>
      <w:r>
        <w:rPr>
          <w:rFonts w:ascii="宋体" w:hAnsi="宋体" w:cs="宋体"/>
          <w:b/>
          <w:bCs/>
          <w:color w:val="000000" w:themeColor="text1"/>
          <w:sz w:val="31"/>
          <w:szCs w:val="31"/>
          <w:highlight w:val="none"/>
          <w14:textFill>
            <w14:solidFill>
              <w14:schemeClr w14:val="tx1"/>
            </w14:solidFill>
          </w14:textFill>
        </w:rPr>
        <w:t xml:space="preserve"> </w:t>
      </w:r>
    </w:p>
    <w:p>
      <w:pPr>
        <w:tabs>
          <w:tab w:val="left" w:pos="3848"/>
        </w:tabs>
        <w:spacing w:before="101" w:line="380" w:lineRule="auto"/>
        <w:ind w:left="2587" w:leftChars="1232" w:right="776" w:firstLine="103" w:firstLineChars="33"/>
        <w:rPr>
          <w:rFonts w:ascii="宋体" w:hAnsi="宋体" w:cs="宋体"/>
          <w:b/>
          <w:bCs/>
          <w:color w:val="000000" w:themeColor="text1"/>
          <w:sz w:val="31"/>
          <w:szCs w:val="31"/>
          <w:highlight w:val="none"/>
          <w14:textFill>
            <w14:solidFill>
              <w14:schemeClr w14:val="tx1"/>
            </w14:solidFill>
          </w14:textFill>
        </w:rPr>
      </w:pPr>
      <w:r>
        <w:rPr>
          <w:rFonts w:ascii="宋体" w:hAnsi="宋体" w:cs="宋体"/>
          <w:b/>
          <w:bCs/>
          <w:color w:val="000000" w:themeColor="text1"/>
          <w:sz w:val="31"/>
          <w:szCs w:val="31"/>
          <w:highlight w:val="none"/>
          <w:u w:val="single"/>
          <w14:textFill>
            <w14:solidFill>
              <w14:schemeClr w14:val="tx1"/>
            </w14:solidFill>
          </w14:textFill>
        </w:rPr>
        <w:tab/>
      </w:r>
      <w:r>
        <w:rPr>
          <w:rFonts w:ascii="宋体" w:hAnsi="宋体" w:cs="宋体"/>
          <w:b/>
          <w:bCs/>
          <w:color w:val="000000" w:themeColor="text1"/>
          <w:spacing w:val="-2"/>
          <w:sz w:val="31"/>
          <w:szCs w:val="31"/>
          <w:highlight w:val="none"/>
          <w14:textFill>
            <w14:solidFill>
              <w14:schemeClr w14:val="tx1"/>
            </w14:solidFill>
          </w14:textFill>
        </w:rPr>
        <w:t>年</w:t>
      </w:r>
      <w:r>
        <w:rPr>
          <w:rFonts w:ascii="宋体" w:hAnsi="宋体" w:cs="宋体"/>
          <w:b/>
          <w:bCs/>
          <w:color w:val="000000" w:themeColor="text1"/>
          <w:spacing w:val="-2"/>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14:textFill>
            <w14:solidFill>
              <w14:schemeClr w14:val="tx1"/>
            </w14:solidFill>
          </w14:textFill>
        </w:rPr>
        <w:t>月</w:t>
      </w:r>
      <w:r>
        <w:rPr>
          <w:rFonts w:ascii="宋体" w:hAnsi="宋体" w:cs="宋体"/>
          <w:b/>
          <w:bCs/>
          <w:color w:val="000000" w:themeColor="text1"/>
          <w:spacing w:val="-1"/>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14:textFill>
            <w14:solidFill>
              <w14:schemeClr w14:val="tx1"/>
            </w14:solidFill>
          </w14:textFill>
        </w:rPr>
        <w:t xml:space="preserve"> 日</w:t>
      </w:r>
    </w:p>
    <w:p>
      <w:pPr>
        <w:rPr>
          <w:b/>
          <w:bCs/>
          <w:color w:val="000000" w:themeColor="text1"/>
          <w:highlight w:val="none"/>
          <w14:textFill>
            <w14:solidFill>
              <w14:schemeClr w14:val="tx1"/>
            </w14:solidFill>
          </w14:textFill>
        </w:rPr>
        <w:sectPr>
          <w:headerReference r:id="rId11" w:type="default"/>
          <w:footerReference r:id="rId12" w:type="default"/>
          <w:pgSz w:w="11900" w:h="16839"/>
          <w:pgMar w:top="947" w:right="1125" w:bottom="1134" w:left="1420" w:header="707" w:footer="974" w:gutter="0"/>
          <w:pgNumType w:fmt="decimal"/>
          <w:cols w:space="720" w:num="1"/>
        </w:sectPr>
      </w:pPr>
    </w:p>
    <w:p>
      <w:pPr>
        <w:spacing w:line="360" w:lineRule="auto"/>
        <w:ind w:firstLine="4498" w:firstLineChars="1400"/>
        <w:rPr>
          <w:rFonts w:ascii="宋体" w:hAnsi="宋体"/>
          <w:b/>
          <w:color w:val="000000" w:themeColor="text1"/>
          <w:sz w:val="32"/>
          <w:szCs w:val="32"/>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6"/>
          <w:szCs w:val="36"/>
          <w:highlight w:val="none"/>
          <w14:textFill>
            <w14:solidFill>
              <w14:schemeClr w14:val="tx1"/>
            </w14:solidFill>
          </w14:textFill>
        </w:rPr>
        <w:t xml:space="preserve">目  </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录</w:t>
      </w:r>
    </w:p>
    <w:p>
      <w:pPr>
        <w:pStyle w:val="53"/>
        <w:rPr>
          <w:color w:val="000000" w:themeColor="text1"/>
          <w:highlight w:val="none"/>
          <w14:textFill>
            <w14:solidFill>
              <w14:schemeClr w14:val="tx1"/>
            </w14:solidFill>
          </w14:textFill>
        </w:rPr>
      </w:pPr>
    </w:p>
    <w:p>
      <w:pPr>
        <w:spacing w:line="48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第一信封</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商务及技术文件</w:t>
      </w:r>
      <w:r>
        <w:rPr>
          <w:rFonts w:hint="eastAsia"/>
          <w:color w:val="000000" w:themeColor="text1"/>
          <w:sz w:val="24"/>
          <w:highlight w:val="none"/>
          <w14:textFill>
            <w14:solidFill>
              <w14:schemeClr w14:val="tx1"/>
            </w14:solidFill>
          </w14:textFill>
        </w:rPr>
        <w:t>）</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一、投标函及投标函附录</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二、授权委托书或法定代表人身份证明</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三、投标保证金</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四、施工组织设计</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五、项目管理机构</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六、拟分包项目情况表</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七、资格审查资料</w:t>
      </w:r>
    </w:p>
    <w:p>
      <w:pPr>
        <w:spacing w:line="480" w:lineRule="auto"/>
        <w:rPr>
          <w:rFonts w:cs="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八、其他资料</w:t>
      </w:r>
    </w:p>
    <w:p>
      <w:pPr>
        <w:adjustRightInd w:val="0"/>
        <w:snapToGrid w:val="0"/>
        <w:spacing w:line="360" w:lineRule="auto"/>
        <w:jc w:val="center"/>
        <w:rPr>
          <w:rFonts w:ascii="宋体" w:hAnsi="宋体"/>
          <w:b/>
          <w:color w:val="000000" w:themeColor="text1"/>
          <w:sz w:val="28"/>
          <w:szCs w:val="28"/>
          <w:highlight w:val="none"/>
          <w14:textFill>
            <w14:solidFill>
              <w14:schemeClr w14:val="tx1"/>
            </w14:solidFill>
          </w14:textFill>
        </w:rPr>
      </w:pPr>
      <w:bookmarkStart w:id="1737" w:name="_Toc234382957"/>
      <w:bookmarkEnd w:id="1737"/>
      <w:r>
        <w:rPr>
          <w:rFonts w:hint="eastAsia" w:ascii="宋体" w:hAnsi="宋体"/>
          <w:color w:val="000000" w:themeColor="text1"/>
          <w:sz w:val="24"/>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一、投标函及投标函附录</w:t>
      </w:r>
    </w:p>
    <w:p>
      <w:pPr>
        <w:jc w:val="center"/>
        <w:rPr>
          <w:rFonts w:ascii="宋体" w:hAnsi="宋体"/>
          <w:b/>
          <w:color w:val="000000" w:themeColor="text1"/>
          <w:sz w:val="28"/>
          <w:szCs w:val="28"/>
          <w:highlight w:val="none"/>
          <w14:textFill>
            <w14:solidFill>
              <w14:schemeClr w14:val="tx1"/>
            </w14:solidFill>
          </w14:textFill>
        </w:rPr>
      </w:pPr>
      <w:bookmarkStart w:id="1738" w:name="_Toc234382958"/>
      <w:bookmarkEnd w:id="1738"/>
      <w:r>
        <w:rPr>
          <w:rFonts w:ascii="宋体" w:hAnsi="宋体"/>
          <w:b/>
          <w:color w:val="000000" w:themeColor="text1"/>
          <w:sz w:val="28"/>
          <w:szCs w:val="28"/>
          <w:highlight w:val="none"/>
          <w14:textFill>
            <w14:solidFill>
              <w14:schemeClr w14:val="tx1"/>
            </w14:solidFill>
          </w14:textFill>
        </w:rPr>
        <w:t>（一）投  标  函</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（招标人名称）：</w:t>
      </w:r>
    </w:p>
    <w:p>
      <w:pPr>
        <w:spacing w:line="360" w:lineRule="exact"/>
        <w:rPr>
          <w:rFonts w:ascii="宋体" w:hAnsi="宋体"/>
          <w:color w:val="000000" w:themeColor="text1"/>
          <w:szCs w:val="21"/>
          <w:highlight w:val="none"/>
          <w14:textFill>
            <w14:solidFill>
              <w14:schemeClr w14:val="tx1"/>
            </w14:solidFill>
          </w14:textFill>
        </w:rPr>
      </w:pP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1.我方已仔细研究了</w:t>
      </w:r>
      <w:r>
        <w:rPr>
          <w:rFonts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施工招标</w:t>
      </w:r>
      <w:r>
        <w:rPr>
          <w:rFonts w:ascii="宋体" w:hAnsi="宋体"/>
          <w:color w:val="000000" w:themeColor="text1"/>
          <w:szCs w:val="21"/>
          <w:highlight w:val="none"/>
          <w14:textFill>
            <w14:solidFill>
              <w14:schemeClr w14:val="tx1"/>
            </w14:solidFill>
          </w14:textFill>
        </w:rPr>
        <w:t>文件的全部内容（含补遗书第</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号至第</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号），在考察工程现场后，</w:t>
      </w:r>
      <w:r>
        <w:rPr>
          <w:rFonts w:hint="eastAsia" w:ascii="宋体" w:hAnsi="宋体"/>
          <w:color w:val="000000" w:themeColor="text1"/>
          <w:szCs w:val="21"/>
          <w:highlight w:val="none"/>
          <w14:textFill>
            <w14:solidFill>
              <w14:schemeClr w14:val="tx1"/>
            </w14:solidFill>
          </w14:textFill>
        </w:rPr>
        <w:t>愿意以第二个信封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报价文件</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中的投标总报价</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或根据招标文件规定修正核实后确定的另一金额</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按合同约定实施和完成承包工程</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修补工程中的任何缺陷。</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我方承诺在招标文件规定的投标有效期内不撤销投标文件。</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工程质量</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，安全目标：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，工期</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如我方中标，我方承诺</w:t>
      </w:r>
      <w:r>
        <w:rPr>
          <w:rFonts w:ascii="宋体" w:hAnsi="宋体"/>
          <w:color w:val="000000" w:themeColor="text1"/>
          <w:szCs w:val="21"/>
          <w:highlight w:val="none"/>
          <w14:textFill>
            <w14:solidFill>
              <w14:schemeClr w14:val="tx1"/>
            </w14:solidFill>
          </w14:textFill>
        </w:rPr>
        <w:t>：</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在收到中标通知书后</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在规定的期限内与你方签订合同；</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在签订合同时不向你方提出附加条件；</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按照招标文件要求提交履约保证金；</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在合同约定的期限内完成合同规定的全部义务；</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5.我方在此声明，所递交的投标文件及有关资料内容完整、真实和准确，且不存在招标文件第二章“投标人须知”第 1.4.3 项和第 1.4.4 项规定的任何一种情形。</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7.我方在此承诺：权利义务满足招标文件规定。</w:t>
      </w:r>
    </w:p>
    <w:p>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8.在合同协议书正式签署生效之前，本投标函连同你方的中标通知书将构成我们双方之间共同遵守的文件，对双方具有约束力。</w:t>
      </w:r>
    </w:p>
    <w:p>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9.（其他补充说明）。</w:t>
      </w:r>
    </w:p>
    <w:p>
      <w:pPr>
        <w:pStyle w:val="16"/>
        <w:rPr>
          <w:rFonts w:ascii="宋体" w:hAnsi="宋体"/>
          <w:color w:val="000000" w:themeColor="text1"/>
          <w:szCs w:val="21"/>
          <w:highlight w:val="none"/>
          <w14:textFill>
            <w14:solidFill>
              <w14:schemeClr w14:val="tx1"/>
            </w14:solidFill>
          </w14:textFill>
        </w:rPr>
      </w:pPr>
    </w:p>
    <w:p>
      <w:pPr>
        <w:pStyle w:val="16"/>
        <w:rPr>
          <w:rFonts w:ascii="宋体" w:hAnsi="宋体"/>
          <w:color w:val="000000" w:themeColor="text1"/>
          <w:szCs w:val="21"/>
          <w:highlight w:val="none"/>
          <w14:textFill>
            <w14:solidFill>
              <w14:schemeClr w14:val="tx1"/>
            </w14:solidFill>
          </w14:textFill>
        </w:rPr>
      </w:pPr>
    </w:p>
    <w:p>
      <w:pPr>
        <w:tabs>
          <w:tab w:val="left" w:pos="2977"/>
          <w:tab w:val="left" w:pos="3261"/>
        </w:tabs>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 标 人：（盖单位章）</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pPr>
        <w:spacing w:line="360" w:lineRule="exact"/>
        <w:rPr>
          <w:rFonts w:ascii="宋体" w:hAnsi="宋体"/>
          <w:color w:val="000000" w:themeColor="text1"/>
          <w:szCs w:val="21"/>
          <w:highlight w:val="none"/>
          <w14:textFill>
            <w14:solidFill>
              <w14:schemeClr w14:val="tx1"/>
            </w14:solidFill>
          </w14:textFill>
        </w:rPr>
      </w:pPr>
    </w:p>
    <w:p>
      <w:pPr>
        <w:spacing w:line="360" w:lineRule="exact"/>
        <w:ind w:firstLine="3780" w:firstLineChars="1800"/>
        <w:rPr>
          <w:rFonts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pPr>
        <w:jc w:val="center"/>
        <w:rPr>
          <w:rFonts w:ascii="宋体" w:hAnsi="宋体"/>
          <w:color w:val="000000" w:themeColor="text1"/>
          <w:sz w:val="24"/>
          <w:highlight w:val="none"/>
          <w14:textFill>
            <w14:solidFill>
              <w14:schemeClr w14:val="tx1"/>
            </w14:solidFill>
          </w14:textFill>
        </w:rPr>
      </w:pPr>
      <w:bookmarkStart w:id="1739" w:name="_Toc234382959"/>
      <w:bookmarkEnd w:id="1739"/>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（二）投标函附录</w:t>
      </w:r>
    </w:p>
    <w:tbl>
      <w:tblPr>
        <w:tblStyle w:val="43"/>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2693"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1417"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合同条目号</w:t>
            </w:r>
          </w:p>
        </w:tc>
        <w:tc>
          <w:tcPr>
            <w:tcW w:w="3686"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约定内容</w:t>
            </w:r>
          </w:p>
        </w:tc>
        <w:tc>
          <w:tcPr>
            <w:tcW w:w="1190" w:type="dxa"/>
            <w:vAlign w:val="center"/>
          </w:tcPr>
          <w:p>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1.1.4.5</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自实际</w:t>
            </w:r>
            <w:r>
              <w:rPr>
                <w:rFonts w:hint="eastAsia" w:ascii="宋体" w:hAnsi="宋体"/>
                <w:color w:val="000000" w:themeColor="text1"/>
                <w:szCs w:val="21"/>
                <w:highlight w:val="none"/>
                <w14:textFill>
                  <w14:solidFill>
                    <w14:schemeClr w14:val="tx1"/>
                  </w14:solidFill>
                </w14:textFill>
              </w:rPr>
              <w:t>交工</w:t>
            </w:r>
            <w:r>
              <w:rPr>
                <w:rFonts w:ascii="宋体" w:hAnsi="宋体"/>
                <w:color w:val="000000" w:themeColor="text1"/>
                <w:szCs w:val="21"/>
                <w:highlight w:val="none"/>
                <w14:textFill>
                  <w14:solidFill>
                    <w14:schemeClr w14:val="tx1"/>
                  </w14:solidFill>
                </w14:textFill>
              </w:rPr>
              <w:t>日期起计算</w:t>
            </w:r>
            <w:r>
              <w:rPr>
                <w:rFonts w:hint="eastAsia" w:ascii="宋体" w:hAnsi="宋体"/>
                <w:color w:val="000000" w:themeColor="text1"/>
                <w:szCs w:val="21"/>
                <w:highlight w:val="none"/>
                <w:u w:val="singl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个月</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pPr>
              <w:jc w:val="left"/>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1000元/天</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10 </w:t>
            </w:r>
            <w:r>
              <w:rPr>
                <w:rFonts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元/天</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因物价波动引起的价格调整</w:t>
            </w:r>
          </w:p>
        </w:tc>
        <w:tc>
          <w:tcPr>
            <w:tcW w:w="1417"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w:t>
            </w:r>
          </w:p>
        </w:tc>
        <w:tc>
          <w:tcPr>
            <w:tcW w:w="3686" w:type="dxa"/>
            <w:vAlign w:val="center"/>
          </w:tcPr>
          <w:p>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eq \o\ac(□,√)</w:instrText>
            </w:r>
            <w:r>
              <w:rPr>
                <w:rFonts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c>
          <w:tcPr>
            <w:tcW w:w="119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开工预付款金额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14:textFill>
                  <w14:solidFill>
                    <w14:schemeClr w14:val="tx1"/>
                  </w14:solidFill>
                </w14:textFill>
              </w:rPr>
              <w:t>（1）</w:t>
            </w:r>
          </w:p>
        </w:tc>
        <w:tc>
          <w:tcPr>
            <w:tcW w:w="3686" w:type="dxa"/>
            <w:vAlign w:val="center"/>
          </w:tcPr>
          <w:p>
            <w:pPr>
              <w:ind w:firstLine="25" w:firstLineChars="1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材料、设备预付款比例</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14:textFill>
                  <w14:solidFill>
                    <w14:schemeClr w14:val="tx1"/>
                  </w14:solidFill>
                </w14:textFill>
              </w:rPr>
              <w:t>（2）</w:t>
            </w:r>
          </w:p>
        </w:tc>
        <w:tc>
          <w:tcPr>
            <w:tcW w:w="3686" w:type="dxa"/>
            <w:vAlign w:val="center"/>
          </w:tcPr>
          <w:p>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 xml:space="preserve"> %</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进度付款证书最低限额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17.3.3(1)</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ascii="宋体" w:hAnsi="宋体"/>
                <w:color w:val="000000" w:themeColor="text1"/>
                <w:szCs w:val="21"/>
                <w:highlight w:val="none"/>
                <w14:textFill>
                  <w14:solidFill>
                    <w14:schemeClr w14:val="tx1"/>
                  </w14:solidFill>
                </w14:textFill>
              </w:rPr>
              <w:t>万元</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逾期付款违约金的利率</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17.3.3(2)</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‰/天 </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5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693" w:type="dxa"/>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w:t>
            </w:r>
            <w:r>
              <w:rPr>
                <w:rFonts w:hint="eastAsia" w:ascii="宋体" w:hAnsi="宋体"/>
                <w:color w:val="000000" w:themeColor="text1"/>
                <w:szCs w:val="21"/>
                <w:highlight w:val="none"/>
                <w14:textFill>
                  <w14:solidFill>
                    <w14:schemeClr w14:val="tx1"/>
                  </w14:solidFill>
                </w14:textFill>
              </w:rPr>
              <w:t>限额</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17.4.1</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%合同价格</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2693"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保修期</w:t>
            </w:r>
          </w:p>
        </w:tc>
        <w:tc>
          <w:tcPr>
            <w:tcW w:w="1417" w:type="dxa"/>
            <w:vAlign w:val="center"/>
          </w:tcPr>
          <w:p>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19.7</w:t>
            </w:r>
          </w:p>
        </w:tc>
        <w:tc>
          <w:tcPr>
            <w:tcW w:w="3686" w:type="dxa"/>
            <w:vAlign w:val="center"/>
          </w:tcPr>
          <w:p>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自本项目实际交工日期之日起计算</w:t>
            </w:r>
            <w:r>
              <w:rPr>
                <w:rFonts w:hint="eastAsia" w:ascii="宋体" w:hAnsi="宋体"/>
                <w:color w:val="000000" w:themeColor="text1"/>
                <w:szCs w:val="21"/>
                <w:highlight w:val="none"/>
                <w:u w:val="single"/>
                <w14:textFill>
                  <w14:solidFill>
                    <w14:schemeClr w14:val="tx1"/>
                  </w14:solidFill>
                </w14:textFill>
              </w:rPr>
              <w:t>1年</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pPr>
              <w:jc w:val="center"/>
              <w:rPr>
                <w:rFonts w:ascii="Calibri" w:hAnsi="Calibri"/>
                <w:color w:val="000000" w:themeColor="text1"/>
                <w:szCs w:val="21"/>
                <w:highlight w:val="none"/>
                <w14:textFill>
                  <w14:solidFill>
                    <w14:schemeClr w14:val="tx1"/>
                  </w14:solidFill>
                </w14:textFill>
              </w:rPr>
            </w:pPr>
          </w:p>
        </w:tc>
      </w:tr>
    </w:tbl>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pPr>
        <w:spacing w:line="500" w:lineRule="exact"/>
        <w:ind w:right="480"/>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8"/>
          <w:szCs w:val="28"/>
          <w:highlight w:val="none"/>
          <w14:textFill>
            <w14:solidFill>
              <w14:schemeClr w14:val="tx1"/>
            </w14:solidFill>
          </w14:textFill>
        </w:rPr>
      </w:pPr>
      <w:bookmarkStart w:id="1740" w:name="_Toc234382961"/>
      <w:bookmarkEnd w:id="1740"/>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二、授权委托书</w:t>
      </w:r>
      <w:r>
        <w:rPr>
          <w:rFonts w:hint="eastAsia" w:ascii="宋体" w:hAnsi="宋体"/>
          <w:b/>
          <w:color w:val="000000" w:themeColor="text1"/>
          <w:sz w:val="28"/>
          <w:szCs w:val="28"/>
          <w:highlight w:val="none"/>
          <w14:textFill>
            <w14:solidFill>
              <w14:schemeClr w14:val="tx1"/>
            </w14:solidFill>
          </w14:textFill>
        </w:rPr>
        <w:t>或</w:t>
      </w:r>
      <w:r>
        <w:rPr>
          <w:rFonts w:ascii="宋体" w:hAnsi="宋体"/>
          <w:b/>
          <w:color w:val="000000" w:themeColor="text1"/>
          <w:sz w:val="28"/>
          <w:szCs w:val="28"/>
          <w:highlight w:val="none"/>
          <w14:textFill>
            <w14:solidFill>
              <w14:schemeClr w14:val="tx1"/>
            </w14:solidFill>
          </w14:textFill>
        </w:rPr>
        <w:t>法定代表人身份证明</w:t>
      </w:r>
    </w:p>
    <w:p>
      <w:pPr>
        <w:jc w:val="center"/>
        <w:rPr>
          <w:rFonts w:ascii="宋体" w:hAnsi="宋体"/>
          <w:color w:val="000000" w:themeColor="text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kern w:val="44"/>
          <w:sz w:val="28"/>
          <w:szCs w:val="28"/>
          <w:highlight w:val="none"/>
          <w14:textFill>
            <w14:solidFill>
              <w14:schemeClr w14:val="tx1"/>
            </w14:solidFill>
          </w14:textFill>
        </w:rPr>
        <w:t>（</w:t>
      </w:r>
      <w:r>
        <w:rPr>
          <w:rFonts w:hint="eastAsia" w:ascii="宋体" w:hAnsi="宋体"/>
          <w:b/>
          <w:bCs/>
          <w:color w:val="000000" w:themeColor="text1"/>
          <w:kern w:val="44"/>
          <w:sz w:val="28"/>
          <w:szCs w:val="28"/>
          <w:highlight w:val="none"/>
          <w14:textFill>
            <w14:solidFill>
              <w14:schemeClr w14:val="tx1"/>
            </w14:solidFill>
          </w14:textFill>
        </w:rPr>
        <w:t>一</w:t>
      </w:r>
      <w:r>
        <w:rPr>
          <w:rFonts w:ascii="宋体" w:hAnsi="宋体"/>
          <w:b/>
          <w:bCs/>
          <w:color w:val="000000" w:themeColor="text1"/>
          <w:kern w:val="44"/>
          <w:sz w:val="28"/>
          <w:szCs w:val="28"/>
          <w:highlight w:val="none"/>
          <w14:textFill>
            <w14:solidFill>
              <w14:schemeClr w14:val="tx1"/>
            </w14:solidFill>
          </w14:textFill>
        </w:rPr>
        <w:t>）授权委托书</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本人</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系</w:t>
      </w:r>
      <w:r>
        <w:rPr>
          <w:rFonts w:ascii="宋体" w:hAnsi="宋体"/>
          <w:color w:val="000000" w:themeColor="text1"/>
          <w:sz w:val="24"/>
          <w:highlight w:val="none"/>
          <w:u w:val="single"/>
          <w14:textFill>
            <w14:solidFill>
              <w14:schemeClr w14:val="tx1"/>
            </w14:solidFill>
          </w14:textFill>
        </w:rPr>
        <w:t>（投标人名称）</w:t>
      </w:r>
      <w:r>
        <w:rPr>
          <w:rFonts w:ascii="宋体" w:hAnsi="宋体"/>
          <w:color w:val="000000" w:themeColor="text1"/>
          <w:sz w:val="24"/>
          <w:highlight w:val="none"/>
          <w14:textFill>
            <w14:solidFill>
              <w14:schemeClr w14:val="tx1"/>
            </w14:solidFill>
          </w14:textFill>
        </w:rPr>
        <w:t>的法定代表人，现委托</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为我方代理人。代理人根据授权，以我方名义签署、澄清</w:t>
      </w:r>
      <w:r>
        <w:rPr>
          <w:rFonts w:hint="eastAsia" w:ascii="宋体" w:hAnsi="宋体"/>
          <w:color w:val="000000" w:themeColor="text1"/>
          <w:sz w:val="24"/>
          <w:highlight w:val="none"/>
          <w14:textFill>
            <w14:solidFill>
              <w14:schemeClr w14:val="tx1"/>
            </w14:solidFill>
          </w14:textFill>
        </w:rPr>
        <w:t>确认</w:t>
      </w:r>
      <w:r>
        <w:rPr>
          <w:rFonts w:ascii="宋体" w:hAnsi="宋体"/>
          <w:color w:val="000000" w:themeColor="text1"/>
          <w:sz w:val="24"/>
          <w:highlight w:val="none"/>
          <w14:textFill>
            <w14:solidFill>
              <w14:schemeClr w14:val="tx1"/>
            </w14:solidFill>
          </w14:textFill>
        </w:rPr>
        <w:t>、递交、撤回、修改</w:t>
      </w:r>
      <w:r>
        <w:rPr>
          <w:rFonts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施工</w:t>
      </w:r>
      <w:r>
        <w:rPr>
          <w:rFonts w:ascii="宋体" w:hAnsi="宋体"/>
          <w:color w:val="000000" w:themeColor="text1"/>
          <w:sz w:val="24"/>
          <w:highlight w:val="none"/>
          <w14:textFill>
            <w14:solidFill>
              <w14:schemeClr w14:val="tx1"/>
            </w14:solidFill>
          </w14:textFill>
        </w:rPr>
        <w:t>投标文件、签订合同和处理有关事宜，其法律后果由我方承担。</w:t>
      </w:r>
    </w:p>
    <w:p>
      <w:pPr>
        <w:snapToGrid w:val="0"/>
        <w:spacing w:line="440" w:lineRule="exact"/>
        <w:ind w:firstLine="480" w:firstLineChars="200"/>
        <w:rPr>
          <w:rFonts w:hAnsi="宋体" w:cs="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14:textFill>
            <w14:solidFill>
              <w14:schemeClr w14:val="tx1"/>
            </w14:solidFill>
          </w14:textFill>
        </w:rPr>
        <w:t>自本委托书签署之日起至投标有效期期满。</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代理人无转委托权。</w:t>
      </w:r>
    </w:p>
    <w:p>
      <w:pPr>
        <w:spacing w:line="500" w:lineRule="exact"/>
        <w:ind w:firstLine="480" w:firstLineChars="200"/>
        <w:rPr>
          <w:rFonts w:ascii="宋体" w:hAnsi="宋体"/>
          <w:color w:val="000000" w:themeColor="text1"/>
          <w:sz w:val="24"/>
          <w:highlight w:val="none"/>
          <w14:textFill>
            <w14:solidFill>
              <w14:schemeClr w14:val="tx1"/>
            </w14:solidFill>
          </w14:textFill>
        </w:rPr>
      </w:pP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附：法定代表人身份证复印件及委托代理人身份证复印件。</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投  标  人</w:t>
      </w:r>
      <w:r>
        <w:rPr>
          <w:rFonts w:ascii="宋体" w:hAnsi="宋体"/>
          <w:color w:val="000000" w:themeColor="text1"/>
          <w:sz w:val="24"/>
          <w:highlight w:val="none"/>
          <w14:textFill>
            <w14:solidFill>
              <w14:schemeClr w14:val="tx1"/>
            </w14:solidFill>
          </w14:textFill>
        </w:rPr>
        <w:t>：（盖单位章）</w:t>
      </w:r>
    </w:p>
    <w:p>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法定代表人：（签字）</w:t>
      </w:r>
    </w:p>
    <w:p>
      <w:pPr>
        <w:spacing w:line="5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委托代理人：（签字）</w:t>
      </w:r>
    </w:p>
    <w:p>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pPr>
        <w:spacing w:line="500" w:lineRule="exact"/>
        <w:rPr>
          <w:rFonts w:ascii="宋体" w:hAnsi="宋体"/>
          <w:color w:val="000000" w:themeColor="text1"/>
          <w:sz w:val="24"/>
          <w:highlight w:val="none"/>
          <w14:textFill>
            <w14:solidFill>
              <w14:schemeClr w14:val="tx1"/>
            </w14:solidFill>
          </w14:textFill>
        </w:rPr>
      </w:pPr>
    </w:p>
    <w:p>
      <w:pPr>
        <w:spacing w:line="5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spacing w:line="500" w:lineRule="exact"/>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spacing w:line="400" w:lineRule="exact"/>
        <w:rPr>
          <w:rFonts w:ascii="宋体" w:hAnsi="宋体"/>
          <w:color w:val="000000" w:themeColor="text1"/>
          <w:sz w:val="24"/>
          <w:highlight w:val="none"/>
          <w14:textFill>
            <w14:solidFill>
              <w14:schemeClr w14:val="tx1"/>
            </w14:solidFill>
          </w14:textFill>
        </w:rPr>
      </w:pPr>
    </w:p>
    <w:p>
      <w:pPr>
        <w:pStyle w:val="53"/>
        <w:spacing w:line="360" w:lineRule="auto"/>
        <w:rPr>
          <w:rFonts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注：1. 法定代表人和委托代理人必须在授权书上亲笔签名，不得使用印章、签名章或其他电子制版签名；如果由投标人的委托代理人签署投标文件，则不需提交（二）法定代表人身份证明。</w:t>
      </w:r>
    </w:p>
    <w:p>
      <w:pPr>
        <w:pStyle w:val="53"/>
        <w:rPr>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pPr>
        <w:jc w:val="center"/>
        <w:rPr>
          <w:rFonts w:ascii="宋体" w:hAnsi="宋体"/>
          <w:color w:val="000000" w:themeColor="text1"/>
          <w:highlight w:val="none"/>
          <w14:textFill>
            <w14:solidFill>
              <w14:schemeClr w14:val="tx1"/>
            </w14:solidFill>
          </w14:textFill>
        </w:rPr>
      </w:pPr>
    </w:p>
    <w:p>
      <w:pPr>
        <w:jc w:val="center"/>
        <w:rPr>
          <w:rFonts w:ascii="宋体" w:hAnsi="宋体"/>
          <w:color w:val="000000" w:themeColor="text1"/>
          <w:highlight w:val="none"/>
          <w14:textFill>
            <w14:solidFill>
              <w14:schemeClr w14:val="tx1"/>
            </w14:solidFill>
          </w14:textFill>
        </w:rPr>
      </w:pPr>
    </w:p>
    <w:p>
      <w:pPr>
        <w:spacing w:line="360" w:lineRule="auto"/>
        <w:ind w:firstLine="560" w:firstLineChars="200"/>
        <w:jc w:val="center"/>
        <w:rPr>
          <w:rFonts w:ascii="宋体" w:hAnsi="宋体" w:cs="宋体"/>
          <w:b/>
          <w:color w:val="000000" w:themeColor="text1"/>
          <w:sz w:val="32"/>
          <w:szCs w:val="32"/>
          <w:highlight w:val="none"/>
          <w14:textFill>
            <w14:solidFill>
              <w14:schemeClr w14:val="tx1"/>
            </w14:solidFill>
          </w14:textFill>
        </w:rPr>
      </w:pPr>
      <w:bookmarkStart w:id="1741" w:name="_Toc453057211"/>
      <w:bookmarkEnd w:id="1741"/>
      <w:r>
        <w:rPr>
          <w:rFonts w:hint="eastAsia" w:ascii="宋体" w:hAnsi="宋体" w:cs="宋体"/>
          <w:color w:val="000000" w:themeColor="text1"/>
          <w:sz w:val="28"/>
          <w:szCs w:val="28"/>
          <w:highlight w:val="none"/>
          <w14:textFill>
            <w14:solidFill>
              <w14:schemeClr w14:val="tx1"/>
            </w14:solidFill>
          </w14:textFill>
        </w:rPr>
        <w:t>（二）</w:t>
      </w:r>
      <w:r>
        <w:rPr>
          <w:rFonts w:hint="eastAsia" w:ascii="宋体" w:hAnsi="宋体" w:cs="宋体"/>
          <w:color w:val="000000" w:themeColor="text1"/>
          <w:sz w:val="28"/>
          <w:highlight w:val="none"/>
          <w14:textFill>
            <w14:solidFill>
              <w14:schemeClr w14:val="tx1"/>
            </w14:solidFill>
          </w14:textFill>
        </w:rPr>
        <w:t>法定代表人身份证明</w:t>
      </w:r>
    </w:p>
    <w:p>
      <w:pPr>
        <w:spacing w:line="500" w:lineRule="exact"/>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（法定代表人亲笔签名）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附：法定代表人身份证复印件。</w:t>
      </w:r>
    </w:p>
    <w:p>
      <w:pPr>
        <w:pStyle w:val="16"/>
        <w:rPr>
          <w:rFonts w:ascii="宋体" w:hAnsi="宋体" w:cs="宋体"/>
          <w:color w:val="000000" w:themeColor="text1"/>
          <w:sz w:val="20"/>
          <w:highlight w:val="none"/>
          <w14:textFill>
            <w14:solidFill>
              <w14:schemeClr w14:val="tx1"/>
            </w14:solidFill>
          </w14:textFill>
        </w:rPr>
      </w:pPr>
    </w:p>
    <w:p>
      <w:pPr>
        <w:pStyle w:val="16"/>
        <w:spacing w:before="3"/>
        <w:rPr>
          <w:rFonts w:ascii="宋体" w:hAnsi="宋体" w:cs="宋体"/>
          <w:color w:val="000000" w:themeColor="text1"/>
          <w:sz w:val="28"/>
          <w:highlight w:val="none"/>
          <w14:textFill>
            <w14:solidFill>
              <w14:schemeClr w14:val="tx1"/>
            </w14:solidFill>
          </w14:textFill>
        </w:rPr>
      </w:pPr>
    </w:p>
    <w:p>
      <w:pPr>
        <w:tabs>
          <w:tab w:val="left" w:pos="6918"/>
        </w:tabs>
        <w:spacing w:before="75"/>
        <w:ind w:left="43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（盖单位章）</w:t>
      </w:r>
    </w:p>
    <w:p>
      <w:pPr>
        <w:tabs>
          <w:tab w:val="left" w:pos="6558"/>
          <w:tab w:val="left" w:pos="7278"/>
          <w:tab w:val="left" w:pos="7998"/>
        </w:tabs>
        <w:spacing w:before="113"/>
        <w:ind w:left="55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日</w:t>
      </w:r>
    </w:p>
    <w:p>
      <w:pPr>
        <w:spacing w:line="500" w:lineRule="exact"/>
        <w:rPr>
          <w:rFonts w:ascii="宋体" w:hAnsi="宋体" w:cs="宋体"/>
          <w:color w:val="000000" w:themeColor="text1"/>
          <w:sz w:val="24"/>
          <w:highlight w:val="none"/>
          <w14:textFill>
            <w14:solidFill>
              <w14:schemeClr w14:val="tx1"/>
            </w14:solidFill>
          </w14:textFill>
        </w:rPr>
      </w:pPr>
    </w:p>
    <w:p>
      <w:pPr>
        <w:spacing w:line="500" w:lineRule="exact"/>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注：法定代表人的签字必须是亲笔签名，不得使用印章、签名章或其他电子制版签名代替。</w:t>
      </w: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三、投标保证金</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如采用银行转账，投标人应在此提供汇款凭证的彩色扫描件。</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如采用电子保函，投标人应在此提供电子保函彩色扫描件。</w:t>
      </w:r>
    </w:p>
    <w:p>
      <w:pPr>
        <w:pStyle w:val="59"/>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如采用投标保证金保险，投标人应在此提供保单</w:t>
      </w:r>
      <w:r>
        <w:rPr>
          <w:rFonts w:hint="eastAsia" w:ascii="宋体" w:hAnsi="宋体" w:cs="宋体"/>
          <w:color w:val="000000" w:themeColor="text1"/>
          <w:highlight w:val="none"/>
          <w:lang w:val="zh-CN"/>
          <w14:textFill>
            <w14:solidFill>
              <w14:schemeClr w14:val="tx1"/>
            </w14:solidFill>
          </w14:textFill>
        </w:rPr>
        <w:t>彩色扫描件</w:t>
      </w:r>
      <w:r>
        <w:rPr>
          <w:rFonts w:hint="eastAsia" w:ascii="宋体" w:hAnsi="宋体" w:cs="宋体"/>
          <w:color w:val="000000" w:themeColor="text1"/>
          <w:highlight w:val="none"/>
          <w14:textFill>
            <w14:solidFill>
              <w14:schemeClr w14:val="tx1"/>
            </w14:solidFill>
          </w14:textFill>
        </w:rPr>
        <w:t>。</w:t>
      </w:r>
    </w:p>
    <w:p>
      <w:pPr>
        <w:spacing w:line="360" w:lineRule="exact"/>
        <w:rPr>
          <w:rFonts w:ascii="宋体" w:hAnsi="宋体"/>
          <w:color w:val="000000" w:themeColor="text1"/>
          <w:sz w:val="24"/>
          <w:highlight w:val="none"/>
          <w14:textFill>
            <w14:solidFill>
              <w14:schemeClr w14:val="tx1"/>
            </w14:solidFill>
          </w14:textFill>
        </w:rPr>
      </w:pPr>
    </w:p>
    <w:p>
      <w:pPr>
        <w:adjustRightInd w:val="0"/>
        <w:snapToGrid w:val="0"/>
        <w:spacing w:line="360" w:lineRule="auto"/>
        <w:rPr>
          <w:rFonts w:ascii="宋体" w:hAnsi="宋体"/>
          <w:color w:val="000000" w:themeColor="text1"/>
          <w:sz w:val="24"/>
          <w:highlight w:val="none"/>
          <w14:textFill>
            <w14:solidFill>
              <w14:schemeClr w14:val="tx1"/>
            </w14:solidFill>
          </w14:textFill>
        </w:rPr>
      </w:pPr>
    </w:p>
    <w:p>
      <w:pPr>
        <w:widowControl/>
        <w:jc w:val="left"/>
        <w:rPr>
          <w:rFonts w:ascii="宋体" w:hAnsi="宋体"/>
          <w:color w:val="000000" w:themeColor="text1"/>
          <w:sz w:val="24"/>
          <w:highlight w:val="none"/>
          <w14:textFill>
            <w14:solidFill>
              <w14:schemeClr w14:val="tx1"/>
            </w14:solidFill>
          </w14:textFill>
        </w:rPr>
      </w:pPr>
    </w:p>
    <w:p>
      <w:pPr>
        <w:rPr>
          <w:rFonts w:ascii="宋体" w:hAnsi="宋体" w:cs="宋体"/>
          <w:b/>
          <w:color w:val="000000" w:themeColor="text1"/>
          <w:sz w:val="28"/>
          <w:szCs w:val="28"/>
          <w:highlight w:val="none"/>
          <w14:textFill>
            <w14:solidFill>
              <w14:schemeClr w14:val="tx1"/>
            </w14:solidFill>
          </w14:textFill>
        </w:rPr>
      </w:pPr>
      <w:bookmarkStart w:id="1742" w:name="_Toc451261419"/>
      <w:bookmarkStart w:id="1743" w:name="_Toc24192"/>
      <w:bookmarkStart w:id="1744" w:name="_Toc453057237"/>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ascii="宋体" w:hAnsi="宋体"/>
          <w:b/>
          <w:color w:val="000000" w:themeColor="text1"/>
          <w:sz w:val="28"/>
          <w:szCs w:val="28"/>
          <w:highlight w:val="none"/>
          <w14:textFill>
            <w14:solidFill>
              <w14:schemeClr w14:val="tx1"/>
            </w14:solidFill>
          </w14:textFill>
        </w:rPr>
      </w:pPr>
    </w:p>
    <w:p>
      <w:pPr>
        <w:numPr>
          <w:ilvl w:val="0"/>
          <w:numId w:val="23"/>
        </w:num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施工组织设计</w:t>
      </w:r>
    </w:p>
    <w:p>
      <w:pPr>
        <w:spacing w:line="480" w:lineRule="auto"/>
        <w:ind w:right="263" w:firstLine="560" w:firstLineChars="200"/>
        <w:rPr>
          <w:color w:val="000000" w:themeColor="text1"/>
          <w:sz w:val="28"/>
          <w:highlight w:val="none"/>
          <w14:textFill>
            <w14:solidFill>
              <w14:schemeClr w14:val="tx1"/>
            </w14:solidFill>
          </w14:textFill>
        </w:rPr>
      </w:pPr>
    </w:p>
    <w:p>
      <w:pPr>
        <w:spacing w:line="480" w:lineRule="auto"/>
        <w:ind w:right="263" w:firstLine="560" w:firstLineChars="200"/>
        <w:jc w:val="center"/>
        <w:rPr>
          <w:color w:val="000000" w:themeColor="text1"/>
          <w:sz w:val="12"/>
          <w:highlight w:val="none"/>
          <w14:textFill>
            <w14:solidFill>
              <w14:schemeClr w14:val="tx1"/>
            </w14:solidFill>
          </w14:textFill>
        </w:rPr>
      </w:pPr>
      <w:r>
        <w:rPr>
          <w:color w:val="000000" w:themeColor="text1"/>
          <w:sz w:val="28"/>
          <w:highlight w:val="none"/>
          <w14:textFill>
            <w14:solidFill>
              <w14:schemeClr w14:val="tx1"/>
            </w14:solidFill>
          </w14:textFill>
        </w:rPr>
        <w:t>承诺函</w:t>
      </w:r>
    </w:p>
    <w:p>
      <w:pPr>
        <w:rPr>
          <w:rFonts w:ascii="宋体" w:hAnsi="宋体"/>
          <w:b/>
          <w:color w:val="000000" w:themeColor="text1"/>
          <w:sz w:val="28"/>
          <w:szCs w:val="28"/>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p>
    <w:p>
      <w:pPr>
        <w:tabs>
          <w:tab w:val="left" w:pos="2055"/>
        </w:tabs>
        <w:spacing w:before="75" w:line="228" w:lineRule="auto"/>
        <w:rPr>
          <w:rFonts w:ascii="宋体" w:hAnsi="宋体" w:cs="宋体"/>
          <w:color w:val="000000" w:themeColor="text1"/>
          <w:sz w:val="23"/>
          <w:szCs w:val="23"/>
          <w:highlight w:val="none"/>
          <w14:textFill>
            <w14:solidFill>
              <w14:schemeClr w14:val="tx1"/>
            </w14:solidFill>
          </w14:textFill>
        </w:rPr>
      </w:pPr>
      <w:r>
        <w:rPr>
          <w:rFonts w:ascii="宋体" w:hAnsi="宋体" w:cs="宋体"/>
          <w:color w:val="000000" w:themeColor="text1"/>
          <w:sz w:val="23"/>
          <w:szCs w:val="23"/>
          <w:highlight w:val="none"/>
          <w:u w:val="single"/>
          <w14:textFill>
            <w14:solidFill>
              <w14:schemeClr w14:val="tx1"/>
            </w14:solidFill>
          </w14:textFill>
        </w:rPr>
        <w:tab/>
      </w:r>
      <w:r>
        <w:rPr>
          <w:rFonts w:ascii="宋体" w:hAnsi="宋体" w:cs="宋体"/>
          <w:color w:val="000000" w:themeColor="text1"/>
          <w:spacing w:val="10"/>
          <w:sz w:val="23"/>
          <w:szCs w:val="23"/>
          <w:highlight w:val="none"/>
          <w14:textFill>
            <w14:solidFill>
              <w14:schemeClr w14:val="tx1"/>
            </w14:solidFill>
          </w14:textFill>
        </w:rPr>
        <w:t>(</w:t>
      </w:r>
      <w:r>
        <w:rPr>
          <w:rFonts w:ascii="宋体" w:hAnsi="宋体" w:cs="宋体"/>
          <w:color w:val="000000" w:themeColor="text1"/>
          <w:spacing w:val="6"/>
          <w:sz w:val="23"/>
          <w:szCs w:val="23"/>
          <w:highlight w:val="none"/>
          <w14:textFill>
            <w14:solidFill>
              <w14:schemeClr w14:val="tx1"/>
            </w14:solidFill>
          </w14:textFill>
        </w:rPr>
        <w:t>招</w:t>
      </w:r>
      <w:r>
        <w:rPr>
          <w:rFonts w:ascii="宋体" w:hAnsi="宋体" w:cs="宋体"/>
          <w:color w:val="000000" w:themeColor="text1"/>
          <w:spacing w:val="5"/>
          <w:sz w:val="23"/>
          <w:szCs w:val="23"/>
          <w:highlight w:val="none"/>
          <w14:textFill>
            <w14:solidFill>
              <w14:schemeClr w14:val="tx1"/>
            </w14:solidFill>
          </w14:textFill>
        </w:rPr>
        <w:t>标人名称) ：</w:t>
      </w:r>
    </w:p>
    <w:p>
      <w:pPr>
        <w:spacing w:before="183" w:line="375" w:lineRule="auto"/>
        <w:ind w:left="9" w:right="278" w:firstLine="481"/>
        <w:rPr>
          <w:rFonts w:ascii="宋体" w:hAnsi="宋体" w:cs="宋体"/>
          <w:color w:val="000000" w:themeColor="text1"/>
          <w:sz w:val="23"/>
          <w:szCs w:val="23"/>
          <w:highlight w:val="none"/>
          <w14:textFill>
            <w14:solidFill>
              <w14:schemeClr w14:val="tx1"/>
            </w14:solidFill>
          </w14:textFill>
        </w:rPr>
      </w:pPr>
      <w:r>
        <w:rPr>
          <w:rFonts w:ascii="宋体" w:hAnsi="宋体" w:cs="宋体"/>
          <w:color w:val="000000" w:themeColor="text1"/>
          <w:spacing w:val="12"/>
          <w:sz w:val="23"/>
          <w:szCs w:val="23"/>
          <w:highlight w:val="none"/>
          <w14:textFill>
            <w14:solidFill>
              <w14:schemeClr w14:val="tx1"/>
            </w14:solidFill>
          </w14:textFill>
        </w:rPr>
        <w:t>我</w:t>
      </w:r>
      <w:r>
        <w:rPr>
          <w:rFonts w:ascii="宋体" w:hAnsi="宋体" w:cs="宋体"/>
          <w:color w:val="000000" w:themeColor="text1"/>
          <w:spacing w:val="7"/>
          <w:sz w:val="23"/>
          <w:szCs w:val="23"/>
          <w:highlight w:val="none"/>
          <w14:textFill>
            <w14:solidFill>
              <w14:schemeClr w14:val="tx1"/>
            </w14:solidFill>
          </w14:textFill>
        </w:rPr>
        <w:t>单</w:t>
      </w:r>
      <w:r>
        <w:rPr>
          <w:rFonts w:ascii="宋体" w:hAnsi="宋体" w:cs="宋体"/>
          <w:color w:val="000000" w:themeColor="text1"/>
          <w:spacing w:val="6"/>
          <w:sz w:val="23"/>
          <w:szCs w:val="23"/>
          <w:highlight w:val="none"/>
          <w14:textFill>
            <w14:solidFill>
              <w14:schemeClr w14:val="tx1"/>
            </w14:solidFill>
          </w14:textFill>
        </w:rPr>
        <w:t>位在</w:t>
      </w:r>
      <w:r>
        <w:rPr>
          <w:rFonts w:ascii="宋体" w:hAnsi="宋体" w:cs="宋体"/>
          <w:color w:val="000000" w:themeColor="text1"/>
          <w:spacing w:val="6"/>
          <w:sz w:val="23"/>
          <w:szCs w:val="23"/>
          <w:highlight w:val="none"/>
          <w:u w:val="single"/>
          <w14:textFill>
            <w14:solidFill>
              <w14:schemeClr w14:val="tx1"/>
            </w14:solidFill>
          </w14:textFill>
        </w:rPr>
        <w:t xml:space="preserve">             (项目名称)     </w:t>
      </w:r>
      <w:r>
        <w:rPr>
          <w:rFonts w:ascii="宋体" w:hAnsi="宋体" w:cs="宋体"/>
          <w:color w:val="000000" w:themeColor="text1"/>
          <w:spacing w:val="6"/>
          <w:sz w:val="23"/>
          <w:szCs w:val="23"/>
          <w:highlight w:val="none"/>
          <w14:textFill>
            <w14:solidFill>
              <w14:schemeClr w14:val="tx1"/>
            </w14:solidFill>
          </w14:textFill>
        </w:rPr>
        <w:t>施工的投标中，若我方被</w:t>
      </w:r>
      <w:r>
        <w:rPr>
          <w:rFonts w:ascii="宋体" w:hAnsi="宋体" w:cs="宋体"/>
          <w:color w:val="000000" w:themeColor="text1"/>
          <w:spacing w:val="10"/>
          <w:sz w:val="23"/>
          <w:szCs w:val="23"/>
          <w:highlight w:val="none"/>
          <w14:textFill>
            <w14:solidFill>
              <w14:schemeClr w14:val="tx1"/>
            </w14:solidFill>
          </w14:textFill>
        </w:rPr>
        <w:t>确定为</w:t>
      </w:r>
      <w:r>
        <w:rPr>
          <w:rFonts w:ascii="宋体" w:hAnsi="宋体" w:cs="宋体"/>
          <w:color w:val="000000" w:themeColor="text1"/>
          <w:spacing w:val="5"/>
          <w:sz w:val="23"/>
          <w:szCs w:val="23"/>
          <w:highlight w:val="none"/>
          <w14:textFill>
            <w14:solidFill>
              <w14:schemeClr w14:val="tx1"/>
            </w14:solidFill>
          </w14:textFill>
        </w:rPr>
        <w:t>中标人后，我方将在收到中标通知书后7天内按要求提交详细的施工组织设计。</w:t>
      </w:r>
    </w:p>
    <w:p>
      <w:pPr>
        <w:spacing w:line="227" w:lineRule="auto"/>
        <w:ind w:left="489"/>
        <w:rPr>
          <w:rFonts w:ascii="宋体" w:hAnsi="宋体" w:cs="宋体"/>
          <w:color w:val="000000" w:themeColor="text1"/>
          <w:sz w:val="23"/>
          <w:szCs w:val="23"/>
          <w:highlight w:val="none"/>
          <w14:textFill>
            <w14:solidFill>
              <w14:schemeClr w14:val="tx1"/>
            </w14:solidFill>
          </w14:textFill>
        </w:rPr>
      </w:pPr>
      <w:r>
        <w:rPr>
          <w:rFonts w:ascii="宋体" w:hAnsi="宋体" w:cs="宋体"/>
          <w:color w:val="000000" w:themeColor="text1"/>
          <w:spacing w:val="9"/>
          <w:sz w:val="23"/>
          <w:szCs w:val="23"/>
          <w:highlight w:val="none"/>
          <w14:textFill>
            <w14:solidFill>
              <w14:schemeClr w14:val="tx1"/>
            </w14:solidFill>
          </w14:textFill>
        </w:rPr>
        <w:t>特</w:t>
      </w:r>
      <w:r>
        <w:rPr>
          <w:rFonts w:ascii="宋体" w:hAnsi="宋体" w:cs="宋体"/>
          <w:color w:val="000000" w:themeColor="text1"/>
          <w:spacing w:val="7"/>
          <w:sz w:val="23"/>
          <w:szCs w:val="23"/>
          <w:highlight w:val="none"/>
          <w14:textFill>
            <w14:solidFill>
              <w14:schemeClr w14:val="tx1"/>
            </w14:solidFill>
          </w14:textFill>
        </w:rPr>
        <w:t>此承诺</w:t>
      </w:r>
    </w:p>
    <w:p>
      <w:pPr>
        <w:spacing w:line="286" w:lineRule="auto"/>
        <w:rPr>
          <w:rFonts w:ascii="Arial"/>
          <w:color w:val="000000" w:themeColor="text1"/>
          <w:highlight w:val="none"/>
          <w14:textFill>
            <w14:solidFill>
              <w14:schemeClr w14:val="tx1"/>
            </w14:solidFill>
          </w14:textFill>
        </w:rPr>
      </w:pPr>
    </w:p>
    <w:p>
      <w:pPr>
        <w:spacing w:line="287" w:lineRule="auto"/>
        <w:rPr>
          <w:rFonts w:ascii="Arial"/>
          <w:color w:val="000000" w:themeColor="text1"/>
          <w:highlight w:val="none"/>
          <w14:textFill>
            <w14:solidFill>
              <w14:schemeClr w14:val="tx1"/>
            </w14:solidFill>
          </w14:textFill>
        </w:rPr>
      </w:pPr>
    </w:p>
    <w:p>
      <w:pPr>
        <w:tabs>
          <w:tab w:val="left" w:pos="3860"/>
        </w:tabs>
        <w:spacing w:before="74" w:line="380" w:lineRule="auto"/>
        <w:ind w:left="3250" w:right="379" w:firstLine="1"/>
        <w:jc w:val="right"/>
        <w:rPr>
          <w:rFonts w:ascii="宋体" w:hAnsi="宋体" w:cs="宋体"/>
          <w:color w:val="000000" w:themeColor="text1"/>
          <w:spacing w:val="-1"/>
          <w:sz w:val="23"/>
          <w:szCs w:val="23"/>
          <w:highlight w:val="none"/>
          <w14:textFill>
            <w14:solidFill>
              <w14:schemeClr w14:val="tx1"/>
            </w14:solidFill>
          </w14:textFill>
        </w:rPr>
      </w:pPr>
    </w:p>
    <w:p>
      <w:pPr>
        <w:tabs>
          <w:tab w:val="left" w:pos="3860"/>
        </w:tabs>
        <w:spacing w:before="74" w:line="380" w:lineRule="auto"/>
        <w:ind w:left="3250" w:right="379" w:firstLine="1"/>
        <w:jc w:val="right"/>
        <w:rPr>
          <w:rFonts w:ascii="宋体" w:hAnsi="宋体" w:cs="宋体"/>
          <w:color w:val="000000" w:themeColor="text1"/>
          <w:spacing w:val="-1"/>
          <w:sz w:val="23"/>
          <w:szCs w:val="23"/>
          <w:highlight w:val="none"/>
          <w14:textFill>
            <w14:solidFill>
              <w14:schemeClr w14:val="tx1"/>
            </w14:solidFill>
          </w14:textFill>
        </w:rPr>
      </w:pPr>
    </w:p>
    <w:p>
      <w:pPr>
        <w:tabs>
          <w:tab w:val="left" w:pos="3860"/>
        </w:tabs>
        <w:spacing w:before="74" w:line="380" w:lineRule="auto"/>
        <w:ind w:left="3250" w:right="379" w:firstLine="1"/>
        <w:jc w:val="right"/>
        <w:rPr>
          <w:rFonts w:ascii="宋体" w:hAnsi="宋体" w:cs="宋体"/>
          <w:color w:val="000000" w:themeColor="text1"/>
          <w:sz w:val="23"/>
          <w:szCs w:val="23"/>
          <w:highlight w:val="none"/>
          <w14:textFill>
            <w14:solidFill>
              <w14:schemeClr w14:val="tx1"/>
            </w14:solidFill>
          </w14:textFill>
        </w:rPr>
      </w:pPr>
      <w:r>
        <w:rPr>
          <w:rFonts w:ascii="宋体" w:hAnsi="宋体" w:cs="宋体"/>
          <w:color w:val="000000" w:themeColor="text1"/>
          <w:spacing w:val="-1"/>
          <w:sz w:val="23"/>
          <w:szCs w:val="23"/>
          <w:highlight w:val="none"/>
          <w14:textFill>
            <w14:solidFill>
              <w14:schemeClr w14:val="tx1"/>
            </w14:solidFill>
          </w14:textFill>
        </w:rPr>
        <w:t>投标人：</w:t>
      </w:r>
      <w:r>
        <w:rPr>
          <w:rFonts w:ascii="宋体" w:hAnsi="宋体" w:cs="宋体"/>
          <w:color w:val="000000" w:themeColor="text1"/>
          <w:spacing w:val="-1"/>
          <w:sz w:val="23"/>
          <w:szCs w:val="23"/>
          <w:highlight w:val="none"/>
          <w:u w:val="single"/>
          <w14:textFill>
            <w14:solidFill>
              <w14:schemeClr w14:val="tx1"/>
            </w14:solidFill>
          </w14:textFill>
        </w:rPr>
        <w:t xml:space="preserve">                    </w:t>
      </w:r>
      <w:r>
        <w:rPr>
          <w:rFonts w:ascii="宋体" w:hAnsi="宋体" w:cs="宋体"/>
          <w:color w:val="000000" w:themeColor="text1"/>
          <w:sz w:val="23"/>
          <w:szCs w:val="23"/>
          <w:highlight w:val="none"/>
          <w:u w:val="single"/>
          <w14:textFill>
            <w14:solidFill>
              <w14:schemeClr w14:val="tx1"/>
            </w14:solidFill>
          </w14:textFill>
        </w:rPr>
        <w:t xml:space="preserve">           </w:t>
      </w:r>
      <w:r>
        <w:rPr>
          <w:rFonts w:ascii="宋体" w:hAnsi="宋体" w:cs="宋体"/>
          <w:color w:val="000000" w:themeColor="text1"/>
          <w:sz w:val="23"/>
          <w:szCs w:val="23"/>
          <w:highlight w:val="none"/>
          <w14:textFill>
            <w14:solidFill>
              <w14:schemeClr w14:val="tx1"/>
            </w14:solidFill>
          </w14:textFill>
        </w:rPr>
        <w:t>(盖单位章)</w:t>
      </w:r>
    </w:p>
    <w:p>
      <w:pPr>
        <w:tabs>
          <w:tab w:val="left" w:pos="3860"/>
        </w:tabs>
        <w:spacing w:before="74" w:line="380" w:lineRule="auto"/>
        <w:ind w:left="3250" w:right="379" w:firstLine="1"/>
        <w:jc w:val="right"/>
        <w:rPr>
          <w:rFonts w:ascii="宋体" w:hAnsi="宋体" w:cs="宋体"/>
          <w:color w:val="000000" w:themeColor="text1"/>
          <w:sz w:val="23"/>
          <w:szCs w:val="23"/>
          <w:highlight w:val="none"/>
          <w14:textFill>
            <w14:solidFill>
              <w14:schemeClr w14:val="tx1"/>
            </w14:solidFill>
          </w14:textFill>
        </w:rPr>
      </w:pPr>
      <w:r>
        <w:rPr>
          <w:rFonts w:ascii="宋体" w:hAnsi="宋体" w:cs="宋体"/>
          <w:color w:val="000000" w:themeColor="text1"/>
          <w:sz w:val="23"/>
          <w:szCs w:val="23"/>
          <w:highlight w:val="none"/>
          <w14:textFill>
            <w14:solidFill>
              <w14:schemeClr w14:val="tx1"/>
            </w14:solidFill>
          </w14:textFill>
        </w:rPr>
        <w:t xml:space="preserve"> </w:t>
      </w:r>
      <w:r>
        <w:rPr>
          <w:rFonts w:ascii="宋体" w:hAnsi="宋体" w:cs="宋体"/>
          <w:color w:val="000000" w:themeColor="text1"/>
          <w:spacing w:val="-1"/>
          <w:sz w:val="23"/>
          <w:szCs w:val="23"/>
          <w:highlight w:val="none"/>
          <w14:textFill>
            <w14:solidFill>
              <w14:schemeClr w14:val="tx1"/>
            </w14:solidFill>
          </w14:textFill>
        </w:rPr>
        <w:t>法定代表人或其委托代理人：</w:t>
      </w:r>
      <w:r>
        <w:rPr>
          <w:rFonts w:ascii="宋体" w:hAnsi="宋体" w:cs="宋体"/>
          <w:color w:val="000000" w:themeColor="text1"/>
          <w:spacing w:val="-1"/>
          <w:sz w:val="23"/>
          <w:szCs w:val="23"/>
          <w:highlight w:val="none"/>
          <w:u w:val="single"/>
          <w14:textFill>
            <w14:solidFill>
              <w14:schemeClr w14:val="tx1"/>
            </w14:solidFill>
          </w14:textFill>
        </w:rPr>
        <w:t xml:space="preserve">         </w:t>
      </w:r>
      <w:r>
        <w:rPr>
          <w:rFonts w:ascii="宋体" w:hAnsi="宋体" w:cs="宋体"/>
          <w:color w:val="000000" w:themeColor="text1"/>
          <w:sz w:val="23"/>
          <w:szCs w:val="23"/>
          <w:highlight w:val="none"/>
          <w:u w:val="single"/>
          <w14:textFill>
            <w14:solidFill>
              <w14:schemeClr w14:val="tx1"/>
            </w14:solidFill>
          </w14:textFill>
        </w:rPr>
        <w:t xml:space="preserve">        </w:t>
      </w:r>
      <w:r>
        <w:rPr>
          <w:rFonts w:ascii="宋体" w:hAnsi="宋体" w:cs="宋体"/>
          <w:color w:val="000000" w:themeColor="text1"/>
          <w:sz w:val="23"/>
          <w:szCs w:val="23"/>
          <w:highlight w:val="none"/>
          <w14:textFill>
            <w14:solidFill>
              <w14:schemeClr w14:val="tx1"/>
            </w14:solidFill>
          </w14:textFill>
        </w:rPr>
        <w:t xml:space="preserve">(签字) </w:t>
      </w:r>
      <w:r>
        <w:rPr>
          <w:rFonts w:ascii="宋体" w:hAnsi="宋体" w:cs="宋体"/>
          <w:color w:val="000000" w:themeColor="text1"/>
          <w:sz w:val="23"/>
          <w:szCs w:val="23"/>
          <w:highlight w:val="none"/>
          <w:u w:val="single"/>
          <w14:textFill>
            <w14:solidFill>
              <w14:schemeClr w14:val="tx1"/>
            </w14:solidFill>
          </w14:textFill>
        </w:rPr>
        <w:tab/>
      </w:r>
      <w:r>
        <w:rPr>
          <w:rFonts w:ascii="宋体" w:hAnsi="宋体" w:cs="宋体"/>
          <w:color w:val="000000" w:themeColor="text1"/>
          <w:spacing w:val="10"/>
          <w:sz w:val="23"/>
          <w:szCs w:val="23"/>
          <w:highlight w:val="none"/>
          <w14:textFill>
            <w14:solidFill>
              <w14:schemeClr w14:val="tx1"/>
            </w14:solidFill>
          </w14:textFill>
        </w:rPr>
        <w:t>年</w:t>
      </w:r>
      <w:r>
        <w:rPr>
          <w:rFonts w:ascii="宋体" w:hAnsi="宋体" w:cs="宋体"/>
          <w:color w:val="000000" w:themeColor="text1"/>
          <w:spacing w:val="9"/>
          <w:sz w:val="23"/>
          <w:szCs w:val="23"/>
          <w:highlight w:val="none"/>
          <w:u w:val="single"/>
          <w14:textFill>
            <w14:solidFill>
              <w14:schemeClr w14:val="tx1"/>
            </w14:solidFill>
          </w14:textFill>
        </w:rPr>
        <w:t xml:space="preserve">    </w:t>
      </w:r>
      <w:r>
        <w:rPr>
          <w:rFonts w:ascii="宋体" w:hAnsi="宋体" w:cs="宋体"/>
          <w:color w:val="000000" w:themeColor="text1"/>
          <w:spacing w:val="9"/>
          <w:sz w:val="23"/>
          <w:szCs w:val="23"/>
          <w:highlight w:val="none"/>
          <w14:textFill>
            <w14:solidFill>
              <w14:schemeClr w14:val="tx1"/>
            </w14:solidFill>
          </w14:textFill>
        </w:rPr>
        <w:t>月</w:t>
      </w:r>
      <w:r>
        <w:rPr>
          <w:rFonts w:ascii="宋体" w:hAnsi="宋体" w:cs="宋体"/>
          <w:color w:val="000000" w:themeColor="text1"/>
          <w:spacing w:val="9"/>
          <w:sz w:val="23"/>
          <w:szCs w:val="23"/>
          <w:highlight w:val="none"/>
          <w:u w:val="single"/>
          <w14:textFill>
            <w14:solidFill>
              <w14:schemeClr w14:val="tx1"/>
            </w14:solidFill>
          </w14:textFill>
        </w:rPr>
        <w:t xml:space="preserve">    </w:t>
      </w:r>
      <w:r>
        <w:rPr>
          <w:rFonts w:ascii="宋体" w:hAnsi="宋体" w:cs="宋体"/>
          <w:color w:val="000000" w:themeColor="text1"/>
          <w:spacing w:val="9"/>
          <w:sz w:val="23"/>
          <w:szCs w:val="23"/>
          <w:highlight w:val="none"/>
          <w14:textFill>
            <w14:solidFill>
              <w14:schemeClr w14:val="tx1"/>
            </w14:solidFill>
          </w14:textFill>
        </w:rPr>
        <w:t>日</w:t>
      </w:r>
    </w:p>
    <w:p>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cs="宋体"/>
          <w:color w:val="000000" w:themeColor="text1"/>
          <w:spacing w:val="16"/>
          <w:sz w:val="20"/>
          <w:szCs w:val="20"/>
          <w:highlight w:val="none"/>
          <w14:textFill>
            <w14:solidFill>
              <w14:schemeClr w14:val="tx1"/>
            </w14:solidFill>
          </w14:textFill>
        </w:rPr>
      </w:pPr>
    </w:p>
    <w:p>
      <w:pPr>
        <w:spacing w:before="66" w:line="379" w:lineRule="auto"/>
        <w:ind w:left="7" w:right="382" w:firstLine="420"/>
        <w:rPr>
          <w:rFonts w:ascii="宋体" w:hAnsi="宋体" w:cs="宋体"/>
          <w:color w:val="000000" w:themeColor="text1"/>
          <w:spacing w:val="9"/>
          <w:sz w:val="20"/>
          <w:szCs w:val="20"/>
          <w:highlight w:val="none"/>
          <w14:textFill>
            <w14:solidFill>
              <w14:schemeClr w14:val="tx1"/>
            </w14:solidFill>
          </w14:textFill>
        </w:rPr>
      </w:pPr>
      <w:r>
        <w:rPr>
          <w:rFonts w:ascii="宋体" w:hAnsi="宋体" w:cs="宋体"/>
          <w:color w:val="000000" w:themeColor="text1"/>
          <w:spacing w:val="16"/>
          <w:sz w:val="20"/>
          <w:szCs w:val="20"/>
          <w:highlight w:val="none"/>
          <w14:textFill>
            <w14:solidFill>
              <w14:schemeClr w14:val="tx1"/>
            </w14:solidFill>
          </w14:textFill>
        </w:rPr>
        <w:t>注</w:t>
      </w:r>
      <w:r>
        <w:rPr>
          <w:rFonts w:ascii="宋体" w:hAnsi="宋体" w:cs="宋体"/>
          <w:color w:val="000000" w:themeColor="text1"/>
          <w:spacing w:val="11"/>
          <w:sz w:val="20"/>
          <w:szCs w:val="20"/>
          <w:highlight w:val="none"/>
          <w14:textFill>
            <w14:solidFill>
              <w14:schemeClr w14:val="tx1"/>
            </w14:solidFill>
          </w14:textFill>
        </w:rPr>
        <w:t>：</w:t>
      </w:r>
      <w:r>
        <w:rPr>
          <w:rFonts w:ascii="宋体" w:hAnsi="宋体" w:cs="宋体"/>
          <w:color w:val="000000" w:themeColor="text1"/>
          <w:spacing w:val="8"/>
          <w:sz w:val="20"/>
          <w:szCs w:val="20"/>
          <w:highlight w:val="none"/>
          <w14:textFill>
            <w14:solidFill>
              <w14:schemeClr w14:val="tx1"/>
            </w14:solidFill>
          </w14:textFill>
        </w:rPr>
        <w:t>因为双信封的合理低价法规定施工组织设计的分值为 0，故投标人投标时可不提供具体的</w:t>
      </w:r>
      <w:r>
        <w:rPr>
          <w:rFonts w:ascii="宋体" w:hAnsi="宋体" w:cs="宋体"/>
          <w:color w:val="000000" w:themeColor="text1"/>
          <w:spacing w:val="10"/>
          <w:sz w:val="20"/>
          <w:szCs w:val="20"/>
          <w:highlight w:val="none"/>
          <w14:textFill>
            <w14:solidFill>
              <w14:schemeClr w14:val="tx1"/>
            </w14:solidFill>
          </w14:textFill>
        </w:rPr>
        <w:t>施</w:t>
      </w:r>
      <w:r>
        <w:rPr>
          <w:rFonts w:ascii="宋体" w:hAnsi="宋体" w:cs="宋体"/>
          <w:color w:val="000000" w:themeColor="text1"/>
          <w:spacing w:val="9"/>
          <w:sz w:val="20"/>
          <w:szCs w:val="20"/>
          <w:highlight w:val="none"/>
          <w14:textFill>
            <w14:solidFill>
              <w14:schemeClr w14:val="tx1"/>
            </w14:solidFill>
          </w14:textFill>
        </w:rPr>
        <w:t>工组织设计，但须按此承诺函格式进行承诺。</w:t>
      </w:r>
    </w:p>
    <w:p>
      <w:pPr>
        <w:rPr>
          <w:rFonts w:ascii="宋体" w:hAnsi="宋体" w:cs="宋体"/>
          <w:color w:val="000000" w:themeColor="text1"/>
          <w:spacing w:val="9"/>
          <w:sz w:val="20"/>
          <w:szCs w:val="20"/>
          <w:highlight w:val="none"/>
          <w14:textFill>
            <w14:solidFill>
              <w14:schemeClr w14:val="tx1"/>
            </w14:solidFill>
          </w14:textFill>
        </w:rPr>
      </w:pPr>
      <w:r>
        <w:rPr>
          <w:rFonts w:ascii="宋体" w:hAnsi="宋体" w:cs="宋体"/>
          <w:color w:val="000000" w:themeColor="text1"/>
          <w:spacing w:val="9"/>
          <w:sz w:val="20"/>
          <w:szCs w:val="20"/>
          <w:highlight w:val="none"/>
          <w14:textFill>
            <w14:solidFill>
              <w14:schemeClr w14:val="tx1"/>
            </w14:solidFill>
          </w14:textFill>
        </w:rPr>
        <w:br w:type="page"/>
      </w:r>
    </w:p>
    <w:p>
      <w:pPr>
        <w:spacing w:before="66" w:line="379" w:lineRule="auto"/>
        <w:ind w:left="7" w:right="382" w:firstLine="420"/>
        <w:rPr>
          <w:rFonts w:ascii="宋体" w:hAnsi="宋体" w:cs="宋体"/>
          <w:color w:val="000000" w:themeColor="text1"/>
          <w:spacing w:val="9"/>
          <w:sz w:val="20"/>
          <w:szCs w:val="20"/>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五、项目管理机构</w:t>
      </w:r>
    </w:p>
    <w:tbl>
      <w:tblPr>
        <w:tblStyle w:val="43"/>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pPr>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pPr>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tc>
      </w:tr>
    </w:tbl>
    <w:p>
      <w:pPr>
        <w:pStyle w:val="53"/>
        <w:ind w:left="15" w:leftChars="7" w:firstLine="403" w:firstLineChars="168"/>
        <w:rPr>
          <w:rFonts w:ascii="宋体" w:hAnsi="宋体" w:cs="宋体"/>
          <w:color w:val="000000" w:themeColor="text1"/>
          <w:sz w:val="24"/>
          <w:szCs w:val="24"/>
          <w:highlight w:val="none"/>
          <w14:textFill>
            <w14:solidFill>
              <w14:schemeClr w14:val="tx1"/>
            </w14:solidFill>
          </w14:textFill>
        </w:rPr>
        <w:sectPr>
          <w:headerReference r:id="rId13" w:type="default"/>
          <w:footerReference r:id="rId14"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六、拟分包项目情况表</w:t>
      </w:r>
    </w:p>
    <w:tbl>
      <w:tblPr>
        <w:tblStyle w:val="43"/>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pPr>
              <w:pStyle w:val="80"/>
              <w:spacing w:before="46" w:line="242" w:lineRule="auto"/>
              <w:ind w:left="964" w:right="461" w:hanging="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拟分包的工程项目</w:t>
            </w:r>
          </w:p>
        </w:tc>
        <w:tc>
          <w:tcPr>
            <w:tcW w:w="2409" w:type="dxa"/>
            <w:tcBorders>
              <w:left w:val="single" w:color="000000" w:sz="6" w:space="0"/>
              <w:bottom w:val="single" w:color="000000" w:sz="6" w:space="0"/>
              <w:right w:val="single" w:color="000000" w:sz="6" w:space="0"/>
            </w:tcBorders>
          </w:tcPr>
          <w:p>
            <w:pPr>
              <w:pStyle w:val="80"/>
              <w:spacing w:before="201"/>
              <w:ind w:left="4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主要工程内容</w:t>
            </w:r>
          </w:p>
        </w:tc>
        <w:tc>
          <w:tcPr>
            <w:tcW w:w="2409" w:type="dxa"/>
            <w:tcBorders>
              <w:left w:val="single" w:color="000000" w:sz="6" w:space="0"/>
              <w:bottom w:val="single" w:color="000000" w:sz="6" w:space="0"/>
              <w:right w:val="single" w:color="000000" w:sz="6" w:space="0"/>
            </w:tcBorders>
          </w:tcPr>
          <w:p>
            <w:pPr>
              <w:pStyle w:val="80"/>
              <w:spacing w:before="201"/>
              <w:ind w:left="25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预计造价（万元）</w:t>
            </w:r>
          </w:p>
        </w:tc>
        <w:tc>
          <w:tcPr>
            <w:tcW w:w="2410" w:type="dxa"/>
            <w:tcBorders>
              <w:left w:val="single" w:color="000000" w:sz="6" w:space="0"/>
              <w:bottom w:val="single" w:color="000000" w:sz="6" w:space="0"/>
            </w:tcBorders>
          </w:tcPr>
          <w:p>
            <w:pPr>
              <w:pStyle w:val="80"/>
              <w:spacing w:before="201"/>
              <w:ind w:left="130"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restart"/>
            <w:tcBorders>
              <w:top w:val="single" w:color="000000" w:sz="6" w:space="0"/>
              <w:left w:val="single" w:color="000000" w:sz="6" w:space="0"/>
            </w:tcBorders>
          </w:tcPr>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rPr>
                <w:rFonts w:ascii="宋体" w:hAnsi="宋体" w:cs="宋体"/>
                <w:color w:val="000000" w:themeColor="text1"/>
                <w:sz w:val="24"/>
                <w:highlight w:val="none"/>
                <w14:textFill>
                  <w14:solidFill>
                    <w14:schemeClr w14:val="tx1"/>
                  </w14:solidFill>
                </w14:textFill>
              </w:rPr>
            </w:pPr>
          </w:p>
          <w:p>
            <w:pPr>
              <w:pStyle w:val="80"/>
              <w:spacing w:before="1"/>
              <w:rPr>
                <w:rFonts w:ascii="宋体" w:hAnsi="宋体" w:cs="宋体"/>
                <w:color w:val="000000" w:themeColor="text1"/>
                <w:sz w:val="29"/>
                <w:highlight w:val="none"/>
                <w14:textFill>
                  <w14:solidFill>
                    <w14:schemeClr w14:val="tx1"/>
                  </w14:solidFill>
                </w14:textFill>
              </w:rPr>
            </w:pPr>
          </w:p>
          <w:p>
            <w:pPr>
              <w:pStyle w:val="80"/>
              <w:spacing w:line="242" w:lineRule="auto"/>
              <w:ind w:left="133"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注：若无分包计划， 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pPr>
              <w:pStyle w:val="80"/>
              <w:spacing w:before="140"/>
              <w:ind w:left="1109"/>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拟分包工程造价合计（万元）</w:t>
            </w:r>
          </w:p>
        </w:tc>
        <w:tc>
          <w:tcPr>
            <w:tcW w:w="2409" w:type="dxa"/>
            <w:tcBorders>
              <w:top w:val="single" w:color="000000" w:sz="6" w:space="0"/>
              <w:left w:val="single" w:color="000000" w:sz="6" w:space="0"/>
              <w:right w:val="single" w:color="000000" w:sz="6" w:space="0"/>
            </w:tcBorders>
          </w:tcPr>
          <w:p>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pPr>
              <w:rPr>
                <w:rFonts w:ascii="宋体" w:hAnsi="宋体" w:cs="宋体"/>
                <w:color w:val="000000" w:themeColor="text1"/>
                <w:sz w:val="2"/>
                <w:szCs w:val="2"/>
                <w:highlight w:val="none"/>
                <w14:textFill>
                  <w14:solidFill>
                    <w14:schemeClr w14:val="tx1"/>
                  </w14:solidFill>
                </w14:textFill>
              </w:rPr>
            </w:pPr>
          </w:p>
        </w:tc>
      </w:tr>
    </w:tbl>
    <w:p>
      <w:pPr>
        <w:pStyle w:val="16"/>
        <w:spacing w:before="4"/>
        <w:rPr>
          <w:rFonts w:ascii="宋体" w:hAnsi="宋体" w:cs="宋体"/>
          <w:color w:val="000000" w:themeColor="text1"/>
          <w:sz w:val="24"/>
          <w:highlight w:val="none"/>
          <w14:textFill>
            <w14:solidFill>
              <w14:schemeClr w14:val="tx1"/>
            </w14:solidFill>
          </w14:textFill>
        </w:rPr>
      </w:pPr>
    </w:p>
    <w:p>
      <w:pPr>
        <w:pStyle w:val="16"/>
        <w:spacing w:before="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注：1、若投标人中标须按本招标文件的约定执行。</w:t>
      </w:r>
    </w:p>
    <w:p>
      <w:pPr>
        <w:pStyle w:val="16"/>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2、本表填写的造价不属于投标报价的内容。</w:t>
      </w:r>
    </w:p>
    <w:p>
      <w:pPr>
        <w:pStyle w:val="16"/>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3、如投标人不具备拟分包工程所需的某专项工程相应资质或投标人如有分包计划，应符合招标文件第二章“投标人须知” 第 1.11 款规定，且按本表的要求填写。</w:t>
      </w:r>
    </w:p>
    <w:p>
      <w:pPr>
        <w:jc w:val="center"/>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pPr>
        <w:numPr>
          <w:ilvl w:val="0"/>
          <w:numId w:val="24"/>
        </w:num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资格审查资料</w:t>
      </w:r>
    </w:p>
    <w:p>
      <w:pPr>
        <w:pStyle w:val="53"/>
        <w:ind w:firstLine="0"/>
        <w:rPr>
          <w:color w:val="000000" w:themeColor="text1"/>
          <w:highlight w:val="none"/>
          <w14:textFill>
            <w14:solidFill>
              <w14:schemeClr w14:val="tx1"/>
            </w14:solidFill>
          </w14:textFill>
        </w:rPr>
      </w:pP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(一)投标人基本情况表</w:t>
      </w: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(二)投标人企业组织机构框图</w:t>
      </w: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(三)近年财务状况表</w:t>
      </w: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 近年完成的类似项目情况表</w:t>
      </w: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(四)-1完成的类似项目情况表</w:t>
      </w: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(四)-2 完成的类似项目情况汇总表</w:t>
      </w: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（五）投标人的信誉情况表</w:t>
      </w: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（六）拟委任的项目经理和项目总工情况表</w:t>
      </w: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（六）-1 拟委任的项目经理和项目总工汇总表</w:t>
      </w:r>
    </w:p>
    <w:p>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（六）-2拟委任的项目经理和项目总工资历表</w:t>
      </w:r>
    </w:p>
    <w:p>
      <w:pP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ascii="宋体" w:hAnsi="宋体" w:cs="宋体"/>
          <w:b/>
          <w:color w:val="000000" w:themeColor="text1"/>
          <w:sz w:val="24"/>
          <w:highlight w:val="none"/>
          <w14:textFill>
            <w14:solidFill>
              <w14:schemeClr w14:val="tx1"/>
            </w14:solidFill>
          </w14:textFill>
        </w:rPr>
      </w:pPr>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（一）投标人基本情况表</w:t>
      </w:r>
    </w:p>
    <w:tbl>
      <w:tblPr>
        <w:tblStyle w:val="43"/>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ind w:firstLine="1200" w:firstLineChars="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w:t>
            </w:r>
          </w:p>
          <w:p>
            <w:pPr>
              <w:topLinePunct/>
              <w:spacing w:line="320" w:lineRule="exact"/>
              <w:jc w:val="center"/>
              <w:rPr>
                <w:rFonts w:ascii="宋体" w:hAnsi="宋体" w:cs="宋体"/>
                <w:color w:val="000000" w:themeColor="text1"/>
                <w:sz w:val="24"/>
                <w:highlight w:val="none"/>
                <w14:textFill>
                  <w14:solidFill>
                    <w14:schemeClr w14:val="tx1"/>
                  </w14:solidFill>
                </w14:textFill>
              </w:rPr>
            </w:pPr>
          </w:p>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投标人关联企业</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情况</w:t>
            </w:r>
          </w:p>
        </w:tc>
        <w:tc>
          <w:tcPr>
            <w:tcW w:w="7127" w:type="dxa"/>
            <w:gridSpan w:val="8"/>
            <w:tcBorders>
              <w:top w:val="single" w:color="auto" w:sz="4" w:space="0"/>
              <w:left w:val="single" w:color="auto" w:sz="4" w:space="0"/>
              <w:right w:val="single" w:color="auto" w:sz="4" w:space="0"/>
            </w:tcBorders>
            <w:vAlign w:val="center"/>
          </w:tcPr>
          <w:p>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投标人应提供关联企业情况，包括：</w:t>
            </w:r>
          </w:p>
          <w:p>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（1）投标人的所有股东名称及相应股权（出资额）比例；如投标人为上市公司，投标人应提供股权占公司股份总数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以上的所有股东名称及相应股权比例；</w:t>
            </w:r>
          </w:p>
          <w:p>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（2）投标人投资（控股）或管理的下属企业名称、持有股权（出资额）比例；</w:t>
            </w:r>
          </w:p>
          <w:p>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s="宋体"/>
                <w:color w:val="000000" w:themeColor="text1"/>
                <w:sz w:val="24"/>
                <w:highlight w:val="none"/>
                <w14:textFill>
                  <w14:solidFill>
                    <w14:schemeClr w14:val="tx1"/>
                  </w14:solidFill>
                </w14:textFill>
              </w:rPr>
            </w:pPr>
          </w:p>
        </w:tc>
      </w:tr>
    </w:tbl>
    <w:p>
      <w:pPr>
        <w:spacing w:line="400" w:lineRule="exact"/>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投标人应根据招标文件第二章“投标人须知”第3.5.1项的要求在本表后附相关证明材料。</w:t>
      </w:r>
    </w:p>
    <w:p>
      <w:pPr>
        <w:spacing w:line="4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2.上述信息如经调查核实未如实填写的，按提供虚假材料对待。</w:t>
      </w:r>
    </w:p>
    <w:p>
      <w:pPr>
        <w:jc w:val="center"/>
        <w:rPr>
          <w:rFonts w:ascii="宋体" w:hAnsi="宋体" w:cs="宋体"/>
          <w:b/>
          <w:color w:val="000000" w:themeColor="text1"/>
          <w:sz w:val="28"/>
          <w:szCs w:val="28"/>
          <w:highlight w:val="none"/>
          <w14:textFill>
            <w14:solidFill>
              <w14:schemeClr w14:val="tx1"/>
            </w14:solidFill>
          </w14:textFill>
        </w:rPr>
      </w:pPr>
      <w:bookmarkStart w:id="1745" w:name="_Toc238804116"/>
      <w:bookmarkEnd w:id="1745"/>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（二）投标人企业组织机构框图</w:t>
      </w:r>
    </w:p>
    <w:p>
      <w:pPr>
        <w:spacing w:line="400" w:lineRule="exact"/>
        <w:rPr>
          <w:rFonts w:ascii="宋体" w:hAnsi="宋体" w:cs="宋体"/>
          <w:color w:val="000000" w:themeColor="text1"/>
          <w:highlight w:val="none"/>
          <w14:textFill>
            <w14:solidFill>
              <w14:schemeClr w14:val="tx1"/>
            </w14:solidFill>
          </w14:textFill>
        </w:rPr>
      </w:pPr>
    </w:p>
    <w:tbl>
      <w:tblPr>
        <w:tblStyle w:val="4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bl>
    <w:p>
      <w:pPr>
        <w:jc w:val="center"/>
        <w:rPr>
          <w:rFonts w:ascii="宋体" w:hAnsi="宋体" w:cs="宋体"/>
          <w:b/>
          <w:color w:val="000000" w:themeColor="text1"/>
          <w:sz w:val="28"/>
          <w:szCs w:val="28"/>
          <w:highlight w:val="none"/>
          <w14:textFill>
            <w14:solidFill>
              <w14:schemeClr w14:val="tx1"/>
            </w14:solidFill>
          </w14:textFill>
        </w:rPr>
      </w:pPr>
      <w:bookmarkStart w:id="1746" w:name="_Toc238804117"/>
      <w:bookmarkEnd w:id="1746"/>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（三）近年财务状况表</w:t>
      </w:r>
    </w:p>
    <w:tbl>
      <w:tblPr>
        <w:tblStyle w:val="43"/>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项目或指标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730"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672"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701" w:type="dxa"/>
          </w:tcPr>
          <w:p>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一、注册资金</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二、净资产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三、总资产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四、固定资产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五、流动资产</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六、流动负债</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七、负债合计</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八、营业收入</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九、净利润</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十、现金流量净额</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十一、主要财务指标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1.净资产收益率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2.总资产报酬率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3.主营业务利润率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4.资产负债率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5.流动比率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6.速动比率</w:t>
            </w:r>
          </w:p>
        </w:tc>
        <w:tc>
          <w:tcPr>
            <w:tcW w:w="1276" w:type="dxa"/>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近三个年度的年平均营业总收入</w:t>
            </w:r>
          </w:p>
        </w:tc>
        <w:tc>
          <w:tcPr>
            <w:tcW w:w="1276"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pPr>
              <w:spacing w:line="40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最新年度具有的营运资金（流动资产-流动负债）</w:t>
            </w:r>
          </w:p>
        </w:tc>
        <w:tc>
          <w:tcPr>
            <w:tcW w:w="1276"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pPr>
              <w:spacing w:line="400" w:lineRule="exact"/>
              <w:rPr>
                <w:rFonts w:ascii="宋体" w:hAnsi="宋体" w:cs="宋体"/>
                <w:color w:val="000000" w:themeColor="text1"/>
                <w:sz w:val="24"/>
                <w:highlight w:val="none"/>
                <w14:textFill>
                  <w14:solidFill>
                    <w14:schemeClr w14:val="tx1"/>
                  </w14:solidFill>
                </w14:textFill>
              </w:rPr>
            </w:pPr>
          </w:p>
        </w:tc>
      </w:tr>
    </w:tbl>
    <w:p>
      <w:pPr>
        <w:ind w:left="810" w:leftChars="100" w:hanging="600" w:hangingChars="2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 3.5.2 项的要求在本表后附相关证明材料。</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 近年完成的类似项目情况表</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bCs/>
          <w:color w:val="000000" w:themeColor="text1"/>
          <w:sz w:val="28"/>
          <w:szCs w:val="28"/>
          <w:highlight w:val="none"/>
          <w14:textFill>
            <w14:solidFill>
              <w14:schemeClr w14:val="tx1"/>
            </w14:solidFill>
          </w14:textFill>
        </w:rPr>
        <w:t>-1完成的类似项目情况表</w:t>
      </w:r>
    </w:p>
    <w:tbl>
      <w:tblPr>
        <w:tblStyle w:val="43"/>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    号</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项目所在地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发包人地址</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发包人电话</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合同价格</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开工日期</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交工（或一次性竣</w:t>
            </w:r>
          </w:p>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工）日期</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承担的工作</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工程质量评分（或</w:t>
            </w:r>
          </w:p>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总监理工程师及电话</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项目描述</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554" w:type="dxa"/>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p>
        </w:tc>
      </w:tr>
    </w:tbl>
    <w:p>
      <w:pPr>
        <w:pStyle w:val="5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注：1.每张表格只填写一个项目，并标明序号。</w:t>
      </w:r>
    </w:p>
    <w:p>
      <w:pPr>
        <w:pStyle w:val="59"/>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投标人应根据招标文件第二章“投标人须知”第 3.5.3 项的要求在本表后附相关证明材料。</w:t>
      </w:r>
    </w:p>
    <w:p>
      <w:pPr>
        <w:pStyle w:val="59"/>
        <w:ind w:firstLine="562" w:firstLineChars="200"/>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pPr>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（四）-2 完成的类似项目情况汇总表</w:t>
      </w:r>
    </w:p>
    <w:tbl>
      <w:tblPr>
        <w:tblStyle w:val="4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86"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路基桥涵里程</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（km）</w:t>
            </w:r>
          </w:p>
        </w:tc>
        <w:tc>
          <w:tcPr>
            <w:tcW w:w="1286"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路面类型及里程（km）</w:t>
            </w:r>
          </w:p>
        </w:tc>
        <w:tc>
          <w:tcPr>
            <w:tcW w:w="936"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大桥（座）</w:t>
            </w:r>
          </w:p>
        </w:tc>
        <w:tc>
          <w:tcPr>
            <w:tcW w:w="103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特大桥</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36"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长隧道</w:t>
            </w:r>
          </w:p>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78"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特长隧道（座）</w:t>
            </w:r>
          </w:p>
        </w:tc>
        <w:tc>
          <w:tcPr>
            <w:tcW w:w="805"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805"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064" w:type="dxa"/>
            <w:vAlign w:val="center"/>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业绩合计</w:t>
            </w: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1286"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1034" w:type="dxa"/>
          </w:tcPr>
          <w:p>
            <w:pPr>
              <w:pStyle w:val="59"/>
              <w:jc w:val="center"/>
              <w:rPr>
                <w:rFonts w:ascii="宋体" w:hAnsi="宋体" w:cs="宋体"/>
                <w:color w:val="000000" w:themeColor="text1"/>
                <w:highlight w:val="none"/>
                <w14:textFill>
                  <w14:solidFill>
                    <w14:schemeClr w14:val="tx1"/>
                  </w14:solidFill>
                </w14:textFill>
              </w:rPr>
            </w:pPr>
          </w:p>
        </w:tc>
        <w:tc>
          <w:tcPr>
            <w:tcW w:w="936" w:type="dxa"/>
          </w:tcPr>
          <w:p>
            <w:pPr>
              <w:pStyle w:val="59"/>
              <w:jc w:val="center"/>
              <w:rPr>
                <w:rFonts w:ascii="宋体" w:hAnsi="宋体" w:cs="宋体"/>
                <w:color w:val="000000" w:themeColor="text1"/>
                <w:highlight w:val="none"/>
                <w14:textFill>
                  <w14:solidFill>
                    <w14:schemeClr w14:val="tx1"/>
                  </w14:solidFill>
                </w14:textFill>
              </w:rPr>
            </w:pPr>
          </w:p>
        </w:tc>
        <w:tc>
          <w:tcPr>
            <w:tcW w:w="978"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c>
          <w:tcPr>
            <w:tcW w:w="805" w:type="dxa"/>
          </w:tcPr>
          <w:p>
            <w:pPr>
              <w:pStyle w:val="59"/>
              <w:jc w:val="center"/>
              <w:rPr>
                <w:rFonts w:ascii="宋体" w:hAnsi="宋体" w:cs="宋体"/>
                <w:color w:val="000000" w:themeColor="text1"/>
                <w:highlight w:val="none"/>
                <w14:textFill>
                  <w14:solidFill>
                    <w14:schemeClr w14:val="tx1"/>
                  </w14:solidFill>
                </w14:textFill>
              </w:rPr>
            </w:pPr>
          </w:p>
        </w:tc>
      </w:tr>
    </w:tbl>
    <w:p>
      <w:pPr>
        <w:spacing w:line="360" w:lineRule="auto"/>
        <w:ind w:left="621" w:leftChars="-13" w:hanging="648" w:hangingChars="30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注：业绩要求应符合投标人须知前附表 3.5.3、10.6 及 10.7 款的要求。</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（五）投标人的信誉情况表</w:t>
      </w:r>
    </w:p>
    <w:p>
      <w:pPr>
        <w:spacing w:line="300" w:lineRule="exact"/>
        <w:rPr>
          <w:rFonts w:ascii="宋体" w:hAnsi="宋体" w:cs="宋体"/>
          <w:color w:val="000000" w:themeColor="text1"/>
          <w:sz w:val="24"/>
          <w:highlight w:val="none"/>
          <w14:textFill>
            <w14:solidFill>
              <w14:schemeClr w14:val="tx1"/>
            </w14:solidFill>
          </w14:textFill>
        </w:rPr>
      </w:pPr>
    </w:p>
    <w:tbl>
      <w:tblPr>
        <w:tblStyle w:val="4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（2）被省级及以上交通运输主管部门取消招标项目所在地的投标资格且处于有效期内；</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（3）被责令停业，暂扣或吊销执照，或吊销资质证书；</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（4）进入清算程序，或被宣告破产，或其他丧失履约能力的情形；</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（5）在国家企业信用信息公示系统中被列入严重违法失信企业名单；</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（6）在“信用中国”网站中被列入失信被执行人名单；</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（7）投标人及其法定代表人、拟委任的项目经理（以及备选人，如有）、项目总工（以及备选人，如有）在近三年内有行贿犯罪行为的（以投标人投标函中的承诺为准）；</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（8）法律法规或投标人须知前附表规定的其他情形。</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890" w:type="dxa"/>
            <w:vAlign w:val="center"/>
          </w:tcPr>
          <w:p>
            <w:pPr>
              <w:spacing w:line="300" w:lineRule="exact"/>
              <w:jc w:val="center"/>
              <w:rPr>
                <w:rFonts w:ascii="宋体" w:hAnsi="宋体" w:cs="宋体"/>
                <w:color w:val="000000" w:themeColor="text1"/>
                <w:sz w:val="24"/>
                <w:highlight w:val="none"/>
                <w14:textFill>
                  <w14:solidFill>
                    <w14:schemeClr w14:val="tx1"/>
                  </w14:solidFill>
                </w14:textFill>
              </w:rPr>
            </w:pPr>
          </w:p>
        </w:tc>
      </w:tr>
    </w:tbl>
    <w:p>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注：1.投标人应按照招标文件第二章“投标人须知”前附表附录 4 和“投标人须知”第</w:t>
      </w:r>
    </w:p>
    <w:p>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条款号中的各项规定，逐条说明其信誉情况。</w:t>
      </w:r>
    </w:p>
    <w:p>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3.5.4 项的要求在本表后附相关</w:t>
      </w:r>
    </w:p>
    <w:p>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w:t>
      </w:r>
    </w:p>
    <w:p>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p>
    <w:p>
      <w:pPr>
        <w:spacing w:line="360" w:lineRule="auto"/>
        <w:ind w:left="643" w:leftChars="226" w:hanging="168" w:hangingChars="70"/>
        <w:rPr>
          <w:rFonts w:ascii="宋体" w:hAnsi="宋体" w:cs="宋体"/>
          <w:color w:val="000000" w:themeColor="text1"/>
          <w:sz w:val="24"/>
          <w:highlight w:val="none"/>
          <w14:textFill>
            <w14:solidFill>
              <w14:schemeClr w14:val="tx1"/>
            </w14:solidFill>
          </w14:textFill>
        </w:rPr>
      </w:pPr>
    </w:p>
    <w:p>
      <w:pPr>
        <w:spacing w:line="300" w:lineRule="exact"/>
        <w:rPr>
          <w:rFonts w:ascii="宋体" w:hAnsi="宋体" w:cs="宋体"/>
          <w:color w:val="000000" w:themeColor="text1"/>
          <w:sz w:val="24"/>
          <w:highlight w:val="none"/>
          <w14:textFill>
            <w14:solidFill>
              <w14:schemeClr w14:val="tx1"/>
            </w14:solidFill>
          </w14:textFill>
        </w:rPr>
        <w:sectPr>
          <w:footerReference r:id="rId16" w:type="first"/>
          <w:footerReference r:id="rId15"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（六）拟委任的项目经理和项目总工情况表</w:t>
      </w: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（六）-1拟委任的项目经理和项目总工汇总表</w:t>
      </w:r>
    </w:p>
    <w:p>
      <w:pPr>
        <w:pStyle w:val="53"/>
        <w:rPr>
          <w:rFonts w:ascii="宋体" w:hAnsi="宋体" w:cs="宋体"/>
          <w:b/>
          <w:color w:val="000000" w:themeColor="text1"/>
          <w:highlight w:val="none"/>
          <w14:textFill>
            <w14:solidFill>
              <w14:schemeClr w14:val="tx1"/>
            </w14:solidFill>
          </w14:textFill>
        </w:rPr>
      </w:pPr>
    </w:p>
    <w:tbl>
      <w:tblPr>
        <w:tblStyle w:val="4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姓名</w:t>
            </w:r>
          </w:p>
        </w:tc>
        <w:tc>
          <w:tcPr>
            <w:tcW w:w="139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年龄</w:t>
            </w:r>
          </w:p>
        </w:tc>
        <w:tc>
          <w:tcPr>
            <w:tcW w:w="139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拟在本项目中担任的职务</w:t>
            </w:r>
          </w:p>
        </w:tc>
        <w:tc>
          <w:tcPr>
            <w:tcW w:w="139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职称</w:t>
            </w:r>
          </w:p>
        </w:tc>
        <w:tc>
          <w:tcPr>
            <w:tcW w:w="139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建造师类别及注册号</w:t>
            </w:r>
          </w:p>
        </w:tc>
        <w:tc>
          <w:tcPr>
            <w:tcW w:w="139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累计对应岗位的工作年限（月）</w:t>
            </w:r>
          </w:p>
        </w:tc>
        <w:tc>
          <w:tcPr>
            <w:tcW w:w="1398"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8" w:type="dxa"/>
          </w:tcPr>
          <w:p>
            <w:pPr>
              <w:pStyle w:val="53"/>
              <w:rPr>
                <w:rFonts w:ascii="宋体" w:hAnsi="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8" w:type="dxa"/>
          </w:tcPr>
          <w:p>
            <w:pPr>
              <w:pStyle w:val="53"/>
              <w:rPr>
                <w:rFonts w:ascii="宋体" w:hAnsi="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8" w:type="dxa"/>
          </w:tcPr>
          <w:p>
            <w:pPr>
              <w:pStyle w:val="53"/>
              <w:rPr>
                <w:rFonts w:ascii="宋体" w:hAnsi="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8" w:type="dxa"/>
          </w:tcPr>
          <w:p>
            <w:pPr>
              <w:pStyle w:val="53"/>
              <w:rPr>
                <w:rFonts w:ascii="宋体" w:hAnsi="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7" w:type="dxa"/>
          </w:tcPr>
          <w:p>
            <w:pPr>
              <w:pStyle w:val="53"/>
              <w:rPr>
                <w:rFonts w:ascii="宋体" w:hAnsi="宋体" w:cs="宋体"/>
                <w:b/>
                <w:color w:val="000000" w:themeColor="text1"/>
                <w:highlight w:val="none"/>
                <w14:textFill>
                  <w14:solidFill>
                    <w14:schemeClr w14:val="tx1"/>
                  </w14:solidFill>
                </w14:textFill>
              </w:rPr>
            </w:pPr>
          </w:p>
        </w:tc>
        <w:tc>
          <w:tcPr>
            <w:tcW w:w="1398" w:type="dxa"/>
          </w:tcPr>
          <w:p>
            <w:pPr>
              <w:pStyle w:val="53"/>
              <w:rPr>
                <w:rFonts w:ascii="宋体" w:hAnsi="宋体" w:cs="宋体"/>
                <w:b/>
                <w:color w:val="000000" w:themeColor="text1"/>
                <w:highlight w:val="none"/>
                <w14:textFill>
                  <w14:solidFill>
                    <w14:schemeClr w14:val="tx1"/>
                  </w14:solidFill>
                </w14:textFill>
              </w:rPr>
            </w:pPr>
          </w:p>
        </w:tc>
      </w:tr>
    </w:tbl>
    <w:p>
      <w:pPr>
        <w:pStyle w:val="53"/>
        <w:rPr>
          <w:rFonts w:ascii="宋体" w:hAnsi="宋体" w:cs="宋体"/>
          <w:b/>
          <w:color w:val="000000" w:themeColor="text1"/>
          <w:highlight w:val="none"/>
          <w14:textFill>
            <w14:solidFill>
              <w14:schemeClr w14:val="tx1"/>
            </w14:solidFill>
          </w14:textFill>
        </w:rPr>
        <w:sectPr>
          <w:pgSz w:w="11906" w:h="16838"/>
          <w:pgMar w:top="1276" w:right="924" w:bottom="935" w:left="1418" w:header="624" w:footer="590" w:gutter="0"/>
          <w:pgNumType w:fmt="decimal"/>
          <w:cols w:space="720" w:num="1"/>
          <w:docGrid w:type="lines" w:linePitch="312" w:charSpace="0"/>
        </w:sectPr>
      </w:pPr>
    </w:p>
    <w:p>
      <w:pPr>
        <w:pStyle w:val="53"/>
        <w:rPr>
          <w:color w:val="000000" w:themeColor="text1"/>
          <w:highlight w:val="none"/>
          <w14:textFill>
            <w14:solidFill>
              <w14:schemeClr w14:val="tx1"/>
            </w14:solidFill>
          </w14:textFill>
        </w:rPr>
      </w:pPr>
    </w:p>
    <w:p>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（六）-2拟委任的项目经理和项目总工资历表</w:t>
      </w:r>
    </w:p>
    <w:tbl>
      <w:tblPr>
        <w:tblStyle w:val="43"/>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姓    名</w:t>
            </w:r>
          </w:p>
        </w:tc>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    龄</w:t>
            </w:r>
          </w:p>
        </w:tc>
        <w:tc>
          <w:tcPr>
            <w:tcW w:w="145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    业</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技术职称</w:t>
            </w:r>
          </w:p>
        </w:tc>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学    历</w:t>
            </w:r>
          </w:p>
        </w:tc>
        <w:tc>
          <w:tcPr>
            <w:tcW w:w="145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拟在本标段</w:t>
            </w:r>
          </w:p>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工程任职</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工作年限</w:t>
            </w: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类似施工经验年限</w:t>
            </w: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毕业学校</w:t>
            </w:r>
          </w:p>
        </w:tc>
        <w:tc>
          <w:tcPr>
            <w:tcW w:w="8800" w:type="dxa"/>
            <w:gridSpan w:val="6"/>
            <w:vAlign w:val="bottom"/>
          </w:tcPr>
          <w:p>
            <w:pPr>
              <w:jc w:val="left"/>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月毕业于</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学校</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专业，学制</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spacing w:line="400" w:lineRule="exact"/>
              <w:jc w:val="center"/>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    间</w:t>
            </w: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参加过的类似工程项目名称</w:t>
            </w: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担任职务</w:t>
            </w:r>
          </w:p>
        </w:tc>
        <w:tc>
          <w:tcPr>
            <w:tcW w:w="1835" w:type="dxa"/>
            <w:vAlign w:val="center"/>
          </w:tcPr>
          <w:p>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tabs>
                <w:tab w:val="left" w:pos="680"/>
              </w:tabs>
              <w:autoSpaceDE w:val="0"/>
              <w:autoSpaceDN w:val="0"/>
              <w:adjustRightInd w:val="0"/>
              <w:spacing w:before="73"/>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pPr>
              <w:spacing w:line="46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获奖情况</w:t>
            </w:r>
          </w:p>
        </w:tc>
        <w:tc>
          <w:tcPr>
            <w:tcW w:w="7183" w:type="dxa"/>
            <w:gridSpan w:val="4"/>
          </w:tcPr>
          <w:p>
            <w:pPr>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本人</w:t>
            </w:r>
            <w:r>
              <w:rPr>
                <w:rFonts w:hint="eastAsia" w:ascii="宋体" w:hAnsi="宋体" w:cs="宋体"/>
                <w:bCs/>
                <w:color w:val="000000" w:themeColor="text1"/>
                <w:sz w:val="24"/>
                <w:highlight w:val="none"/>
                <w:u w:val="single"/>
                <w14:textFill>
                  <w14:solidFill>
                    <w14:schemeClr w14:val="tx1"/>
                  </w14:solidFill>
                </w14:textFill>
              </w:rPr>
              <w:t xml:space="preserve"> （亲笔签字） </w:t>
            </w:r>
            <w:r>
              <w:rPr>
                <w:rFonts w:hint="eastAsia" w:ascii="宋体" w:hAnsi="宋体" w:cs="宋体"/>
                <w:bCs/>
                <w:color w:val="000000" w:themeColor="text1"/>
                <w:sz w:val="24"/>
                <w:highlight w:val="none"/>
                <w14:textFill>
                  <w14:solidFill>
                    <w14:schemeClr w14:val="tx1"/>
                  </w14:solidFill>
                </w14:textFill>
              </w:rPr>
              <w:t>知晓自己为本项目的</w:t>
            </w:r>
            <w:r>
              <w:rPr>
                <w:rFonts w:hint="eastAsia" w:ascii="宋体" w:hAnsi="宋体" w:cs="宋体"/>
                <w:bCs/>
                <w:color w:val="000000" w:themeColor="text1"/>
                <w:sz w:val="24"/>
                <w:highlight w:val="none"/>
                <w:u w:val="single"/>
                <w14:textFill>
                  <w14:solidFill>
                    <w14:schemeClr w14:val="tx1"/>
                  </w14:solidFill>
                </w14:textFill>
              </w:rPr>
              <w:t xml:space="preserve"> (填写项目经理或项目总工)</w:t>
            </w:r>
            <w:r>
              <w:rPr>
                <w:rFonts w:hint="eastAsia" w:ascii="宋体" w:hAnsi="宋体" w:cs="宋体"/>
                <w:bCs/>
                <w:color w:val="000000" w:themeColor="text1"/>
                <w:sz w:val="24"/>
                <w:highlight w:val="none"/>
                <w14:textFill>
                  <w14:solidFill>
                    <w14:schemeClr w14:val="tx1"/>
                  </w14:solidFill>
                </w14:textFill>
              </w:rPr>
              <w:t>，并对其真实性负责。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    注</w:t>
            </w:r>
          </w:p>
        </w:tc>
        <w:tc>
          <w:tcPr>
            <w:tcW w:w="7183" w:type="dxa"/>
            <w:gridSpan w:val="4"/>
          </w:tcPr>
          <w:p>
            <w:pPr>
              <w:jc w:val="center"/>
              <w:rPr>
                <w:rFonts w:ascii="宋体" w:hAnsi="宋体" w:cs="宋体"/>
                <w:bCs/>
                <w:color w:val="000000" w:themeColor="text1"/>
                <w:sz w:val="24"/>
                <w:highlight w:val="none"/>
                <w14:textFill>
                  <w14:solidFill>
                    <w14:schemeClr w14:val="tx1"/>
                  </w14:solidFill>
                </w14:textFill>
              </w:rPr>
            </w:pPr>
          </w:p>
        </w:tc>
      </w:tr>
    </w:tbl>
    <w:p>
      <w:pPr>
        <w:spacing w:line="400" w:lineRule="exact"/>
        <w:ind w:left="-283" w:leftChars="-1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注：1.本表后应填写项目经理（以及备选人，如有）和项目总工（以及备选人，如有）相关情况。</w:t>
      </w:r>
    </w:p>
    <w:p>
      <w:pPr>
        <w:spacing w:line="400" w:lineRule="exact"/>
        <w:ind w:left="-283" w:leftChars="-13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3.5.5 项的要求在本表后附相关证明材料。</w:t>
      </w:r>
    </w:p>
    <w:bookmarkEnd w:id="1742"/>
    <w:bookmarkEnd w:id="1743"/>
    <w:bookmarkEnd w:id="1744"/>
    <w:p>
      <w:pPr>
        <w:adjustRightInd w:val="0"/>
        <w:snapToGrid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八、其 他 材 料</w:t>
      </w:r>
    </w:p>
    <w:tbl>
      <w:tblPr>
        <w:tblStyle w:val="43"/>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提供“八-1、使用广东省信用评价等级的申请承诺书”。</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提供“八-2、投标人的自评分表”。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提供最新年度广东省公路工程从业单位（施工单位）信用评价等级（若有），并标识单位所在位置。</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初次进入广东省的，但在最新年度的全国综合评价结果为 C 级或 D 级的，提供最新年度的全国综合评价结果单位查询所在页。</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如上一年度有信用评价而最新年度在广东省无信用等级的需提供上一年度的信用评价（若有），并标识单位所在位置。</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7、投标人认为需要的其他内容（如体现技术能力的相关证明材料）。</w:t>
            </w:r>
          </w:p>
          <w:p>
            <w:pP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Cs/>
                <w:color w:val="000000" w:themeColor="text1"/>
                <w:sz w:val="32"/>
                <w:szCs w:val="32"/>
                <w:highlight w:val="none"/>
                <w14:textFill>
                  <w14:solidFill>
                    <w14:schemeClr w14:val="tx1"/>
                  </w14:solidFill>
                </w14:textFill>
              </w:rPr>
            </w:pPr>
          </w:p>
          <w:p>
            <w:pPr>
              <w:spacing w:line="360" w:lineRule="auto"/>
              <w:rPr>
                <w:rFonts w:ascii="宋体" w:hAnsi="宋体" w:cs="宋体"/>
                <w:bCs/>
                <w:color w:val="000000" w:themeColor="text1"/>
                <w:sz w:val="32"/>
                <w:szCs w:val="32"/>
                <w:highlight w:val="none"/>
                <w14:textFill>
                  <w14:solidFill>
                    <w14:schemeClr w14:val="tx1"/>
                  </w14:solidFill>
                </w14:textFill>
              </w:rPr>
            </w:pPr>
          </w:p>
        </w:tc>
      </w:tr>
    </w:tbl>
    <w:p>
      <w:pPr>
        <w:pStyle w:val="59"/>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pPr>
        <w:pStyle w:val="59"/>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八-1 </w:t>
      </w:r>
      <w:r>
        <w:rPr>
          <w:rFonts w:hint="eastAsia" w:ascii="宋体" w:hAnsi="宋体" w:cs="宋体"/>
          <w:b/>
          <w:bCs/>
          <w:color w:val="000000" w:themeColor="text1"/>
          <w:sz w:val="28"/>
          <w:szCs w:val="28"/>
          <w:highlight w:val="none"/>
          <w14:textFill>
            <w14:solidFill>
              <w14:schemeClr w14:val="tx1"/>
            </w14:solidFill>
          </w14:textFill>
        </w:rPr>
        <w:t>使用广东省信用评价等级的申请承诺书</w:t>
      </w:r>
      <w:r>
        <w:rPr>
          <w:rFonts w:hint="eastAsia" w:ascii="宋体" w:hAnsi="宋体"/>
          <w:b/>
          <w:bCs/>
          <w:color w:val="000000" w:themeColor="text1"/>
          <w:sz w:val="28"/>
          <w:szCs w:val="28"/>
          <w:highlight w:val="none"/>
          <w14:textFill>
            <w14:solidFill>
              <w14:schemeClr w14:val="tx1"/>
            </w14:solidFill>
          </w14:textFill>
        </w:rPr>
        <w:t>（格式）</w:t>
      </w:r>
    </w:p>
    <w:p>
      <w:pPr>
        <w:jc w:val="center"/>
        <w:rPr>
          <w:rFonts w:ascii="宋体" w:hAnsi="宋体"/>
          <w:b/>
          <w:color w:val="000000" w:themeColor="text1"/>
          <w:sz w:val="28"/>
          <w:szCs w:val="28"/>
          <w:highlight w:val="none"/>
          <w14:textFill>
            <w14:solidFill>
              <w14:schemeClr w14:val="tx1"/>
            </w14:solidFill>
          </w14:textFill>
        </w:rPr>
      </w:pPr>
    </w:p>
    <w:p>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致招标人：</w:t>
      </w:r>
      <w:r>
        <w:rPr>
          <w:rFonts w:ascii="宋体" w:hAnsi="宋体"/>
          <w:color w:val="000000" w:themeColor="text1"/>
          <w:sz w:val="24"/>
          <w:highlight w:val="none"/>
          <w:u w:val="single"/>
          <w14:textFill>
            <w14:solidFill>
              <w14:schemeClr w14:val="tx1"/>
            </w14:solidFill>
          </w14:textFill>
        </w:rPr>
        <w:t>（招标人全称）</w:t>
      </w:r>
    </w:p>
    <w:p>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按相关要求，现我单位对使用信用等级申请如下：</w:t>
      </w:r>
    </w:p>
    <w:p>
      <w:pPr>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一、我单位在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施工招标</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标类/标段）的招标中，</w:t>
      </w:r>
      <w:r>
        <w:rPr>
          <w:rFonts w:ascii="宋体" w:hAnsi="宋体" w:cs="宋体"/>
          <w:b/>
          <w:bCs/>
          <w:color w:val="000000" w:themeColor="text1"/>
          <w:kern w:val="0"/>
          <w:sz w:val="24"/>
          <w:highlight w:val="none"/>
          <w14:textFill>
            <w14:solidFill>
              <w14:schemeClr w14:val="tx1"/>
            </w14:solidFill>
          </w14:textFill>
        </w:rPr>
        <w:t>第</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ascii="宋体" w:hAnsi="宋体" w:cs="宋体"/>
          <w:b/>
          <w:bCs/>
          <w:color w:val="000000" w:themeColor="text1"/>
          <w:kern w:val="0"/>
          <w:sz w:val="24"/>
          <w:highlight w:val="none"/>
          <w14:textFill>
            <w14:solidFill>
              <w14:schemeClr w14:val="tx1"/>
            </w14:solidFill>
          </w14:textFill>
        </w:rPr>
        <w:t>次使用（或不使用）</w:t>
      </w:r>
      <w:r>
        <w:rPr>
          <w:rFonts w:ascii="宋体" w:hAnsi="宋体" w:cs="宋体"/>
          <w:color w:val="000000" w:themeColor="text1"/>
          <w:kern w:val="0"/>
          <w:sz w:val="24"/>
          <w:highlight w:val="none"/>
          <w14:textFill>
            <w14:solidFill>
              <w14:schemeClr w14:val="tx1"/>
            </w14:solidFill>
          </w14:textFill>
        </w:rPr>
        <w:t>广东省交通运输厅发布的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ascii="宋体" w:hAnsi="宋体" w:cs="宋体"/>
          <w:color w:val="000000" w:themeColor="text1"/>
          <w:kern w:val="0"/>
          <w:sz w:val="24"/>
          <w:highlight w:val="none"/>
          <w14:textFill>
            <w14:solidFill>
              <w14:schemeClr w14:val="tx1"/>
            </w14:solidFill>
          </w14:textFill>
        </w:rPr>
        <w:t>度信用评价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等级结果和对应等级分值。</w:t>
      </w:r>
    </w:p>
    <w:p>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二、我单位承诺，在递交本次申请后，我单位将失去一次使用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w:t>
      </w:r>
      <w:r>
        <w:rPr>
          <w:rFonts w:ascii="宋体" w:hAnsi="宋体" w:cs="宋体"/>
          <w:b/>
          <w:bCs/>
          <w:color w:val="000000" w:themeColor="text1"/>
          <w:kern w:val="0"/>
          <w:sz w:val="24"/>
          <w:highlight w:val="none"/>
          <w:u w:val="single"/>
          <w14:textFill>
            <w14:solidFill>
              <w14:schemeClr w14:val="tx1"/>
            </w14:solidFill>
          </w14:textFill>
        </w:rPr>
        <w:t>不使用时上述填“/”</w:t>
      </w:r>
      <w:r>
        <w:rPr>
          <w:rFonts w:ascii="宋体" w:hAnsi="宋体" w:cs="宋体"/>
          <w:color w:val="000000" w:themeColor="text1"/>
          <w:kern w:val="0"/>
          <w:sz w:val="24"/>
          <w:highlight w:val="none"/>
          <w14:textFill>
            <w14:solidFill>
              <w14:schemeClr w14:val="tx1"/>
            </w14:solidFill>
          </w14:textFill>
        </w:rPr>
        <w:t>）参与投标的机会。</w:t>
      </w:r>
      <w:r>
        <w:rPr>
          <w:rFonts w:hint="eastAsia" w:ascii="宋体" w:hAnsi="宋体" w:cs="宋体"/>
          <w:color w:val="000000" w:themeColor="text1"/>
          <w:kern w:val="0"/>
          <w:sz w:val="24"/>
          <w:highlight w:val="none"/>
          <w14:textFill>
            <w14:solidFill>
              <w14:schemeClr w14:val="tx1"/>
            </w14:solidFill>
          </w14:textFill>
        </w:rPr>
        <w:t>当累计使用超过规定的次数，我单位同意按降低一个信用等级对应分值来认定参与投标评审。</w:t>
      </w:r>
    </w:p>
    <w:p>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如果我单位发生违反规定使用信用等级结果的情形，自愿接受省级交通运输主管部门的处理。</w:t>
      </w:r>
    </w:p>
    <w:p>
      <w:pPr>
        <w:spacing w:line="360" w:lineRule="auto"/>
        <w:ind w:firstLine="495"/>
        <w:jc w:val="left"/>
        <w:rPr>
          <w:rFonts w:ascii="宋体" w:hAnsi="宋体"/>
          <w:b/>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附件：</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单位使用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年度广东省公路工程从业单位信用等级情况汇总表。</w:t>
      </w: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特此承诺</w:t>
      </w:r>
    </w:p>
    <w:p>
      <w:pPr>
        <w:spacing w:line="360" w:lineRule="auto"/>
        <w:jc w:val="center"/>
        <w:rPr>
          <w:rFonts w:ascii="宋体" w:hAnsi="宋体" w:cs="宋体"/>
          <w:color w:val="000000" w:themeColor="text1"/>
          <w:kern w:val="0"/>
          <w:sz w:val="24"/>
          <w:highlight w:val="none"/>
          <w14:textFill>
            <w14:solidFill>
              <w14:schemeClr w14:val="tx1"/>
            </w14:solidFill>
          </w14:textFill>
        </w:rPr>
      </w:pPr>
    </w:p>
    <w:p>
      <w:pPr>
        <w:pStyle w:val="53"/>
        <w:rPr>
          <w:color w:val="000000" w:themeColor="text1"/>
          <w:highlight w:val="none"/>
          <w14:textFill>
            <w14:solidFill>
              <w14:schemeClr w14:val="tx1"/>
            </w14:solidFill>
          </w14:textFill>
        </w:rPr>
      </w:pPr>
    </w:p>
    <w:p>
      <w:pPr>
        <w:spacing w:line="360" w:lineRule="auto"/>
        <w:ind w:firstLine="2640" w:firstLineChars="11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投标人（单位全称）：</w:t>
      </w:r>
      <w:r>
        <w:rPr>
          <w:rFonts w:hint="eastAsia" w:ascii="宋体" w:hAnsi="宋体" w:cs="宋体"/>
          <w:color w:val="000000" w:themeColor="text1"/>
          <w:kern w:val="0"/>
          <w:sz w:val="24"/>
          <w:highlight w:val="none"/>
          <w:u w:val="single"/>
          <w14:textFill>
            <w14:solidFill>
              <w14:schemeClr w14:val="tx1"/>
            </w14:solidFill>
          </w14:textFill>
        </w:rPr>
        <w:t xml:space="preserve">   </w:t>
      </w:r>
    </w:p>
    <w:p>
      <w:pPr>
        <w:spacing w:line="360" w:lineRule="auto"/>
        <w:ind w:firstLine="2640" w:firstLineChars="1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投标人的法定代表人或其委托代理人签名：</w:t>
      </w:r>
    </w:p>
    <w:p>
      <w:pPr>
        <w:spacing w:line="360" w:lineRule="auto"/>
        <w:ind w:firstLine="4320" w:firstLineChars="18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pPr>
        <w:spacing w:line="360" w:lineRule="auto"/>
        <w:jc w:val="right"/>
        <w:rPr>
          <w:rFonts w:ascii="宋体" w:hAnsi="宋体" w:cs="宋体"/>
          <w:color w:val="000000" w:themeColor="text1"/>
          <w:kern w:val="0"/>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注：1、AA、A 级信用等级企业必须填写此申请承诺书；选择“使用”时需和附表（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单位使用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年度广东省公路工程从业单位信用等级情况汇总表）一起编入投标文件中。</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3、中标候选人公示中，将对所有承诺使用最新年度 AA、A 级投标人的年度信用等级使用情进行公开。</w:t>
      </w:r>
    </w:p>
    <w:p>
      <w:pPr>
        <w:jc w:val="center"/>
        <w:rPr>
          <w:rFonts w:ascii="宋体" w:hAnsi="宋体" w:cs="宋体"/>
          <w:color w:val="000000" w:themeColor="text1"/>
          <w:kern w:val="0"/>
          <w:sz w:val="28"/>
          <w:szCs w:val="28"/>
          <w:highlight w:val="none"/>
          <w14:textFill>
            <w14:solidFill>
              <w14:schemeClr w14:val="tx1"/>
            </w14:solidFill>
          </w14:textFill>
        </w:rPr>
      </w:pPr>
    </w:p>
    <w:p>
      <w:pPr>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br w:type="page"/>
      </w:r>
      <w:r>
        <w:rPr>
          <w:rFonts w:hint="eastAsia" w:ascii="宋体" w:hAnsi="宋体" w:cs="宋体"/>
          <w:color w:val="000000" w:themeColor="text1"/>
          <w:kern w:val="0"/>
          <w:sz w:val="28"/>
          <w:szCs w:val="28"/>
          <w:highlight w:val="none"/>
          <w14:textFill>
            <w14:solidFill>
              <w14:schemeClr w14:val="tx1"/>
            </w14:solidFill>
          </w14:textFill>
        </w:rPr>
        <w:t>附表：</w:t>
      </w:r>
    </w:p>
    <w:p>
      <w:pPr>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单位使用</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年度广东省公路工程从业单位</w:t>
      </w:r>
    </w:p>
    <w:p>
      <w:pPr>
        <w:jc w:val="center"/>
        <w:rPr>
          <w:rFonts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信用等级情况汇总表</w:t>
      </w:r>
    </w:p>
    <w:p>
      <w:pPr>
        <w:jc w:val="center"/>
        <w:rPr>
          <w:rFonts w:ascii="宋体" w:hAnsi="宋体" w:cs="宋体"/>
          <w:color w:val="000000" w:themeColor="text1"/>
          <w:kern w:val="0"/>
          <w:sz w:val="28"/>
          <w:szCs w:val="28"/>
          <w:highlight w:val="none"/>
          <w14:textFill>
            <w14:solidFill>
              <w14:schemeClr w14:val="tx1"/>
            </w14:solidFill>
          </w14:textFill>
        </w:rPr>
      </w:pPr>
    </w:p>
    <w:tbl>
      <w:tblPr>
        <w:tblStyle w:val="43"/>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701"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招标人名称</w:t>
            </w:r>
          </w:p>
        </w:tc>
        <w:tc>
          <w:tcPr>
            <w:tcW w:w="1843"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标类或（标</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段）名称</w:t>
            </w:r>
          </w:p>
        </w:tc>
        <w:tc>
          <w:tcPr>
            <w:tcW w:w="1984"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递交文件时间</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（年月日）</w:t>
            </w:r>
          </w:p>
        </w:tc>
        <w:tc>
          <w:tcPr>
            <w:tcW w:w="2126"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使用信用等</w:t>
            </w:r>
          </w:p>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级（AA/A）</w:t>
            </w:r>
          </w:p>
        </w:tc>
        <w:tc>
          <w:tcPr>
            <w:tcW w:w="1463"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701"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pacing w:line="360" w:lineRule="auto"/>
        <w:jc w:val="left"/>
        <w:rPr>
          <w:rFonts w:ascii="宋体" w:hAnsi="宋体" w:cs="宋体"/>
          <w:color w:val="000000" w:themeColor="text1"/>
          <w:kern w:val="0"/>
          <w:sz w:val="24"/>
          <w:highlight w:val="none"/>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color w:val="000000" w:themeColor="text1"/>
          <w:kern w:val="0"/>
          <w:sz w:val="24"/>
          <w:highlight w:val="none"/>
          <w14:textFill>
            <w14:solidFill>
              <w14:schemeClr w14:val="tx1"/>
            </w14:solidFill>
          </w14:textFill>
        </w:rPr>
        <w:t>备注：应如实填报信用评价等级使用情况。</w:t>
      </w:r>
    </w:p>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八-2、投标人的自评分表</w:t>
      </w:r>
    </w:p>
    <w:p>
      <w:pPr>
        <w:pStyle w:val="59"/>
        <w:jc w:val="center"/>
        <w:rPr>
          <w:rFonts w:ascii="宋体" w:hAnsi="宋体" w:cs="宋体"/>
          <w:b/>
          <w:bCs/>
          <w:color w:val="000000" w:themeColor="text1"/>
          <w:highlight w:val="none"/>
          <w14:textFill>
            <w14:solidFill>
              <w14:schemeClr w14:val="tx1"/>
            </w14:solidFill>
          </w14:textFill>
        </w:rPr>
      </w:pPr>
    </w:p>
    <w:p>
      <w:pPr>
        <w:pStyle w:val="59"/>
        <w:jc w:val="center"/>
        <w:rPr>
          <w:rFonts w:ascii="宋体" w:hAnsi="宋体" w:cs="宋体"/>
          <w:b/>
          <w:bCs/>
          <w:color w:val="000000" w:themeColor="text1"/>
          <w:highlight w:val="none"/>
          <w14:textFill>
            <w14:solidFill>
              <w14:schemeClr w14:val="tx1"/>
            </w14:solidFill>
          </w14:textFill>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8"/>
        <w:gridCol w:w="1408"/>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Align w:val="center"/>
          </w:tcPr>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748" w:type="dxa"/>
            <w:vAlign w:val="center"/>
          </w:tcPr>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评分因素</w:t>
            </w:r>
          </w:p>
        </w:tc>
        <w:tc>
          <w:tcPr>
            <w:tcW w:w="1408" w:type="dxa"/>
            <w:vAlign w:val="center"/>
          </w:tcPr>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满分</w:t>
            </w:r>
          </w:p>
        </w:tc>
        <w:tc>
          <w:tcPr>
            <w:tcW w:w="1408" w:type="dxa"/>
            <w:vAlign w:val="center"/>
          </w:tcPr>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评分标准</w:t>
            </w:r>
          </w:p>
        </w:tc>
        <w:tc>
          <w:tcPr>
            <w:tcW w:w="1408" w:type="dxa"/>
            <w:vAlign w:val="center"/>
          </w:tcPr>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自评分</w:t>
            </w:r>
          </w:p>
        </w:tc>
        <w:tc>
          <w:tcPr>
            <w:tcW w:w="1408" w:type="dxa"/>
            <w:vAlign w:val="center"/>
          </w:tcPr>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评分情况</w:t>
            </w:r>
          </w:p>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tc>
        <w:tc>
          <w:tcPr>
            <w:tcW w:w="1408" w:type="dxa"/>
            <w:vAlign w:val="center"/>
          </w:tcPr>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ascii="宋体" w:hAnsi="宋体" w:cs="宋体"/>
                <w:b/>
                <w:bCs/>
                <w:color w:val="000000" w:themeColor="text1"/>
                <w:highlight w:val="none"/>
                <w14:textFill>
                  <w14:solidFill>
                    <w14:schemeClr w14:val="tx1"/>
                  </w14:solidFill>
                </w14:textFill>
              </w:rPr>
            </w:pPr>
          </w:p>
        </w:tc>
        <w:tc>
          <w:tcPr>
            <w:tcW w:w="174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ascii="宋体" w:hAnsi="宋体" w:cs="宋体"/>
                <w:b/>
                <w:bCs/>
                <w:color w:val="000000" w:themeColor="text1"/>
                <w:highlight w:val="none"/>
                <w14:textFill>
                  <w14:solidFill>
                    <w14:schemeClr w14:val="tx1"/>
                  </w14:solidFill>
                </w14:textFill>
              </w:rPr>
            </w:pPr>
          </w:p>
        </w:tc>
        <w:tc>
          <w:tcPr>
            <w:tcW w:w="174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ascii="宋体" w:hAnsi="宋体" w:cs="宋体"/>
                <w:b/>
                <w:bCs/>
                <w:color w:val="000000" w:themeColor="text1"/>
                <w:highlight w:val="none"/>
                <w14:textFill>
                  <w14:solidFill>
                    <w14:schemeClr w14:val="tx1"/>
                  </w14:solidFill>
                </w14:textFill>
              </w:rPr>
            </w:pPr>
          </w:p>
        </w:tc>
        <w:tc>
          <w:tcPr>
            <w:tcW w:w="174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ascii="宋体" w:hAnsi="宋体" w:cs="宋体"/>
                <w:b/>
                <w:bCs/>
                <w:color w:val="000000" w:themeColor="text1"/>
                <w:highlight w:val="none"/>
                <w14:textFill>
                  <w14:solidFill>
                    <w14:schemeClr w14:val="tx1"/>
                  </w14:solidFill>
                </w14:textFill>
              </w:rPr>
            </w:pPr>
          </w:p>
        </w:tc>
        <w:tc>
          <w:tcPr>
            <w:tcW w:w="174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ascii="宋体" w:hAnsi="宋体" w:cs="宋体"/>
                <w:b/>
                <w:bCs/>
                <w:color w:val="000000" w:themeColor="text1"/>
                <w:highlight w:val="none"/>
                <w14:textFill>
                  <w14:solidFill>
                    <w14:schemeClr w14:val="tx1"/>
                  </w14:solidFill>
                </w14:textFill>
              </w:rPr>
            </w:pPr>
          </w:p>
        </w:tc>
        <w:tc>
          <w:tcPr>
            <w:tcW w:w="174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ascii="宋体" w:hAnsi="宋体" w:cs="宋体"/>
                <w:b/>
                <w:bCs/>
                <w:color w:val="000000" w:themeColor="text1"/>
                <w:highlight w:val="none"/>
                <w14:textFill>
                  <w14:solidFill>
                    <w14:schemeClr w14:val="tx1"/>
                  </w14:solidFill>
                </w14:textFill>
              </w:rPr>
            </w:pPr>
          </w:p>
        </w:tc>
        <w:tc>
          <w:tcPr>
            <w:tcW w:w="174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pPr>
              <w:pStyle w:val="59"/>
              <w:jc w:val="center"/>
              <w:rPr>
                <w:rFonts w:ascii="宋体" w:hAnsi="宋体" w:cs="宋体"/>
                <w:b/>
                <w:bCs/>
                <w:color w:val="000000" w:themeColor="text1"/>
                <w:highlight w:val="none"/>
                <w14:textFill>
                  <w14:solidFill>
                    <w14:schemeClr w14:val="tx1"/>
                  </w14:solidFill>
                </w14:textFill>
              </w:rPr>
            </w:pPr>
          </w:p>
        </w:tc>
        <w:tc>
          <w:tcPr>
            <w:tcW w:w="174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814" w:type="dxa"/>
            <w:gridSpan w:val="2"/>
            <w:vAlign w:val="center"/>
          </w:tcPr>
          <w:p>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合计</w:t>
            </w: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c>
          <w:tcPr>
            <w:tcW w:w="1408" w:type="dxa"/>
          </w:tcPr>
          <w:p>
            <w:pPr>
              <w:pStyle w:val="59"/>
              <w:jc w:val="center"/>
              <w:rPr>
                <w:rFonts w:ascii="宋体" w:hAnsi="宋体" w:cs="宋体"/>
                <w:b/>
                <w:bCs/>
                <w:color w:val="000000" w:themeColor="text1"/>
                <w:highlight w:val="none"/>
                <w14:textFill>
                  <w14:solidFill>
                    <w14:schemeClr w14:val="tx1"/>
                  </w14:solidFill>
                </w14:textFill>
              </w:rPr>
            </w:pPr>
          </w:p>
        </w:tc>
      </w:tr>
    </w:tbl>
    <w:p>
      <w:pPr>
        <w:pStyle w:val="59"/>
        <w:jc w:val="left"/>
        <w:rPr>
          <w:rFonts w:ascii="宋体" w:hAnsi="宋体" w:cs="宋体"/>
          <w:b/>
          <w:bCs/>
          <w:color w:val="000000" w:themeColor="text1"/>
          <w:highlight w:val="none"/>
          <w14:textFill>
            <w14:solidFill>
              <w14:schemeClr w14:val="tx1"/>
            </w14:solidFill>
          </w14:textFill>
        </w:rPr>
      </w:pPr>
    </w:p>
    <w:p>
      <w:pPr>
        <w:pStyle w:val="59"/>
        <w:jc w:val="left"/>
        <w:rPr>
          <w:rFonts w:ascii="宋体" w:hAnsi="宋体" w:cs="宋体"/>
          <w:b/>
          <w:bCs/>
          <w:color w:val="000000" w:themeColor="text1"/>
          <w:highlight w:val="none"/>
          <w14:textFill>
            <w14:solidFill>
              <w14:schemeClr w14:val="tx1"/>
            </w14:solidFill>
          </w14:textFill>
        </w:rPr>
      </w:pPr>
    </w:p>
    <w:p>
      <w:pPr>
        <w:pStyle w:val="59"/>
        <w:jc w:val="left"/>
        <w:rPr>
          <w:rFonts w:ascii="宋体" w:hAnsi="宋体" w:cs="宋体"/>
          <w:b/>
          <w:bCs/>
          <w:color w:val="000000" w:themeColor="text1"/>
          <w:highlight w:val="none"/>
          <w14:textFill>
            <w14:solidFill>
              <w14:schemeClr w14:val="tx1"/>
            </w14:solidFill>
          </w14:textFill>
        </w:rPr>
      </w:pPr>
    </w:p>
    <w:p>
      <w:pPr>
        <w:pStyle w:val="59"/>
        <w:spacing w:line="480" w:lineRule="auto"/>
        <w:ind w:firstLine="4096" w:firstLineChars="17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投标人： </w:t>
      </w:r>
      <w:r>
        <w:rPr>
          <w:rFonts w:hint="eastAsia" w:ascii="宋体" w:hAnsi="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(盖单位章)</w:t>
      </w:r>
    </w:p>
    <w:p>
      <w:pPr>
        <w:pStyle w:val="59"/>
        <w:spacing w:line="480" w:lineRule="auto"/>
        <w:ind w:firstLine="4096" w:firstLineChars="1700"/>
        <w:jc w:val="left"/>
        <w:rPr>
          <w:rFonts w:ascii="宋体" w:hAnsi="宋体" w:cs="宋体"/>
          <w:b/>
          <w:bCs/>
          <w:color w:val="000000" w:themeColor="text1"/>
          <w:highlight w:val="none"/>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b/>
          <w:bCs/>
          <w:color w:val="000000" w:themeColor="text1"/>
          <w:highlight w:val="none"/>
          <w14:textFill>
            <w14:solidFill>
              <w14:schemeClr w14:val="tx1"/>
            </w14:solidFill>
          </w14:textFill>
        </w:rPr>
        <w:t>法定代表人或其委托代理人：</w:t>
      </w:r>
      <w:r>
        <w:rPr>
          <w:rFonts w:hint="eastAsia" w:ascii="宋体" w:hAnsi="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（签字）</w:t>
      </w:r>
    </w:p>
    <w:p>
      <w:pPr>
        <w:spacing w:line="360" w:lineRule="auto"/>
        <w:jc w:val="center"/>
        <w:rPr>
          <w:rFonts w:ascii="宋体" w:hAnsi="宋体"/>
          <w:b/>
          <w:color w:val="000000" w:themeColor="text1"/>
          <w:sz w:val="32"/>
          <w:szCs w:val="32"/>
          <w:highlight w:val="none"/>
          <w:u w:val="single"/>
          <w14:textFill>
            <w14:solidFill>
              <w14:schemeClr w14:val="tx1"/>
            </w14:solidFill>
          </w14:textFill>
        </w:rPr>
      </w:pPr>
    </w:p>
    <w:p>
      <w:pPr>
        <w:spacing w:line="360" w:lineRule="auto"/>
        <w:jc w:val="center"/>
        <w:rPr>
          <w:rFonts w:ascii="宋体" w:hAnsi="宋体"/>
          <w:b/>
          <w:color w:val="000000" w:themeColor="text1"/>
          <w:sz w:val="32"/>
          <w:szCs w:val="32"/>
          <w:highlight w:val="none"/>
          <w:u w:val="single"/>
          <w14:textFill>
            <w14:solidFill>
              <w14:schemeClr w14:val="tx1"/>
            </w14:solidFill>
          </w14:textFill>
        </w:rPr>
      </w:pP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广东省</w:t>
      </w:r>
    </w:p>
    <w:p>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b/>
          <w:color w:val="000000" w:themeColor="text1"/>
          <w:sz w:val="52"/>
          <w:szCs w:val="52"/>
          <w:highlight w:val="none"/>
          <w14:textFill>
            <w14:solidFill>
              <w14:schemeClr w14:val="tx1"/>
            </w14:solidFill>
          </w14:textFill>
        </w:rPr>
      </w:pPr>
    </w:p>
    <w:p>
      <w:pPr>
        <w:spacing w:line="360" w:lineRule="auto"/>
        <w:jc w:val="center"/>
        <w:rPr>
          <w:rFonts w:ascii="宋体" w:hAnsi="宋体" w:cs="宋体"/>
          <w:b/>
          <w:color w:val="000000" w:themeColor="text1"/>
          <w:sz w:val="52"/>
          <w:szCs w:val="52"/>
          <w:highlight w:val="none"/>
          <w14:textFill>
            <w14:solidFill>
              <w14:schemeClr w14:val="tx1"/>
            </w14:solidFill>
          </w14:textFill>
        </w:rPr>
      </w:pPr>
    </w:p>
    <w:p>
      <w:pPr>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投 标 文 件</w:t>
      </w:r>
    </w:p>
    <w:p>
      <w:pPr>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（第二个信封：报价文件）</w:t>
      </w:r>
    </w:p>
    <w:p>
      <w:pPr>
        <w:jc w:val="center"/>
        <w:rPr>
          <w:rFonts w:ascii="宋体" w:hAnsi="宋体" w:cs="宋体"/>
          <w:color w:val="000000" w:themeColor="text1"/>
          <w:sz w:val="44"/>
          <w:szCs w:val="44"/>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spacing w:line="360" w:lineRule="auto"/>
        <w:rPr>
          <w:rFonts w:ascii="宋体" w:hAnsi="宋体" w:cs="宋体"/>
          <w:b/>
          <w:color w:val="000000" w:themeColor="text1"/>
          <w:sz w:val="32"/>
          <w:szCs w:val="32"/>
          <w:highlight w:val="none"/>
          <w14:textFill>
            <w14:solidFill>
              <w14:schemeClr w14:val="tx1"/>
            </w14:solidFill>
          </w14:textFill>
        </w:rPr>
      </w:pPr>
    </w:p>
    <w:p>
      <w:pPr>
        <w:tabs>
          <w:tab w:val="left" w:pos="3342"/>
        </w:tabs>
        <w:spacing w:before="101" w:line="380" w:lineRule="auto"/>
        <w:ind w:left="2049" w:right="665" w:hanging="1663"/>
        <w:rPr>
          <w:rFonts w:ascii="宋体" w:hAnsi="宋体" w:cs="宋体"/>
          <w:color w:val="000000" w:themeColor="text1"/>
          <w:sz w:val="31"/>
          <w:szCs w:val="31"/>
          <w:highlight w:val="none"/>
          <w14:textFill>
            <w14:solidFill>
              <w14:schemeClr w14:val="tx1"/>
            </w14:solidFill>
          </w14:textFill>
        </w:rPr>
      </w:pPr>
      <w:r>
        <w:rPr>
          <w:rFonts w:ascii="宋体" w:hAnsi="宋体" w:cs="宋体"/>
          <w:color w:val="000000" w:themeColor="text1"/>
          <w:spacing w:val="-8"/>
          <w:sz w:val="31"/>
          <w:szCs w:val="31"/>
          <w:highlight w:val="none"/>
          <w14:textFill>
            <w14:solidFill>
              <w14:schemeClr w14:val="tx1"/>
            </w14:solidFill>
          </w14:textFill>
        </w:rPr>
        <w:t>投标人：</w:t>
      </w:r>
      <w:r>
        <w:rPr>
          <w:rFonts w:ascii="宋体" w:hAnsi="宋体" w:cs="宋体"/>
          <w:color w:val="000000" w:themeColor="text1"/>
          <w:spacing w:val="-8"/>
          <w:sz w:val="31"/>
          <w:szCs w:val="31"/>
          <w:highlight w:val="none"/>
          <w:u w:val="single"/>
          <w14:textFill>
            <w14:solidFill>
              <w14:schemeClr w14:val="tx1"/>
            </w14:solidFill>
          </w14:textFill>
        </w:rPr>
        <w:t xml:space="preserve">    </w:t>
      </w:r>
      <w:r>
        <w:rPr>
          <w:rFonts w:ascii="宋体" w:hAnsi="宋体" w:cs="宋体"/>
          <w:color w:val="000000" w:themeColor="text1"/>
          <w:spacing w:val="-6"/>
          <w:sz w:val="31"/>
          <w:szCs w:val="31"/>
          <w:highlight w:val="none"/>
          <w:u w:val="single"/>
          <w14:textFill>
            <w14:solidFill>
              <w14:schemeClr w14:val="tx1"/>
            </w14:solidFill>
          </w14:textFill>
        </w:rPr>
        <w:t xml:space="preserve"> </w:t>
      </w:r>
      <w:r>
        <w:rPr>
          <w:rFonts w:ascii="宋体" w:hAnsi="宋体" w:cs="宋体"/>
          <w:color w:val="000000" w:themeColor="text1"/>
          <w:spacing w:val="-4"/>
          <w:sz w:val="31"/>
          <w:szCs w:val="31"/>
          <w:highlight w:val="none"/>
          <w:u w:val="single"/>
          <w14:textFill>
            <w14:solidFill>
              <w14:schemeClr w14:val="tx1"/>
            </w14:solidFill>
          </w14:textFill>
        </w:rPr>
        <w:t xml:space="preserve">                           </w:t>
      </w:r>
      <w:r>
        <w:rPr>
          <w:rFonts w:ascii="宋体" w:hAnsi="宋体" w:cs="宋体"/>
          <w:color w:val="000000" w:themeColor="text1"/>
          <w:spacing w:val="-4"/>
          <w:sz w:val="31"/>
          <w:szCs w:val="31"/>
          <w:highlight w:val="none"/>
          <w14:textFill>
            <w14:solidFill>
              <w14:schemeClr w14:val="tx1"/>
            </w14:solidFill>
          </w14:textFill>
        </w:rPr>
        <w:t>(盖单位章)</w:t>
      </w:r>
      <w:r>
        <w:rPr>
          <w:rFonts w:ascii="宋体" w:hAnsi="宋体" w:cs="宋体"/>
          <w:color w:val="000000" w:themeColor="text1"/>
          <w:sz w:val="31"/>
          <w:szCs w:val="31"/>
          <w:highlight w:val="none"/>
          <w14:textFill>
            <w14:solidFill>
              <w14:schemeClr w14:val="tx1"/>
            </w14:solidFill>
          </w14:textFill>
        </w:rPr>
        <w:t xml:space="preserve"> </w:t>
      </w:r>
    </w:p>
    <w:p>
      <w:pPr>
        <w:tabs>
          <w:tab w:val="left" w:pos="3342"/>
        </w:tabs>
        <w:spacing w:before="101" w:line="380" w:lineRule="auto"/>
        <w:ind w:left="2166" w:leftChars="751" w:right="665" w:hanging="589" w:hangingChars="190"/>
        <w:rPr>
          <w:rFonts w:ascii="宋体" w:hAnsi="宋体" w:cs="宋体"/>
          <w:color w:val="000000" w:themeColor="text1"/>
          <w:sz w:val="31"/>
          <w:szCs w:val="31"/>
          <w:highlight w:val="none"/>
          <w14:textFill>
            <w14:solidFill>
              <w14:schemeClr w14:val="tx1"/>
            </w14:solidFill>
          </w14:textFill>
        </w:rPr>
      </w:pPr>
      <w:r>
        <w:rPr>
          <w:rFonts w:ascii="宋体" w:hAnsi="宋体" w:cs="宋体"/>
          <w:color w:val="000000" w:themeColor="text1"/>
          <w:sz w:val="31"/>
          <w:szCs w:val="31"/>
          <w:highlight w:val="none"/>
          <w:u w:val="single"/>
          <w14:textFill>
            <w14:solidFill>
              <w14:schemeClr w14:val="tx1"/>
            </w14:solidFill>
          </w14:textFill>
        </w:rPr>
        <w:tab/>
      </w:r>
      <w:r>
        <w:rPr>
          <w:rFonts w:hint="eastAsia" w:ascii="宋体" w:hAnsi="宋体" w:cs="宋体"/>
          <w:color w:val="000000" w:themeColor="text1"/>
          <w:sz w:val="31"/>
          <w:szCs w:val="31"/>
          <w:highlight w:val="none"/>
          <w:u w:val="single"/>
          <w14:textFill>
            <w14:solidFill>
              <w14:schemeClr w14:val="tx1"/>
            </w14:solidFill>
          </w14:textFill>
        </w:rPr>
        <w:t xml:space="preserve">  </w:t>
      </w:r>
      <w:r>
        <w:rPr>
          <w:rFonts w:ascii="宋体" w:hAnsi="宋体" w:cs="宋体"/>
          <w:color w:val="000000" w:themeColor="text1"/>
          <w:spacing w:val="-7"/>
          <w:sz w:val="31"/>
          <w:szCs w:val="31"/>
          <w:highlight w:val="none"/>
          <w14:textFill>
            <w14:solidFill>
              <w14:schemeClr w14:val="tx1"/>
            </w14:solidFill>
          </w14:textFill>
        </w:rPr>
        <w:t>年</w:t>
      </w:r>
      <w:r>
        <w:rPr>
          <w:rFonts w:ascii="宋体" w:hAnsi="宋体" w:cs="宋体"/>
          <w:color w:val="000000" w:themeColor="text1"/>
          <w:spacing w:val="-7"/>
          <w:sz w:val="31"/>
          <w:szCs w:val="31"/>
          <w:highlight w:val="none"/>
          <w:u w:val="single"/>
          <w14:textFill>
            <w14:solidFill>
              <w14:schemeClr w14:val="tx1"/>
            </w14:solidFill>
          </w14:textFill>
        </w:rPr>
        <w:t xml:space="preserve">       </w:t>
      </w:r>
      <w:r>
        <w:rPr>
          <w:rFonts w:ascii="宋体" w:hAnsi="宋体" w:cs="宋体"/>
          <w:color w:val="000000" w:themeColor="text1"/>
          <w:spacing w:val="-7"/>
          <w:sz w:val="31"/>
          <w:szCs w:val="31"/>
          <w:highlight w:val="none"/>
          <w14:textFill>
            <w14:solidFill>
              <w14:schemeClr w14:val="tx1"/>
            </w14:solidFill>
          </w14:textFill>
        </w:rPr>
        <w:t xml:space="preserve"> 月</w:t>
      </w:r>
      <w:r>
        <w:rPr>
          <w:rFonts w:ascii="宋体" w:hAnsi="宋体" w:cs="宋体"/>
          <w:color w:val="000000" w:themeColor="text1"/>
          <w:spacing w:val="-7"/>
          <w:sz w:val="31"/>
          <w:szCs w:val="31"/>
          <w:highlight w:val="none"/>
          <w:u w:val="single"/>
          <w14:textFill>
            <w14:solidFill>
              <w14:schemeClr w14:val="tx1"/>
            </w14:solidFill>
          </w14:textFill>
        </w:rPr>
        <w:t xml:space="preserve">        </w:t>
      </w:r>
      <w:r>
        <w:rPr>
          <w:rFonts w:ascii="宋体" w:hAnsi="宋体" w:cs="宋体"/>
          <w:color w:val="000000" w:themeColor="text1"/>
          <w:spacing w:val="-5"/>
          <w:sz w:val="31"/>
          <w:szCs w:val="31"/>
          <w:highlight w:val="none"/>
          <w14:textFill>
            <w14:solidFill>
              <w14:schemeClr w14:val="tx1"/>
            </w14:solidFill>
          </w14:textFill>
        </w:rPr>
        <w:t>日</w:t>
      </w:r>
    </w:p>
    <w:p>
      <w:pPr>
        <w:rPr>
          <w:color w:val="000000" w:themeColor="text1"/>
          <w:highlight w:val="none"/>
          <w14:textFill>
            <w14:solidFill>
              <w14:schemeClr w14:val="tx1"/>
            </w14:solidFill>
          </w14:textFill>
        </w:rPr>
        <w:sectPr>
          <w:footerReference r:id="rId17" w:type="default"/>
          <w:pgSz w:w="11900" w:h="16839"/>
          <w:pgMar w:top="947" w:right="1125" w:bottom="1134" w:left="1420" w:header="707" w:footer="974" w:gutter="0"/>
          <w:pgNumType w:fmt="decimal"/>
          <w:cols w:space="720" w:num="1"/>
        </w:sectPr>
      </w:pPr>
    </w:p>
    <w:p>
      <w:pPr>
        <w:rPr>
          <w:rFonts w:ascii="宋体" w:hAnsi="宋体"/>
          <w:color w:val="000000" w:themeColor="text1"/>
          <w:sz w:val="2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pStyle w:val="53"/>
        <w:rPr>
          <w:rFonts w:ascii="宋体" w:hAnsi="宋体"/>
          <w:b/>
          <w:color w:val="000000" w:themeColor="text1"/>
          <w:sz w:val="44"/>
          <w:szCs w:val="44"/>
          <w:highlight w:val="none"/>
          <w14:textFill>
            <w14:solidFill>
              <w14:schemeClr w14:val="tx1"/>
            </w14:solidFill>
          </w14:textFill>
        </w:rPr>
      </w:pPr>
    </w:p>
    <w:p>
      <w:pPr>
        <w:pStyle w:val="53"/>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44"/>
          <w:szCs w:val="44"/>
          <w:highlight w:val="none"/>
          <w14:textFill>
            <w14:solidFill>
              <w14:schemeClr w14:val="tx1"/>
            </w14:solidFill>
          </w14:textFill>
        </w:rPr>
      </w:pPr>
    </w:p>
    <w:p>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目</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 xml:space="preserve">      录</w:t>
      </w:r>
    </w:p>
    <w:p>
      <w:pPr>
        <w:pStyle w:val="53"/>
        <w:rPr>
          <w:rFonts w:ascii="宋体" w:hAnsi="宋体"/>
          <w:b/>
          <w:color w:val="000000" w:themeColor="text1"/>
          <w:sz w:val="36"/>
          <w:szCs w:val="36"/>
          <w:highlight w:val="none"/>
          <w14:textFill>
            <w14:solidFill>
              <w14:schemeClr w14:val="tx1"/>
            </w14:solidFill>
          </w14:textFill>
        </w:rPr>
      </w:pPr>
    </w:p>
    <w:p>
      <w:pPr>
        <w:jc w:val="center"/>
        <w:rPr>
          <w:rFonts w:ascii="宋体" w:hAnsi="宋体"/>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第二个信封</w:t>
      </w:r>
      <w:r>
        <w:rPr>
          <w:rFonts w:hint="eastAsia"/>
          <w:b/>
          <w:bCs/>
          <w:color w:val="000000" w:themeColor="text1"/>
          <w:sz w:val="28"/>
          <w:szCs w:val="28"/>
          <w:highlight w:val="none"/>
          <w14:textFill>
            <w14:solidFill>
              <w14:schemeClr w14:val="tx1"/>
            </w14:solidFill>
          </w14:textFill>
        </w:rPr>
        <w:t>（</w:t>
      </w:r>
      <w:r>
        <w:rPr>
          <w:b/>
          <w:bCs/>
          <w:color w:val="000000" w:themeColor="text1"/>
          <w:sz w:val="28"/>
          <w:szCs w:val="28"/>
          <w:highlight w:val="none"/>
          <w14:textFill>
            <w14:solidFill>
              <w14:schemeClr w14:val="tx1"/>
            </w14:solidFill>
          </w14:textFill>
        </w:rPr>
        <w:t>报价文件</w:t>
      </w:r>
      <w:r>
        <w:rPr>
          <w:rFonts w:hint="eastAsia"/>
          <w:b/>
          <w:bCs/>
          <w:color w:val="000000" w:themeColor="text1"/>
          <w:sz w:val="28"/>
          <w:szCs w:val="28"/>
          <w:highlight w:val="none"/>
          <w14:textFill>
            <w14:solidFill>
              <w14:schemeClr w14:val="tx1"/>
            </w14:solidFill>
          </w14:textFill>
        </w:rPr>
        <w:t>）</w:t>
      </w:r>
    </w:p>
    <w:p>
      <w:pPr>
        <w:pStyle w:val="53"/>
        <w:rPr>
          <w:rFonts w:ascii="宋体" w:hAnsi="宋体"/>
          <w:b/>
          <w:color w:val="000000" w:themeColor="text1"/>
          <w:sz w:val="36"/>
          <w:szCs w:val="36"/>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、投标函</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已标价工程量清单</w:t>
      </w:r>
    </w:p>
    <w:p>
      <w:pPr>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24"/>
          <w:highlight w:val="none"/>
          <w14:textFill>
            <w14:solidFill>
              <w14:schemeClr w14:val="tx1"/>
            </w14:solidFill>
          </w14:textFill>
        </w:rPr>
      </w:pPr>
      <w:bookmarkStart w:id="1747" w:name="_Toc275856199"/>
      <w:r>
        <w:rPr>
          <w:rFonts w:ascii="宋体" w:hAnsi="宋体"/>
          <w:color w:val="000000" w:themeColor="text1"/>
          <w:sz w:val="24"/>
          <w:highlight w:val="none"/>
          <w14:textFill>
            <w14:solidFill>
              <w14:schemeClr w14:val="tx1"/>
            </w14:solidFill>
          </w14:textFill>
        </w:rPr>
        <w:br w:type="page"/>
      </w:r>
    </w:p>
    <w:bookmarkEnd w:id="1747"/>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一、投标函</w:t>
      </w:r>
    </w:p>
    <w:p>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 标 函</w:t>
      </w:r>
    </w:p>
    <w:p>
      <w:pPr>
        <w:spacing w:line="360" w:lineRule="exact"/>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（招标人名称）：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施工招标文件的全部内容（含补遗书第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号至第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号），在考察工程现场后，愿意以人民币</w:t>
      </w:r>
      <w:r>
        <w:rPr>
          <w:rFonts w:hint="eastAsia" w:ascii="宋体" w:hAnsi="宋体" w:cs="宋体"/>
          <w:color w:val="000000" w:themeColor="text1"/>
          <w:sz w:val="24"/>
          <w:highlight w:val="none"/>
          <w:u w:val="single"/>
          <w14:textFill>
            <w14:solidFill>
              <w14:schemeClr w14:val="tx1"/>
            </w14:solidFill>
          </w14:textFill>
        </w:rPr>
        <w:t>（大写）    （</w:t>
      </w:r>
      <w:r>
        <w:rPr>
          <w:rFonts w:ascii="宋体" w:hAnsi="宋体" w:cs="Arial"/>
          <w:color w:val="000000" w:themeColor="text1"/>
          <w:sz w:val="24"/>
          <w:highlight w:val="none"/>
          <w:u w:val="single"/>
          <w14:textFill>
            <w14:solidFill>
              <w14:schemeClr w14:val="tx1"/>
            </w14:solidFill>
          </w14:textFill>
        </w:rPr>
        <w:t>¥</w:t>
      </w:r>
      <w:r>
        <w:rPr>
          <w:rFonts w:hint="eastAsia" w:ascii="宋体" w:hAnsi="宋体" w:cs="Arial"/>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的投标总报价（或根据招标文件规定修正核实后确定的另一金额，其中，增值税税率为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），按合同约定实施和完成承包工程，修补工程中的任何缺陷。</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（其他补充说明）</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tabs>
          <w:tab w:val="left" w:pos="2977"/>
          <w:tab w:val="left" w:pos="3261"/>
        </w:tabs>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投标人：（盖单位章）</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pPr>
        <w:pStyle w:val="53"/>
        <w:spacing w:line="360" w:lineRule="auto"/>
        <w:ind w:firstLine="0"/>
        <w:rPr>
          <w:rFonts w:ascii="宋体" w:hAnsi="宋体"/>
          <w:color w:val="000000" w:themeColor="text1"/>
          <w:szCs w:val="21"/>
          <w:highlight w:val="none"/>
          <w14:textFill>
            <w14:solidFill>
              <w14:schemeClr w14:val="tx1"/>
            </w14:solidFill>
          </w14:textFill>
        </w:rPr>
      </w:pPr>
      <w:r>
        <w:rPr>
          <w:rFonts w:ascii="宋体" w:hAnsi="宋体" w:cs="Times New Roman"/>
          <w:color w:val="000000" w:themeColor="text1"/>
          <w:sz w:val="21"/>
          <w:szCs w:val="21"/>
          <w:highlight w:val="none"/>
          <w14:textFill>
            <w14:solidFill>
              <w14:schemeClr w14:val="tx1"/>
            </w14:solidFill>
          </w14:textFill>
        </w:rPr>
        <w:t>地址：</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pPr>
        <w:spacing w:line="360" w:lineRule="auto"/>
        <w:rPr>
          <w:rFonts w:ascii="宋体" w:hAnsi="宋体"/>
          <w:color w:val="000000" w:themeColor="text1"/>
          <w:szCs w:val="21"/>
          <w:highlight w:val="none"/>
          <w14:textFill>
            <w14:solidFill>
              <w14:schemeClr w14:val="tx1"/>
            </w14:solidFill>
          </w14:textFill>
        </w:rPr>
      </w:pPr>
    </w:p>
    <w:p>
      <w:pPr>
        <w:ind w:firstLine="720" w:firstLineChars="300"/>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pPr>
        <w:rPr>
          <w:rFonts w:ascii="宋体" w:hAnsi="宋体"/>
          <w:color w:val="000000" w:themeColor="text1"/>
          <w:szCs w:val="21"/>
          <w:highlight w:val="none"/>
          <w14:textFill>
            <w14:solidFill>
              <w14:schemeClr w14:val="tx1"/>
            </w14:solidFill>
          </w14:textFill>
        </w:rPr>
      </w:pPr>
    </w:p>
    <w:p>
      <w:pPr>
        <w:jc w:val="center"/>
        <w:rPr>
          <w:rFonts w:ascii="宋体" w:hAnsi="宋体"/>
          <w:b/>
          <w:color w:val="000000" w:themeColor="text1"/>
          <w:sz w:val="28"/>
          <w:szCs w:val="28"/>
          <w:highlight w:val="none"/>
          <w14:textFill>
            <w14:solidFill>
              <w14:schemeClr w14:val="tx1"/>
            </w14:solidFill>
          </w14:textFill>
        </w:rPr>
      </w:pPr>
      <w:bookmarkStart w:id="1748" w:name="_Toc275856200"/>
      <w:bookmarkEnd w:id="1748"/>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二</w:t>
      </w:r>
      <w:r>
        <w:rPr>
          <w:rFonts w:ascii="宋体" w:hAnsi="宋体"/>
          <w:b/>
          <w:color w:val="000000" w:themeColor="text1"/>
          <w:sz w:val="28"/>
          <w:szCs w:val="28"/>
          <w:highlight w:val="none"/>
          <w14:textFill>
            <w14:solidFill>
              <w14:schemeClr w14:val="tx1"/>
            </w14:solidFill>
          </w14:textFill>
        </w:rPr>
        <w:t>、已标价工程量清单</w:t>
      </w:r>
    </w:p>
    <w:p>
      <w:pPr>
        <w:spacing w:line="360" w:lineRule="auto"/>
        <w:rPr>
          <w:rFonts w:ascii="宋体" w:hAnsi="宋体" w:cs="宋体"/>
          <w:color w:val="000000" w:themeColor="text1"/>
          <w:sz w:val="24"/>
          <w:highlight w:val="none"/>
          <w14:textFill>
            <w14:solidFill>
              <w14:schemeClr w14:val="tx1"/>
            </w14:solidFill>
          </w14:textFill>
        </w:rPr>
      </w:pP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 xml:space="preserve"> 工程量清单说明</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1.2本工程量清单应与招标文件中的投标人须知、通用合同条款、专用合同条款、工程量清单计量规则、技术规范及图纸等一起阅读和理解。</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ascii="宋体" w:hAnsi="宋体"/>
          <w:color w:val="000000" w:themeColor="text1"/>
          <w:sz w:val="24"/>
          <w:highlight w:val="none"/>
          <w14:textFill>
            <w14:solidFill>
              <w14:schemeClr w14:val="tx1"/>
            </w14:solidFill>
          </w14:textFill>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r>
        <w:rPr>
          <w:rFonts w:ascii="宋体" w:hAnsi="宋体"/>
          <w:color w:val="000000" w:themeColor="text1"/>
          <w:sz w:val="24"/>
          <w:highlight w:val="none"/>
          <w14:textFill>
            <w14:solidFill>
              <w14:schemeClr w14:val="tx1"/>
            </w14:solidFill>
          </w14:textFill>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r>
        <w:rPr>
          <w:rFonts w:ascii="宋体" w:hAnsi="宋体"/>
          <w:color w:val="000000" w:themeColor="text1"/>
          <w:sz w:val="24"/>
          <w:highlight w:val="none"/>
          <w14:textFill>
            <w14:solidFill>
              <w14:schemeClr w14:val="tx1"/>
            </w14:solidFill>
          </w14:textFill>
        </w:rPr>
        <w:t>对作业和材料的一般说明或规定，未重复写入工程量清单内，在给工程量清单各子目标价前，应参阅第七章“技术规范”的有关内容。</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r>
        <w:rPr>
          <w:rFonts w:ascii="宋体" w:hAnsi="宋体"/>
          <w:color w:val="000000" w:themeColor="text1"/>
          <w:sz w:val="24"/>
          <w:highlight w:val="none"/>
          <w14:textFill>
            <w14:solidFill>
              <w14:schemeClr w14:val="tx1"/>
            </w14:solidFill>
          </w14:textFill>
        </w:rPr>
        <w:t>工程量清单中所列工程量的变动，丝毫不会降低或影响合同条款的效力，也不免除承包人按规定的标准进行施工和修复缺陷的责任。</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r>
        <w:rPr>
          <w:rFonts w:ascii="宋体" w:hAnsi="宋体"/>
          <w:color w:val="000000" w:themeColor="text1"/>
          <w:sz w:val="24"/>
          <w:highlight w:val="none"/>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w:t>
      </w:r>
      <w:r>
        <w:rPr>
          <w:rFonts w:ascii="宋体" w:hAnsi="宋体"/>
          <w:color w:val="000000" w:themeColor="text1"/>
          <w:sz w:val="24"/>
          <w:highlight w:val="none"/>
          <w14:textFill>
            <w14:solidFill>
              <w14:schemeClr w14:val="tx1"/>
            </w14:solidFill>
          </w14:textFill>
        </w:rPr>
        <w:t xml:space="preserve"> 投标报价说明</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2.1</w:t>
      </w:r>
      <w:r>
        <w:rPr>
          <w:rFonts w:ascii="宋体" w:hAnsi="宋体"/>
          <w:color w:val="000000" w:themeColor="text1"/>
          <w:sz w:val="24"/>
          <w:highlight w:val="none"/>
          <w14:textFill>
            <w14:solidFill>
              <w14:schemeClr w14:val="tx1"/>
            </w14:solidFill>
          </w14:textFill>
        </w:rPr>
        <w:t>工程量清单中的每一子目须填入单价或价格，且只允许有一个报价。</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2.2</w:t>
      </w:r>
      <w:r>
        <w:rPr>
          <w:rFonts w:ascii="宋体" w:hAnsi="宋体"/>
          <w:color w:val="000000" w:themeColor="text1"/>
          <w:sz w:val="24"/>
          <w:highlight w:val="none"/>
          <w14:textFill>
            <w14:solidFill>
              <w14:schemeClr w14:val="tx1"/>
            </w14:solidFill>
          </w14:textFill>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2.3</w:t>
      </w:r>
      <w:r>
        <w:rPr>
          <w:rFonts w:ascii="宋体" w:hAnsi="宋体"/>
          <w:color w:val="000000" w:themeColor="text1"/>
          <w:sz w:val="24"/>
          <w:highlight w:val="none"/>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2.4</w:t>
      </w:r>
      <w:r>
        <w:rPr>
          <w:rFonts w:ascii="宋体" w:hAnsi="宋体"/>
          <w:color w:val="000000" w:themeColor="text1"/>
          <w:sz w:val="24"/>
          <w:highlight w:val="none"/>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承包人用于本合同工程的各类装备的提供、运输、维护、拆卸、拼装等支付的费用，已包括在工程量清单的单价与总额价之中。</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2.6</w:t>
      </w:r>
      <w:r>
        <w:rPr>
          <w:rFonts w:ascii="宋体" w:hAnsi="宋体"/>
          <w:color w:val="000000" w:themeColor="text1"/>
          <w:sz w:val="24"/>
          <w:highlight w:val="none"/>
          <w14:textFill>
            <w14:solidFill>
              <w14:schemeClr w14:val="tx1"/>
            </w14:solidFill>
          </w14:textFill>
        </w:rPr>
        <w:t>工程量清单中各项金额均以人民币(元)结算。</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计日工说明</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本款不适用。</w:t>
      </w:r>
    </w:p>
    <w:p>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 其他说明</w:t>
      </w:r>
    </w:p>
    <w:p>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工程量清单中各个细目的报价与计量支付原则，详见招标文件第七章技术规范的工程量清单计量与支付规则。</w:t>
      </w:r>
    </w:p>
    <w:p>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xml:space="preserve"> 工程量清单</w:t>
      </w:r>
    </w:p>
    <w:p>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5.1</w:t>
      </w:r>
      <w:r>
        <w:rPr>
          <w:rFonts w:ascii="宋体" w:hAnsi="宋体"/>
          <w:color w:val="000000" w:themeColor="text1"/>
          <w:sz w:val="24"/>
          <w:highlight w:val="none"/>
          <w14:textFill>
            <w14:solidFill>
              <w14:schemeClr w14:val="tx1"/>
            </w14:solidFill>
          </w14:textFill>
        </w:rPr>
        <w:t>工程量清单表</w:t>
      </w:r>
    </w:p>
    <w:p>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pPr>
        <w:spacing w:line="348" w:lineRule="auto"/>
        <w:rPr>
          <w:rFonts w:ascii="宋体" w:hAnsi="宋体"/>
          <w:color w:val="000000" w:themeColor="text1"/>
          <w:spacing w:val="-5"/>
          <w:sz w:val="24"/>
          <w:highlight w:val="none"/>
          <w14:textFill>
            <w14:solidFill>
              <w14:schemeClr w14:val="tx1"/>
            </w14:solidFill>
          </w14:textFill>
        </w:rPr>
      </w:pPr>
    </w:p>
    <w:p>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pPr>
        <w:pStyle w:val="54"/>
        <w:rPr>
          <w:rFonts w:ascii="宋体" w:hAnsi="宋体" w:cs="宋体"/>
          <w:color w:val="000000" w:themeColor="text1"/>
          <w:sz w:val="24"/>
          <w:highlight w:val="none"/>
          <w14:textFill>
            <w14:solidFill>
              <w14:schemeClr w14:val="tx1"/>
            </w14:solidFill>
          </w14:textFill>
        </w:rPr>
      </w:pPr>
    </w:p>
    <w:p>
      <w:pPr>
        <w:pStyle w:val="54"/>
        <w:rPr>
          <w:rFonts w:ascii="宋体" w:hAnsi="宋体" w:cs="宋体"/>
          <w:color w:val="000000" w:themeColor="text1"/>
          <w:sz w:val="24"/>
          <w:highlight w:val="none"/>
          <w14:textFill>
            <w14:solidFill>
              <w14:schemeClr w14:val="tx1"/>
            </w14:solidFill>
          </w14:textFill>
        </w:rPr>
      </w:pPr>
    </w:p>
    <w:sectPr>
      <w:footerReference r:id="rId19" w:type="first"/>
      <w:footerReference r:id="rId18" w:type="default"/>
      <w:footnotePr>
        <w:numFmt w:val="decimalEnclosedCircleChinese"/>
      </w:footnotePr>
      <w:pgSz w:w="11906" w:h="16838"/>
      <w:pgMar w:top="1038" w:right="924" w:bottom="936" w:left="1418" w:header="624" w:footer="59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r+VcoBAACa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MukT++hwrQnj4lxuHMDbs3sB3Qm2kMbTPoiIYJxVPd0UVcOkYj0qFyVZYEhgbH5gvjs+bkPEN9L&#10;Z0gyahpwfFlVfnyEOKbOKamadfdK6zxCbf9yIGbysNT72GOy4rAbJkI715yQT4+Tr6nFRadEP1gU&#10;Ni3JbITZ2M3GwQe17/IWpXrgbw8Rm8i9pQoj7FQYR5bZTeuVduLPe856/q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Yr+VcoBAACaAwAADgAAAAAAAAABACAAAAAeAQAAZHJzL2Uyb0Rv&#10;Yy54bWxQSwUGAAAAAAYABgBZAQAAW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zH&#10;gNQAAAADAQAADwAAAAAAAAABACAAAAAiAAAAZHJzL2Rvd25yZXYueG1sUEsBAhQAFAAAAAgAh07i&#10;QNpBr/XtAQAA0QMAAA4AAAAAAAAAAQAgAAAAIwEAAGRycy9lMm9Eb2MueG1sUEsFBgAAAAAGAAYA&#10;WQEAAII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27"/>
                          </w:pPr>
                          <w:r>
                            <w:fldChar w:fldCharType="begin"/>
                          </w:r>
                          <w:r>
                            <w:instrText xml:space="preserve"> PAGE  \* MERGEFORMAT </w:instrText>
                          </w:r>
                          <w:r>
                            <w:fldChar w:fldCharType="separate"/>
                          </w:r>
                          <w:r>
                            <w:t>269</w:t>
                          </w:r>
                          <w: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qa+MH0QEAAKUDAAAOAAAAAAAAAAEAIAAAACIB&#10;AABkcnMvZTJvRG9jLnhtbFBLBQYAAAAABgAGAFkBAABlBQAAAAA=&#10;">
              <v:fill on="f" focussize="0,0"/>
              <v:stroke on="f" weight="1pt"/>
              <v:imagedata o:title=""/>
              <o:lock v:ext="edit" aspectratio="f"/>
              <v:textbox inset="0mm,0mm,0mm,0mm" style="mso-fit-shape-to-text:t;">
                <w:txbxContent>
                  <w:p>
                    <w:pPr>
                      <w:pStyle w:val="27"/>
                    </w:pPr>
                    <w:r>
                      <w:fldChar w:fldCharType="begin"/>
                    </w:r>
                    <w:r>
                      <w:instrText xml:space="preserve"> PAGE  \* MERGEFORMAT </w:instrText>
                    </w:r>
                    <w:r>
                      <w:fldChar w:fldCharType="separate"/>
                    </w:r>
                    <w:r>
                      <w:t>269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269</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t18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q3XyQEAAJoDAAAOAAAAAAAAAAEAIAAAAB4BAABkcnMvZTJvRG9j&#10;LnhtbFBLBQYAAAAABgAGAFkBAABZ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269</w:t>
                    </w:r>
                    <w:r>
                      <w:fldChar w:fldCharType="end"/>
                    </w:r>
                  </w:p>
                </w:txbxContent>
              </v:textbox>
            </v:shape>
          </w:pict>
        </mc:Fallback>
      </mc:AlternateContent>
    </w:r>
    <w:r>
      <w:rPr>
        <w:rFonts w:eastAsia="Times New Roman"/>
        <w:spacing w:val="5"/>
        <w:sz w:val="17"/>
        <w:szCs w:val="17"/>
      </w:rPr>
      <w:t>2</w:t>
    </w:r>
    <w:r>
      <w:rPr>
        <w:rFonts w:eastAsia="Times New Roman"/>
        <w:spacing w:val="3"/>
        <w:sz w:val="17"/>
        <w:szCs w:val="17"/>
      </w:rP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274</w:t>
                          </w:r>
                          <w:r>
                            <w:rPr>
                              <w:rFonts w:hint="eastAsia"/>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OedMwvQAQAApQMAAA4AAAAAAAAAAQAgAAAAIgEA&#10;AGRycy9lMm9Eb2MueG1sUEsFBgAAAAAGAAYAWQEAAGQFAAAAAA==&#10;">
              <v:fill on="f" focussize="0,0"/>
              <v:stroke on="f" weight="1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274</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1312;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2JpyzWAAAABgEAAA8AAAAAAAAAAQAgAAAAIgAAAGRycy9kb3ducmV2LnhtbFBLAQIUABQAAAAI&#10;AIdO4kCLgJXs7wEAANMDAAAOAAAAAAAAAAEAIAAAACUBAABkcnMvZTJvRG9jLnhtbFBLBQYAAAAA&#10;BgAGAFkBAACGBQ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k7hMkBAACa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6TuEyQEAAJoDAAAOAAAAAAAAAAEAIAAAAB4BAABkcnMvZTJvRG9j&#10;LnhtbFBLBQYAAAAABgAGAFkBAABZ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B7TCK7wEAANA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KqkM0oM0zjw46+f&#10;x99/jo8/yFWUp7W+wKg7i3Ghew8dLs147/Eysu5qp+Mf+RD0o7iHk7iiC4THpHx+dbGghKMrv8jn&#10;80VEyZ6SrfPhowBNolFSh7NLkrL9Zx/60DEk1jJwK5VK81OGtAi6uHy3SBknF6IrE4NFWoUBJzLq&#10;O49W6DbdQHMD1QFZOujXBB8JGg2475S0uCIlNfgiKFGfDE4gbtNouNHYjAYzHBNLGijpzQ8hbV1s&#10;xtubXcDuE6nYQl8XxYgHHHSSZVjKuEn/nlPU00Nc/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ge0wiu8BAADQAwAADgAAAAAAAAABACAAAAAjAQAAZHJzL2Uyb0RvYy54bWxQSwUGAAAAAAYA&#10;BgBZAQAAhA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BEj5BM0QEAAKUDAAAOAAAAAAAAAAEAIAAAACIB&#10;AABkcnMvZTJvRG9jLnhtbFBLBQYAAAAABgAGAFkBAABlBQAAAAA=&#10;">
              <v:fill on="f" focussize="0,0"/>
              <v:stroke on="f" weight="1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Hpe0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PI4CtdbPEHdvERm6d6ZD8HDvcRl5d5VT8ReMCPyQ93iRV3SB8PhoOplOc7g4fMMB+Nnj&#10;c+t8eC+MItEoqEP/kqzssPGhDx1CYjZt1o2UqYdSk7agV6/f5u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OHpe0zAgAAZQQAAA4AAAAAAAAAAQAgAAAAHwEAAGRycy9lMm9Eb2MueG1sUEsF&#10;BgAAAAAGAAYAWQEAAMQ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TdptX7wEAANE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Ao3YUaJYRonfvz1&#10;8/j7z/HxB7mK+rTWFxh2ZzEwdO+hw9jx3uNlpN3VTsc/EiLoR3UPJ3VFFwiPSfn86mJBCUdXfpHP&#10;54uIkj0lW+fDRwGaRKOkDoeXNGX7zz70oWNIrGXgViqVBqgMaRF0cflukTJOLkRXJgaLtAsDTmTU&#10;dx6t0G26geYGqgOydNDvCb4SNBpw3ylpcUdKavBJUKI+GRxBXKfRcKOxGQ1mOCaWNFDSmx9CWrvY&#10;jLc3u4DdJ1Kxhb4uihEPOOkky7CVcZX+Paeop5e4+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k3abV+8BAADRAwAADgAAAAAAAAABACAAAAAjAQAAZHJzL2Uyb0RvYy54bWxQSwUGAAAAAAYA&#10;BgBZAQAAhA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H/8c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8f/xzICAABl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Dt0oyA0QEAAKUDAAAOAAAAAAAAAAEAIAAAACIB&#10;AABkcnMvZTJvRG9jLnhtbFBLBQYAAAAABgAGAFkBAABlBQAAAAA=&#10;">
              <v:fill on="f" focussize="0,0"/>
              <v:stroke on="f" weight="1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pPr>
                            <w:pStyle w:val="27"/>
                          </w:pPr>
                        </w:p>
                      </w:txbxContent>
                    </wps:txbx>
                    <wps:bodyPr rot="0" vert="horz" wrap="square" lIns="0" tIns="0" rIns="0" bIns="0" anchor="t" anchorCtr="0"/>
                  </wps:wsp>
                </a:graphicData>
              </a:graphic>
            </wp:anchor>
          </w:drawing>
        </mc:Choice>
        <mc:Fallback>
          <w:pict>
            <v:shape id="文本框 17" o:spid="_x0000_s1026" o:spt="202" type="#_x0000_t202" style="position:absolute;left:0pt;margin-top:-0.9pt;height:23.4pt;width:90pt;mso-position-horizontal:center;mso-position-horizontal-relative:margin;z-index:251662336;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wjZsbVAAAABgEA&#10;AA8AAAAAAAAAAQAgAAAAIgAAAGRycy9kb3ducmV2LnhtbFBLAQIUABQAAAAIAIdO4kBJFhII5AEA&#10;ALoDAAAOAAAAAAAAAAEAIAAAACQBAABkcnMvZTJvRG9jLnhtbFBLBQYAAAAABgAGAFkBAAB6BQAA&#10;AAA=&#10;">
              <v:fill on="f" focussize="0,0"/>
              <v:stroke on="f" weight="1.25pt"/>
              <v:imagedata o:title=""/>
              <o:lock v:ext="edit" aspectratio="f"/>
              <v:textbox inset="0mm,0mm,0mm,0mm">
                <w:txbxContent>
                  <w:p>
                    <w:pPr>
                      <w:pStyle w:val="2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137</w:t>
                          </w:r>
                          <w:r>
                            <w:rPr>
                              <w:rFonts w:hint="eastAsia"/>
                              <w:sz w:val="18"/>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3MqidIBAACkAwAADgAAAAAAAAABACAAAAAfAQAA&#10;ZHJzL2Uyb0RvYy54bWxQSwUGAAAAAAYABgBZAQAAY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137</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590" w:firstLineChars="2550"/>
      <w:rPr>
        <w:color w:val="FFFFFF"/>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I4/A&#10;FeoBAADSAwAADgAAAAAAAAABACAAAAAiAQAAZHJzL2Uyb0RvYy54bWxQSwUGAAAAAAYABgBZAQAA&#10;fgUAAAAA&#10;">
              <v:fill on="f" focussize="0,0"/>
              <v:stroke on="f" weight="1.25pt"/>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238</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NNHVjIAQAAmgMAAA4AAAAAAAAAAQAgAAAAHgEAAGRycy9lMm9Eb2Mu&#10;eG1sUEsFBgAAAAAGAAYAWQEAAFg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27"/>
                          </w:pPr>
                          <w:r>
                            <w:fldChar w:fldCharType="begin"/>
                          </w:r>
                          <w:r>
                            <w:instrText xml:space="preserve"> PAGE  \* MERGEFORMAT </w:instrText>
                          </w:r>
                          <w:r>
                            <w:fldChar w:fldCharType="separate"/>
                          </w:r>
                          <w:r>
                            <w:t>261</w:t>
                          </w:r>
                          <w: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ANrMiI0QEAAKQDAAAOAAAAAAAAAAEAIAAAACIB&#10;AABkcnMvZTJvRG9jLnhtbFBLBQYAAAAABgAGAFkBAABlBQAAAAA=&#10;">
              <v:fill on="f" focussize="0,0"/>
              <v:stroke on="f" weight="1pt"/>
              <v:imagedata o:title=""/>
              <o:lock v:ext="edit" aspectratio="f"/>
              <v:textbox inset="0mm,0mm,0mm,0mm" style="mso-fit-shape-to-text:t;">
                <w:txbxContent>
                  <w:p>
                    <w:pPr>
                      <w:pStyle w:val="27"/>
                    </w:pPr>
                    <w:r>
                      <w:fldChar w:fldCharType="begin"/>
                    </w:r>
                    <w:r>
                      <w:instrText xml:space="preserve"> PAGE  \* MERGEFORMAT </w:instrText>
                    </w:r>
                    <w:r>
                      <w:fldChar w:fldCharType="separate"/>
                    </w:r>
                    <w:r>
                      <w:t>261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left" w:pos="205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56F56"/>
    <w:multiLevelType w:val="singleLevel"/>
    <w:tmpl w:val="B4A56F56"/>
    <w:lvl w:ilvl="0" w:tentative="0">
      <w:start w:val="7"/>
      <w:numFmt w:val="chineseCounting"/>
      <w:suff w:val="nothing"/>
      <w:lvlText w:val="%1、"/>
      <w:lvlJc w:val="left"/>
      <w:rPr>
        <w:rFonts w:hint="eastAsia"/>
      </w:rPr>
    </w:lvl>
  </w:abstractNum>
  <w:abstractNum w:abstractNumId="1">
    <w:nsid w:val="CC52B4EA"/>
    <w:multiLevelType w:val="multilevel"/>
    <w:tmpl w:val="CC52B4EA"/>
    <w:lvl w:ilvl="0" w:tentative="0">
      <w:start w:val="1"/>
      <w:numFmt w:val="decimal"/>
      <w:lvlText w:val="%1."/>
      <w:lvlJc w:val="left"/>
      <w:pPr>
        <w:ind w:left="71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C6B917F"/>
    <w:multiLevelType w:val="singleLevel"/>
    <w:tmpl w:val="CC6B917F"/>
    <w:lvl w:ilvl="0" w:tentative="0">
      <w:start w:val="1"/>
      <w:numFmt w:val="decimal"/>
      <w:suff w:val="nothing"/>
      <w:lvlText w:val="%1）"/>
      <w:lvlJc w:val="left"/>
    </w:lvl>
  </w:abstractNum>
  <w:abstractNum w:abstractNumId="3">
    <w:nsid w:val="E17B46C6"/>
    <w:multiLevelType w:val="singleLevel"/>
    <w:tmpl w:val="E17B46C6"/>
    <w:lvl w:ilvl="0" w:tentative="0">
      <w:start w:val="9"/>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suff w:val="space"/>
      <w:lvlText w:val="%2.%3.%4.%5"/>
      <w:lvlJc w:val="left"/>
      <w:pPr>
        <w:ind w:left="284" w:hanging="284"/>
      </w:pPr>
      <w:rPr>
        <w:rFonts w:hint="eastAsia" w:ascii="宋体" w:hAnsi="Times New Roman" w:eastAsia="宋体"/>
        <w:b/>
        <w:i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0000000E"/>
    <w:multiLevelType w:val="singleLevel"/>
    <w:tmpl w:val="0000000E"/>
    <w:lvl w:ilvl="0" w:tentative="0">
      <w:start w:val="1"/>
      <w:numFmt w:val="chineseCounting"/>
      <w:pStyle w:val="12"/>
      <w:suff w:val="space"/>
      <w:lvlText w:val="第%1章"/>
      <w:lvlJc w:val="left"/>
    </w:lvl>
  </w:abstractNum>
  <w:abstractNum w:abstractNumId="8">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6">
    <w:nsid w:val="04742A9C"/>
    <w:multiLevelType w:val="singleLevel"/>
    <w:tmpl w:val="04742A9C"/>
    <w:lvl w:ilvl="0" w:tentative="0">
      <w:start w:val="4"/>
      <w:numFmt w:val="chineseCounting"/>
      <w:suff w:val="nothing"/>
      <w:lvlText w:val="%1、"/>
      <w:lvlJc w:val="left"/>
      <w:rPr>
        <w:rFonts w:hint="eastAsia"/>
      </w:rPr>
    </w:lvl>
  </w:abstractNum>
  <w:abstractNum w:abstractNumId="17">
    <w:nsid w:val="1CFE4557"/>
    <w:multiLevelType w:val="singleLevel"/>
    <w:tmpl w:val="1CFE4557"/>
    <w:lvl w:ilvl="0" w:tentative="0">
      <w:start w:val="1"/>
      <w:numFmt w:val="decimal"/>
      <w:suff w:val="space"/>
      <w:lvlText w:val="(%1)"/>
      <w:lvlJc w:val="left"/>
    </w:lvl>
  </w:abstractNum>
  <w:abstractNum w:abstractNumId="18">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9"/>
      <w:suff w:val="space"/>
      <w:lvlText w:val="%2."/>
      <w:lvlJc w:val="left"/>
      <w:pPr>
        <w:tabs>
          <w:tab w:val="left" w:pos="0"/>
        </w:tabs>
        <w:ind w:left="284" w:firstLine="0"/>
      </w:pPr>
      <w:rPr>
        <w:rFonts w:hint="eastAsia" w:ascii="宋体" w:hAnsi="宋体" w:eastAsia="宋体" w:cs="宋体"/>
      </w:rPr>
    </w:lvl>
    <w:lvl w:ilvl="2" w:tentative="0">
      <w:start w:val="1"/>
      <w:numFmt w:val="decimal"/>
      <w:pStyle w:val="71"/>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64059543"/>
    <w:multiLevelType w:val="singleLevel"/>
    <w:tmpl w:val="64059543"/>
    <w:lvl w:ilvl="0" w:tentative="0">
      <w:start w:val="2"/>
      <w:numFmt w:val="decimal"/>
      <w:suff w:val="nothing"/>
      <w:lvlText w:val="%1．"/>
      <w:lvlJc w:val="left"/>
    </w:lvl>
  </w:abstractNum>
  <w:abstractNum w:abstractNumId="20">
    <w:nsid w:val="643377FD"/>
    <w:multiLevelType w:val="singleLevel"/>
    <w:tmpl w:val="643377FD"/>
    <w:lvl w:ilvl="0" w:tentative="0">
      <w:start w:val="1"/>
      <w:numFmt w:val="lowerLetter"/>
      <w:suff w:val="nothing"/>
      <w:lvlText w:val="%1、"/>
      <w:lvlJc w:val="left"/>
    </w:lvl>
  </w:abstractNum>
  <w:abstractNum w:abstractNumId="21">
    <w:nsid w:val="66709935"/>
    <w:multiLevelType w:val="singleLevel"/>
    <w:tmpl w:val="66709935"/>
    <w:lvl w:ilvl="0" w:tentative="0">
      <w:start w:val="8"/>
      <w:numFmt w:val="decimal"/>
      <w:suff w:val="nothing"/>
      <w:lvlText w:val="%1．"/>
      <w:lvlJc w:val="left"/>
    </w:lvl>
  </w:abstractNum>
  <w:abstractNum w:abstractNumId="22">
    <w:nsid w:val="740654F9"/>
    <w:multiLevelType w:val="singleLevel"/>
    <w:tmpl w:val="740654F9"/>
    <w:lvl w:ilvl="0" w:tentative="0">
      <w:start w:val="1"/>
      <w:numFmt w:val="decimal"/>
      <w:suff w:val="nothing"/>
      <w:lvlText w:val="（%1）"/>
      <w:lvlJc w:val="left"/>
    </w:lvl>
  </w:abstractNum>
  <w:abstractNum w:abstractNumId="23">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7"/>
  </w:num>
  <w:num w:numId="3">
    <w:abstractNumId w:val="18"/>
  </w:num>
  <w:num w:numId="4">
    <w:abstractNumId w:val="21"/>
  </w:num>
  <w:num w:numId="5">
    <w:abstractNumId w:val="4"/>
  </w:num>
  <w:num w:numId="6">
    <w:abstractNumId w:val="22"/>
  </w:num>
  <w:num w:numId="7">
    <w:abstractNumId w:val="20"/>
  </w:num>
  <w:num w:numId="8">
    <w:abstractNumId w:val="19"/>
  </w:num>
  <w:num w:numId="9">
    <w:abstractNumId w:val="1"/>
  </w:num>
  <w:num w:numId="10">
    <w:abstractNumId w:val="17"/>
  </w:num>
  <w:num w:numId="11">
    <w:abstractNumId w:val="23"/>
  </w:num>
  <w:num w:numId="12">
    <w:abstractNumId w:val="5"/>
  </w:num>
  <w:num w:numId="13">
    <w:abstractNumId w:val="13"/>
  </w:num>
  <w:num w:numId="14">
    <w:abstractNumId w:val="9"/>
  </w:num>
  <w:num w:numId="15">
    <w:abstractNumId w:val="2"/>
  </w:num>
  <w:num w:numId="16">
    <w:abstractNumId w:val="3"/>
  </w:num>
  <w:num w:numId="17">
    <w:abstractNumId w:val="10"/>
  </w:num>
  <w:num w:numId="18">
    <w:abstractNumId w:val="11"/>
  </w:num>
  <w:num w:numId="19">
    <w:abstractNumId w:val="14"/>
  </w:num>
  <w:num w:numId="20">
    <w:abstractNumId w:val="12"/>
  </w:num>
  <w:num w:numId="21">
    <w:abstractNumId w:val="15"/>
  </w:num>
  <w:num w:numId="22">
    <w:abstractNumId w:val="8"/>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mY4ZmQ2Y2RhNThjY2JhMzI3NmFjZjM2YTY5MTg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45E8"/>
    <w:rsid w:val="00015040"/>
    <w:rsid w:val="00015931"/>
    <w:rsid w:val="000171CB"/>
    <w:rsid w:val="0001796D"/>
    <w:rsid w:val="000208BC"/>
    <w:rsid w:val="000209DC"/>
    <w:rsid w:val="00024A69"/>
    <w:rsid w:val="000301DE"/>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E71"/>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1E35"/>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53EB"/>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4BE"/>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C9A"/>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64CCE"/>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4D5"/>
    <w:rsid w:val="00487580"/>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50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A7C54"/>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928"/>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0A8"/>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4BF"/>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A6F55"/>
    <w:rsid w:val="00BB09D5"/>
    <w:rsid w:val="00BB20AA"/>
    <w:rsid w:val="00BB2A7D"/>
    <w:rsid w:val="00BB4260"/>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7771E"/>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12FD"/>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253"/>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338"/>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4FD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E6398"/>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358D"/>
    <w:rsid w:val="00F96D53"/>
    <w:rsid w:val="00F97099"/>
    <w:rsid w:val="00F975D3"/>
    <w:rsid w:val="00F978CD"/>
    <w:rsid w:val="00FA1242"/>
    <w:rsid w:val="00FA1CEB"/>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272A80"/>
    <w:rsid w:val="0138518F"/>
    <w:rsid w:val="013D4B60"/>
    <w:rsid w:val="017E0CD4"/>
    <w:rsid w:val="01A6243B"/>
    <w:rsid w:val="01A975FA"/>
    <w:rsid w:val="01B17AD3"/>
    <w:rsid w:val="01FF3414"/>
    <w:rsid w:val="020B4B2E"/>
    <w:rsid w:val="02276623"/>
    <w:rsid w:val="02305C5A"/>
    <w:rsid w:val="023A275E"/>
    <w:rsid w:val="023D61D9"/>
    <w:rsid w:val="024834EF"/>
    <w:rsid w:val="024C396F"/>
    <w:rsid w:val="02AD361F"/>
    <w:rsid w:val="02EC325F"/>
    <w:rsid w:val="02EE5F03"/>
    <w:rsid w:val="030435CA"/>
    <w:rsid w:val="0316724E"/>
    <w:rsid w:val="031F6D59"/>
    <w:rsid w:val="034104E4"/>
    <w:rsid w:val="034512CF"/>
    <w:rsid w:val="03630182"/>
    <w:rsid w:val="0369718D"/>
    <w:rsid w:val="036D416B"/>
    <w:rsid w:val="036E7F6D"/>
    <w:rsid w:val="037B07B2"/>
    <w:rsid w:val="039667A2"/>
    <w:rsid w:val="039C6BC9"/>
    <w:rsid w:val="03A91F09"/>
    <w:rsid w:val="03C42215"/>
    <w:rsid w:val="03D06AB2"/>
    <w:rsid w:val="03D51B83"/>
    <w:rsid w:val="03E43EA8"/>
    <w:rsid w:val="03F238EF"/>
    <w:rsid w:val="03F24DC6"/>
    <w:rsid w:val="03F37758"/>
    <w:rsid w:val="03F509F2"/>
    <w:rsid w:val="03FE70CA"/>
    <w:rsid w:val="04390B08"/>
    <w:rsid w:val="043D6C25"/>
    <w:rsid w:val="044D0E2E"/>
    <w:rsid w:val="04657F2A"/>
    <w:rsid w:val="04673937"/>
    <w:rsid w:val="04697A1A"/>
    <w:rsid w:val="04966335"/>
    <w:rsid w:val="04B564EB"/>
    <w:rsid w:val="04BC5D9C"/>
    <w:rsid w:val="04E968FD"/>
    <w:rsid w:val="050D470B"/>
    <w:rsid w:val="05103C33"/>
    <w:rsid w:val="05120DCD"/>
    <w:rsid w:val="052727D2"/>
    <w:rsid w:val="053955AF"/>
    <w:rsid w:val="0541626C"/>
    <w:rsid w:val="05512F6C"/>
    <w:rsid w:val="056702C8"/>
    <w:rsid w:val="05682476"/>
    <w:rsid w:val="05780411"/>
    <w:rsid w:val="057D43FA"/>
    <w:rsid w:val="058D2943"/>
    <w:rsid w:val="059102CD"/>
    <w:rsid w:val="05C15431"/>
    <w:rsid w:val="05E01F5E"/>
    <w:rsid w:val="062A31D9"/>
    <w:rsid w:val="06382080"/>
    <w:rsid w:val="06954AF6"/>
    <w:rsid w:val="06A21D17"/>
    <w:rsid w:val="06A719C5"/>
    <w:rsid w:val="06B32B01"/>
    <w:rsid w:val="06B45C87"/>
    <w:rsid w:val="06B73083"/>
    <w:rsid w:val="06BA469C"/>
    <w:rsid w:val="06C059F0"/>
    <w:rsid w:val="06D84272"/>
    <w:rsid w:val="06DA3CF9"/>
    <w:rsid w:val="06F53549"/>
    <w:rsid w:val="06FB1C97"/>
    <w:rsid w:val="07351E35"/>
    <w:rsid w:val="07907A6C"/>
    <w:rsid w:val="07923111"/>
    <w:rsid w:val="079408E9"/>
    <w:rsid w:val="07BD5C46"/>
    <w:rsid w:val="07CD3169"/>
    <w:rsid w:val="07D24151"/>
    <w:rsid w:val="07EB22D1"/>
    <w:rsid w:val="08003304"/>
    <w:rsid w:val="08067789"/>
    <w:rsid w:val="0825330C"/>
    <w:rsid w:val="084A1F11"/>
    <w:rsid w:val="084E4E5E"/>
    <w:rsid w:val="084F33CB"/>
    <w:rsid w:val="08500CCB"/>
    <w:rsid w:val="085C4738"/>
    <w:rsid w:val="086B2D25"/>
    <w:rsid w:val="08BB45BC"/>
    <w:rsid w:val="08C173D5"/>
    <w:rsid w:val="08EB4EA1"/>
    <w:rsid w:val="08F63846"/>
    <w:rsid w:val="08FA2F86"/>
    <w:rsid w:val="08FC6C67"/>
    <w:rsid w:val="090175E7"/>
    <w:rsid w:val="09176653"/>
    <w:rsid w:val="09205831"/>
    <w:rsid w:val="093F3C94"/>
    <w:rsid w:val="09493552"/>
    <w:rsid w:val="094A5C8C"/>
    <w:rsid w:val="095A5B83"/>
    <w:rsid w:val="0965293E"/>
    <w:rsid w:val="097C1E98"/>
    <w:rsid w:val="099077F7"/>
    <w:rsid w:val="09B02E2E"/>
    <w:rsid w:val="09B763F1"/>
    <w:rsid w:val="09BF66C0"/>
    <w:rsid w:val="09C120A6"/>
    <w:rsid w:val="09D136C7"/>
    <w:rsid w:val="09D45935"/>
    <w:rsid w:val="09DF5ED2"/>
    <w:rsid w:val="0A085E4A"/>
    <w:rsid w:val="0A111F7C"/>
    <w:rsid w:val="0A1C1A19"/>
    <w:rsid w:val="0A481C84"/>
    <w:rsid w:val="0A4843DF"/>
    <w:rsid w:val="0A6A1286"/>
    <w:rsid w:val="0A7361E8"/>
    <w:rsid w:val="0A7553ED"/>
    <w:rsid w:val="0A8A7BC6"/>
    <w:rsid w:val="0A8E519B"/>
    <w:rsid w:val="0A917D7D"/>
    <w:rsid w:val="0A957D67"/>
    <w:rsid w:val="0AA35975"/>
    <w:rsid w:val="0AA96BA7"/>
    <w:rsid w:val="0AD52896"/>
    <w:rsid w:val="0ADC1380"/>
    <w:rsid w:val="0AE47E42"/>
    <w:rsid w:val="0B2428ED"/>
    <w:rsid w:val="0B262E7E"/>
    <w:rsid w:val="0B321B7D"/>
    <w:rsid w:val="0B60746C"/>
    <w:rsid w:val="0B7218AA"/>
    <w:rsid w:val="0B756CA4"/>
    <w:rsid w:val="0B9B3DDB"/>
    <w:rsid w:val="0BBC0D77"/>
    <w:rsid w:val="0BC31119"/>
    <w:rsid w:val="0BD31C1D"/>
    <w:rsid w:val="0BDB4C3A"/>
    <w:rsid w:val="0BE5635A"/>
    <w:rsid w:val="0C0C564E"/>
    <w:rsid w:val="0C121766"/>
    <w:rsid w:val="0C252478"/>
    <w:rsid w:val="0C3D753B"/>
    <w:rsid w:val="0C623AA6"/>
    <w:rsid w:val="0C654F6B"/>
    <w:rsid w:val="0C803008"/>
    <w:rsid w:val="0C8542F1"/>
    <w:rsid w:val="0C88211D"/>
    <w:rsid w:val="0CCF4ADA"/>
    <w:rsid w:val="0CD41B17"/>
    <w:rsid w:val="0CEB4D54"/>
    <w:rsid w:val="0CF9617A"/>
    <w:rsid w:val="0CFD51A3"/>
    <w:rsid w:val="0D47792E"/>
    <w:rsid w:val="0D6F24EF"/>
    <w:rsid w:val="0D703BC7"/>
    <w:rsid w:val="0D97603C"/>
    <w:rsid w:val="0DBC0E93"/>
    <w:rsid w:val="0DC33667"/>
    <w:rsid w:val="0DED416A"/>
    <w:rsid w:val="0E030797"/>
    <w:rsid w:val="0E0620AA"/>
    <w:rsid w:val="0E1718FF"/>
    <w:rsid w:val="0E305629"/>
    <w:rsid w:val="0E52151F"/>
    <w:rsid w:val="0E5911AE"/>
    <w:rsid w:val="0E763D1A"/>
    <w:rsid w:val="0E8518F4"/>
    <w:rsid w:val="0E966D0C"/>
    <w:rsid w:val="0EB601BD"/>
    <w:rsid w:val="0EC47E38"/>
    <w:rsid w:val="0ED85EC8"/>
    <w:rsid w:val="0EEC0897"/>
    <w:rsid w:val="0F0E792B"/>
    <w:rsid w:val="0F2B0C29"/>
    <w:rsid w:val="0F346E76"/>
    <w:rsid w:val="0F652341"/>
    <w:rsid w:val="0F78713B"/>
    <w:rsid w:val="0F8926C1"/>
    <w:rsid w:val="0F9E75F8"/>
    <w:rsid w:val="0FB3423F"/>
    <w:rsid w:val="0FD540C6"/>
    <w:rsid w:val="0FDC721A"/>
    <w:rsid w:val="0FFA025E"/>
    <w:rsid w:val="10061EB8"/>
    <w:rsid w:val="10256796"/>
    <w:rsid w:val="103C1EC8"/>
    <w:rsid w:val="103F5AD3"/>
    <w:rsid w:val="1041184B"/>
    <w:rsid w:val="105855AB"/>
    <w:rsid w:val="107446C0"/>
    <w:rsid w:val="1086368C"/>
    <w:rsid w:val="108F405E"/>
    <w:rsid w:val="109D078F"/>
    <w:rsid w:val="10A67900"/>
    <w:rsid w:val="10C82F4E"/>
    <w:rsid w:val="10D0776E"/>
    <w:rsid w:val="10EF12A7"/>
    <w:rsid w:val="10EF56FD"/>
    <w:rsid w:val="10F74FC2"/>
    <w:rsid w:val="10F90377"/>
    <w:rsid w:val="110034B4"/>
    <w:rsid w:val="110F36F7"/>
    <w:rsid w:val="11146EB1"/>
    <w:rsid w:val="111C1C2B"/>
    <w:rsid w:val="115B4E23"/>
    <w:rsid w:val="115B5A86"/>
    <w:rsid w:val="115D1DA6"/>
    <w:rsid w:val="11651A69"/>
    <w:rsid w:val="117169C2"/>
    <w:rsid w:val="11757DC9"/>
    <w:rsid w:val="117711F5"/>
    <w:rsid w:val="11805C0F"/>
    <w:rsid w:val="119B6B11"/>
    <w:rsid w:val="11AB70D0"/>
    <w:rsid w:val="11D53C86"/>
    <w:rsid w:val="11DD55A3"/>
    <w:rsid w:val="11E6296C"/>
    <w:rsid w:val="11EA1D1F"/>
    <w:rsid w:val="11ED7E0F"/>
    <w:rsid w:val="11FF497A"/>
    <w:rsid w:val="12106784"/>
    <w:rsid w:val="12293685"/>
    <w:rsid w:val="124342E7"/>
    <w:rsid w:val="12443874"/>
    <w:rsid w:val="12494D8E"/>
    <w:rsid w:val="12633CFA"/>
    <w:rsid w:val="126E56A8"/>
    <w:rsid w:val="127500BF"/>
    <w:rsid w:val="127A580F"/>
    <w:rsid w:val="128B537C"/>
    <w:rsid w:val="12D12D85"/>
    <w:rsid w:val="12D24757"/>
    <w:rsid w:val="12D92CED"/>
    <w:rsid w:val="12E844A3"/>
    <w:rsid w:val="12F519A1"/>
    <w:rsid w:val="12F60BEA"/>
    <w:rsid w:val="12FA3A33"/>
    <w:rsid w:val="12FE1529"/>
    <w:rsid w:val="13001549"/>
    <w:rsid w:val="13033AD5"/>
    <w:rsid w:val="13085C6B"/>
    <w:rsid w:val="131C75ED"/>
    <w:rsid w:val="13294F44"/>
    <w:rsid w:val="133D279D"/>
    <w:rsid w:val="133F3C27"/>
    <w:rsid w:val="134E4840"/>
    <w:rsid w:val="13581C27"/>
    <w:rsid w:val="13587D14"/>
    <w:rsid w:val="135B70C7"/>
    <w:rsid w:val="13625F4D"/>
    <w:rsid w:val="136B6F2A"/>
    <w:rsid w:val="13712447"/>
    <w:rsid w:val="1378132E"/>
    <w:rsid w:val="13854A5E"/>
    <w:rsid w:val="13877AAA"/>
    <w:rsid w:val="13916E35"/>
    <w:rsid w:val="13B14921"/>
    <w:rsid w:val="13B919E1"/>
    <w:rsid w:val="13BA2040"/>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3D13FE"/>
    <w:rsid w:val="154776F1"/>
    <w:rsid w:val="15482C41"/>
    <w:rsid w:val="15974250"/>
    <w:rsid w:val="159E1662"/>
    <w:rsid w:val="15D911DF"/>
    <w:rsid w:val="15DA4B83"/>
    <w:rsid w:val="15ED5A58"/>
    <w:rsid w:val="15F52D8A"/>
    <w:rsid w:val="1602382A"/>
    <w:rsid w:val="162C6CB2"/>
    <w:rsid w:val="163568A5"/>
    <w:rsid w:val="16604583"/>
    <w:rsid w:val="166E068F"/>
    <w:rsid w:val="16777ECD"/>
    <w:rsid w:val="16AF7627"/>
    <w:rsid w:val="16B30809"/>
    <w:rsid w:val="16B32D77"/>
    <w:rsid w:val="16C1304D"/>
    <w:rsid w:val="170D23EB"/>
    <w:rsid w:val="171040E0"/>
    <w:rsid w:val="17195B93"/>
    <w:rsid w:val="17212B98"/>
    <w:rsid w:val="172B2E75"/>
    <w:rsid w:val="176C5A76"/>
    <w:rsid w:val="17856C06"/>
    <w:rsid w:val="179C4A76"/>
    <w:rsid w:val="179C6471"/>
    <w:rsid w:val="17A10052"/>
    <w:rsid w:val="17BE19D3"/>
    <w:rsid w:val="17C646BB"/>
    <w:rsid w:val="17D22FC7"/>
    <w:rsid w:val="17E551B2"/>
    <w:rsid w:val="17EC44B9"/>
    <w:rsid w:val="17FC2CB3"/>
    <w:rsid w:val="18015D13"/>
    <w:rsid w:val="180B47A6"/>
    <w:rsid w:val="18132377"/>
    <w:rsid w:val="181D1C4C"/>
    <w:rsid w:val="18416B0B"/>
    <w:rsid w:val="18420655"/>
    <w:rsid w:val="184F055A"/>
    <w:rsid w:val="18575D65"/>
    <w:rsid w:val="18694749"/>
    <w:rsid w:val="186F023A"/>
    <w:rsid w:val="18711A73"/>
    <w:rsid w:val="187A7FF0"/>
    <w:rsid w:val="1884144D"/>
    <w:rsid w:val="188761F2"/>
    <w:rsid w:val="188931D2"/>
    <w:rsid w:val="188932F1"/>
    <w:rsid w:val="18901D2C"/>
    <w:rsid w:val="18AA4093"/>
    <w:rsid w:val="18BB3C2D"/>
    <w:rsid w:val="18BF1EA7"/>
    <w:rsid w:val="18C3639C"/>
    <w:rsid w:val="18D655F1"/>
    <w:rsid w:val="18DE7568"/>
    <w:rsid w:val="18E4469E"/>
    <w:rsid w:val="18E87F50"/>
    <w:rsid w:val="18ED6702"/>
    <w:rsid w:val="18FD4947"/>
    <w:rsid w:val="190A1374"/>
    <w:rsid w:val="190C1BE7"/>
    <w:rsid w:val="193F5973"/>
    <w:rsid w:val="19442A4D"/>
    <w:rsid w:val="19492AEA"/>
    <w:rsid w:val="194D3AC9"/>
    <w:rsid w:val="196855D2"/>
    <w:rsid w:val="19685F9C"/>
    <w:rsid w:val="197762DD"/>
    <w:rsid w:val="197D5C29"/>
    <w:rsid w:val="19965BB4"/>
    <w:rsid w:val="199B7E1F"/>
    <w:rsid w:val="19D96C4F"/>
    <w:rsid w:val="19E81A6C"/>
    <w:rsid w:val="19EB65F6"/>
    <w:rsid w:val="19EF4EF7"/>
    <w:rsid w:val="19F12F16"/>
    <w:rsid w:val="19F418BE"/>
    <w:rsid w:val="1A0717BC"/>
    <w:rsid w:val="1A1B30B1"/>
    <w:rsid w:val="1A223D60"/>
    <w:rsid w:val="1A2608AF"/>
    <w:rsid w:val="1A361CF4"/>
    <w:rsid w:val="1A473F02"/>
    <w:rsid w:val="1A4C5819"/>
    <w:rsid w:val="1A542F59"/>
    <w:rsid w:val="1A560F87"/>
    <w:rsid w:val="1A807F7F"/>
    <w:rsid w:val="1A9224D0"/>
    <w:rsid w:val="1AC06D68"/>
    <w:rsid w:val="1B1153AE"/>
    <w:rsid w:val="1B2E7BE8"/>
    <w:rsid w:val="1B3404EA"/>
    <w:rsid w:val="1B431208"/>
    <w:rsid w:val="1B651A0F"/>
    <w:rsid w:val="1B65257F"/>
    <w:rsid w:val="1B6D5BEA"/>
    <w:rsid w:val="1B7178E4"/>
    <w:rsid w:val="1B8D5D0B"/>
    <w:rsid w:val="1B990926"/>
    <w:rsid w:val="1BD7136C"/>
    <w:rsid w:val="1BE67190"/>
    <w:rsid w:val="1BE6757E"/>
    <w:rsid w:val="1BEF0C63"/>
    <w:rsid w:val="1C005643"/>
    <w:rsid w:val="1C141D47"/>
    <w:rsid w:val="1C270694"/>
    <w:rsid w:val="1C3103F6"/>
    <w:rsid w:val="1C4155A7"/>
    <w:rsid w:val="1C531F97"/>
    <w:rsid w:val="1C7550F6"/>
    <w:rsid w:val="1C906479"/>
    <w:rsid w:val="1C962F1E"/>
    <w:rsid w:val="1CBD29F9"/>
    <w:rsid w:val="1CF05B1D"/>
    <w:rsid w:val="1CF163A7"/>
    <w:rsid w:val="1CFE4D5B"/>
    <w:rsid w:val="1D035BF9"/>
    <w:rsid w:val="1D0820A6"/>
    <w:rsid w:val="1D136646"/>
    <w:rsid w:val="1D551D12"/>
    <w:rsid w:val="1D5D664C"/>
    <w:rsid w:val="1D5E2780"/>
    <w:rsid w:val="1D65543B"/>
    <w:rsid w:val="1D79243E"/>
    <w:rsid w:val="1D813BCE"/>
    <w:rsid w:val="1DA577ED"/>
    <w:rsid w:val="1DBA69FC"/>
    <w:rsid w:val="1DF3112A"/>
    <w:rsid w:val="1DF747CB"/>
    <w:rsid w:val="1E0823F2"/>
    <w:rsid w:val="1E260E83"/>
    <w:rsid w:val="1E2701AC"/>
    <w:rsid w:val="1E276399"/>
    <w:rsid w:val="1E340C41"/>
    <w:rsid w:val="1E3A3CAF"/>
    <w:rsid w:val="1E4720E7"/>
    <w:rsid w:val="1E4B0FF8"/>
    <w:rsid w:val="1E592A0F"/>
    <w:rsid w:val="1E5D4E56"/>
    <w:rsid w:val="1E6B2139"/>
    <w:rsid w:val="1E7A374E"/>
    <w:rsid w:val="1E7C1C53"/>
    <w:rsid w:val="1E924AE7"/>
    <w:rsid w:val="1EAE6E23"/>
    <w:rsid w:val="1EDA3FAB"/>
    <w:rsid w:val="1EE477A0"/>
    <w:rsid w:val="1EF17ACF"/>
    <w:rsid w:val="1EF46FC2"/>
    <w:rsid w:val="1EF74148"/>
    <w:rsid w:val="1F0E3240"/>
    <w:rsid w:val="1F1C16B0"/>
    <w:rsid w:val="1F3D59A5"/>
    <w:rsid w:val="1F420031"/>
    <w:rsid w:val="1F4257E9"/>
    <w:rsid w:val="1F6850E2"/>
    <w:rsid w:val="1F6C3A98"/>
    <w:rsid w:val="1F6E0D89"/>
    <w:rsid w:val="1F7D25DA"/>
    <w:rsid w:val="1FA63BE5"/>
    <w:rsid w:val="1FB3239E"/>
    <w:rsid w:val="1FBB0D34"/>
    <w:rsid w:val="1FC624D8"/>
    <w:rsid w:val="1FCD0DC2"/>
    <w:rsid w:val="1FDC30F1"/>
    <w:rsid w:val="1FE00A4B"/>
    <w:rsid w:val="1FE50445"/>
    <w:rsid w:val="1FFE2851"/>
    <w:rsid w:val="20014FB8"/>
    <w:rsid w:val="201E5705"/>
    <w:rsid w:val="20505BEE"/>
    <w:rsid w:val="205138AB"/>
    <w:rsid w:val="20683984"/>
    <w:rsid w:val="207F1198"/>
    <w:rsid w:val="2087794C"/>
    <w:rsid w:val="20CC0941"/>
    <w:rsid w:val="20D128F2"/>
    <w:rsid w:val="20E51308"/>
    <w:rsid w:val="20F3093F"/>
    <w:rsid w:val="20F76B2D"/>
    <w:rsid w:val="21016FB2"/>
    <w:rsid w:val="21091931"/>
    <w:rsid w:val="213E2EA1"/>
    <w:rsid w:val="2149055F"/>
    <w:rsid w:val="216F0F77"/>
    <w:rsid w:val="217336E6"/>
    <w:rsid w:val="2194799D"/>
    <w:rsid w:val="21B909B9"/>
    <w:rsid w:val="21BA2AC2"/>
    <w:rsid w:val="21DC13D3"/>
    <w:rsid w:val="21E21C0E"/>
    <w:rsid w:val="21E53673"/>
    <w:rsid w:val="21F5141A"/>
    <w:rsid w:val="21FB74E7"/>
    <w:rsid w:val="220152DE"/>
    <w:rsid w:val="223175B2"/>
    <w:rsid w:val="223A312F"/>
    <w:rsid w:val="224D7B7A"/>
    <w:rsid w:val="225059CB"/>
    <w:rsid w:val="226A3A35"/>
    <w:rsid w:val="22712C34"/>
    <w:rsid w:val="227C4964"/>
    <w:rsid w:val="229413BA"/>
    <w:rsid w:val="22A86252"/>
    <w:rsid w:val="22AA4925"/>
    <w:rsid w:val="22BC02B2"/>
    <w:rsid w:val="22C0677F"/>
    <w:rsid w:val="22DE5F28"/>
    <w:rsid w:val="22E505A2"/>
    <w:rsid w:val="22F866E1"/>
    <w:rsid w:val="230230BC"/>
    <w:rsid w:val="23107AAF"/>
    <w:rsid w:val="231E149A"/>
    <w:rsid w:val="231F6668"/>
    <w:rsid w:val="23362282"/>
    <w:rsid w:val="233E248C"/>
    <w:rsid w:val="234D19E9"/>
    <w:rsid w:val="234F0B1A"/>
    <w:rsid w:val="235B0B5A"/>
    <w:rsid w:val="2372597F"/>
    <w:rsid w:val="2374166C"/>
    <w:rsid w:val="23807611"/>
    <w:rsid w:val="238920BB"/>
    <w:rsid w:val="239A32F4"/>
    <w:rsid w:val="23BE1A45"/>
    <w:rsid w:val="23BE276C"/>
    <w:rsid w:val="23D76713"/>
    <w:rsid w:val="23DD042B"/>
    <w:rsid w:val="23E17175"/>
    <w:rsid w:val="241F1A4B"/>
    <w:rsid w:val="24206146"/>
    <w:rsid w:val="24223E87"/>
    <w:rsid w:val="24341609"/>
    <w:rsid w:val="243C316D"/>
    <w:rsid w:val="24421B74"/>
    <w:rsid w:val="244301A5"/>
    <w:rsid w:val="24457B3A"/>
    <w:rsid w:val="24506626"/>
    <w:rsid w:val="248875F1"/>
    <w:rsid w:val="24905AE4"/>
    <w:rsid w:val="249E6E2F"/>
    <w:rsid w:val="24A00DDE"/>
    <w:rsid w:val="24B108F5"/>
    <w:rsid w:val="24C46FB6"/>
    <w:rsid w:val="24DC44D8"/>
    <w:rsid w:val="24F20F0E"/>
    <w:rsid w:val="250332B8"/>
    <w:rsid w:val="25074187"/>
    <w:rsid w:val="25331BC4"/>
    <w:rsid w:val="25373650"/>
    <w:rsid w:val="2558601D"/>
    <w:rsid w:val="25BE07F9"/>
    <w:rsid w:val="25BF40E0"/>
    <w:rsid w:val="25CB47A5"/>
    <w:rsid w:val="25E83EE0"/>
    <w:rsid w:val="26087016"/>
    <w:rsid w:val="26543C2E"/>
    <w:rsid w:val="265C4507"/>
    <w:rsid w:val="26605B6C"/>
    <w:rsid w:val="26704790"/>
    <w:rsid w:val="268222D7"/>
    <w:rsid w:val="2685203A"/>
    <w:rsid w:val="26950AE8"/>
    <w:rsid w:val="26983290"/>
    <w:rsid w:val="269D5F7D"/>
    <w:rsid w:val="26A128C9"/>
    <w:rsid w:val="26FB0253"/>
    <w:rsid w:val="270A569F"/>
    <w:rsid w:val="27133AE9"/>
    <w:rsid w:val="27164841"/>
    <w:rsid w:val="271D04C4"/>
    <w:rsid w:val="272022CB"/>
    <w:rsid w:val="273852FE"/>
    <w:rsid w:val="273F4CB5"/>
    <w:rsid w:val="27460068"/>
    <w:rsid w:val="274B4C71"/>
    <w:rsid w:val="27506C7C"/>
    <w:rsid w:val="2753161C"/>
    <w:rsid w:val="27590D31"/>
    <w:rsid w:val="27840065"/>
    <w:rsid w:val="27886D81"/>
    <w:rsid w:val="27C2106B"/>
    <w:rsid w:val="27C54369"/>
    <w:rsid w:val="2811449B"/>
    <w:rsid w:val="285511EC"/>
    <w:rsid w:val="28965D63"/>
    <w:rsid w:val="28B70B59"/>
    <w:rsid w:val="28C50E13"/>
    <w:rsid w:val="290477A4"/>
    <w:rsid w:val="29121862"/>
    <w:rsid w:val="29127DD1"/>
    <w:rsid w:val="29142C02"/>
    <w:rsid w:val="2918110F"/>
    <w:rsid w:val="2919237C"/>
    <w:rsid w:val="292C162F"/>
    <w:rsid w:val="293E274E"/>
    <w:rsid w:val="29594084"/>
    <w:rsid w:val="29862A2C"/>
    <w:rsid w:val="298D3BAC"/>
    <w:rsid w:val="298E3718"/>
    <w:rsid w:val="29986A8C"/>
    <w:rsid w:val="29A22F02"/>
    <w:rsid w:val="29C82EAF"/>
    <w:rsid w:val="29EB2594"/>
    <w:rsid w:val="29EC5D17"/>
    <w:rsid w:val="29ED1066"/>
    <w:rsid w:val="2A0D6D35"/>
    <w:rsid w:val="2A17737B"/>
    <w:rsid w:val="2A2008D8"/>
    <w:rsid w:val="2A214516"/>
    <w:rsid w:val="2A3C5105"/>
    <w:rsid w:val="2A430052"/>
    <w:rsid w:val="2A500BB0"/>
    <w:rsid w:val="2A584D21"/>
    <w:rsid w:val="2A614B6C"/>
    <w:rsid w:val="2A616F93"/>
    <w:rsid w:val="2A64367C"/>
    <w:rsid w:val="2A663F31"/>
    <w:rsid w:val="2A6910D3"/>
    <w:rsid w:val="2A6B0855"/>
    <w:rsid w:val="2A6B54EF"/>
    <w:rsid w:val="2A8F792B"/>
    <w:rsid w:val="2A923A78"/>
    <w:rsid w:val="2A954815"/>
    <w:rsid w:val="2A9807F2"/>
    <w:rsid w:val="2A9C4B34"/>
    <w:rsid w:val="2AA83702"/>
    <w:rsid w:val="2ABC3F27"/>
    <w:rsid w:val="2AF14141"/>
    <w:rsid w:val="2B134799"/>
    <w:rsid w:val="2B20653D"/>
    <w:rsid w:val="2B266F08"/>
    <w:rsid w:val="2B44352B"/>
    <w:rsid w:val="2B587219"/>
    <w:rsid w:val="2B601926"/>
    <w:rsid w:val="2B6835F0"/>
    <w:rsid w:val="2B6C7799"/>
    <w:rsid w:val="2B8D23FE"/>
    <w:rsid w:val="2B940739"/>
    <w:rsid w:val="2B954674"/>
    <w:rsid w:val="2BAB173B"/>
    <w:rsid w:val="2BAF4E36"/>
    <w:rsid w:val="2BF95ED1"/>
    <w:rsid w:val="2C016606"/>
    <w:rsid w:val="2C090ED9"/>
    <w:rsid w:val="2C1D00E0"/>
    <w:rsid w:val="2C1F4CDE"/>
    <w:rsid w:val="2C3F012B"/>
    <w:rsid w:val="2C5405D1"/>
    <w:rsid w:val="2C583D4C"/>
    <w:rsid w:val="2C7E2E47"/>
    <w:rsid w:val="2C7F1DCF"/>
    <w:rsid w:val="2C83526D"/>
    <w:rsid w:val="2C8D7E9A"/>
    <w:rsid w:val="2C992645"/>
    <w:rsid w:val="2C9A590A"/>
    <w:rsid w:val="2CA759EA"/>
    <w:rsid w:val="2CA86A82"/>
    <w:rsid w:val="2CB10CA8"/>
    <w:rsid w:val="2CDA515E"/>
    <w:rsid w:val="2CE37ABA"/>
    <w:rsid w:val="2D535EA7"/>
    <w:rsid w:val="2D5F5D06"/>
    <w:rsid w:val="2D6B4743"/>
    <w:rsid w:val="2D6C2E14"/>
    <w:rsid w:val="2D766B80"/>
    <w:rsid w:val="2D8044D3"/>
    <w:rsid w:val="2DA12813"/>
    <w:rsid w:val="2DCD0A11"/>
    <w:rsid w:val="2DE84A63"/>
    <w:rsid w:val="2DEB621C"/>
    <w:rsid w:val="2E0E6DB8"/>
    <w:rsid w:val="2E1D2F05"/>
    <w:rsid w:val="2E22169E"/>
    <w:rsid w:val="2E224612"/>
    <w:rsid w:val="2E231110"/>
    <w:rsid w:val="2E350E71"/>
    <w:rsid w:val="2E3660F5"/>
    <w:rsid w:val="2E415370"/>
    <w:rsid w:val="2E68632E"/>
    <w:rsid w:val="2E7701B7"/>
    <w:rsid w:val="2E811F00"/>
    <w:rsid w:val="2E823EE8"/>
    <w:rsid w:val="2E930EF9"/>
    <w:rsid w:val="2EB140C2"/>
    <w:rsid w:val="2EB57F44"/>
    <w:rsid w:val="2ED10DA9"/>
    <w:rsid w:val="2ED15B5F"/>
    <w:rsid w:val="2EE221E3"/>
    <w:rsid w:val="2F642F4F"/>
    <w:rsid w:val="2F7305E4"/>
    <w:rsid w:val="2F803204"/>
    <w:rsid w:val="2FB3060A"/>
    <w:rsid w:val="2FB93134"/>
    <w:rsid w:val="2FC17E5A"/>
    <w:rsid w:val="2FCE5B1E"/>
    <w:rsid w:val="2FD858D0"/>
    <w:rsid w:val="2FDE7753"/>
    <w:rsid w:val="2FEF0361"/>
    <w:rsid w:val="2FF614EE"/>
    <w:rsid w:val="301A2140"/>
    <w:rsid w:val="30436A9A"/>
    <w:rsid w:val="304C34A3"/>
    <w:rsid w:val="30611B3E"/>
    <w:rsid w:val="306959DD"/>
    <w:rsid w:val="307216B2"/>
    <w:rsid w:val="30A048EF"/>
    <w:rsid w:val="30A21987"/>
    <w:rsid w:val="30AD5BBE"/>
    <w:rsid w:val="30AD61C5"/>
    <w:rsid w:val="30B12B1F"/>
    <w:rsid w:val="30DA2523"/>
    <w:rsid w:val="30E01C54"/>
    <w:rsid w:val="30FE25A7"/>
    <w:rsid w:val="30FF6E8C"/>
    <w:rsid w:val="31140E1D"/>
    <w:rsid w:val="311F752F"/>
    <w:rsid w:val="312C4A57"/>
    <w:rsid w:val="312E593C"/>
    <w:rsid w:val="316D52EA"/>
    <w:rsid w:val="31785216"/>
    <w:rsid w:val="318E3088"/>
    <w:rsid w:val="31944A9C"/>
    <w:rsid w:val="31A17F44"/>
    <w:rsid w:val="32096215"/>
    <w:rsid w:val="320E5953"/>
    <w:rsid w:val="322E5409"/>
    <w:rsid w:val="323954D8"/>
    <w:rsid w:val="323B2882"/>
    <w:rsid w:val="3248318A"/>
    <w:rsid w:val="324B5172"/>
    <w:rsid w:val="325C38FB"/>
    <w:rsid w:val="326C7130"/>
    <w:rsid w:val="328161FB"/>
    <w:rsid w:val="329B2319"/>
    <w:rsid w:val="32A93554"/>
    <w:rsid w:val="32D11EE7"/>
    <w:rsid w:val="32F22ABF"/>
    <w:rsid w:val="332A6465"/>
    <w:rsid w:val="33314EDB"/>
    <w:rsid w:val="334A0FC5"/>
    <w:rsid w:val="335675DB"/>
    <w:rsid w:val="33567C45"/>
    <w:rsid w:val="338036E9"/>
    <w:rsid w:val="339252DF"/>
    <w:rsid w:val="3393661B"/>
    <w:rsid w:val="33941379"/>
    <w:rsid w:val="33970F14"/>
    <w:rsid w:val="33A93C7C"/>
    <w:rsid w:val="33AE1321"/>
    <w:rsid w:val="33CB3314"/>
    <w:rsid w:val="33D90146"/>
    <w:rsid w:val="33DA1999"/>
    <w:rsid w:val="33FA5C92"/>
    <w:rsid w:val="341C2288"/>
    <w:rsid w:val="341F37EA"/>
    <w:rsid w:val="343155AF"/>
    <w:rsid w:val="34485A7E"/>
    <w:rsid w:val="34512F0D"/>
    <w:rsid w:val="345B1B40"/>
    <w:rsid w:val="346239BA"/>
    <w:rsid w:val="346425D6"/>
    <w:rsid w:val="346F3383"/>
    <w:rsid w:val="348F7181"/>
    <w:rsid w:val="34BB131C"/>
    <w:rsid w:val="34C854C1"/>
    <w:rsid w:val="34CB0A62"/>
    <w:rsid w:val="34D42007"/>
    <w:rsid w:val="34E14FC2"/>
    <w:rsid w:val="34FC06A8"/>
    <w:rsid w:val="35006F50"/>
    <w:rsid w:val="35155F52"/>
    <w:rsid w:val="353D61D5"/>
    <w:rsid w:val="354155DB"/>
    <w:rsid w:val="354237EC"/>
    <w:rsid w:val="356A456C"/>
    <w:rsid w:val="35765D46"/>
    <w:rsid w:val="359C1008"/>
    <w:rsid w:val="35A2045C"/>
    <w:rsid w:val="35B932C7"/>
    <w:rsid w:val="35D51966"/>
    <w:rsid w:val="35F4580E"/>
    <w:rsid w:val="361D6083"/>
    <w:rsid w:val="363160E8"/>
    <w:rsid w:val="364A608C"/>
    <w:rsid w:val="364C21A1"/>
    <w:rsid w:val="36981915"/>
    <w:rsid w:val="36A7267E"/>
    <w:rsid w:val="36C02DE4"/>
    <w:rsid w:val="36C46063"/>
    <w:rsid w:val="36EF0964"/>
    <w:rsid w:val="36FA12C5"/>
    <w:rsid w:val="372E0D47"/>
    <w:rsid w:val="373C1E47"/>
    <w:rsid w:val="37487137"/>
    <w:rsid w:val="374F291D"/>
    <w:rsid w:val="376F784C"/>
    <w:rsid w:val="37753AFC"/>
    <w:rsid w:val="37816E64"/>
    <w:rsid w:val="379E4B3A"/>
    <w:rsid w:val="37AE31C5"/>
    <w:rsid w:val="37E7226A"/>
    <w:rsid w:val="37F708BD"/>
    <w:rsid w:val="37FB44BE"/>
    <w:rsid w:val="37FE3B62"/>
    <w:rsid w:val="3807365F"/>
    <w:rsid w:val="38074CAF"/>
    <w:rsid w:val="38841206"/>
    <w:rsid w:val="38842B21"/>
    <w:rsid w:val="388A0F0C"/>
    <w:rsid w:val="388F1F05"/>
    <w:rsid w:val="389A280A"/>
    <w:rsid w:val="38B22A36"/>
    <w:rsid w:val="38B842AB"/>
    <w:rsid w:val="38E21299"/>
    <w:rsid w:val="38E82A6A"/>
    <w:rsid w:val="38E91841"/>
    <w:rsid w:val="38EA21D0"/>
    <w:rsid w:val="38ED5E93"/>
    <w:rsid w:val="390031DA"/>
    <w:rsid w:val="39006B5D"/>
    <w:rsid w:val="390B4877"/>
    <w:rsid w:val="391334D5"/>
    <w:rsid w:val="39745EB7"/>
    <w:rsid w:val="398E2379"/>
    <w:rsid w:val="39904FFE"/>
    <w:rsid w:val="39967A4F"/>
    <w:rsid w:val="39A64349"/>
    <w:rsid w:val="39AA21F8"/>
    <w:rsid w:val="39B373A8"/>
    <w:rsid w:val="39C848E7"/>
    <w:rsid w:val="39D32535"/>
    <w:rsid w:val="39D569DC"/>
    <w:rsid w:val="39E60BE9"/>
    <w:rsid w:val="39F66885"/>
    <w:rsid w:val="3A173289"/>
    <w:rsid w:val="3A2002B9"/>
    <w:rsid w:val="3A3404B8"/>
    <w:rsid w:val="3A5969D7"/>
    <w:rsid w:val="3A615D93"/>
    <w:rsid w:val="3A655FB2"/>
    <w:rsid w:val="3A7D0EFD"/>
    <w:rsid w:val="3A8A2CAF"/>
    <w:rsid w:val="3A8C79E3"/>
    <w:rsid w:val="3A98147F"/>
    <w:rsid w:val="3AA8258A"/>
    <w:rsid w:val="3AB00351"/>
    <w:rsid w:val="3AB02FA5"/>
    <w:rsid w:val="3AE6228D"/>
    <w:rsid w:val="3B1E031B"/>
    <w:rsid w:val="3B20012B"/>
    <w:rsid w:val="3B285155"/>
    <w:rsid w:val="3B3A7D13"/>
    <w:rsid w:val="3B3C43AA"/>
    <w:rsid w:val="3B472B34"/>
    <w:rsid w:val="3B567FF1"/>
    <w:rsid w:val="3B5A4D5F"/>
    <w:rsid w:val="3B7558E0"/>
    <w:rsid w:val="3BAF5DD3"/>
    <w:rsid w:val="3BB56AC5"/>
    <w:rsid w:val="3BCD723F"/>
    <w:rsid w:val="3BE473AB"/>
    <w:rsid w:val="3C1A63FE"/>
    <w:rsid w:val="3C2A1B75"/>
    <w:rsid w:val="3C455744"/>
    <w:rsid w:val="3C5938F5"/>
    <w:rsid w:val="3C59458E"/>
    <w:rsid w:val="3C5B4AA8"/>
    <w:rsid w:val="3C6A70E9"/>
    <w:rsid w:val="3C87185B"/>
    <w:rsid w:val="3CBC1F12"/>
    <w:rsid w:val="3CBD1D89"/>
    <w:rsid w:val="3CDD2030"/>
    <w:rsid w:val="3CE942B0"/>
    <w:rsid w:val="3CF47E52"/>
    <w:rsid w:val="3D001E69"/>
    <w:rsid w:val="3D040AF0"/>
    <w:rsid w:val="3D1309DC"/>
    <w:rsid w:val="3D197528"/>
    <w:rsid w:val="3D3954D4"/>
    <w:rsid w:val="3D497C25"/>
    <w:rsid w:val="3D4D0ABF"/>
    <w:rsid w:val="3D526936"/>
    <w:rsid w:val="3D5C0FE1"/>
    <w:rsid w:val="3D5D11C3"/>
    <w:rsid w:val="3D75235E"/>
    <w:rsid w:val="3D787C3F"/>
    <w:rsid w:val="3D931F15"/>
    <w:rsid w:val="3D954ED7"/>
    <w:rsid w:val="3DBE1EF0"/>
    <w:rsid w:val="3DD218ED"/>
    <w:rsid w:val="3E1D7988"/>
    <w:rsid w:val="3E2640C3"/>
    <w:rsid w:val="3E2829A7"/>
    <w:rsid w:val="3E3D28CD"/>
    <w:rsid w:val="3E490C82"/>
    <w:rsid w:val="3E5766DA"/>
    <w:rsid w:val="3EA87EB5"/>
    <w:rsid w:val="3EAD5738"/>
    <w:rsid w:val="3EAE43A0"/>
    <w:rsid w:val="3EC82FB3"/>
    <w:rsid w:val="3ECD4126"/>
    <w:rsid w:val="3EF42816"/>
    <w:rsid w:val="3EF43DA9"/>
    <w:rsid w:val="3EFE3805"/>
    <w:rsid w:val="3F054809"/>
    <w:rsid w:val="3F280936"/>
    <w:rsid w:val="3F340649"/>
    <w:rsid w:val="3F394E34"/>
    <w:rsid w:val="3F5C0D92"/>
    <w:rsid w:val="3F5D31CC"/>
    <w:rsid w:val="3F892368"/>
    <w:rsid w:val="3F937B2C"/>
    <w:rsid w:val="3FA21419"/>
    <w:rsid w:val="3FC65745"/>
    <w:rsid w:val="3FCB1064"/>
    <w:rsid w:val="3FD37A21"/>
    <w:rsid w:val="3FD528D1"/>
    <w:rsid w:val="3FE060DB"/>
    <w:rsid w:val="3FEF7A43"/>
    <w:rsid w:val="3FF72BDD"/>
    <w:rsid w:val="400C1023"/>
    <w:rsid w:val="40122FCF"/>
    <w:rsid w:val="40185875"/>
    <w:rsid w:val="40391D8F"/>
    <w:rsid w:val="4041301D"/>
    <w:rsid w:val="40770E48"/>
    <w:rsid w:val="407B0539"/>
    <w:rsid w:val="407F2D00"/>
    <w:rsid w:val="409107DD"/>
    <w:rsid w:val="40AB5008"/>
    <w:rsid w:val="40D300F5"/>
    <w:rsid w:val="40D979B2"/>
    <w:rsid w:val="40DE01D9"/>
    <w:rsid w:val="40ED0A97"/>
    <w:rsid w:val="40F830F8"/>
    <w:rsid w:val="41021F4C"/>
    <w:rsid w:val="4113523C"/>
    <w:rsid w:val="41144C6A"/>
    <w:rsid w:val="411B73DB"/>
    <w:rsid w:val="4125450C"/>
    <w:rsid w:val="41524DB6"/>
    <w:rsid w:val="415D7063"/>
    <w:rsid w:val="41794ED2"/>
    <w:rsid w:val="418737DA"/>
    <w:rsid w:val="41973F00"/>
    <w:rsid w:val="41A536F9"/>
    <w:rsid w:val="41AC7E24"/>
    <w:rsid w:val="41C41EBD"/>
    <w:rsid w:val="41D854BE"/>
    <w:rsid w:val="420328B9"/>
    <w:rsid w:val="42112457"/>
    <w:rsid w:val="422F5E98"/>
    <w:rsid w:val="42546C14"/>
    <w:rsid w:val="425C6C61"/>
    <w:rsid w:val="427F1BDB"/>
    <w:rsid w:val="42823509"/>
    <w:rsid w:val="4295155E"/>
    <w:rsid w:val="42AD5D08"/>
    <w:rsid w:val="42B2644E"/>
    <w:rsid w:val="42B51F06"/>
    <w:rsid w:val="42CA5FA0"/>
    <w:rsid w:val="43204077"/>
    <w:rsid w:val="43212C92"/>
    <w:rsid w:val="43287DFF"/>
    <w:rsid w:val="432A2749"/>
    <w:rsid w:val="43382DA2"/>
    <w:rsid w:val="437004DF"/>
    <w:rsid w:val="43717A0B"/>
    <w:rsid w:val="43A67007"/>
    <w:rsid w:val="43A86F10"/>
    <w:rsid w:val="43B330A8"/>
    <w:rsid w:val="43E721D3"/>
    <w:rsid w:val="43EC32A0"/>
    <w:rsid w:val="43ED075C"/>
    <w:rsid w:val="43F54197"/>
    <w:rsid w:val="440E57F4"/>
    <w:rsid w:val="444609F6"/>
    <w:rsid w:val="446A2412"/>
    <w:rsid w:val="446D2DC8"/>
    <w:rsid w:val="44725AF2"/>
    <w:rsid w:val="449A4B87"/>
    <w:rsid w:val="44BA4FD7"/>
    <w:rsid w:val="44BE5822"/>
    <w:rsid w:val="44D51F86"/>
    <w:rsid w:val="44D631F8"/>
    <w:rsid w:val="44E663D7"/>
    <w:rsid w:val="44FD4B3A"/>
    <w:rsid w:val="450E4321"/>
    <w:rsid w:val="451F3201"/>
    <w:rsid w:val="452837C5"/>
    <w:rsid w:val="455D1FCD"/>
    <w:rsid w:val="455F6FCB"/>
    <w:rsid w:val="456F6ED9"/>
    <w:rsid w:val="457D0FE9"/>
    <w:rsid w:val="45844238"/>
    <w:rsid w:val="458B4DE9"/>
    <w:rsid w:val="45916115"/>
    <w:rsid w:val="45A02A9B"/>
    <w:rsid w:val="45C71DDB"/>
    <w:rsid w:val="45D60EF0"/>
    <w:rsid w:val="45D87CB9"/>
    <w:rsid w:val="45DA5C79"/>
    <w:rsid w:val="45F33346"/>
    <w:rsid w:val="45F8591F"/>
    <w:rsid w:val="460346FB"/>
    <w:rsid w:val="46466103"/>
    <w:rsid w:val="464E28BD"/>
    <w:rsid w:val="465A0CE8"/>
    <w:rsid w:val="46636835"/>
    <w:rsid w:val="46733DB2"/>
    <w:rsid w:val="46773555"/>
    <w:rsid w:val="46A07194"/>
    <w:rsid w:val="46A95479"/>
    <w:rsid w:val="46AE4DD2"/>
    <w:rsid w:val="46B34549"/>
    <w:rsid w:val="46B95A90"/>
    <w:rsid w:val="46BA4959"/>
    <w:rsid w:val="46C73B51"/>
    <w:rsid w:val="46D15EB0"/>
    <w:rsid w:val="46D82400"/>
    <w:rsid w:val="46EF0EC3"/>
    <w:rsid w:val="4729480B"/>
    <w:rsid w:val="473A2575"/>
    <w:rsid w:val="474B45FC"/>
    <w:rsid w:val="47590C4D"/>
    <w:rsid w:val="4765490F"/>
    <w:rsid w:val="47705BB8"/>
    <w:rsid w:val="47E04A28"/>
    <w:rsid w:val="47E744AA"/>
    <w:rsid w:val="47FC77AB"/>
    <w:rsid w:val="480451D0"/>
    <w:rsid w:val="48162150"/>
    <w:rsid w:val="48167AE8"/>
    <w:rsid w:val="482A3CF7"/>
    <w:rsid w:val="483738A3"/>
    <w:rsid w:val="48777F4D"/>
    <w:rsid w:val="488162D3"/>
    <w:rsid w:val="488779FB"/>
    <w:rsid w:val="48887540"/>
    <w:rsid w:val="48A42FAD"/>
    <w:rsid w:val="48D32BDC"/>
    <w:rsid w:val="48FA6D19"/>
    <w:rsid w:val="4914489A"/>
    <w:rsid w:val="49184DB0"/>
    <w:rsid w:val="491C0184"/>
    <w:rsid w:val="493039E2"/>
    <w:rsid w:val="4947077A"/>
    <w:rsid w:val="494805CB"/>
    <w:rsid w:val="494D6D05"/>
    <w:rsid w:val="49535B70"/>
    <w:rsid w:val="495938AA"/>
    <w:rsid w:val="495B08F6"/>
    <w:rsid w:val="49782884"/>
    <w:rsid w:val="497F0713"/>
    <w:rsid w:val="498A016F"/>
    <w:rsid w:val="49A04CC0"/>
    <w:rsid w:val="49A061BE"/>
    <w:rsid w:val="49A27D5F"/>
    <w:rsid w:val="49A36CE7"/>
    <w:rsid w:val="49A4245E"/>
    <w:rsid w:val="49B1684A"/>
    <w:rsid w:val="49E5749A"/>
    <w:rsid w:val="49F37F0C"/>
    <w:rsid w:val="49FA4639"/>
    <w:rsid w:val="49FE6B2E"/>
    <w:rsid w:val="4A370F44"/>
    <w:rsid w:val="4A772AFC"/>
    <w:rsid w:val="4A834233"/>
    <w:rsid w:val="4B014E39"/>
    <w:rsid w:val="4B04271D"/>
    <w:rsid w:val="4B2A05A0"/>
    <w:rsid w:val="4B3A23F9"/>
    <w:rsid w:val="4B44006C"/>
    <w:rsid w:val="4B4627DA"/>
    <w:rsid w:val="4B716E2D"/>
    <w:rsid w:val="4B863B11"/>
    <w:rsid w:val="4B94369C"/>
    <w:rsid w:val="4BAE5327"/>
    <w:rsid w:val="4BB67896"/>
    <w:rsid w:val="4BD27220"/>
    <w:rsid w:val="4BF2341E"/>
    <w:rsid w:val="4BFA282F"/>
    <w:rsid w:val="4BFB2A5E"/>
    <w:rsid w:val="4BFB556E"/>
    <w:rsid w:val="4C15710C"/>
    <w:rsid w:val="4C1E3C30"/>
    <w:rsid w:val="4C271CF5"/>
    <w:rsid w:val="4C3D6D8F"/>
    <w:rsid w:val="4C51276D"/>
    <w:rsid w:val="4C612351"/>
    <w:rsid w:val="4CA35AB2"/>
    <w:rsid w:val="4CA5064C"/>
    <w:rsid w:val="4CCE2BC8"/>
    <w:rsid w:val="4CD15548"/>
    <w:rsid w:val="4CD35265"/>
    <w:rsid w:val="4CF15365"/>
    <w:rsid w:val="4D0C12F6"/>
    <w:rsid w:val="4D134C44"/>
    <w:rsid w:val="4D2A6BE7"/>
    <w:rsid w:val="4D4574CF"/>
    <w:rsid w:val="4D494DA1"/>
    <w:rsid w:val="4D4B1038"/>
    <w:rsid w:val="4D4C7C7F"/>
    <w:rsid w:val="4D4D23A2"/>
    <w:rsid w:val="4D5819A6"/>
    <w:rsid w:val="4D637E12"/>
    <w:rsid w:val="4DB50A61"/>
    <w:rsid w:val="4DB528BE"/>
    <w:rsid w:val="4DBA440F"/>
    <w:rsid w:val="4DBF35A7"/>
    <w:rsid w:val="4DD57BC2"/>
    <w:rsid w:val="4DED2BA0"/>
    <w:rsid w:val="4E384E18"/>
    <w:rsid w:val="4E3C59C3"/>
    <w:rsid w:val="4E4A7541"/>
    <w:rsid w:val="4E505B47"/>
    <w:rsid w:val="4E524648"/>
    <w:rsid w:val="4E6A2BCE"/>
    <w:rsid w:val="4E7229C4"/>
    <w:rsid w:val="4E765BA1"/>
    <w:rsid w:val="4E9C79A7"/>
    <w:rsid w:val="4E9D7347"/>
    <w:rsid w:val="4EB42C0C"/>
    <w:rsid w:val="4EC418FE"/>
    <w:rsid w:val="4ED24B8F"/>
    <w:rsid w:val="4EF23C29"/>
    <w:rsid w:val="4EFE38D4"/>
    <w:rsid w:val="4EFE5390"/>
    <w:rsid w:val="4F177F55"/>
    <w:rsid w:val="4F192C84"/>
    <w:rsid w:val="4F351C75"/>
    <w:rsid w:val="4F371313"/>
    <w:rsid w:val="4F3C40D8"/>
    <w:rsid w:val="4F64497A"/>
    <w:rsid w:val="4F675ED1"/>
    <w:rsid w:val="4FBC4E36"/>
    <w:rsid w:val="4FD318AB"/>
    <w:rsid w:val="4FD87D0C"/>
    <w:rsid w:val="502D2C76"/>
    <w:rsid w:val="504466D4"/>
    <w:rsid w:val="50593A6B"/>
    <w:rsid w:val="505D33F6"/>
    <w:rsid w:val="506373B6"/>
    <w:rsid w:val="5066262C"/>
    <w:rsid w:val="50862061"/>
    <w:rsid w:val="508C2401"/>
    <w:rsid w:val="50AC243E"/>
    <w:rsid w:val="50E23A41"/>
    <w:rsid w:val="50E96241"/>
    <w:rsid w:val="51095DF3"/>
    <w:rsid w:val="511E4826"/>
    <w:rsid w:val="512548F2"/>
    <w:rsid w:val="512879D2"/>
    <w:rsid w:val="512F31D9"/>
    <w:rsid w:val="513D0E6F"/>
    <w:rsid w:val="514A4F1E"/>
    <w:rsid w:val="514C4457"/>
    <w:rsid w:val="517A6384"/>
    <w:rsid w:val="519252C5"/>
    <w:rsid w:val="51A451BA"/>
    <w:rsid w:val="51AF03DA"/>
    <w:rsid w:val="51B05DB2"/>
    <w:rsid w:val="51BF0246"/>
    <w:rsid w:val="51C4517F"/>
    <w:rsid w:val="51C759C9"/>
    <w:rsid w:val="51F8488A"/>
    <w:rsid w:val="52082D3C"/>
    <w:rsid w:val="52222EB5"/>
    <w:rsid w:val="52321763"/>
    <w:rsid w:val="524A0F73"/>
    <w:rsid w:val="524C41A5"/>
    <w:rsid w:val="529B31C7"/>
    <w:rsid w:val="52A13B73"/>
    <w:rsid w:val="52A24537"/>
    <w:rsid w:val="52ED6FB1"/>
    <w:rsid w:val="52FB049E"/>
    <w:rsid w:val="52FC6541"/>
    <w:rsid w:val="53016F33"/>
    <w:rsid w:val="53065675"/>
    <w:rsid w:val="533146A8"/>
    <w:rsid w:val="533B3826"/>
    <w:rsid w:val="534A7FE3"/>
    <w:rsid w:val="534F0BAB"/>
    <w:rsid w:val="536F7A4A"/>
    <w:rsid w:val="53A771E4"/>
    <w:rsid w:val="53B06C4C"/>
    <w:rsid w:val="53C53E12"/>
    <w:rsid w:val="53C5766A"/>
    <w:rsid w:val="53E421E6"/>
    <w:rsid w:val="53F54A09"/>
    <w:rsid w:val="540061C5"/>
    <w:rsid w:val="540627A3"/>
    <w:rsid w:val="54163097"/>
    <w:rsid w:val="544F7544"/>
    <w:rsid w:val="545D3F1C"/>
    <w:rsid w:val="546B4490"/>
    <w:rsid w:val="546C7AF6"/>
    <w:rsid w:val="54753AA5"/>
    <w:rsid w:val="54830907"/>
    <w:rsid w:val="54837309"/>
    <w:rsid w:val="54CC31B5"/>
    <w:rsid w:val="54EC025D"/>
    <w:rsid w:val="54F53A05"/>
    <w:rsid w:val="550A2531"/>
    <w:rsid w:val="550C72B7"/>
    <w:rsid w:val="55321795"/>
    <w:rsid w:val="554259E1"/>
    <w:rsid w:val="554B168C"/>
    <w:rsid w:val="55553E18"/>
    <w:rsid w:val="55595E36"/>
    <w:rsid w:val="555F38B9"/>
    <w:rsid w:val="55633C1C"/>
    <w:rsid w:val="556825AC"/>
    <w:rsid w:val="5576055B"/>
    <w:rsid w:val="557E12E2"/>
    <w:rsid w:val="55A501C4"/>
    <w:rsid w:val="55AF7E22"/>
    <w:rsid w:val="55C43A6D"/>
    <w:rsid w:val="55D85898"/>
    <w:rsid w:val="55E87B1A"/>
    <w:rsid w:val="56010B19"/>
    <w:rsid w:val="564505A1"/>
    <w:rsid w:val="564A6B43"/>
    <w:rsid w:val="565C2231"/>
    <w:rsid w:val="565F394E"/>
    <w:rsid w:val="568A6C6F"/>
    <w:rsid w:val="56933A4F"/>
    <w:rsid w:val="569B2050"/>
    <w:rsid w:val="56A83D23"/>
    <w:rsid w:val="56C21867"/>
    <w:rsid w:val="57084AE0"/>
    <w:rsid w:val="57164A47"/>
    <w:rsid w:val="571C3D6B"/>
    <w:rsid w:val="571F452A"/>
    <w:rsid w:val="571F7891"/>
    <w:rsid w:val="572343A9"/>
    <w:rsid w:val="572D48DD"/>
    <w:rsid w:val="572D5C52"/>
    <w:rsid w:val="57553846"/>
    <w:rsid w:val="5756180B"/>
    <w:rsid w:val="5762159B"/>
    <w:rsid w:val="577216B2"/>
    <w:rsid w:val="579509C7"/>
    <w:rsid w:val="579D553A"/>
    <w:rsid w:val="57A973C0"/>
    <w:rsid w:val="57AD7AE7"/>
    <w:rsid w:val="57B57363"/>
    <w:rsid w:val="57B62CE2"/>
    <w:rsid w:val="57B92419"/>
    <w:rsid w:val="57BA5086"/>
    <w:rsid w:val="57C10684"/>
    <w:rsid w:val="57CC2F54"/>
    <w:rsid w:val="57CC7219"/>
    <w:rsid w:val="57CF18FE"/>
    <w:rsid w:val="57E2382A"/>
    <w:rsid w:val="57E36310"/>
    <w:rsid w:val="57E43CE6"/>
    <w:rsid w:val="58067046"/>
    <w:rsid w:val="582346FA"/>
    <w:rsid w:val="58277A16"/>
    <w:rsid w:val="58310E71"/>
    <w:rsid w:val="58437985"/>
    <w:rsid w:val="585E590B"/>
    <w:rsid w:val="58B24473"/>
    <w:rsid w:val="58C06DD0"/>
    <w:rsid w:val="58CE6FC1"/>
    <w:rsid w:val="58D13E39"/>
    <w:rsid w:val="58E5035E"/>
    <w:rsid w:val="58FA6008"/>
    <w:rsid w:val="590734FB"/>
    <w:rsid w:val="591907F4"/>
    <w:rsid w:val="593836A9"/>
    <w:rsid w:val="594B0F85"/>
    <w:rsid w:val="59567793"/>
    <w:rsid w:val="595A43BE"/>
    <w:rsid w:val="599B50F5"/>
    <w:rsid w:val="59C96D08"/>
    <w:rsid w:val="59D61290"/>
    <w:rsid w:val="59DF6694"/>
    <w:rsid w:val="5A0E69B6"/>
    <w:rsid w:val="5A0F163F"/>
    <w:rsid w:val="5A167109"/>
    <w:rsid w:val="5A236E98"/>
    <w:rsid w:val="5A5C23B6"/>
    <w:rsid w:val="5A960290"/>
    <w:rsid w:val="5AAE70AA"/>
    <w:rsid w:val="5ADC2449"/>
    <w:rsid w:val="5AFB40DB"/>
    <w:rsid w:val="5B0A6270"/>
    <w:rsid w:val="5B4A4C11"/>
    <w:rsid w:val="5B4B66A7"/>
    <w:rsid w:val="5B74386F"/>
    <w:rsid w:val="5B881776"/>
    <w:rsid w:val="5B8A5692"/>
    <w:rsid w:val="5B8C30E2"/>
    <w:rsid w:val="5BAD71F7"/>
    <w:rsid w:val="5BB57706"/>
    <w:rsid w:val="5BF46D3E"/>
    <w:rsid w:val="5C2D0EE9"/>
    <w:rsid w:val="5C553C81"/>
    <w:rsid w:val="5C6A19F9"/>
    <w:rsid w:val="5C6B2683"/>
    <w:rsid w:val="5C7C6288"/>
    <w:rsid w:val="5C890AEE"/>
    <w:rsid w:val="5C9B365E"/>
    <w:rsid w:val="5CB151DB"/>
    <w:rsid w:val="5CB80C32"/>
    <w:rsid w:val="5CBF734C"/>
    <w:rsid w:val="5CD25402"/>
    <w:rsid w:val="5CE449B3"/>
    <w:rsid w:val="5CE97BA7"/>
    <w:rsid w:val="5CFD7258"/>
    <w:rsid w:val="5D2C7548"/>
    <w:rsid w:val="5D4351CF"/>
    <w:rsid w:val="5DA830AD"/>
    <w:rsid w:val="5DC80482"/>
    <w:rsid w:val="5DD4742E"/>
    <w:rsid w:val="5DE64A71"/>
    <w:rsid w:val="5DE64B7D"/>
    <w:rsid w:val="5E08142B"/>
    <w:rsid w:val="5E0A7679"/>
    <w:rsid w:val="5E253B1C"/>
    <w:rsid w:val="5E254310"/>
    <w:rsid w:val="5E34491B"/>
    <w:rsid w:val="5E5000B4"/>
    <w:rsid w:val="5E52592E"/>
    <w:rsid w:val="5E5D7F21"/>
    <w:rsid w:val="5E7E6D93"/>
    <w:rsid w:val="5E9E02C7"/>
    <w:rsid w:val="5EA552F2"/>
    <w:rsid w:val="5EBC0561"/>
    <w:rsid w:val="5EC11B7F"/>
    <w:rsid w:val="5ED0552E"/>
    <w:rsid w:val="5EE43A05"/>
    <w:rsid w:val="5EF4181F"/>
    <w:rsid w:val="5F311F0D"/>
    <w:rsid w:val="5F376D86"/>
    <w:rsid w:val="5F571ABE"/>
    <w:rsid w:val="5F7E1A8C"/>
    <w:rsid w:val="5F8B5DFF"/>
    <w:rsid w:val="5F904BC5"/>
    <w:rsid w:val="5FA35296"/>
    <w:rsid w:val="5FA55B60"/>
    <w:rsid w:val="5FCA2AC0"/>
    <w:rsid w:val="5FCC305F"/>
    <w:rsid w:val="5FE0450C"/>
    <w:rsid w:val="60011A2A"/>
    <w:rsid w:val="60042075"/>
    <w:rsid w:val="602D3ADF"/>
    <w:rsid w:val="603E2C7E"/>
    <w:rsid w:val="60571300"/>
    <w:rsid w:val="606D72B0"/>
    <w:rsid w:val="6075257A"/>
    <w:rsid w:val="607D01A8"/>
    <w:rsid w:val="60814B98"/>
    <w:rsid w:val="608647FB"/>
    <w:rsid w:val="60B506D1"/>
    <w:rsid w:val="60BC5C6D"/>
    <w:rsid w:val="60CB69E6"/>
    <w:rsid w:val="60D33784"/>
    <w:rsid w:val="60D57D69"/>
    <w:rsid w:val="60EC35BF"/>
    <w:rsid w:val="60FF065F"/>
    <w:rsid w:val="610120A5"/>
    <w:rsid w:val="61102184"/>
    <w:rsid w:val="61123C94"/>
    <w:rsid w:val="612B4734"/>
    <w:rsid w:val="61711018"/>
    <w:rsid w:val="617F2857"/>
    <w:rsid w:val="61843050"/>
    <w:rsid w:val="61864830"/>
    <w:rsid w:val="619A276D"/>
    <w:rsid w:val="61A11B98"/>
    <w:rsid w:val="61AA41D8"/>
    <w:rsid w:val="61AB534D"/>
    <w:rsid w:val="61B4420E"/>
    <w:rsid w:val="61B551C2"/>
    <w:rsid w:val="61BB06B6"/>
    <w:rsid w:val="61C45773"/>
    <w:rsid w:val="61F71336"/>
    <w:rsid w:val="623E3C23"/>
    <w:rsid w:val="624E31D0"/>
    <w:rsid w:val="62622DFB"/>
    <w:rsid w:val="627363E3"/>
    <w:rsid w:val="62754788"/>
    <w:rsid w:val="627703DF"/>
    <w:rsid w:val="62786AC1"/>
    <w:rsid w:val="62C06CDE"/>
    <w:rsid w:val="62C14866"/>
    <w:rsid w:val="62D548D4"/>
    <w:rsid w:val="62DD052C"/>
    <w:rsid w:val="62E21FE6"/>
    <w:rsid w:val="632D66D7"/>
    <w:rsid w:val="634D2A92"/>
    <w:rsid w:val="635348C2"/>
    <w:rsid w:val="636C18B0"/>
    <w:rsid w:val="637A5594"/>
    <w:rsid w:val="637F25EE"/>
    <w:rsid w:val="63C17E4E"/>
    <w:rsid w:val="63C31359"/>
    <w:rsid w:val="63D211A0"/>
    <w:rsid w:val="63D31079"/>
    <w:rsid w:val="640B10C9"/>
    <w:rsid w:val="641205E0"/>
    <w:rsid w:val="641B2B1B"/>
    <w:rsid w:val="6432186F"/>
    <w:rsid w:val="643423CE"/>
    <w:rsid w:val="64364712"/>
    <w:rsid w:val="64406FC4"/>
    <w:rsid w:val="6445282D"/>
    <w:rsid w:val="644F5CEA"/>
    <w:rsid w:val="645171A5"/>
    <w:rsid w:val="646E4F44"/>
    <w:rsid w:val="646F086E"/>
    <w:rsid w:val="64A26B90"/>
    <w:rsid w:val="64AB6568"/>
    <w:rsid w:val="64C30E6C"/>
    <w:rsid w:val="64C33752"/>
    <w:rsid w:val="64DB1ED4"/>
    <w:rsid w:val="64DE5BE0"/>
    <w:rsid w:val="64E82BC8"/>
    <w:rsid w:val="65093FB7"/>
    <w:rsid w:val="65183A9D"/>
    <w:rsid w:val="6520139B"/>
    <w:rsid w:val="652354C5"/>
    <w:rsid w:val="6524339F"/>
    <w:rsid w:val="65355DF9"/>
    <w:rsid w:val="65532DA0"/>
    <w:rsid w:val="656A6EA9"/>
    <w:rsid w:val="657E5DC6"/>
    <w:rsid w:val="65A00B3D"/>
    <w:rsid w:val="65AD581B"/>
    <w:rsid w:val="66061B48"/>
    <w:rsid w:val="662C6A34"/>
    <w:rsid w:val="664277CD"/>
    <w:rsid w:val="66632596"/>
    <w:rsid w:val="6695111E"/>
    <w:rsid w:val="66974E96"/>
    <w:rsid w:val="670F0ED0"/>
    <w:rsid w:val="671543CB"/>
    <w:rsid w:val="671E7669"/>
    <w:rsid w:val="676E57FB"/>
    <w:rsid w:val="677C4AF0"/>
    <w:rsid w:val="677C5A1E"/>
    <w:rsid w:val="67920713"/>
    <w:rsid w:val="67A22C39"/>
    <w:rsid w:val="67A36CA4"/>
    <w:rsid w:val="67B101D9"/>
    <w:rsid w:val="67B32D00"/>
    <w:rsid w:val="67C432B5"/>
    <w:rsid w:val="67C51CD1"/>
    <w:rsid w:val="67CA3576"/>
    <w:rsid w:val="680F708F"/>
    <w:rsid w:val="68245CC5"/>
    <w:rsid w:val="68755B25"/>
    <w:rsid w:val="689768A9"/>
    <w:rsid w:val="68DA10C7"/>
    <w:rsid w:val="69024E7D"/>
    <w:rsid w:val="690422F9"/>
    <w:rsid w:val="691D2949"/>
    <w:rsid w:val="692B3EEB"/>
    <w:rsid w:val="69511659"/>
    <w:rsid w:val="695F01B3"/>
    <w:rsid w:val="69652819"/>
    <w:rsid w:val="69740E9C"/>
    <w:rsid w:val="697B2A2E"/>
    <w:rsid w:val="698B3B86"/>
    <w:rsid w:val="699464E8"/>
    <w:rsid w:val="6998164F"/>
    <w:rsid w:val="699A7177"/>
    <w:rsid w:val="69A14E6A"/>
    <w:rsid w:val="69AA4EE0"/>
    <w:rsid w:val="69C82FD4"/>
    <w:rsid w:val="69F63CC2"/>
    <w:rsid w:val="69F76F06"/>
    <w:rsid w:val="69F95788"/>
    <w:rsid w:val="6A111A69"/>
    <w:rsid w:val="6A3912BA"/>
    <w:rsid w:val="6A394390"/>
    <w:rsid w:val="6A3B3C33"/>
    <w:rsid w:val="6A3D46F4"/>
    <w:rsid w:val="6A4315BC"/>
    <w:rsid w:val="6A476285"/>
    <w:rsid w:val="6A6A21F1"/>
    <w:rsid w:val="6A9260A0"/>
    <w:rsid w:val="6ABF2745"/>
    <w:rsid w:val="6AC052DF"/>
    <w:rsid w:val="6AC364B9"/>
    <w:rsid w:val="6AE44704"/>
    <w:rsid w:val="6AE54422"/>
    <w:rsid w:val="6AF16CA1"/>
    <w:rsid w:val="6B0A346D"/>
    <w:rsid w:val="6B1C2F58"/>
    <w:rsid w:val="6B2253AA"/>
    <w:rsid w:val="6B286A04"/>
    <w:rsid w:val="6B465884"/>
    <w:rsid w:val="6B74167C"/>
    <w:rsid w:val="6B8D3D19"/>
    <w:rsid w:val="6B936732"/>
    <w:rsid w:val="6B936945"/>
    <w:rsid w:val="6B96571C"/>
    <w:rsid w:val="6B9F1C3E"/>
    <w:rsid w:val="6BC64C77"/>
    <w:rsid w:val="6BC66E8F"/>
    <w:rsid w:val="6C0F274B"/>
    <w:rsid w:val="6C134FBF"/>
    <w:rsid w:val="6C6A090B"/>
    <w:rsid w:val="6C6D2921"/>
    <w:rsid w:val="6C73344A"/>
    <w:rsid w:val="6C746E94"/>
    <w:rsid w:val="6C7546AC"/>
    <w:rsid w:val="6C8031E6"/>
    <w:rsid w:val="6C8C60E1"/>
    <w:rsid w:val="6CD10828"/>
    <w:rsid w:val="6CFC50C6"/>
    <w:rsid w:val="6D0A63C2"/>
    <w:rsid w:val="6D1024A0"/>
    <w:rsid w:val="6D1A5002"/>
    <w:rsid w:val="6D435C50"/>
    <w:rsid w:val="6D4C602D"/>
    <w:rsid w:val="6D613BD6"/>
    <w:rsid w:val="6D8406BF"/>
    <w:rsid w:val="6D84290A"/>
    <w:rsid w:val="6D8A5D00"/>
    <w:rsid w:val="6D8E6FF3"/>
    <w:rsid w:val="6D943BF5"/>
    <w:rsid w:val="6D9F66CF"/>
    <w:rsid w:val="6DA343EE"/>
    <w:rsid w:val="6DA4704F"/>
    <w:rsid w:val="6DA472EF"/>
    <w:rsid w:val="6DCC18C9"/>
    <w:rsid w:val="6DDF442E"/>
    <w:rsid w:val="6DE4571A"/>
    <w:rsid w:val="6DF66946"/>
    <w:rsid w:val="6DFD138C"/>
    <w:rsid w:val="6E071901"/>
    <w:rsid w:val="6E0728D3"/>
    <w:rsid w:val="6E2C6902"/>
    <w:rsid w:val="6E511782"/>
    <w:rsid w:val="6E5813AF"/>
    <w:rsid w:val="6E6E2980"/>
    <w:rsid w:val="6E8F004B"/>
    <w:rsid w:val="6EAC7DB2"/>
    <w:rsid w:val="6EBE1783"/>
    <w:rsid w:val="6ED924EF"/>
    <w:rsid w:val="6EF92F92"/>
    <w:rsid w:val="6F1B634E"/>
    <w:rsid w:val="6F2179F2"/>
    <w:rsid w:val="6F2B2066"/>
    <w:rsid w:val="6F3632F9"/>
    <w:rsid w:val="6F497D22"/>
    <w:rsid w:val="6F50628D"/>
    <w:rsid w:val="6F585DD6"/>
    <w:rsid w:val="6F7B6738"/>
    <w:rsid w:val="6F832748"/>
    <w:rsid w:val="6FC85E76"/>
    <w:rsid w:val="6FD664F7"/>
    <w:rsid w:val="6FD874F0"/>
    <w:rsid w:val="701200B7"/>
    <w:rsid w:val="701B2694"/>
    <w:rsid w:val="70333E81"/>
    <w:rsid w:val="70334479"/>
    <w:rsid w:val="706031F7"/>
    <w:rsid w:val="70671D7D"/>
    <w:rsid w:val="706A5BC3"/>
    <w:rsid w:val="707D6FDF"/>
    <w:rsid w:val="70824DD6"/>
    <w:rsid w:val="70931E99"/>
    <w:rsid w:val="70B91B22"/>
    <w:rsid w:val="70DA7C73"/>
    <w:rsid w:val="70DF1913"/>
    <w:rsid w:val="70DF571C"/>
    <w:rsid w:val="70E21403"/>
    <w:rsid w:val="70EC49AE"/>
    <w:rsid w:val="70F21646"/>
    <w:rsid w:val="70FA17E5"/>
    <w:rsid w:val="7102107D"/>
    <w:rsid w:val="71241A1C"/>
    <w:rsid w:val="71466F47"/>
    <w:rsid w:val="71650526"/>
    <w:rsid w:val="716F2C97"/>
    <w:rsid w:val="71785BF6"/>
    <w:rsid w:val="718017AD"/>
    <w:rsid w:val="71954FDA"/>
    <w:rsid w:val="71A63DB4"/>
    <w:rsid w:val="71A861A9"/>
    <w:rsid w:val="71B22C2F"/>
    <w:rsid w:val="71CE7119"/>
    <w:rsid w:val="71DA1B12"/>
    <w:rsid w:val="71EC253A"/>
    <w:rsid w:val="7212699F"/>
    <w:rsid w:val="7225308B"/>
    <w:rsid w:val="724C0C12"/>
    <w:rsid w:val="72526028"/>
    <w:rsid w:val="72555A55"/>
    <w:rsid w:val="72586C7B"/>
    <w:rsid w:val="72797CB1"/>
    <w:rsid w:val="72982221"/>
    <w:rsid w:val="72AA4D7A"/>
    <w:rsid w:val="72BD03A7"/>
    <w:rsid w:val="72C14665"/>
    <w:rsid w:val="72D65B7D"/>
    <w:rsid w:val="72FC49FE"/>
    <w:rsid w:val="73086358"/>
    <w:rsid w:val="732D4A53"/>
    <w:rsid w:val="7330362D"/>
    <w:rsid w:val="733851B2"/>
    <w:rsid w:val="733B500C"/>
    <w:rsid w:val="73770529"/>
    <w:rsid w:val="73800B33"/>
    <w:rsid w:val="73804C5E"/>
    <w:rsid w:val="7381115D"/>
    <w:rsid w:val="738B680C"/>
    <w:rsid w:val="73A57998"/>
    <w:rsid w:val="73C03C7E"/>
    <w:rsid w:val="73C97E80"/>
    <w:rsid w:val="74086509"/>
    <w:rsid w:val="740F250F"/>
    <w:rsid w:val="74323B10"/>
    <w:rsid w:val="7439758C"/>
    <w:rsid w:val="747E0B22"/>
    <w:rsid w:val="74891470"/>
    <w:rsid w:val="74934EEE"/>
    <w:rsid w:val="74BD3280"/>
    <w:rsid w:val="74FE7006"/>
    <w:rsid w:val="75196DE5"/>
    <w:rsid w:val="7521181E"/>
    <w:rsid w:val="756264EB"/>
    <w:rsid w:val="756579A3"/>
    <w:rsid w:val="75871421"/>
    <w:rsid w:val="758E41ED"/>
    <w:rsid w:val="75A35ED5"/>
    <w:rsid w:val="75A52DA7"/>
    <w:rsid w:val="75BB4E6B"/>
    <w:rsid w:val="75D14529"/>
    <w:rsid w:val="75D719B2"/>
    <w:rsid w:val="75D752AF"/>
    <w:rsid w:val="75DA62B7"/>
    <w:rsid w:val="75E36C9A"/>
    <w:rsid w:val="760B4F58"/>
    <w:rsid w:val="76161FE7"/>
    <w:rsid w:val="7616399E"/>
    <w:rsid w:val="76177D7F"/>
    <w:rsid w:val="765A4445"/>
    <w:rsid w:val="76665235"/>
    <w:rsid w:val="769F4581"/>
    <w:rsid w:val="76A66638"/>
    <w:rsid w:val="76AB2C13"/>
    <w:rsid w:val="76B1227C"/>
    <w:rsid w:val="76BF2EA4"/>
    <w:rsid w:val="76DA7E70"/>
    <w:rsid w:val="76FA4CC1"/>
    <w:rsid w:val="770F092C"/>
    <w:rsid w:val="771A35DE"/>
    <w:rsid w:val="77215189"/>
    <w:rsid w:val="77381D7D"/>
    <w:rsid w:val="77414905"/>
    <w:rsid w:val="774310DC"/>
    <w:rsid w:val="77495D38"/>
    <w:rsid w:val="776369E5"/>
    <w:rsid w:val="777165EE"/>
    <w:rsid w:val="77B5498B"/>
    <w:rsid w:val="77C3048F"/>
    <w:rsid w:val="77CC3857"/>
    <w:rsid w:val="77CE6299"/>
    <w:rsid w:val="77E617D9"/>
    <w:rsid w:val="781420EA"/>
    <w:rsid w:val="78225ACD"/>
    <w:rsid w:val="78342545"/>
    <w:rsid w:val="784A1D68"/>
    <w:rsid w:val="785E4EE7"/>
    <w:rsid w:val="786C3FC5"/>
    <w:rsid w:val="78B74E51"/>
    <w:rsid w:val="78DA57B9"/>
    <w:rsid w:val="79241281"/>
    <w:rsid w:val="7925066A"/>
    <w:rsid w:val="792C0369"/>
    <w:rsid w:val="793547C6"/>
    <w:rsid w:val="79542A76"/>
    <w:rsid w:val="79842B92"/>
    <w:rsid w:val="79981665"/>
    <w:rsid w:val="79B02BFF"/>
    <w:rsid w:val="79B61120"/>
    <w:rsid w:val="79BB3FE5"/>
    <w:rsid w:val="79C30024"/>
    <w:rsid w:val="79D51B05"/>
    <w:rsid w:val="79E87A8A"/>
    <w:rsid w:val="79EB1329"/>
    <w:rsid w:val="7A0615F6"/>
    <w:rsid w:val="7A16135A"/>
    <w:rsid w:val="7A167146"/>
    <w:rsid w:val="7A187C44"/>
    <w:rsid w:val="7A1C2659"/>
    <w:rsid w:val="7A323B65"/>
    <w:rsid w:val="7A481DF0"/>
    <w:rsid w:val="7A6835EA"/>
    <w:rsid w:val="7A7728CB"/>
    <w:rsid w:val="7A84375F"/>
    <w:rsid w:val="7A953818"/>
    <w:rsid w:val="7A957049"/>
    <w:rsid w:val="7A957BAA"/>
    <w:rsid w:val="7AA9197D"/>
    <w:rsid w:val="7AB14634"/>
    <w:rsid w:val="7AB61937"/>
    <w:rsid w:val="7ACF6AF1"/>
    <w:rsid w:val="7AE704B1"/>
    <w:rsid w:val="7AEB45F7"/>
    <w:rsid w:val="7B00756F"/>
    <w:rsid w:val="7B205CC3"/>
    <w:rsid w:val="7B4B600C"/>
    <w:rsid w:val="7B4E115C"/>
    <w:rsid w:val="7B58185E"/>
    <w:rsid w:val="7B6B0973"/>
    <w:rsid w:val="7B6D7075"/>
    <w:rsid w:val="7B832B77"/>
    <w:rsid w:val="7B9A08EC"/>
    <w:rsid w:val="7BA774D1"/>
    <w:rsid w:val="7BBA497F"/>
    <w:rsid w:val="7BBD74D2"/>
    <w:rsid w:val="7BED2FF3"/>
    <w:rsid w:val="7BEF49C3"/>
    <w:rsid w:val="7C1879B2"/>
    <w:rsid w:val="7C365845"/>
    <w:rsid w:val="7C60493E"/>
    <w:rsid w:val="7C7D3800"/>
    <w:rsid w:val="7C7F7D49"/>
    <w:rsid w:val="7CAE09CB"/>
    <w:rsid w:val="7CB8291D"/>
    <w:rsid w:val="7CD03434"/>
    <w:rsid w:val="7CD07BCF"/>
    <w:rsid w:val="7CD47EDB"/>
    <w:rsid w:val="7D086B79"/>
    <w:rsid w:val="7D145441"/>
    <w:rsid w:val="7D175464"/>
    <w:rsid w:val="7D300BC9"/>
    <w:rsid w:val="7D4C2883"/>
    <w:rsid w:val="7D54159C"/>
    <w:rsid w:val="7D66553F"/>
    <w:rsid w:val="7D882FD3"/>
    <w:rsid w:val="7D8B7BCC"/>
    <w:rsid w:val="7DC10E09"/>
    <w:rsid w:val="7DCB6E8A"/>
    <w:rsid w:val="7DE20FA2"/>
    <w:rsid w:val="7DFE03FA"/>
    <w:rsid w:val="7E105802"/>
    <w:rsid w:val="7E1F77F3"/>
    <w:rsid w:val="7E4F632A"/>
    <w:rsid w:val="7E63122D"/>
    <w:rsid w:val="7E706E61"/>
    <w:rsid w:val="7E737A61"/>
    <w:rsid w:val="7E7D54BB"/>
    <w:rsid w:val="7E896F3F"/>
    <w:rsid w:val="7E8A476F"/>
    <w:rsid w:val="7EAC7030"/>
    <w:rsid w:val="7EBB42CC"/>
    <w:rsid w:val="7EBE55CA"/>
    <w:rsid w:val="7ECE0404"/>
    <w:rsid w:val="7EFE4F4F"/>
    <w:rsid w:val="7F0C19DE"/>
    <w:rsid w:val="7F1447AA"/>
    <w:rsid w:val="7F343527"/>
    <w:rsid w:val="7F431B5D"/>
    <w:rsid w:val="7F6E0A32"/>
    <w:rsid w:val="7F7B6BEB"/>
    <w:rsid w:val="7FC306CA"/>
    <w:rsid w:val="7FD1331A"/>
    <w:rsid w:val="7FD9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autoRedefine/>
    <w:qFormat/>
    <w:uiPriority w:val="0"/>
    <w:pPr>
      <w:keepNext/>
      <w:keepLines/>
      <w:spacing w:line="578" w:lineRule="auto"/>
      <w:outlineLvl w:val="0"/>
    </w:pPr>
    <w:rPr>
      <w:b/>
      <w:bCs/>
      <w:kern w:val="44"/>
      <w:sz w:val="44"/>
      <w:szCs w:val="44"/>
    </w:rPr>
  </w:style>
  <w:style w:type="paragraph" w:styleId="3">
    <w:name w:val="heading 2"/>
    <w:basedOn w:val="1"/>
    <w:next w:val="1"/>
    <w:link w:val="56"/>
    <w:autoRedefine/>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90"/>
    <w:autoRedefine/>
    <w:qFormat/>
    <w:uiPriority w:val="0"/>
    <w:pPr>
      <w:keepNext/>
      <w:keepLines/>
      <w:spacing w:line="416" w:lineRule="auto"/>
      <w:outlineLvl w:val="2"/>
    </w:pPr>
    <w:rPr>
      <w:b/>
      <w:bCs/>
      <w:sz w:val="32"/>
      <w:szCs w:val="32"/>
    </w:rPr>
  </w:style>
  <w:style w:type="paragraph" w:styleId="5">
    <w:name w:val="heading 4"/>
    <w:basedOn w:val="1"/>
    <w:next w:val="1"/>
    <w:link w:val="97"/>
    <w:autoRedefine/>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line="372" w:lineRule="auto"/>
      <w:outlineLvl w:val="4"/>
    </w:pPr>
    <w:rPr>
      <w:b/>
      <w:sz w:val="28"/>
    </w:rPr>
  </w:style>
  <w:style w:type="paragraph" w:styleId="7">
    <w:name w:val="heading 6"/>
    <w:basedOn w:val="1"/>
    <w:next w:val="1"/>
    <w:autoRedefine/>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8">
    <w:name w:val="heading 8"/>
    <w:basedOn w:val="1"/>
    <w:next w:val="1"/>
    <w:autoRedefine/>
    <w:qFormat/>
    <w:uiPriority w:val="0"/>
    <w:pPr>
      <w:keepNext/>
      <w:keepLines/>
      <w:numPr>
        <w:ilvl w:val="7"/>
        <w:numId w:val="1"/>
      </w:numPr>
      <w:spacing w:line="312" w:lineRule="auto"/>
      <w:outlineLvl w:val="7"/>
    </w:pPr>
    <w:rPr>
      <w:rFonts w:ascii="Arial" w:hAnsi="Arial" w:eastAsia="黑体"/>
      <w:kern w:val="0"/>
      <w:sz w:val="24"/>
      <w:szCs w:val="20"/>
    </w:rPr>
  </w:style>
  <w:style w:type="paragraph" w:styleId="9">
    <w:name w:val="heading 9"/>
    <w:basedOn w:val="1"/>
    <w:next w:val="1"/>
    <w:autoRedefine/>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39"/>
    <w:pPr>
      <w:ind w:left="2520" w:leftChars="1200"/>
    </w:pPr>
    <w:rPr>
      <w:rFonts w:ascii="Calibri" w:hAnsi="Calibri"/>
      <w:szCs w:val="22"/>
    </w:rPr>
  </w:style>
  <w:style w:type="paragraph" w:styleId="11">
    <w:name w:val="Normal Indent"/>
    <w:basedOn w:val="1"/>
    <w:autoRedefine/>
    <w:qFormat/>
    <w:uiPriority w:val="0"/>
    <w:pPr>
      <w:ind w:firstLine="420" w:firstLineChars="200"/>
    </w:pPr>
  </w:style>
  <w:style w:type="paragraph" w:styleId="12">
    <w:name w:val="List Bullet"/>
    <w:basedOn w:val="1"/>
    <w:autoRedefine/>
    <w:qFormat/>
    <w:uiPriority w:val="0"/>
    <w:pPr>
      <w:numPr>
        <w:ilvl w:val="0"/>
        <w:numId w:val="2"/>
      </w:numPr>
      <w:tabs>
        <w:tab w:val="left" w:pos="360"/>
      </w:tabs>
    </w:pPr>
  </w:style>
  <w:style w:type="paragraph" w:styleId="13">
    <w:name w:val="Document Map"/>
    <w:basedOn w:val="1"/>
    <w:autoRedefine/>
    <w:qFormat/>
    <w:uiPriority w:val="0"/>
    <w:pPr>
      <w:shd w:val="clear" w:color="auto" w:fill="000080"/>
    </w:pPr>
  </w:style>
  <w:style w:type="paragraph" w:styleId="14">
    <w:name w:val="annotation text"/>
    <w:basedOn w:val="1"/>
    <w:link w:val="91"/>
    <w:autoRedefine/>
    <w:qFormat/>
    <w:uiPriority w:val="0"/>
    <w:pPr>
      <w:jc w:val="left"/>
    </w:pPr>
  </w:style>
  <w:style w:type="paragraph" w:styleId="15">
    <w:name w:val="Body Text 3"/>
    <w:basedOn w:val="1"/>
    <w:link w:val="92"/>
    <w:autoRedefine/>
    <w:qFormat/>
    <w:uiPriority w:val="0"/>
    <w:rPr>
      <w:rFonts w:ascii="宋体"/>
      <w:sz w:val="24"/>
    </w:rPr>
  </w:style>
  <w:style w:type="paragraph" w:styleId="16">
    <w:name w:val="Body Text"/>
    <w:basedOn w:val="1"/>
    <w:link w:val="94"/>
    <w:autoRedefine/>
    <w:qFormat/>
    <w:uiPriority w:val="0"/>
  </w:style>
  <w:style w:type="paragraph" w:styleId="17">
    <w:name w:val="Body Text Indent"/>
    <w:basedOn w:val="1"/>
    <w:autoRedefine/>
    <w:qFormat/>
    <w:uiPriority w:val="0"/>
    <w:pPr>
      <w:adjustRightInd w:val="0"/>
      <w:spacing w:after="120" w:line="420" w:lineRule="atLeast"/>
      <w:ind w:left="420" w:firstLine="454"/>
    </w:pPr>
    <w:rPr>
      <w:kern w:val="0"/>
      <w:szCs w:val="20"/>
    </w:rPr>
  </w:style>
  <w:style w:type="paragraph" w:styleId="18">
    <w:name w:val="index 4"/>
    <w:basedOn w:val="1"/>
    <w:next w:val="1"/>
    <w:autoRedefine/>
    <w:qFormat/>
    <w:uiPriority w:val="0"/>
    <w:pPr>
      <w:ind w:left="600" w:leftChars="600"/>
    </w:pPr>
  </w:style>
  <w:style w:type="paragraph" w:styleId="19">
    <w:name w:val="toc 5"/>
    <w:basedOn w:val="1"/>
    <w:next w:val="1"/>
    <w:link w:val="87"/>
    <w:autoRedefine/>
    <w:qFormat/>
    <w:uiPriority w:val="39"/>
    <w:pPr>
      <w:ind w:left="1680" w:leftChars="800"/>
    </w:pPr>
    <w:rPr>
      <w:kern w:val="0"/>
      <w:sz w:val="20"/>
      <w:szCs w:val="22"/>
    </w:rPr>
  </w:style>
  <w:style w:type="paragraph" w:styleId="20">
    <w:name w:val="toc 3"/>
    <w:basedOn w:val="1"/>
    <w:next w:val="1"/>
    <w:autoRedefine/>
    <w:qFormat/>
    <w:uiPriority w:val="39"/>
    <w:pPr>
      <w:ind w:left="840" w:leftChars="400"/>
    </w:pPr>
  </w:style>
  <w:style w:type="paragraph" w:styleId="21">
    <w:name w:val="Plain Text"/>
    <w:basedOn w:val="1"/>
    <w:autoRedefine/>
    <w:qFormat/>
    <w:uiPriority w:val="0"/>
    <w:rPr>
      <w:rFonts w:ascii="宋体" w:hAnsi="Courier New"/>
      <w:szCs w:val="20"/>
    </w:rPr>
  </w:style>
  <w:style w:type="paragraph" w:styleId="22">
    <w:name w:val="toc 8"/>
    <w:basedOn w:val="1"/>
    <w:next w:val="1"/>
    <w:autoRedefine/>
    <w:qFormat/>
    <w:uiPriority w:val="39"/>
    <w:pPr>
      <w:ind w:left="2940" w:leftChars="1400"/>
    </w:pPr>
    <w:rPr>
      <w:rFonts w:ascii="Calibri" w:hAnsi="Calibri"/>
      <w:szCs w:val="22"/>
    </w:rPr>
  </w:style>
  <w:style w:type="paragraph" w:styleId="23">
    <w:name w:val="index 3"/>
    <w:basedOn w:val="1"/>
    <w:next w:val="1"/>
    <w:autoRedefine/>
    <w:qFormat/>
    <w:uiPriority w:val="0"/>
    <w:pPr>
      <w:ind w:left="400" w:leftChars="400"/>
    </w:pPr>
  </w:style>
  <w:style w:type="paragraph" w:styleId="24">
    <w:name w:val="Date"/>
    <w:basedOn w:val="1"/>
    <w:next w:val="1"/>
    <w:autoRedefine/>
    <w:qFormat/>
    <w:uiPriority w:val="0"/>
    <w:pPr>
      <w:ind w:left="100" w:leftChars="2500"/>
    </w:pPr>
  </w:style>
  <w:style w:type="paragraph" w:styleId="25">
    <w:name w:val="endnote text"/>
    <w:basedOn w:val="1"/>
    <w:autoRedefine/>
    <w:qFormat/>
    <w:uiPriority w:val="0"/>
    <w:pPr>
      <w:snapToGrid w:val="0"/>
      <w:jc w:val="left"/>
    </w:pPr>
  </w:style>
  <w:style w:type="paragraph" w:styleId="26">
    <w:name w:val="Balloon Text"/>
    <w:basedOn w:val="1"/>
    <w:autoRedefine/>
    <w:qFormat/>
    <w:uiPriority w:val="0"/>
    <w:rPr>
      <w:sz w:val="18"/>
      <w:szCs w:val="18"/>
    </w:rPr>
  </w:style>
  <w:style w:type="paragraph" w:styleId="27">
    <w:name w:val="footer"/>
    <w:basedOn w:val="1"/>
    <w:link w:val="99"/>
    <w:autoRedefine/>
    <w:qFormat/>
    <w:uiPriority w:val="0"/>
    <w:pPr>
      <w:tabs>
        <w:tab w:val="center" w:pos="4153"/>
        <w:tab w:val="right" w:pos="8306"/>
      </w:tabs>
      <w:snapToGrid w:val="0"/>
      <w:jc w:val="left"/>
    </w:pPr>
    <w:rPr>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style>
  <w:style w:type="paragraph" w:styleId="30">
    <w:name w:val="toc 4"/>
    <w:basedOn w:val="1"/>
    <w:next w:val="1"/>
    <w:autoRedefine/>
    <w:qFormat/>
    <w:uiPriority w:val="39"/>
    <w:pPr>
      <w:ind w:left="1260" w:leftChars="600"/>
    </w:pPr>
    <w:rPr>
      <w:rFonts w:ascii="Calibri" w:hAnsi="Calibri"/>
      <w:szCs w:val="22"/>
    </w:rPr>
  </w:style>
  <w:style w:type="paragraph" w:styleId="31">
    <w:name w:val="Subtitle"/>
    <w:basedOn w:val="1"/>
    <w:link w:val="88"/>
    <w:autoRedefine/>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autoRedefine/>
    <w:qFormat/>
    <w:uiPriority w:val="0"/>
    <w:pPr>
      <w:snapToGrid w:val="0"/>
      <w:jc w:val="left"/>
    </w:pPr>
    <w:rPr>
      <w:sz w:val="18"/>
      <w:szCs w:val="18"/>
    </w:rPr>
  </w:style>
  <w:style w:type="paragraph" w:styleId="33">
    <w:name w:val="toc 6"/>
    <w:basedOn w:val="1"/>
    <w:next w:val="1"/>
    <w:autoRedefine/>
    <w:qFormat/>
    <w:uiPriority w:val="39"/>
    <w:pPr>
      <w:ind w:left="2100" w:leftChars="1000"/>
    </w:pPr>
    <w:rPr>
      <w:rFonts w:ascii="Calibri" w:hAnsi="Calibri"/>
      <w:szCs w:val="22"/>
    </w:rPr>
  </w:style>
  <w:style w:type="paragraph" w:styleId="34">
    <w:name w:val="toc 2"/>
    <w:basedOn w:val="1"/>
    <w:next w:val="1"/>
    <w:autoRedefine/>
    <w:qFormat/>
    <w:uiPriority w:val="39"/>
    <w:pPr>
      <w:ind w:left="420" w:leftChars="200"/>
    </w:pPr>
  </w:style>
  <w:style w:type="paragraph" w:styleId="35">
    <w:name w:val="toc 9"/>
    <w:basedOn w:val="1"/>
    <w:next w:val="1"/>
    <w:autoRedefine/>
    <w:qFormat/>
    <w:uiPriority w:val="39"/>
    <w:pPr>
      <w:ind w:left="3360" w:leftChars="1600"/>
    </w:pPr>
    <w:rPr>
      <w:rFonts w:ascii="Calibri" w:hAnsi="Calibri"/>
      <w:szCs w:val="22"/>
    </w:rPr>
  </w:style>
  <w:style w:type="paragraph" w:styleId="36">
    <w:name w:val="Body Text 2"/>
    <w:basedOn w:val="1"/>
    <w:next w:val="16"/>
    <w:autoRedefine/>
    <w:qFormat/>
    <w:uiPriority w:val="0"/>
    <w:pPr>
      <w:spacing w:line="500" w:lineRule="exact"/>
    </w:pPr>
  </w:style>
  <w:style w:type="paragraph" w:styleId="37">
    <w:name w:val="Normal (Web)"/>
    <w:basedOn w:val="1"/>
    <w:autoRedefine/>
    <w:qFormat/>
    <w:uiPriority w:val="0"/>
    <w:rPr>
      <w:sz w:val="24"/>
    </w:rPr>
  </w:style>
  <w:style w:type="paragraph" w:styleId="38">
    <w:name w:val="index 1"/>
    <w:basedOn w:val="1"/>
    <w:next w:val="1"/>
    <w:autoRedefine/>
    <w:qFormat/>
    <w:uiPriority w:val="0"/>
  </w:style>
  <w:style w:type="paragraph" w:styleId="39">
    <w:name w:val="index 2"/>
    <w:basedOn w:val="1"/>
    <w:next w:val="1"/>
    <w:autoRedefine/>
    <w:qFormat/>
    <w:uiPriority w:val="0"/>
    <w:pPr>
      <w:ind w:left="200" w:leftChars="200"/>
    </w:pPr>
  </w:style>
  <w:style w:type="paragraph" w:styleId="40">
    <w:name w:val="Title"/>
    <w:basedOn w:val="1"/>
    <w:autoRedefine/>
    <w:qFormat/>
    <w:uiPriority w:val="0"/>
    <w:pPr>
      <w:adjustRightInd w:val="0"/>
      <w:spacing w:line="420" w:lineRule="atLeast"/>
      <w:jc w:val="center"/>
      <w:outlineLvl w:val="0"/>
    </w:pPr>
    <w:rPr>
      <w:rFonts w:ascii="Arial" w:hAnsi="Arial"/>
      <w:b/>
      <w:kern w:val="0"/>
      <w:sz w:val="32"/>
      <w:szCs w:val="20"/>
    </w:rPr>
  </w:style>
  <w:style w:type="paragraph" w:styleId="41">
    <w:name w:val="annotation subject"/>
    <w:basedOn w:val="14"/>
    <w:next w:val="14"/>
    <w:link w:val="96"/>
    <w:autoRedefine/>
    <w:qFormat/>
    <w:uiPriority w:val="0"/>
    <w:rPr>
      <w:b/>
      <w:bCs/>
    </w:rPr>
  </w:style>
  <w:style w:type="paragraph" w:styleId="42">
    <w:name w:val="Body Text First Indent 2"/>
    <w:basedOn w:val="17"/>
    <w:autoRedefine/>
    <w:qFormat/>
    <w:uiPriority w:val="0"/>
    <w:pPr>
      <w:ind w:left="0" w:firstLine="960" w:firstLineChars="200"/>
    </w:pPr>
    <w:rPr>
      <w:sz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autoRedefine/>
    <w:qFormat/>
    <w:uiPriority w:val="22"/>
    <w:rPr>
      <w:b/>
    </w:rPr>
  </w:style>
  <w:style w:type="character" w:styleId="47">
    <w:name w:val="endnote reference"/>
    <w:basedOn w:val="45"/>
    <w:autoRedefine/>
    <w:qFormat/>
    <w:uiPriority w:val="0"/>
    <w:rPr>
      <w:vertAlign w:val="superscript"/>
    </w:rPr>
  </w:style>
  <w:style w:type="character" w:styleId="48">
    <w:name w:val="page number"/>
    <w:basedOn w:val="45"/>
    <w:autoRedefine/>
    <w:qFormat/>
    <w:uiPriority w:val="0"/>
  </w:style>
  <w:style w:type="character" w:styleId="49">
    <w:name w:val="FollowedHyperlink"/>
    <w:basedOn w:val="45"/>
    <w:autoRedefine/>
    <w:qFormat/>
    <w:uiPriority w:val="0"/>
    <w:rPr>
      <w:color w:val="333333"/>
      <w:sz w:val="18"/>
      <w:szCs w:val="18"/>
      <w:u w:val="single"/>
    </w:rPr>
  </w:style>
  <w:style w:type="character" w:styleId="50">
    <w:name w:val="Hyperlink"/>
    <w:basedOn w:val="45"/>
    <w:autoRedefine/>
    <w:qFormat/>
    <w:uiPriority w:val="99"/>
    <w:rPr>
      <w:color w:val="333333"/>
      <w:sz w:val="18"/>
      <w:szCs w:val="18"/>
      <w:u w:val="single"/>
    </w:rPr>
  </w:style>
  <w:style w:type="character" w:styleId="51">
    <w:name w:val="annotation reference"/>
    <w:basedOn w:val="45"/>
    <w:autoRedefine/>
    <w:qFormat/>
    <w:uiPriority w:val="0"/>
    <w:rPr>
      <w:sz w:val="21"/>
      <w:szCs w:val="21"/>
    </w:rPr>
  </w:style>
  <w:style w:type="character" w:styleId="52">
    <w:name w:val="footnote reference"/>
    <w:basedOn w:val="45"/>
    <w:autoRedefine/>
    <w:qFormat/>
    <w:uiPriority w:val="0"/>
    <w:rPr>
      <w:vertAlign w:val="superscript"/>
    </w:rPr>
  </w:style>
  <w:style w:type="paragraph" w:customStyle="1" w:styleId="53">
    <w:name w:val="正文正"/>
    <w:basedOn w:val="1"/>
    <w:autoRedefine/>
    <w:qFormat/>
    <w:uiPriority w:val="99"/>
    <w:pPr>
      <w:spacing w:line="560" w:lineRule="exact"/>
      <w:ind w:firstLine="561"/>
    </w:pPr>
    <w:rPr>
      <w:rFonts w:ascii="Calibri" w:hAnsi="Calibri" w:cs="Calibri"/>
      <w:sz w:val="28"/>
      <w:szCs w:val="28"/>
    </w:rPr>
  </w:style>
  <w:style w:type="paragraph" w:customStyle="1" w:styleId="54">
    <w:name w:val="样式 宋体 行距: 1.5 倍行距"/>
    <w:basedOn w:val="55"/>
    <w:autoRedefine/>
    <w:qFormat/>
    <w:uiPriority w:val="0"/>
    <w:pPr>
      <w:jc w:val="center"/>
    </w:pPr>
    <w:rPr>
      <w:b/>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56">
    <w:name w:val="标题 2 Char"/>
    <w:basedOn w:val="45"/>
    <w:link w:val="3"/>
    <w:autoRedefine/>
    <w:qFormat/>
    <w:uiPriority w:val="0"/>
    <w:rPr>
      <w:rFonts w:ascii="Arial" w:hAnsi="Arial" w:eastAsia="黑体"/>
      <w:b/>
      <w:bCs/>
      <w:kern w:val="2"/>
      <w:sz w:val="32"/>
      <w:szCs w:val="32"/>
      <w:lang w:val="en-US" w:eastAsia="zh-CN" w:bidi="ar-SA"/>
    </w:rPr>
  </w:style>
  <w:style w:type="paragraph" w:customStyle="1" w:styleId="57">
    <w:name w:val="表格内容"/>
    <w:basedOn w:val="58"/>
    <w:autoRedefine/>
    <w:qFormat/>
    <w:uiPriority w:val="0"/>
    <w:pPr>
      <w:ind w:firstLine="0" w:firstLineChars="0"/>
      <w:jc w:val="center"/>
    </w:pPr>
  </w:style>
  <w:style w:type="paragraph" w:customStyle="1" w:styleId="58">
    <w:name w:val="招标正文"/>
    <w:basedOn w:val="1"/>
    <w:autoRedefine/>
    <w:qFormat/>
    <w:uiPriority w:val="0"/>
    <w:pPr>
      <w:autoSpaceDE w:val="0"/>
      <w:autoSpaceDN w:val="0"/>
      <w:adjustRightInd w:val="0"/>
      <w:ind w:firstLine="480" w:firstLineChars="200"/>
    </w:pPr>
    <w:rPr>
      <w:rFonts w:cs="微软雅黑"/>
      <w:kern w:val="0"/>
      <w:sz w:val="24"/>
    </w:rPr>
  </w:style>
  <w:style w:type="paragraph" w:customStyle="1" w:styleId="59">
    <w:name w:val="条款正文"/>
    <w:basedOn w:val="58"/>
    <w:autoRedefine/>
    <w:qFormat/>
    <w:uiPriority w:val="0"/>
    <w:pPr>
      <w:ind w:firstLine="0" w:firstLineChars="0"/>
    </w:pPr>
  </w:style>
  <w:style w:type="paragraph" w:customStyle="1" w:styleId="60">
    <w:name w:val="_Style 52"/>
    <w:basedOn w:val="1"/>
    <w:autoRedefine/>
    <w:qFormat/>
    <w:uiPriority w:val="0"/>
    <w:pPr>
      <w:pBdr>
        <w:bottom w:val="single" w:color="auto" w:sz="6" w:space="1"/>
      </w:pBdr>
      <w:jc w:val="center"/>
    </w:pPr>
    <w:rPr>
      <w:rFonts w:ascii="Arial"/>
      <w:vanish/>
      <w:sz w:val="16"/>
    </w:rPr>
  </w:style>
  <w:style w:type="paragraph" w:customStyle="1" w:styleId="61">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_0"/>
    <w:basedOn w:val="63"/>
    <w:autoRedefine/>
    <w:qFormat/>
    <w:uiPriority w:val="0"/>
    <w:pPr>
      <w:spacing w:after="120"/>
    </w:pPr>
  </w:style>
  <w:style w:type="paragraph" w:customStyle="1" w:styleId="6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op_mapdots_left"/>
    <w:basedOn w:val="1"/>
    <w:autoRedefine/>
    <w:qFormat/>
    <w:uiPriority w:val="0"/>
    <w:pPr>
      <w:jc w:val="left"/>
    </w:pPr>
    <w:rPr>
      <w:kern w:val="0"/>
    </w:rPr>
  </w:style>
  <w:style w:type="paragraph" w:customStyle="1" w:styleId="6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6">
    <w:name w:val="正文 New New New New"/>
    <w:autoRedefine/>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7">
    <w:name w:val="样式 标题 3 + (中文) 黑体 小四 非加粗 段前: 7.8 磅 段后: 0 磅 行距: 固定值 20 磅"/>
    <w:basedOn w:val="4"/>
    <w:autoRedefine/>
    <w:qFormat/>
    <w:uiPriority w:val="0"/>
    <w:pPr>
      <w:spacing w:line="400" w:lineRule="exact"/>
    </w:pPr>
    <w:rPr>
      <w:rFonts w:eastAsia="黑体" w:cs="宋体"/>
      <w:b w:val="0"/>
      <w:bCs w:val="0"/>
      <w:sz w:val="24"/>
      <w:szCs w:val="20"/>
    </w:rPr>
  </w:style>
  <w:style w:type="paragraph" w:customStyle="1" w:styleId="68">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1、"/>
    <w:basedOn w:val="3"/>
    <w:autoRedefine/>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0">
    <w:name w:val="_Style 63"/>
    <w:basedOn w:val="1"/>
    <w:autoRedefine/>
    <w:qFormat/>
    <w:uiPriority w:val="0"/>
    <w:pPr>
      <w:pBdr>
        <w:top w:val="single" w:color="auto" w:sz="6" w:space="1"/>
      </w:pBdr>
      <w:jc w:val="center"/>
    </w:pPr>
    <w:rPr>
      <w:rFonts w:ascii="Arial"/>
      <w:vanish/>
      <w:sz w:val="16"/>
    </w:rPr>
  </w:style>
  <w:style w:type="paragraph" w:customStyle="1" w:styleId="71">
    <w:name w:val="标题1.1"/>
    <w:basedOn w:val="58"/>
    <w:next w:val="1"/>
    <w:autoRedefine/>
    <w:qFormat/>
    <w:uiPriority w:val="0"/>
    <w:pPr>
      <w:numPr>
        <w:ilvl w:val="2"/>
        <w:numId w:val="3"/>
      </w:numPr>
      <w:ind w:firstLine="0" w:firstLineChars="0"/>
      <w:outlineLvl w:val="2"/>
    </w:pPr>
    <w:rPr>
      <w:b/>
    </w:rPr>
  </w:style>
  <w:style w:type="paragraph" w:customStyle="1" w:styleId="72">
    <w:name w:val="TOC 标题1"/>
    <w:basedOn w:val="2"/>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73">
    <w:name w:val="正文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p17"/>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75">
    <w:name w:val="小标题"/>
    <w:basedOn w:val="1"/>
    <w:autoRedefine/>
    <w:qFormat/>
    <w:uiPriority w:val="0"/>
    <w:pPr>
      <w:autoSpaceDE w:val="0"/>
      <w:autoSpaceDN w:val="0"/>
      <w:adjustRightInd w:val="0"/>
      <w:jc w:val="center"/>
    </w:pPr>
    <w:rPr>
      <w:rFonts w:ascii="宋体" w:hAnsi="宋体" w:cs="Microsoft JhengHei"/>
      <w:b/>
      <w:kern w:val="0"/>
      <w:sz w:val="28"/>
      <w:szCs w:val="32"/>
    </w:rPr>
  </w:style>
  <w:style w:type="paragraph" w:customStyle="1" w:styleId="76">
    <w:name w:val="Char"/>
    <w:basedOn w:val="13"/>
    <w:autoRedefine/>
    <w:qFormat/>
    <w:uiPriority w:val="0"/>
    <w:rPr>
      <w:rFonts w:ascii="Tahoma" w:hAnsi="Tahoma"/>
      <w:sz w:val="24"/>
    </w:rPr>
  </w:style>
  <w:style w:type="paragraph" w:customStyle="1" w:styleId="77">
    <w:name w:val="列出段落1"/>
    <w:basedOn w:val="1"/>
    <w:autoRedefine/>
    <w:qFormat/>
    <w:uiPriority w:val="1"/>
    <w:pPr>
      <w:ind w:left="424" w:firstLine="480"/>
    </w:pPr>
    <w:rPr>
      <w:rFonts w:ascii="宋体" w:hAnsi="宋体" w:cs="宋体"/>
      <w:lang w:val="zh-CN" w:bidi="zh-CN"/>
    </w:rPr>
  </w:style>
  <w:style w:type="paragraph" w:customStyle="1" w:styleId="78">
    <w:name w:val="样式 标题 2 + Times New Roman 四号 非加粗 段前: 5 磅 段后: 0 磅 行距: 固定值 20..."/>
    <w:basedOn w:val="3"/>
    <w:next w:val="1"/>
    <w:link w:val="85"/>
    <w:autoRedefine/>
    <w:qFormat/>
    <w:uiPriority w:val="0"/>
    <w:pPr>
      <w:spacing w:line="400" w:lineRule="exact"/>
    </w:pPr>
    <w:rPr>
      <w:rFonts w:ascii="Times New Roman" w:hAnsi="Times New Roman" w:eastAsia="宋体"/>
      <w:kern w:val="0"/>
      <w:sz w:val="28"/>
      <w:szCs w:val="20"/>
    </w:rPr>
  </w:style>
  <w:style w:type="paragraph" w:customStyle="1" w:styleId="79">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Table Paragraph"/>
    <w:basedOn w:val="1"/>
    <w:autoRedefine/>
    <w:qFormat/>
    <w:uiPriority w:val="1"/>
  </w:style>
  <w:style w:type="paragraph" w:customStyle="1" w:styleId="81">
    <w:name w:val="p0"/>
    <w:basedOn w:val="1"/>
    <w:autoRedefine/>
    <w:qFormat/>
    <w:uiPriority w:val="0"/>
    <w:pPr>
      <w:widowControl/>
    </w:pPr>
    <w:rPr>
      <w:rFonts w:ascii="Calibri" w:hAnsi="Calibri" w:cs="宋体"/>
      <w:kern w:val="0"/>
      <w:szCs w:val="21"/>
    </w:rPr>
  </w:style>
  <w:style w:type="paragraph" w:customStyle="1" w:styleId="8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p16"/>
    <w:basedOn w:val="1"/>
    <w:autoRedefine/>
    <w:qFormat/>
    <w:uiPriority w:val="0"/>
    <w:pPr>
      <w:widowControl/>
    </w:pPr>
    <w:rPr>
      <w:kern w:val="0"/>
      <w:szCs w:val="21"/>
    </w:rPr>
  </w:style>
  <w:style w:type="paragraph" w:customStyle="1" w:styleId="8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样式 标题 2 + Times New Roman 四号 非加粗 段前: 5 磅 段后: 0 磅 行距: 固定值 20... Char"/>
    <w:link w:val="78"/>
    <w:autoRedefine/>
    <w:qFormat/>
    <w:uiPriority w:val="0"/>
    <w:rPr>
      <w:rFonts w:ascii="Times New Roman" w:hAnsi="Times New Roman" w:cs="宋体"/>
      <w:b/>
      <w:bCs/>
      <w:sz w:val="28"/>
      <w:szCs w:val="20"/>
    </w:rPr>
  </w:style>
  <w:style w:type="character" w:customStyle="1" w:styleId="86">
    <w:name w:val="标题 1 Char"/>
    <w:link w:val="2"/>
    <w:autoRedefine/>
    <w:qFormat/>
    <w:uiPriority w:val="0"/>
    <w:rPr>
      <w:b/>
      <w:bCs/>
      <w:kern w:val="44"/>
      <w:sz w:val="44"/>
      <w:szCs w:val="44"/>
    </w:rPr>
  </w:style>
  <w:style w:type="character" w:customStyle="1" w:styleId="87">
    <w:name w:val="目录 5 Char"/>
    <w:link w:val="19"/>
    <w:autoRedefine/>
    <w:qFormat/>
    <w:uiPriority w:val="39"/>
    <w:rPr>
      <w:rFonts w:ascii="Calibri" w:hAnsi="Calibri" w:eastAsia="宋体" w:cs="Times New Roman"/>
      <w:szCs w:val="22"/>
    </w:rPr>
  </w:style>
  <w:style w:type="character" w:customStyle="1" w:styleId="88">
    <w:name w:val="副标题 Char"/>
    <w:basedOn w:val="45"/>
    <w:link w:val="31"/>
    <w:autoRedefine/>
    <w:qFormat/>
    <w:uiPriority w:val="0"/>
    <w:rPr>
      <w:rFonts w:ascii="Cambria" w:hAnsi="Cambria" w:cs="Times New Roman"/>
      <w:b/>
      <w:bCs/>
      <w:kern w:val="28"/>
      <w:sz w:val="32"/>
      <w:szCs w:val="32"/>
    </w:rPr>
  </w:style>
  <w:style w:type="character" w:customStyle="1" w:styleId="89">
    <w:name w:val="hover37"/>
    <w:basedOn w:val="45"/>
    <w:autoRedefine/>
    <w:qFormat/>
    <w:uiPriority w:val="0"/>
  </w:style>
  <w:style w:type="character" w:customStyle="1" w:styleId="90">
    <w:name w:val="标题 3 Char"/>
    <w:basedOn w:val="45"/>
    <w:link w:val="4"/>
    <w:autoRedefine/>
    <w:qFormat/>
    <w:uiPriority w:val="0"/>
    <w:rPr>
      <w:rFonts w:eastAsia="宋体"/>
      <w:b/>
      <w:bCs/>
      <w:kern w:val="2"/>
      <w:sz w:val="32"/>
      <w:szCs w:val="32"/>
      <w:lang w:val="en-US" w:eastAsia="zh-CN" w:bidi="ar-SA"/>
    </w:rPr>
  </w:style>
  <w:style w:type="character" w:customStyle="1" w:styleId="91">
    <w:name w:val="批注文字 Char"/>
    <w:basedOn w:val="45"/>
    <w:link w:val="14"/>
    <w:autoRedefine/>
    <w:qFormat/>
    <w:uiPriority w:val="0"/>
    <w:rPr>
      <w:kern w:val="2"/>
      <w:sz w:val="21"/>
      <w:szCs w:val="24"/>
    </w:rPr>
  </w:style>
  <w:style w:type="character" w:customStyle="1" w:styleId="92">
    <w:name w:val="正文文本 3 Char"/>
    <w:basedOn w:val="45"/>
    <w:link w:val="15"/>
    <w:autoRedefine/>
    <w:qFormat/>
    <w:uiPriority w:val="0"/>
    <w:rPr>
      <w:rFonts w:ascii="宋体" w:eastAsia="宋体"/>
      <w:kern w:val="2"/>
      <w:sz w:val="24"/>
      <w:lang w:val="en-US" w:eastAsia="zh-CN" w:bidi="ar-SA"/>
    </w:rPr>
  </w:style>
  <w:style w:type="character" w:customStyle="1" w:styleId="93">
    <w:name w:val="style2"/>
    <w:basedOn w:val="45"/>
    <w:autoRedefine/>
    <w:qFormat/>
    <w:uiPriority w:val="0"/>
  </w:style>
  <w:style w:type="character" w:customStyle="1" w:styleId="94">
    <w:name w:val="正文文本 Char"/>
    <w:basedOn w:val="45"/>
    <w:link w:val="16"/>
    <w:autoRedefine/>
    <w:qFormat/>
    <w:uiPriority w:val="0"/>
    <w:rPr>
      <w:rFonts w:eastAsia="宋体"/>
      <w:kern w:val="2"/>
      <w:sz w:val="21"/>
      <w:szCs w:val="24"/>
      <w:lang w:val="en-US" w:eastAsia="zh-CN" w:bidi="ar-SA"/>
    </w:rPr>
  </w:style>
  <w:style w:type="character" w:customStyle="1" w:styleId="95">
    <w:name w:val="Char Char17"/>
    <w:basedOn w:val="45"/>
    <w:autoRedefine/>
    <w:qFormat/>
    <w:uiPriority w:val="0"/>
    <w:rPr>
      <w:rFonts w:ascii="Times New Roman" w:hAnsi="Times New Roman" w:eastAsia="宋体" w:cs="Times New Roman"/>
      <w:b/>
      <w:bCs/>
      <w:kern w:val="44"/>
      <w:sz w:val="44"/>
      <w:szCs w:val="44"/>
    </w:rPr>
  </w:style>
  <w:style w:type="character" w:customStyle="1" w:styleId="96">
    <w:name w:val="批注主题 Char"/>
    <w:basedOn w:val="91"/>
    <w:link w:val="41"/>
    <w:autoRedefine/>
    <w:qFormat/>
    <w:uiPriority w:val="0"/>
    <w:rPr>
      <w:kern w:val="2"/>
      <w:sz w:val="21"/>
      <w:szCs w:val="24"/>
    </w:rPr>
  </w:style>
  <w:style w:type="character" w:customStyle="1" w:styleId="97">
    <w:name w:val="标题 4 Char"/>
    <w:basedOn w:val="45"/>
    <w:link w:val="5"/>
    <w:autoRedefine/>
    <w:qFormat/>
    <w:uiPriority w:val="0"/>
    <w:rPr>
      <w:rFonts w:ascii="Arial" w:hAnsi="Arial" w:eastAsia="黑体"/>
      <w:b/>
      <w:bCs/>
      <w:kern w:val="2"/>
      <w:sz w:val="28"/>
      <w:szCs w:val="28"/>
      <w:lang w:val="en-US" w:eastAsia="zh-CN" w:bidi="ar-SA"/>
    </w:rPr>
  </w:style>
  <w:style w:type="character" w:customStyle="1" w:styleId="98">
    <w:name w:val="脚注文本 Char"/>
    <w:basedOn w:val="45"/>
    <w:link w:val="32"/>
    <w:autoRedefine/>
    <w:qFormat/>
    <w:uiPriority w:val="0"/>
    <w:rPr>
      <w:kern w:val="2"/>
      <w:sz w:val="18"/>
      <w:szCs w:val="18"/>
    </w:rPr>
  </w:style>
  <w:style w:type="character" w:customStyle="1" w:styleId="99">
    <w:name w:val="页脚 Char"/>
    <w:basedOn w:val="45"/>
    <w:link w:val="27"/>
    <w:autoRedefine/>
    <w:qFormat/>
    <w:uiPriority w:val="0"/>
    <w:rPr>
      <w:kern w:val="2"/>
      <w:sz w:val="18"/>
      <w:szCs w:val="18"/>
    </w:rPr>
  </w:style>
  <w:style w:type="character" w:customStyle="1" w:styleId="100">
    <w:name w:val="页码1"/>
    <w:basedOn w:val="45"/>
    <w:autoRedefine/>
    <w:qFormat/>
    <w:uiPriority w:val="0"/>
  </w:style>
  <w:style w:type="character" w:customStyle="1" w:styleId="101">
    <w:name w:val="hover"/>
    <w:basedOn w:val="45"/>
    <w:autoRedefine/>
    <w:qFormat/>
    <w:uiPriority w:val="0"/>
  </w:style>
  <w:style w:type="paragraph" w:customStyle="1" w:styleId="102">
    <w:name w:val="标题 1 New"/>
    <w:basedOn w:val="68"/>
    <w:link w:val="103"/>
    <w:autoRedefine/>
    <w:qFormat/>
    <w:uiPriority w:val="0"/>
    <w:pPr>
      <w:keepNext/>
      <w:keepLines/>
      <w:spacing w:line="578" w:lineRule="auto"/>
      <w:outlineLvl w:val="0"/>
    </w:pPr>
    <w:rPr>
      <w:b/>
      <w:bCs/>
      <w:kern w:val="44"/>
      <w:sz w:val="44"/>
      <w:szCs w:val="44"/>
    </w:rPr>
  </w:style>
  <w:style w:type="character" w:customStyle="1" w:styleId="103">
    <w:name w:val="标题 1 Char Char New"/>
    <w:link w:val="102"/>
    <w:autoRedefine/>
    <w:qFormat/>
    <w:uiPriority w:val="0"/>
    <w:rPr>
      <w:rFonts w:ascii="Times New Roman" w:hAnsi="Times New Roman"/>
      <w:b/>
      <w:bCs/>
      <w:kern w:val="44"/>
      <w:sz w:val="44"/>
      <w:szCs w:val="44"/>
    </w:rPr>
  </w:style>
  <w:style w:type="paragraph" w:customStyle="1" w:styleId="104">
    <w:name w:val="正文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8">
    <w:name w:val="hover38"/>
    <w:basedOn w:val="45"/>
    <w:autoRedefine/>
    <w:qFormat/>
    <w:uiPriority w:val="0"/>
  </w:style>
  <w:style w:type="paragraph" w:customStyle="1" w:styleId="109">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110">
    <w:name w:val="样式4"/>
    <w:basedOn w:val="1"/>
    <w:autoRedefine/>
    <w:qFormat/>
    <w:uiPriority w:val="0"/>
    <w:pPr>
      <w:spacing w:line="360" w:lineRule="auto"/>
      <w:jc w:val="center"/>
    </w:pPr>
    <w:rPr>
      <w:rFonts w:ascii="宋体" w:hAnsi="宋体"/>
      <w:sz w:val="24"/>
    </w:rPr>
  </w:style>
  <w:style w:type="paragraph" w:customStyle="1" w:styleId="111">
    <w:name w:val="正文文本 New"/>
    <w:basedOn w:val="84"/>
    <w:autoRedefine/>
    <w:qFormat/>
    <w:uiPriority w:val="0"/>
    <w:pPr>
      <w:spacing w:after="120"/>
    </w:pPr>
  </w:style>
  <w:style w:type="paragraph" w:customStyle="1" w:styleId="112">
    <w:name w:val="列出段落2"/>
    <w:basedOn w:val="1"/>
    <w:autoRedefine/>
    <w:unhideWhenUsed/>
    <w:qFormat/>
    <w:uiPriority w:val="99"/>
    <w:pPr>
      <w:ind w:firstLine="420" w:firstLineChars="200"/>
    </w:pPr>
  </w:style>
  <w:style w:type="character" w:customStyle="1" w:styleId="113">
    <w:name w:val="NormalCharacter"/>
    <w:autoRedefine/>
    <w:semiHidden/>
    <w:qFormat/>
    <w:uiPriority w:val="0"/>
  </w:style>
  <w:style w:type="paragraph" w:customStyle="1" w:styleId="114">
    <w:name w:val="列出段落3"/>
    <w:basedOn w:val="1"/>
    <w:autoRedefine/>
    <w:qFormat/>
    <w:uiPriority w:val="1"/>
    <w:pPr>
      <w:ind w:left="424" w:firstLine="480"/>
    </w:pPr>
    <w:rPr>
      <w:rFonts w:ascii="宋体" w:hAnsi="宋体" w:cs="宋体"/>
      <w:lang w:val="zh-CN" w:bidi="zh-CN"/>
    </w:rPr>
  </w:style>
  <w:style w:type="paragraph" w:customStyle="1" w:styleId="115">
    <w:name w:val="标题 41"/>
    <w:basedOn w:val="1"/>
    <w:autoRedefine/>
    <w:qFormat/>
    <w:uiPriority w:val="0"/>
    <w:pPr>
      <w:keepNext/>
      <w:keepLines/>
      <w:spacing w:before="280" w:after="290" w:line="376" w:lineRule="auto"/>
      <w:outlineLvl w:val="3"/>
    </w:pPr>
    <w:rPr>
      <w:rFonts w:ascii="Arial" w:hAnsi="Arial" w:eastAsia="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wm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276</Pages>
  <Words>34557</Words>
  <Characters>196977</Characters>
  <Lines>1641</Lines>
  <Paragraphs>462</Paragraphs>
  <TotalTime>7</TotalTime>
  <ScaleCrop>false</ScaleCrop>
  <LinksUpToDate>false</LinksUpToDate>
  <CharactersWithSpaces>231072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Administrator</cp:lastModifiedBy>
  <cp:lastPrinted>2023-08-14T00:20:00Z</cp:lastPrinted>
  <dcterms:modified xsi:type="dcterms:W3CDTF">2024-04-12T03:55:18Z</dcterms:modified>
  <dc:title>G323线麦屋至乳源县城段路面大修工程施工招标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DBD2D43DBB444CE28515F74F5419543A_13</vt:lpwstr>
  </property>
</Properties>
</file>