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18620">
      <w:pPr>
        <w:jc w:val="center"/>
        <w:rPr>
          <w:rFonts w:hint="eastAsia" w:asciiTheme="minorEastAsia" w:hAnsiTheme="minorEastAsia" w:eastAsiaTheme="minorEastAsia" w:cstheme="minorEastAsia"/>
          <w:color w:val="000000" w:themeColor="text1"/>
          <w:lang w:eastAsia="zh-CN"/>
          <w14:textFill>
            <w14:solidFill>
              <w14:schemeClr w14:val="tx1"/>
            </w14:solidFill>
          </w14:textFill>
        </w:rPr>
      </w:pPr>
      <w:r>
        <w:rPr>
          <w:rFonts w:hint="eastAsia" w:asciiTheme="minorEastAsia" w:hAnsiTheme="minorEastAsia" w:eastAsiaTheme="minorEastAsia" w:cstheme="minorEastAsia"/>
          <w:color w:val="000000" w:themeColor="text1"/>
          <w:lang w:eastAsia="zh-CN"/>
          <w14:textFill>
            <w14:solidFill>
              <w14:schemeClr w14:val="tx1"/>
            </w14:solidFill>
          </w14:textFill>
        </w:rPr>
        <w:drawing>
          <wp:inline distT="0" distB="0" distL="114300" distR="114300">
            <wp:extent cx="6189980" cy="8754745"/>
            <wp:effectExtent l="0" t="0" r="1270" b="8255"/>
            <wp:docPr id="10" name="图片 10" descr="6-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封面_00"/>
                    <pic:cNvPicPr>
                      <a:picLocks noChangeAspect="1"/>
                    </pic:cNvPicPr>
                  </pic:nvPicPr>
                  <pic:blipFill>
                    <a:blip r:embed="rId15"/>
                    <a:stretch>
                      <a:fillRect/>
                    </a:stretch>
                  </pic:blipFill>
                  <pic:spPr>
                    <a:xfrm>
                      <a:off x="0" y="0"/>
                      <a:ext cx="6189980" cy="8754745"/>
                    </a:xfrm>
                    <a:prstGeom prst="rect">
                      <a:avLst/>
                    </a:prstGeom>
                  </pic:spPr>
                </pic:pic>
              </a:graphicData>
            </a:graphic>
          </wp:inline>
        </w:drawing>
      </w:r>
    </w:p>
    <w:p w14:paraId="12B008D7">
      <w:pPr>
        <w:spacing w:line="360" w:lineRule="auto"/>
        <w:jc w:val="center"/>
        <w:rPr>
          <w:rFonts w:hint="eastAsia" w:asciiTheme="minorEastAsia" w:hAnsiTheme="minorEastAsia" w:eastAsiaTheme="minorEastAsia" w:cstheme="minorEastAsia"/>
          <w:b/>
          <w:bCs/>
          <w:color w:val="000000" w:themeColor="text1"/>
          <w:sz w:val="36"/>
          <w:szCs w:val="44"/>
          <w14:textFill>
            <w14:solidFill>
              <w14:schemeClr w14:val="tx1"/>
            </w14:solidFill>
          </w14:textFill>
        </w:rPr>
        <w:sectPr>
          <w:headerReference r:id="rId3" w:type="default"/>
          <w:footerReference r:id="rId4" w:type="default"/>
          <w:pgSz w:w="11911" w:h="16838"/>
          <w:pgMar w:top="1440" w:right="1080" w:bottom="1440" w:left="1080" w:header="0" w:footer="998" w:gutter="0"/>
          <w:cols w:space="0" w:num="1"/>
        </w:sectPr>
      </w:pPr>
    </w:p>
    <w:p w14:paraId="4544AB88">
      <w:pPr>
        <w:spacing w:line="360" w:lineRule="auto"/>
        <w:jc w:val="center"/>
        <w:rPr>
          <w:rFonts w:hint="eastAsia" w:asciiTheme="minorEastAsia" w:hAnsiTheme="minorEastAsia" w:eastAsiaTheme="minorEastAsia" w:cstheme="minorEastAsia"/>
          <w:b/>
          <w:bCs/>
          <w:color w:val="000000" w:themeColor="text1"/>
          <w:sz w:val="36"/>
          <w:szCs w:val="44"/>
          <w14:textFill>
            <w14:solidFill>
              <w14:schemeClr w14:val="tx1"/>
            </w14:solidFill>
          </w14:textFill>
        </w:rPr>
        <w:sectPr>
          <w:pgSz w:w="11911" w:h="16838"/>
          <w:pgMar w:top="1440" w:right="1080" w:bottom="1440" w:left="1080" w:header="0" w:footer="998" w:gutter="0"/>
          <w:cols w:space="0" w:num="1"/>
        </w:sectPr>
      </w:pPr>
    </w:p>
    <w:sdt>
      <w:sdtPr>
        <w:rPr>
          <w:rFonts w:hint="eastAsia" w:asciiTheme="minorEastAsia" w:hAnsiTheme="minorEastAsia" w:eastAsiaTheme="minorEastAsia" w:cstheme="minorEastAsia"/>
          <w:b/>
          <w:bCs/>
          <w:color w:val="000000" w:themeColor="text1"/>
          <w:sz w:val="36"/>
          <w:szCs w:val="44"/>
          <w14:textFill>
            <w14:solidFill>
              <w14:schemeClr w14:val="tx1"/>
            </w14:solidFill>
          </w14:textFill>
        </w:rPr>
        <w:id w:val="147478098"/>
        <w15:color w:val="DBDBDB"/>
        <w:docPartObj>
          <w:docPartGallery w:val="Table of Contents"/>
          <w:docPartUnique/>
        </w:docPartObj>
      </w:sdtPr>
      <w:sdtEndPr>
        <w:rPr>
          <w:rFonts w:hint="eastAsia" w:ascii="宋体" w:hAnsi="宋体" w:eastAsia="宋体" w:cs="宋体"/>
          <w:b/>
          <w:bCs/>
          <w:color w:val="000000" w:themeColor="text1"/>
          <w:kern w:val="0"/>
          <w:sz w:val="24"/>
          <w:szCs w:val="24"/>
          <w:lang w:val="zh-CN" w:bidi="zh-CN"/>
          <w14:textFill>
            <w14:solidFill>
              <w14:schemeClr w14:val="tx1"/>
            </w14:solidFill>
          </w14:textFill>
        </w:rPr>
      </w:sdtEndPr>
      <w:sdtContent>
        <w:p w14:paraId="2C846952">
          <w:pPr>
            <w:spacing w:line="360" w:lineRule="auto"/>
            <w:jc w:val="center"/>
            <w:rPr>
              <w:rFonts w:hint="eastAsia" w:asciiTheme="minorEastAsia" w:hAnsiTheme="minorEastAsia" w:eastAsiaTheme="minorEastAsia" w:cstheme="minorEastAsia"/>
              <w:b/>
              <w:bCs/>
              <w:color w:val="000000" w:themeColor="text1"/>
              <w:sz w:val="36"/>
              <w:szCs w:val="44"/>
              <w14:textFill>
                <w14:solidFill>
                  <w14:schemeClr w14:val="tx1"/>
                </w14:solidFill>
              </w14:textFill>
            </w:rPr>
          </w:pPr>
          <w:r>
            <w:rPr>
              <w:rFonts w:hint="eastAsia" w:asciiTheme="minorEastAsia" w:hAnsiTheme="minorEastAsia" w:eastAsiaTheme="minorEastAsia" w:cstheme="minorEastAsia"/>
              <w:b/>
              <w:bCs/>
              <w:color w:val="000000" w:themeColor="text1"/>
              <w:sz w:val="36"/>
              <w:szCs w:val="44"/>
              <w14:textFill>
                <w14:solidFill>
                  <w14:schemeClr w14:val="tx1"/>
                </w14:solidFill>
              </w14:textFill>
            </w:rPr>
            <w:t>目录</w:t>
          </w:r>
        </w:p>
        <w:p w14:paraId="2935A6B4">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TOC \o "1-1" \h \u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_Toc13319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kern w:val="44"/>
              <w:sz w:val="24"/>
              <w:szCs w:val="24"/>
              <w:lang w:val="zh-CN"/>
              <w14:textFill>
                <w14:solidFill>
                  <w14:schemeClr w14:val="tx1"/>
                </w14:solidFill>
              </w14:textFill>
            </w:rPr>
            <w:t>第一章</w:t>
          </w:r>
          <w:r>
            <w:rPr>
              <w:rFonts w:hint="eastAsia" w:ascii="宋体" w:hAnsi="宋体" w:eastAsia="宋体" w:cs="宋体"/>
              <w:b/>
              <w:bCs/>
              <w:color w:val="000000" w:themeColor="text1"/>
              <w:kern w:val="44"/>
              <w:sz w:val="24"/>
              <w:szCs w:val="24"/>
              <w14:textFill>
                <w14:solidFill>
                  <w14:schemeClr w14:val="tx1"/>
                </w14:solidFill>
              </w14:textFill>
            </w:rPr>
            <w:t xml:space="preserve"> </w:t>
          </w:r>
          <w:r>
            <w:rPr>
              <w:rFonts w:hint="eastAsia" w:ascii="宋体" w:hAnsi="宋体" w:eastAsia="宋体" w:cs="宋体"/>
              <w:b/>
              <w:bCs/>
              <w:color w:val="000000" w:themeColor="text1"/>
              <w:kern w:val="44"/>
              <w:sz w:val="24"/>
              <w:szCs w:val="24"/>
              <w:lang w:val="zh-CN"/>
              <w14:textFill>
                <w14:solidFill>
                  <w14:schemeClr w14:val="tx1"/>
                </w14:solidFill>
              </w14:textFill>
            </w:rPr>
            <w:t>招标公告</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_Toc13319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- 3 -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47E7E7C7">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_Toc30098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第二章</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投标人须知</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_Toc30098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- 11 -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6ED957AC">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_Toc15164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highlight w:val="none"/>
              <w:lang w:val="zh-CN"/>
              <w14:textFill>
                <w14:solidFill>
                  <w14:schemeClr w14:val="tx1"/>
                </w14:solidFill>
              </w14:textFill>
            </w:rPr>
            <w:t>第三章</w:t>
          </w:r>
          <w:r>
            <w:rPr>
              <w:rFonts w:hint="eastAsia" w:ascii="宋体" w:hAnsi="宋体" w:eastAsia="宋体" w:cs="宋体"/>
              <w:b/>
              <w:bCs/>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lang w:val="zh-CN"/>
              <w14:textFill>
                <w14:solidFill>
                  <w14:schemeClr w14:val="tx1"/>
                </w14:solidFill>
              </w14:textFill>
            </w:rPr>
            <w:t>评标办法（</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双信封的</w:t>
          </w:r>
          <w:r>
            <w:rPr>
              <w:rFonts w:hint="eastAsia" w:ascii="宋体" w:hAnsi="宋体" w:eastAsia="宋体" w:cs="宋体"/>
              <w:b/>
              <w:bCs/>
              <w:color w:val="000000" w:themeColor="text1"/>
              <w:sz w:val="24"/>
              <w:szCs w:val="24"/>
              <w:highlight w:val="none"/>
              <w:lang w:val="zh-CN"/>
              <w14:textFill>
                <w14:solidFill>
                  <w14:schemeClr w14:val="tx1"/>
                </w14:solidFill>
              </w14:textFill>
            </w:rPr>
            <w:t>综合评分法）</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_Toc15164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- 53 -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3C66AC33">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_Toc28179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第四章</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合同条款及格式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_Toc28179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- 70 -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3F522E3B">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_Toc8702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pacing w:val="1"/>
              <w:sz w:val="24"/>
              <w:szCs w:val="24"/>
              <w14:textFill>
                <w14:solidFill>
                  <w14:schemeClr w14:val="tx1"/>
                </w14:solidFill>
              </w14:textFill>
            </w:rPr>
            <w:t>第二卷</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_Toc8702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- 121 -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188FB2A5">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_Toc22811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第五章</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发包人要求</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_Toc22811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- 122 -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2E527133">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_Toc21144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发包人要求</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_Toc21144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- 123 -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79BF87D2">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_Toc855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第六章</w:t>
          </w:r>
          <w:r>
            <w:rPr>
              <w:rFonts w:hint="eastAsia" w:ascii="宋体" w:hAnsi="宋体" w:eastAsia="宋体" w:cs="宋体"/>
              <w:b/>
              <w:bCs/>
              <w:color w:val="000000" w:themeColor="text1"/>
              <w:sz w:val="24"/>
              <w:szCs w:val="24"/>
              <w14:textFill>
                <w14:solidFill>
                  <w14:schemeClr w14:val="tx1"/>
                </w14:solidFill>
              </w14:textFill>
            </w:rPr>
            <w:t xml:space="preserve"> 发包人提供的资料</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_Toc855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- 125 -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51CDAEC3">
          <w:pPr>
            <w:pStyle w:val="16"/>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begin"/>
          </w:r>
          <w:r>
            <w:rPr>
              <w:rFonts w:hint="eastAsia" w:ascii="宋体" w:hAnsi="宋体" w:eastAsia="宋体" w:cs="宋体"/>
              <w:b/>
              <w:bCs/>
              <w:color w:val="000000" w:themeColor="text1"/>
              <w:kern w:val="0"/>
              <w:sz w:val="24"/>
              <w:szCs w:val="24"/>
              <w:lang w:val="zh-CN" w:bidi="zh-CN"/>
              <w14:textFill>
                <w14:solidFill>
                  <w14:schemeClr w14:val="tx1"/>
                </w14:solidFill>
              </w14:textFill>
            </w:rPr>
            <w:instrText xml:space="preserve"> HYPERLINK \l _Toc27746 </w:instrText>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separate"/>
          </w:r>
          <w:r>
            <w:rPr>
              <w:rFonts w:hint="eastAsia" w:ascii="宋体" w:hAnsi="宋体" w:eastAsia="宋体" w:cs="宋体"/>
              <w:b/>
              <w:bCs/>
              <w:color w:val="000000" w:themeColor="text1"/>
              <w:sz w:val="24"/>
              <w:szCs w:val="24"/>
              <w:lang w:val="zh-CN"/>
              <w14:textFill>
                <w14:solidFill>
                  <w14:schemeClr w14:val="tx1"/>
                </w14:solidFill>
              </w14:textFill>
            </w:rPr>
            <w:t>第七章</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zh-CN"/>
              <w14:textFill>
                <w14:solidFill>
                  <w14:schemeClr w14:val="tx1"/>
                </w14:solidFill>
              </w14:textFill>
            </w:rPr>
            <w:t>投标文件格式</w:t>
          </w:r>
          <w:r>
            <w:rPr>
              <w:rFonts w:hint="eastAsia" w:ascii="宋体" w:hAnsi="宋体" w:eastAsia="宋体" w:cs="宋体"/>
              <w:b/>
              <w:bCs/>
              <w:color w:val="000000" w:themeColor="text1"/>
              <w:sz w:val="24"/>
              <w:szCs w:val="24"/>
              <w14:textFill>
                <w14:solidFill>
                  <w14:schemeClr w14:val="tx1"/>
                </w14:solidFill>
              </w14:textFill>
            </w:rPr>
            <w:tab/>
          </w: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 PAGEREF _Toc27746 \h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
              <w:bCs/>
              <w:color w:val="000000" w:themeColor="text1"/>
              <w:sz w:val="24"/>
              <w:szCs w:val="24"/>
              <w14:textFill>
                <w14:solidFill>
                  <w14:schemeClr w14:val="tx1"/>
                </w14:solidFill>
              </w14:textFill>
            </w:rPr>
            <w:t>- 128 -</w:t>
          </w:r>
          <w:r>
            <w:rPr>
              <w:rFonts w:hint="eastAsia" w:ascii="宋体" w:hAnsi="宋体" w:eastAsia="宋体" w:cs="宋体"/>
              <w:b/>
              <w:bCs/>
              <w:color w:val="000000" w:themeColor="text1"/>
              <w:sz w:val="24"/>
              <w:szCs w:val="24"/>
              <w14:textFill>
                <w14:solidFill>
                  <w14:schemeClr w14:val="tx1"/>
                </w14:solidFill>
              </w14:textFill>
            </w:rPr>
            <w:fldChar w:fldCharType="end"/>
          </w: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p w14:paraId="129FA6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0"/>
              <w:sz w:val="24"/>
              <w:szCs w:val="24"/>
              <w:lang w:val="zh-CN" w:bidi="zh-CN"/>
              <w14:textFill>
                <w14:solidFill>
                  <w14:schemeClr w14:val="tx1"/>
                </w14:solidFill>
              </w14:textFill>
            </w:rPr>
          </w:pPr>
          <w:r>
            <w:rPr>
              <w:rFonts w:hint="eastAsia" w:ascii="宋体" w:hAnsi="宋体" w:eastAsia="宋体" w:cs="宋体"/>
              <w:b/>
              <w:bCs/>
              <w:color w:val="000000" w:themeColor="text1"/>
              <w:kern w:val="0"/>
              <w:sz w:val="24"/>
              <w:szCs w:val="24"/>
              <w:lang w:val="zh-CN" w:bidi="zh-CN"/>
              <w14:textFill>
                <w14:solidFill>
                  <w14:schemeClr w14:val="tx1"/>
                </w14:solidFill>
              </w14:textFill>
            </w:rPr>
            <w:fldChar w:fldCharType="end"/>
          </w:r>
        </w:p>
      </w:sdtContent>
    </w:sdt>
    <w:p w14:paraId="11B85B2F">
      <w:pPr>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pPr>
    </w:p>
    <w:p w14:paraId="6FF84CCD">
      <w:pPr>
        <w:rPr>
          <w:rFonts w:hint="eastAsia" w:asciiTheme="minorEastAsia" w:hAnsiTheme="minorEastAsia" w:eastAsiaTheme="minorEastAsia" w:cstheme="minorEastAsia"/>
          <w:color w:val="000000" w:themeColor="text1"/>
          <w:sz w:val="84"/>
          <w:szCs w:val="84"/>
          <w14:textFill>
            <w14:solidFill>
              <w14:schemeClr w14:val="tx1"/>
            </w14:solidFill>
          </w14:textFill>
        </w:rPr>
        <w:sectPr>
          <w:footerReference r:id="rId5" w:type="default"/>
          <w:pgSz w:w="11911" w:h="16838"/>
          <w:pgMar w:top="1440" w:right="1080" w:bottom="1440" w:left="1080" w:header="1134" w:footer="998" w:gutter="0"/>
          <w:pgNumType w:fmt="numberInDash" w:start="1"/>
          <w:cols w:space="0" w:num="1"/>
        </w:sectPr>
      </w:pPr>
    </w:p>
    <w:p w14:paraId="4967CC48">
      <w:pPr>
        <w:rPr>
          <w:rFonts w:hint="eastAsia" w:asciiTheme="minorEastAsia" w:hAnsiTheme="minorEastAsia" w:eastAsiaTheme="minorEastAsia" w:cstheme="minorEastAsia"/>
          <w:color w:val="000000" w:themeColor="text1"/>
          <w:sz w:val="84"/>
          <w:szCs w:val="84"/>
          <w14:textFill>
            <w14:solidFill>
              <w14:schemeClr w14:val="tx1"/>
            </w14:solidFill>
          </w14:textFill>
        </w:rPr>
      </w:pPr>
    </w:p>
    <w:p w14:paraId="2E14CBE9">
      <w:pPr>
        <w:pStyle w:val="31"/>
        <w:ind w:firstLine="0"/>
        <w:rPr>
          <w:rFonts w:hint="eastAsia" w:asciiTheme="minorEastAsia" w:hAnsiTheme="minorEastAsia" w:eastAsiaTheme="minorEastAsia" w:cstheme="minorEastAsia"/>
          <w:color w:val="000000" w:themeColor="text1"/>
          <w:sz w:val="84"/>
          <w:szCs w:val="84"/>
          <w14:textFill>
            <w14:solidFill>
              <w14:schemeClr w14:val="tx1"/>
            </w14:solidFill>
          </w14:textFill>
        </w:rPr>
      </w:pPr>
    </w:p>
    <w:p w14:paraId="6EDF76BE">
      <w:pPr>
        <w:rPr>
          <w:rFonts w:hint="eastAsia" w:asciiTheme="minorEastAsia" w:hAnsiTheme="minorEastAsia" w:eastAsiaTheme="minorEastAsia" w:cstheme="minorEastAsia"/>
          <w:color w:val="000000" w:themeColor="text1"/>
          <w:sz w:val="84"/>
          <w:szCs w:val="84"/>
          <w14:textFill>
            <w14:solidFill>
              <w14:schemeClr w14:val="tx1"/>
            </w14:solidFill>
          </w14:textFill>
        </w:rPr>
      </w:pPr>
    </w:p>
    <w:p w14:paraId="0DDB53B5">
      <w:pPr>
        <w:pStyle w:val="31"/>
        <w:ind w:firstLine="0"/>
        <w:rPr>
          <w:rFonts w:hint="eastAsia" w:asciiTheme="minorEastAsia" w:hAnsiTheme="minorEastAsia" w:eastAsiaTheme="minorEastAsia" w:cstheme="minorEastAsia"/>
          <w:color w:val="000000" w:themeColor="text1"/>
          <w:sz w:val="84"/>
          <w:szCs w:val="84"/>
          <w14:textFill>
            <w14:solidFill>
              <w14:schemeClr w14:val="tx1"/>
            </w14:solidFill>
          </w14:textFill>
        </w:rPr>
      </w:pPr>
    </w:p>
    <w:p w14:paraId="322703D2">
      <w:pPr>
        <w:rPr>
          <w:rFonts w:hint="eastAsia" w:asciiTheme="minorEastAsia" w:hAnsiTheme="minorEastAsia" w:eastAsiaTheme="minorEastAsia" w:cstheme="minorEastAsia"/>
          <w:color w:val="000000" w:themeColor="text1"/>
          <w:sz w:val="84"/>
          <w:szCs w:val="84"/>
          <w14:textFill>
            <w14:solidFill>
              <w14:schemeClr w14:val="tx1"/>
            </w14:solidFill>
          </w14:textFill>
        </w:rPr>
      </w:pPr>
    </w:p>
    <w:p w14:paraId="1DCA6A8E">
      <w:pPr>
        <w:jc w:val="center"/>
        <w:rPr>
          <w:rFonts w:hint="eastAsia" w:asciiTheme="minorEastAsia" w:hAnsiTheme="minorEastAsia" w:eastAsiaTheme="minorEastAsia" w:cstheme="minorEastAsia"/>
          <w:b/>
          <w:bCs/>
          <w:color w:val="000000" w:themeColor="text1"/>
          <w:sz w:val="52"/>
          <w:szCs w:val="52"/>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52"/>
          <w:szCs w:val="52"/>
          <w:lang w:val="zh-CN"/>
          <w14:textFill>
            <w14:solidFill>
              <w14:schemeClr w14:val="tx1"/>
            </w14:solidFill>
          </w14:textFill>
        </w:rPr>
        <w:t>第一卷</w:t>
      </w:r>
    </w:p>
    <w:p w14:paraId="79668633">
      <w:pPr>
        <w:spacing w:line="360" w:lineRule="auto"/>
        <w:jc w:val="center"/>
        <w:outlineLvl w:val="0"/>
        <w:rPr>
          <w:rStyle w:val="30"/>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br w:type="page"/>
      </w:r>
      <w:bookmarkStart w:id="0" w:name="_Toc13319"/>
      <w:r>
        <w:rPr>
          <w:rFonts w:hint="eastAsia" w:asciiTheme="minorEastAsia" w:hAnsiTheme="minorEastAsia" w:eastAsiaTheme="minorEastAsia" w:cstheme="minorEastAsia"/>
          <w:b/>
          <w:color w:val="000000" w:themeColor="text1"/>
          <w:kern w:val="44"/>
          <w:sz w:val="32"/>
          <w:szCs w:val="32"/>
          <w:lang w:val="zh-CN"/>
          <w14:textFill>
            <w14:solidFill>
              <w14:schemeClr w14:val="tx1"/>
            </w14:solidFill>
          </w14:textFill>
        </w:rPr>
        <w:t>第一章</w:t>
      </w:r>
      <w:r>
        <w:rPr>
          <w:rFonts w:hint="eastAsia" w:asciiTheme="minorEastAsia" w:hAnsiTheme="minorEastAsia" w:eastAsiaTheme="minorEastAsia" w:cstheme="minorEastAsia"/>
          <w:b/>
          <w:color w:val="000000" w:themeColor="text1"/>
          <w:kern w:val="44"/>
          <w:sz w:val="32"/>
          <w:szCs w:val="32"/>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44"/>
          <w:sz w:val="32"/>
          <w:szCs w:val="32"/>
          <w:lang w:val="zh-CN"/>
          <w14:textFill>
            <w14:solidFill>
              <w14:schemeClr w14:val="tx1"/>
            </w14:solidFill>
          </w14:textFill>
        </w:rPr>
        <w:t>招标公告</w:t>
      </w:r>
      <w:bookmarkEnd w:id="0"/>
    </w:p>
    <w:p w14:paraId="6D3750B4">
      <w:pPr>
        <w:spacing w:line="360" w:lineRule="auto"/>
        <w:ind w:firstLine="562" w:firstLineChars="200"/>
        <w:jc w:val="center"/>
        <w:rPr>
          <w:rFonts w:hint="eastAsia" w:asciiTheme="minorEastAsia" w:hAnsiTheme="minorEastAsia" w:eastAsiaTheme="minorEastAsia" w:cstheme="minorEastAsia"/>
          <w:b/>
          <w:bCs/>
          <w:color w:val="000000" w:themeColor="text1"/>
          <w:kern w:val="0"/>
          <w:sz w:val="28"/>
          <w:szCs w:val="28"/>
          <w:u w:val="single"/>
          <w:lang w:val="zh-CN" w:bidi="zh-CN"/>
          <w14:textFill>
            <w14:solidFill>
              <w14:schemeClr w14:val="tx1"/>
            </w14:solidFill>
          </w14:textFill>
        </w:rPr>
      </w:pPr>
      <w:bookmarkStart w:id="1" w:name="_Toc32729"/>
      <w:bookmarkStart w:id="2" w:name="_Toc17674"/>
      <w:r>
        <w:rPr>
          <w:rFonts w:hint="eastAsia" w:asciiTheme="minorEastAsia" w:hAnsiTheme="minorEastAsia" w:eastAsiaTheme="minorEastAsia" w:cstheme="minorEastAsia"/>
          <w:b/>
          <w:bCs/>
          <w:color w:val="000000" w:themeColor="text1"/>
          <w:kern w:val="0"/>
          <w:sz w:val="28"/>
          <w:szCs w:val="28"/>
          <w:u w:val="single"/>
          <w:lang w:val="zh-CN" w:bidi="zh-CN"/>
          <w14:textFill>
            <w14:solidFill>
              <w14:schemeClr w14:val="tx1"/>
            </w14:solidFill>
          </w14:textFill>
        </w:rPr>
        <w:t>南雄市X790线里东村至泷头林场公路提档升级改建工程等5个项目</w:t>
      </w:r>
    </w:p>
    <w:p w14:paraId="7E200518">
      <w:pPr>
        <w:spacing w:line="360" w:lineRule="auto"/>
        <w:ind w:firstLine="562" w:firstLineChars="200"/>
        <w:jc w:val="center"/>
        <w:rPr>
          <w:rFonts w:hint="eastAsia" w:asciiTheme="minorEastAsia" w:hAnsiTheme="minorEastAsia" w:eastAsiaTheme="minorEastAsia" w:cstheme="minorEastAsia"/>
          <w:b/>
          <w:bCs/>
          <w:color w:val="000000" w:themeColor="text1"/>
          <w:kern w:val="0"/>
          <w:sz w:val="28"/>
          <w:szCs w:val="28"/>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8"/>
          <w:szCs w:val="28"/>
          <w:u w:val="single"/>
          <w:lang w:val="zh-CN" w:bidi="zh-CN"/>
          <w14:textFill>
            <w14:solidFill>
              <w14:schemeClr w14:val="tx1"/>
            </w14:solidFill>
          </w14:textFill>
        </w:rPr>
        <w:t>（标段一）施工设计总承包</w:t>
      </w:r>
      <w:r>
        <w:rPr>
          <w:rFonts w:hint="eastAsia" w:asciiTheme="minorEastAsia" w:hAnsiTheme="minorEastAsia" w:eastAsiaTheme="minorEastAsia" w:cstheme="minorEastAsia"/>
          <w:b/>
          <w:bCs/>
          <w:color w:val="000000" w:themeColor="text1"/>
          <w:kern w:val="0"/>
          <w:sz w:val="28"/>
          <w:szCs w:val="28"/>
          <w:lang w:val="zh-CN" w:bidi="zh-CN"/>
          <w14:textFill>
            <w14:solidFill>
              <w14:schemeClr w14:val="tx1"/>
            </w14:solidFill>
          </w14:textFill>
        </w:rPr>
        <w:t>招标公告</w:t>
      </w:r>
      <w:bookmarkEnd w:id="1"/>
      <w:bookmarkEnd w:id="2"/>
    </w:p>
    <w:p w14:paraId="2D7065BA">
      <w:pPr>
        <w:pStyle w:val="3"/>
        <w:pageBreakBefore w:val="0"/>
        <w:kinsoku/>
        <w:overflowPunct/>
        <w:topLinePunct w:val="0"/>
        <w:bidi w:val="0"/>
        <w:adjustRightInd w:val="0"/>
        <w:snapToGrid w:val="0"/>
        <w:spacing w:before="0" w:after="120" w:afterLines="50" w:line="440" w:lineRule="exact"/>
        <w:textAlignment w:val="auto"/>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t>1.招标条件</w:t>
      </w:r>
    </w:p>
    <w:p w14:paraId="4BFB5BB9">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本招标项目</w:t>
      </w:r>
      <w:r>
        <w:rPr>
          <w:rFonts w:hint="eastAsia" w:asciiTheme="minorEastAsia" w:hAnsiTheme="minorEastAsia" w:eastAsiaTheme="minorEastAsia" w:cstheme="minorEastAsia"/>
          <w:color w:val="000000" w:themeColor="text1"/>
          <w:sz w:val="24"/>
          <w:u w:val="single"/>
          <w14:textFill>
            <w14:solidFill>
              <w14:schemeClr w14:val="tx1"/>
            </w14:solidFill>
          </w14:textFill>
        </w:rPr>
        <w:t>南雄市X790线里东村至泷头林场公路提档升级改建工程等5个项目（标段一）</w:t>
      </w:r>
    </w:p>
    <w:p w14:paraId="04FAA92B">
      <w:pPr>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u w:val="single"/>
          <w14:textFill>
            <w14:solidFill>
              <w14:schemeClr w14:val="tx1"/>
            </w14:solidFill>
          </w14:textFill>
        </w:rPr>
        <w:t>施工设计总承包</w:t>
      </w:r>
      <w:r>
        <w:rPr>
          <w:rFonts w:hint="eastAsia" w:asciiTheme="minorEastAsia" w:hAnsiTheme="minorEastAsia" w:eastAsiaTheme="minorEastAsia" w:cstheme="minorEastAsia"/>
          <w:color w:val="000000" w:themeColor="text1"/>
          <w:sz w:val="24"/>
          <w14:textFill>
            <w14:solidFill>
              <w14:schemeClr w14:val="tx1"/>
            </w14:solidFill>
          </w14:textFill>
        </w:rPr>
        <w:t>已由</w:t>
      </w:r>
      <w:r>
        <w:rPr>
          <w:rFonts w:hint="eastAsia" w:asciiTheme="minorEastAsia" w:hAnsiTheme="minorEastAsia" w:eastAsiaTheme="minorEastAsia" w:cstheme="minorEastAsia"/>
          <w:color w:val="000000" w:themeColor="text1"/>
          <w:sz w:val="24"/>
          <w:u w:val="single"/>
          <w14:textFill>
            <w14:solidFill>
              <w14:schemeClr w14:val="tx1"/>
            </w14:solidFill>
          </w14:textFill>
        </w:rPr>
        <w:t>南雄市发展和改革局</w:t>
      </w:r>
      <w:r>
        <w:rPr>
          <w:rFonts w:hint="eastAsia" w:asciiTheme="minorEastAsia" w:hAnsiTheme="minorEastAsia" w:eastAsiaTheme="minorEastAsia" w:cstheme="minorEastAsia"/>
          <w:color w:val="000000" w:themeColor="text1"/>
          <w:spacing w:val="9"/>
          <w:sz w:val="24"/>
          <w14:textFill>
            <w14:solidFill>
              <w14:schemeClr w14:val="tx1"/>
            </w14:solidFill>
          </w14:textFill>
        </w:rPr>
        <w:t>以</w:t>
      </w:r>
      <w:r>
        <w:rPr>
          <w:rFonts w:hint="eastAsia" w:asciiTheme="minorEastAsia" w:hAnsiTheme="minorEastAsia" w:eastAsiaTheme="minorEastAsia" w:cstheme="minorEastAsia"/>
          <w:color w:val="000000" w:themeColor="text1"/>
          <w:sz w:val="24"/>
          <w:u w:val="single"/>
          <w14:textFill>
            <w14:solidFill>
              <w14:schemeClr w14:val="tx1"/>
            </w14:solidFill>
          </w14:textFill>
        </w:rPr>
        <w:t>《关于南雄市X787线帽子峰至江西河洞公路提档升级改建工程可行性研究报告的批复》（雄发改投审〔2024〕62号）、《关于南雄市X790线里东村至泷头林场公路提档升级改建工程可行性研究报告的批复》（雄发改投审〔2024〕63号）</w:t>
      </w:r>
      <w:r>
        <w:rPr>
          <w:rFonts w:hint="eastAsia" w:asciiTheme="minorEastAsia" w:hAnsiTheme="minorEastAsia" w:eastAsiaTheme="minorEastAsia" w:cstheme="minorEastAsia"/>
          <w:color w:val="000000" w:themeColor="text1"/>
          <w:sz w:val="24"/>
          <w14:textFill>
            <w14:solidFill>
              <w14:schemeClr w14:val="tx1"/>
            </w14:solidFill>
          </w14:textFill>
        </w:rPr>
        <w:t>批准建设，项目代码为</w:t>
      </w:r>
      <w:r>
        <w:rPr>
          <w:rFonts w:hint="eastAsia" w:asciiTheme="minorEastAsia" w:hAnsiTheme="minorEastAsia" w:eastAsiaTheme="minorEastAsia" w:cstheme="minorEastAsia"/>
          <w:color w:val="000000" w:themeColor="text1"/>
          <w:sz w:val="24"/>
          <w:u w:val="single"/>
          <w14:textFill>
            <w14:solidFill>
              <w14:schemeClr w14:val="tx1"/>
            </w14:solidFill>
          </w14:textFill>
        </w:rPr>
        <w:t>2404-440282-18-01-448984、2404-440282-18-01-794042</w:t>
      </w:r>
      <w:r>
        <w:rPr>
          <w:rFonts w:hint="eastAsia" w:asciiTheme="minorEastAsia" w:hAnsiTheme="minorEastAsia" w:eastAsiaTheme="minorEastAsia" w:cstheme="minorEastAsia"/>
          <w:color w:val="000000" w:themeColor="text1"/>
          <w:sz w:val="24"/>
          <w14:textFill>
            <w14:solidFill>
              <w14:schemeClr w14:val="tx1"/>
            </w14:solidFill>
          </w14:textFill>
        </w:rPr>
        <w:t>；项目业主为</w:t>
      </w:r>
      <w:r>
        <w:rPr>
          <w:rFonts w:hint="eastAsia" w:asciiTheme="minorEastAsia" w:hAnsiTheme="minorEastAsia" w:eastAsiaTheme="minorEastAsia" w:cstheme="minorEastAsia"/>
          <w:color w:val="000000" w:themeColor="text1"/>
          <w:sz w:val="24"/>
          <w:u w:val="single"/>
          <w14:textFill>
            <w14:solidFill>
              <w14:schemeClr w14:val="tx1"/>
            </w14:solidFill>
          </w14:textFill>
        </w:rPr>
        <w:t>南雄市地方公路管理站</w:t>
      </w:r>
      <w:r>
        <w:rPr>
          <w:rFonts w:hint="eastAsia" w:asciiTheme="minorEastAsia" w:hAnsiTheme="minorEastAsia" w:eastAsiaTheme="minorEastAsia" w:cstheme="minorEastAsia"/>
          <w:color w:val="000000" w:themeColor="text1"/>
          <w:sz w:val="24"/>
          <w14:textFill>
            <w14:solidFill>
              <w14:schemeClr w14:val="tx1"/>
            </w14:solidFill>
          </w14:textFill>
        </w:rPr>
        <w:t>，建设资金来源为</w:t>
      </w:r>
      <w:r>
        <w:rPr>
          <w:rFonts w:hint="eastAsia" w:asciiTheme="minorEastAsia" w:hAnsiTheme="minorEastAsia" w:eastAsiaTheme="minorEastAsia" w:cstheme="minorEastAsia"/>
          <w:color w:val="000000" w:themeColor="text1"/>
          <w:sz w:val="24"/>
          <w:u w:val="single"/>
          <w14:textFill>
            <w14:solidFill>
              <w14:schemeClr w14:val="tx1"/>
            </w14:solidFill>
          </w14:textFill>
        </w:rPr>
        <w:t>争取中央、省、市有关部门支持补助，其余由地方各级财政筹措解决</w:t>
      </w:r>
      <w:r>
        <w:rPr>
          <w:rFonts w:hint="eastAsia" w:asciiTheme="minorEastAsia" w:hAnsiTheme="minorEastAsia" w:eastAsiaTheme="minorEastAsia" w:cstheme="minorEastAsia"/>
          <w:color w:val="000000" w:themeColor="text1"/>
          <w:sz w:val="24"/>
          <w14:textFill>
            <w14:solidFill>
              <w14:schemeClr w14:val="tx1"/>
            </w14:solidFill>
          </w14:textFill>
        </w:rPr>
        <w:t>，项目出资比例为</w:t>
      </w:r>
      <w:r>
        <w:rPr>
          <w:rFonts w:hint="eastAsia" w:asciiTheme="minorEastAsia" w:hAnsiTheme="minorEastAsia" w:eastAsiaTheme="minorEastAsia" w:cstheme="minorEastAsia"/>
          <w:color w:val="000000" w:themeColor="text1"/>
          <w:sz w:val="24"/>
          <w:u w:val="single"/>
          <w14:textFill>
            <w14:solidFill>
              <w14:schemeClr w14:val="tx1"/>
            </w14:solidFill>
          </w14:textFill>
        </w:rPr>
        <w:t>100%</w:t>
      </w:r>
      <w:r>
        <w:rPr>
          <w:rFonts w:hint="eastAsia" w:asciiTheme="minorEastAsia" w:hAnsiTheme="minorEastAsia" w:eastAsiaTheme="minorEastAsia" w:cstheme="minorEastAsia"/>
          <w:color w:val="000000" w:themeColor="text1"/>
          <w:sz w:val="24"/>
          <w14:textFill>
            <w14:solidFill>
              <w14:schemeClr w14:val="tx1"/>
            </w14:solidFill>
          </w14:textFill>
        </w:rPr>
        <w:t>。招标人为</w:t>
      </w:r>
      <w:r>
        <w:rPr>
          <w:rFonts w:hint="eastAsia" w:asciiTheme="minorEastAsia" w:hAnsiTheme="minorEastAsia" w:eastAsiaTheme="minorEastAsia" w:cstheme="minorEastAsia"/>
          <w:color w:val="000000" w:themeColor="text1"/>
          <w:sz w:val="24"/>
          <w:u w:val="single"/>
          <w14:textFill>
            <w14:solidFill>
              <w14:schemeClr w14:val="tx1"/>
            </w14:solidFill>
          </w14:textFill>
        </w:rPr>
        <w:t>南雄市地方公路管理站</w:t>
      </w:r>
      <w:r>
        <w:rPr>
          <w:rFonts w:hint="eastAsia" w:asciiTheme="minorEastAsia" w:hAnsiTheme="minorEastAsia" w:eastAsiaTheme="minorEastAsia" w:cstheme="minorEastAsia"/>
          <w:color w:val="000000" w:themeColor="text1"/>
          <w:sz w:val="24"/>
          <w14:textFill>
            <w14:solidFill>
              <w14:schemeClr w14:val="tx1"/>
            </w14:solidFill>
          </w14:textFill>
        </w:rPr>
        <w:t>，项目已具备招标条件，现对该项目的</w:t>
      </w:r>
      <w:r>
        <w:rPr>
          <w:rFonts w:hint="eastAsia" w:asciiTheme="minorEastAsia" w:hAnsiTheme="minorEastAsia" w:eastAsiaTheme="minorEastAsia" w:cstheme="minorEastAsia"/>
          <w:color w:val="000000" w:themeColor="text1"/>
          <w:sz w:val="24"/>
          <w:u w:val="single"/>
          <w14:textFill>
            <w14:solidFill>
              <w14:schemeClr w14:val="tx1"/>
            </w14:solidFill>
          </w14:textFill>
        </w:rPr>
        <w:t>施工设计总承包</w:t>
      </w:r>
      <w:r>
        <w:rPr>
          <w:rFonts w:hint="eastAsia" w:asciiTheme="minorEastAsia" w:hAnsiTheme="minorEastAsia" w:eastAsiaTheme="minorEastAsia" w:cstheme="minorEastAsia"/>
          <w:color w:val="000000" w:themeColor="text1"/>
          <w:sz w:val="24"/>
          <w14:textFill>
            <w14:solidFill>
              <w14:schemeClr w14:val="tx1"/>
            </w14:solidFill>
          </w14:textFill>
        </w:rPr>
        <w:t>进行公开招标。</w:t>
      </w:r>
    </w:p>
    <w:p w14:paraId="30C72C8E">
      <w:pPr>
        <w:pageBreakBefore w:val="0"/>
        <w:kinsoku/>
        <w:overflowPunct/>
        <w:topLinePunct w:val="0"/>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1F388BBF">
      <w:pPr>
        <w:pStyle w:val="3"/>
        <w:pageBreakBefore w:val="0"/>
        <w:kinsoku/>
        <w:overflowPunct/>
        <w:topLinePunct w:val="0"/>
        <w:bidi w:val="0"/>
        <w:adjustRightInd w:val="0"/>
        <w:snapToGrid w:val="0"/>
        <w:spacing w:before="0" w:after="120" w:afterLines="50" w:line="440" w:lineRule="exact"/>
        <w:textAlignment w:val="auto"/>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t>2.项目概况</w:t>
      </w:r>
    </w:p>
    <w:p w14:paraId="5755EFE8">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2.1项目概况</w:t>
      </w:r>
    </w:p>
    <w:p w14:paraId="16E1891A">
      <w:pPr>
        <w:pageBreakBefore w:val="0"/>
        <w:kinsoku/>
        <w:overflowPunct/>
        <w:topLinePunct w:val="0"/>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lang w:val="zh-CN" w:bidi="zh-CN"/>
          <w14:textFill>
            <w14:solidFill>
              <w14:schemeClr w14:val="tx1"/>
            </w14:solidFill>
          </w14:textFill>
        </w:rPr>
        <w:t>2.1.1建设地点:</w:t>
      </w:r>
    </w:p>
    <w:p w14:paraId="65555A8C">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u w:val="single"/>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（1）南雄市X787线帽子峰至江西河洞公路提档升级改建工程位于</w:t>
      </w:r>
      <w:r>
        <w:rPr>
          <w:rFonts w:hint="eastAsia" w:asciiTheme="minorEastAsia" w:hAnsiTheme="minorEastAsia" w:eastAsiaTheme="minorEastAsia" w:cstheme="minorEastAsia"/>
          <w:color w:val="000000" w:themeColor="text1"/>
          <w:kern w:val="0"/>
          <w:sz w:val="24"/>
          <w:u w:val="single"/>
          <w:lang w:val="zh-CN" w:bidi="zh-CN"/>
          <w14:textFill>
            <w14:solidFill>
              <w14:schemeClr w14:val="tx1"/>
            </w14:solidFill>
          </w14:textFill>
        </w:rPr>
        <w:t>南雄市澜河镇、帽子峰镇</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w:t>
      </w:r>
    </w:p>
    <w:p w14:paraId="167F9E3B">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u w:val="single"/>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（2）南雄市X790线里东村至泷头林场公路提档升级改建工程位于</w:t>
      </w:r>
      <w:r>
        <w:rPr>
          <w:rFonts w:hint="eastAsia" w:asciiTheme="minorEastAsia" w:hAnsiTheme="minorEastAsia" w:eastAsiaTheme="minorEastAsia" w:cstheme="minorEastAsia"/>
          <w:color w:val="000000" w:themeColor="text1"/>
          <w:kern w:val="0"/>
          <w:sz w:val="24"/>
          <w:u w:val="single"/>
          <w:lang w:val="zh-CN" w:bidi="zh-CN"/>
          <w14:textFill>
            <w14:solidFill>
              <w14:schemeClr w14:val="tx1"/>
            </w14:solidFill>
          </w14:textFill>
        </w:rPr>
        <w:t>南雄市珠玑镇、邓坊镇、湖口镇、水口镇</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w:t>
      </w:r>
    </w:p>
    <w:p w14:paraId="38E5EA17">
      <w:pPr>
        <w:pStyle w:val="44"/>
        <w:pageBreakBefore w:val="0"/>
        <w:kinsoku/>
        <w:overflowPunct/>
        <w:topLinePunct w:val="0"/>
        <w:bidi w:val="0"/>
        <w:adjustRightInd w:val="0"/>
        <w:snapToGrid w:val="0"/>
        <w:spacing w:line="440" w:lineRule="exact"/>
        <w:ind w:firstLine="482" w:firstLineChars="200"/>
        <w:jc w:val="left"/>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2.1.2</w:t>
      </w:r>
      <w:r>
        <w:rPr>
          <w:rFonts w:hint="eastAsia" w:asciiTheme="minorEastAsia" w:hAnsiTheme="minorEastAsia" w:eastAsiaTheme="minorEastAsia" w:cstheme="minorEastAsia"/>
          <w:color w:val="000000" w:themeColor="text1"/>
          <w:kern w:val="0"/>
          <w:sz w:val="24"/>
          <w:lang w:bidi="zh-CN"/>
          <w14:textFill>
            <w14:solidFill>
              <w14:schemeClr w14:val="tx1"/>
            </w14:solidFill>
          </w14:textFill>
        </w:rPr>
        <w:t>建设内容及</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规模:</w:t>
      </w:r>
    </w:p>
    <w:p w14:paraId="67525815">
      <w:pPr>
        <w:pStyle w:val="44"/>
        <w:pageBreakBefore w:val="0"/>
        <w:kinsoku/>
        <w:overflowPunct/>
        <w:topLinePunct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b w:val="0"/>
          <w:color w:val="000000" w:themeColor="text1"/>
          <w:sz w:val="24"/>
          <w:u w:val="single"/>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w:t>
      </w:r>
      <w:r>
        <w:rPr>
          <w:rFonts w:hint="eastAsia" w:asciiTheme="minorEastAsia" w:hAnsiTheme="minorEastAsia" w:eastAsiaTheme="minorEastAsia" w:cstheme="minorEastAsia"/>
          <w:b w:val="0"/>
          <w:color w:val="000000" w:themeColor="text1"/>
          <w:sz w:val="24"/>
          <w14:textFill>
            <w14:solidFill>
              <w14:schemeClr w14:val="tx1"/>
            </w14:solidFill>
          </w14:textFill>
        </w:rPr>
        <w:t>南雄市X787线帽子峰至江西河洞公路提档升级改建工程，建设内容及规模：</w:t>
      </w:r>
      <w:r>
        <w:rPr>
          <w:rFonts w:hint="eastAsia" w:asciiTheme="minorEastAsia" w:hAnsiTheme="minorEastAsia" w:eastAsiaTheme="minorEastAsia" w:cstheme="minorEastAsia"/>
          <w:b w:val="0"/>
          <w:color w:val="000000" w:themeColor="text1"/>
          <w:sz w:val="24"/>
          <w:u w:val="single"/>
          <w14:textFill>
            <w14:solidFill>
              <w14:schemeClr w14:val="tx1"/>
            </w14:solidFill>
          </w14:textFill>
        </w:rPr>
        <w:t>项目全长37.750千米，道路等级为为三级公路。路面为水泥混凝土路面，改建后路基宽7.5米，路面宽6.5米，局部困难处缩小宽度。总投资约11216.1242万元，其中建安费约7420.1455万元。</w:t>
      </w:r>
    </w:p>
    <w:p w14:paraId="5D0A14C3">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（2）南雄市X790线里东村至泷头林场公路提档升级改建工程，建设内容及规模：</w:t>
      </w:r>
      <w:r>
        <w:rPr>
          <w:rFonts w:hint="eastAsia" w:asciiTheme="minorEastAsia" w:hAnsiTheme="minorEastAsia" w:eastAsiaTheme="minorEastAsia" w:cstheme="minorEastAsia"/>
          <w:color w:val="000000" w:themeColor="text1"/>
          <w:sz w:val="24"/>
          <w:u w:val="single"/>
          <w14:textFill>
            <w14:solidFill>
              <w14:schemeClr w14:val="tx1"/>
            </w14:solidFill>
          </w14:textFill>
        </w:rPr>
        <w:t>项目全长36.755千米，道路等级为为三级公路。路面为水泥混凝土路面，改建后路基宽7.5米，路面宽6.5米，局部困难处缩小宽度。总投资约10186.4283万元，其中建安费约6574.5472万元。</w:t>
      </w:r>
    </w:p>
    <w:p w14:paraId="66CB75B2">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2.2项目包划分</w:t>
      </w:r>
    </w:p>
    <w:p w14:paraId="266F2D58">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本次招标分为</w:t>
      </w:r>
      <w:r>
        <w:rPr>
          <w:rFonts w:hint="eastAsia" w:asciiTheme="minorEastAsia" w:hAnsiTheme="minorEastAsia" w:eastAsiaTheme="minorEastAsia" w:cstheme="minorEastAsia"/>
          <w:color w:val="000000" w:themeColor="text1"/>
          <w:kern w:val="0"/>
          <w:sz w:val="24"/>
          <w:u w:val="single"/>
          <w:lang w:bidi="zh-CN"/>
          <w14:textFill>
            <w14:solidFill>
              <w14:schemeClr w14:val="tx1"/>
            </w14:solidFill>
          </w14:textFill>
        </w:rPr>
        <w:t>1</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个项目包。</w:t>
      </w:r>
    </w:p>
    <w:p w14:paraId="122B503B">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2.3招标范围</w:t>
      </w:r>
    </w:p>
    <w:p w14:paraId="22B190F2">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为本项目包建设范围内的勘察设计（包括但不限于详勘、定测、施工图设计、预算文件编制）、施工、验收、资料管理、缺陷修复以及质量保修等（详见招标人提供的相关资料）。</w:t>
      </w:r>
    </w:p>
    <w:p w14:paraId="11125F85">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2.4计划工期</w:t>
      </w:r>
    </w:p>
    <w:p w14:paraId="08E72F5C">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u w:val="single"/>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计划工期：</w:t>
      </w:r>
      <w:r>
        <w:rPr>
          <w:rFonts w:hint="eastAsia" w:asciiTheme="minorEastAsia" w:hAnsiTheme="minorEastAsia" w:eastAsiaTheme="minorEastAsia" w:cstheme="minorEastAsia"/>
          <w:color w:val="000000" w:themeColor="text1"/>
          <w:sz w:val="24"/>
          <w:u w:val="single"/>
          <w14:textFill>
            <w14:solidFill>
              <w14:schemeClr w14:val="tx1"/>
            </w14:solidFill>
          </w14:textFill>
        </w:rPr>
        <w:t>1095日历天，各子项目的计划工期要求见附件1。</w:t>
      </w:r>
    </w:p>
    <w:p w14:paraId="65C42CEF">
      <w:pPr>
        <w:pageBreakBefore w:val="0"/>
        <w:kinsoku/>
        <w:overflowPunct/>
        <w:topLinePunct w:val="0"/>
        <w:bidi w:val="0"/>
        <w:adjustRightInd w:val="0"/>
        <w:snapToGrid w:val="0"/>
        <w:spacing w:line="160" w:lineRule="exact"/>
        <w:ind w:firstLine="480" w:firstLineChars="200"/>
        <w:textAlignment w:val="auto"/>
        <w:rPr>
          <w:rFonts w:hint="eastAsia" w:asciiTheme="minorEastAsia" w:hAnsiTheme="minorEastAsia" w:eastAsiaTheme="minorEastAsia" w:cstheme="minorEastAsia"/>
          <w:color w:val="000000" w:themeColor="text1"/>
          <w:sz w:val="24"/>
          <w:u w:val="single"/>
          <w14:textFill>
            <w14:solidFill>
              <w14:schemeClr w14:val="tx1"/>
            </w14:solidFill>
          </w14:textFill>
        </w:rPr>
      </w:pPr>
    </w:p>
    <w:p w14:paraId="13216D75">
      <w:pPr>
        <w:adjustRightInd w:val="0"/>
        <w:snapToGrid w:val="0"/>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xml:space="preserve">2.5 </w:t>
      </w:r>
      <w:r>
        <w:rPr>
          <w:rFonts w:hint="eastAsia" w:asciiTheme="minorEastAsia" w:hAnsiTheme="minorEastAsia" w:cstheme="minorEastAsia"/>
          <w:b/>
          <w:bCs/>
          <w:color w:val="000000" w:themeColor="text1"/>
          <w:sz w:val="24"/>
          <w:highlight w:val="none"/>
          <w14:textFill>
            <w14:solidFill>
              <w14:schemeClr w14:val="tx1"/>
            </w14:solidFill>
          </w14:textFill>
        </w:rPr>
        <w:t>项目</w:t>
      </w:r>
      <w:r>
        <w:rPr>
          <w:rFonts w:hint="eastAsia" w:asciiTheme="minorEastAsia" w:hAnsiTheme="minorEastAsia" w:cstheme="minorEastAsia"/>
          <w:b/>
          <w:bCs/>
          <w:color w:val="000000" w:themeColor="text1"/>
          <w:kern w:val="0"/>
          <w:sz w:val="24"/>
          <w:highlight w:val="none"/>
          <w14:textFill>
            <w14:solidFill>
              <w14:schemeClr w14:val="tx1"/>
            </w14:solidFill>
          </w14:textFill>
        </w:rPr>
        <w:t>总投资约</w:t>
      </w:r>
      <w:r>
        <w:rPr>
          <w:rFonts w:hint="eastAsia" w:asciiTheme="minorEastAsia" w:hAnsiTheme="minorEastAsia" w:cstheme="minorEastAsia"/>
          <w:color w:val="000000" w:themeColor="text1"/>
          <w:sz w:val="24"/>
          <w:highlight w:val="none"/>
          <w:u w:val="single"/>
          <w:lang w:bidi="ar"/>
          <w14:textFill>
            <w14:solidFill>
              <w14:schemeClr w14:val="tx1"/>
            </w14:solidFill>
          </w14:textFill>
        </w:rPr>
        <w:t xml:space="preserve">21402.5525 </w:t>
      </w:r>
      <w:r>
        <w:rPr>
          <w:rFonts w:hint="eastAsia" w:asciiTheme="minorEastAsia" w:hAnsiTheme="minorEastAsia" w:cstheme="minorEastAsia"/>
          <w:color w:val="000000" w:themeColor="text1"/>
          <w:sz w:val="24"/>
          <w:highlight w:val="none"/>
          <w14:textFill>
            <w14:solidFill>
              <w14:schemeClr w14:val="tx1"/>
            </w14:solidFill>
          </w14:textFill>
        </w:rPr>
        <w:t>万元，本次工程建安费招标金额约为</w:t>
      </w:r>
      <w:r>
        <w:rPr>
          <w:rFonts w:hint="eastAsia" w:asciiTheme="minorEastAsia" w:hAnsiTheme="minorEastAsia" w:cstheme="minorEastAsia"/>
          <w:color w:val="000000" w:themeColor="text1"/>
          <w:sz w:val="24"/>
          <w:highlight w:val="none"/>
          <w:u w:val="single"/>
          <w:lang w:bidi="ar"/>
          <w14:textFill>
            <w14:solidFill>
              <w14:schemeClr w14:val="tx1"/>
            </w14:solidFill>
          </w14:textFill>
        </w:rPr>
        <w:t>13994.6927</w:t>
      </w:r>
      <w:r>
        <w:rPr>
          <w:rFonts w:hint="eastAsia" w:asciiTheme="minorEastAsia" w:hAnsiTheme="minorEastAsia" w:cstheme="minorEastAsia"/>
          <w:color w:val="000000" w:themeColor="text1"/>
          <w:sz w:val="24"/>
          <w:highlight w:val="none"/>
          <w14:textFill>
            <w14:solidFill>
              <w14:schemeClr w14:val="tx1"/>
            </w14:solidFill>
          </w14:textFill>
        </w:rPr>
        <w:t>万元，工程</w:t>
      </w:r>
      <w:r>
        <w:rPr>
          <w:rFonts w:hint="eastAsia" w:asciiTheme="minorEastAsia" w:hAnsiTheme="minorEastAsia" w:cstheme="minorEastAsia"/>
          <w:color w:val="000000" w:themeColor="text1"/>
          <w:kern w:val="0"/>
          <w:sz w:val="24"/>
          <w:highlight w:val="none"/>
          <w14:textFill>
            <w14:solidFill>
              <w14:schemeClr w14:val="tx1"/>
            </w14:solidFill>
          </w14:textFill>
        </w:rPr>
        <w:t>勘察设计费约</w:t>
      </w:r>
      <w:r>
        <w:rPr>
          <w:rFonts w:hint="eastAsia" w:asciiTheme="minorEastAsia" w:hAnsiTheme="minorEastAsia" w:cstheme="minorEastAsia"/>
          <w:b w:val="0"/>
          <w:bCs w:val="0"/>
          <w:color w:val="000000" w:themeColor="text1"/>
          <w:sz w:val="24"/>
          <w:highlight w:val="none"/>
          <w:u w:val="single"/>
          <w:lang w:val="en-US" w:eastAsia="zh-CN" w:bidi="ar"/>
          <w14:textFill>
            <w14:solidFill>
              <w14:schemeClr w14:val="tx1"/>
            </w14:solidFill>
          </w14:textFill>
        </w:rPr>
        <w:t>638.64</w:t>
      </w:r>
      <w:r>
        <w:rPr>
          <w:rFonts w:hint="eastAsia" w:asciiTheme="minorEastAsia" w:hAnsiTheme="minorEastAsia" w:cstheme="minorEastAsia"/>
          <w:color w:val="000000" w:themeColor="text1"/>
          <w:kern w:val="0"/>
          <w:sz w:val="24"/>
          <w:highlight w:val="none"/>
          <w14:textFill>
            <w14:solidFill>
              <w14:schemeClr w14:val="tx1"/>
            </w14:solidFill>
          </w14:textFill>
        </w:rPr>
        <w:t>万元。</w:t>
      </w:r>
    </w:p>
    <w:p w14:paraId="20B7A1D9">
      <w:pPr>
        <w:pageBreakBefore w:val="0"/>
        <w:kinsoku/>
        <w:overflowPunct/>
        <w:topLinePunct w:val="0"/>
        <w:bidi w:val="0"/>
        <w:adjustRightInd w:val="0"/>
        <w:snapToGrid w:val="0"/>
        <w:spacing w:line="440" w:lineRule="exact"/>
        <w:textAlignment w:val="auto"/>
        <w:outlineLvl w:val="1"/>
        <w:rPr>
          <w:rFonts w:hint="eastAsia" w:asciiTheme="minorEastAsia" w:hAnsiTheme="minorEastAsia" w:eastAsiaTheme="minorEastAsia" w:cstheme="minorEastAsia"/>
          <w:color w:val="000000" w:themeColor="text1"/>
          <w:kern w:val="0"/>
          <w:sz w:val="28"/>
          <w:szCs w:val="28"/>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8"/>
          <w:szCs w:val="28"/>
          <w:lang w:bidi="zh-CN"/>
          <w14:textFill>
            <w14:solidFill>
              <w14:schemeClr w14:val="tx1"/>
            </w14:solidFill>
          </w14:textFill>
        </w:rPr>
        <w:t>3.</w:t>
      </w:r>
      <w:r>
        <w:rPr>
          <w:rFonts w:hint="eastAsia" w:asciiTheme="minorEastAsia" w:hAnsiTheme="minorEastAsia" w:eastAsiaTheme="minorEastAsia" w:cstheme="minorEastAsia"/>
          <w:b/>
          <w:bCs/>
          <w:color w:val="000000" w:themeColor="text1"/>
          <w:kern w:val="0"/>
          <w:sz w:val="28"/>
          <w:szCs w:val="28"/>
          <w:lang w:val="zh-CN" w:bidi="zh-CN"/>
          <w14:textFill>
            <w14:solidFill>
              <w14:schemeClr w14:val="tx1"/>
            </w14:solidFill>
          </w14:textFill>
        </w:rPr>
        <w:t>投标人资格要求</w:t>
      </w:r>
    </w:p>
    <w:p w14:paraId="3FC8B828">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3.1本次招标要求投标人须具备附录1资质，有相应的业绩，并在工程管理、人员、资金等方面具有相应的能力，具体资格审查条件详见附录1-附录</w:t>
      </w:r>
      <w:r>
        <w:rPr>
          <w:rFonts w:hint="eastAsia" w:asciiTheme="minorEastAsia" w:hAnsiTheme="minorEastAsia" w:eastAsiaTheme="minorEastAsia" w:cstheme="minorEastAsia"/>
          <w:color w:val="000000" w:themeColor="text1"/>
          <w:kern w:val="0"/>
          <w:sz w:val="24"/>
          <w:lang w:bidi="zh-CN"/>
          <w14:textFill>
            <w14:solidFill>
              <w14:schemeClr w14:val="tx1"/>
            </w14:solidFill>
          </w14:textFill>
        </w:rPr>
        <w:t>4</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w:t>
      </w:r>
    </w:p>
    <w:p w14:paraId="2C39E327">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投标人（包括联合体各成员）应进入交通运输部“全国公路建设市场监督管理系统（http://glxy.mot.gov.cn）”中对应的公路工程施工资质、设计资质企业名录，且投标人名称和资质与该名录中的相应企业名称和资质完全一致。投标人不满足本项规定条件的，将被否决投标。</w:t>
      </w:r>
    </w:p>
    <w:p w14:paraId="124DA476">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en-US"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en-US" w:bidi="zh-CN"/>
          <w14:textFill>
            <w14:solidFill>
              <w14:schemeClr w14:val="tx1"/>
            </w14:solidFill>
          </w14:textFill>
        </w:rPr>
        <w:t>注：根据《</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关于进一步加强公路建设市场信用信息管理和使用有关工作的通知</w:t>
      </w:r>
      <w:r>
        <w:rPr>
          <w:rFonts w:hint="eastAsia" w:asciiTheme="minorEastAsia" w:hAnsiTheme="minorEastAsia" w:eastAsiaTheme="minorEastAsia" w:cstheme="minorEastAsia"/>
          <w:color w:val="000000" w:themeColor="text1"/>
          <w:kern w:val="0"/>
          <w:sz w:val="24"/>
          <w:lang w:val="en-US" w:bidi="zh-CN"/>
          <w14:textFill>
            <w14:solidFill>
              <w14:schemeClr w14:val="tx1"/>
            </w14:solidFill>
          </w14:textFill>
        </w:rPr>
        <w:t>》</w:t>
      </w:r>
      <w:r>
        <w:rPr>
          <w:rFonts w:hint="eastAsia" w:asciiTheme="minorEastAsia" w:hAnsiTheme="minorEastAsia" w:cstheme="minorEastAsia"/>
          <w:color w:val="000000" w:themeColor="text1"/>
          <w:kern w:val="0"/>
          <w:sz w:val="24"/>
          <w:lang w:val="en-US" w:bidi="zh-CN"/>
          <w14:textFill>
            <w14:solidFill>
              <w14:schemeClr w14:val="tx1"/>
            </w14:solidFill>
          </w14:textFill>
        </w:rPr>
        <w:t>投标人的相关内容</w:t>
      </w:r>
      <w:r>
        <w:rPr>
          <w:rFonts w:hint="eastAsia" w:asciiTheme="minorEastAsia" w:hAnsiTheme="minorEastAsia" w:eastAsiaTheme="minorEastAsia" w:cstheme="minorEastAsia"/>
          <w:color w:val="000000" w:themeColor="text1"/>
          <w:kern w:val="0"/>
          <w:sz w:val="24"/>
          <w:lang w:val="en-US" w:bidi="zh-CN"/>
          <w14:textFill>
            <w14:solidFill>
              <w14:schemeClr w14:val="tx1"/>
            </w14:solidFill>
          </w14:textFill>
        </w:rPr>
        <w:t>未于2024年12月31日前完成补录工作的，提供“全国公路建设市场信用信息管理系统”相关截图同等有效。</w:t>
      </w:r>
    </w:p>
    <w:p w14:paraId="47AAF2BF">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3.2本次招标</w:t>
      </w:r>
      <w:r>
        <w:rPr>
          <w:rFonts w:hint="eastAsia" w:asciiTheme="minorEastAsia" w:hAnsiTheme="minorEastAsia" w:cstheme="minorEastAsia"/>
          <w:b/>
          <w:bCs/>
          <w:color w:val="000000" w:themeColor="text1"/>
          <w:kern w:val="0"/>
          <w:sz w:val="24"/>
          <w:u w:val="single"/>
          <w:lang w:val="en-US" w:bidi="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0"/>
          <w:sz w:val="24"/>
          <w:u w:val="single"/>
          <w:lang w:val="zh-CN" w:bidi="zh-CN"/>
          <w14:textFill>
            <w14:solidFill>
              <w14:schemeClr w14:val="tx1"/>
            </w14:solidFill>
          </w14:textFill>
        </w:rPr>
        <w:t>接受</w:t>
      </w:r>
      <w:r>
        <w:rPr>
          <w:rFonts w:hint="eastAsia" w:asciiTheme="minorEastAsia" w:hAnsiTheme="minorEastAsia" w:cstheme="minorEastAsia"/>
          <w:b/>
          <w:bCs/>
          <w:color w:val="000000" w:themeColor="text1"/>
          <w:kern w:val="0"/>
          <w:sz w:val="24"/>
          <w:u w:val="single"/>
          <w:lang w:val="en-US" w:bidi="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联合体投标。联合体投标的，应满足下列要求：</w:t>
      </w:r>
    </w:p>
    <w:p w14:paraId="042F65DA">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(1)联合体各方应按招标文件提供的格式签订联合体协议书，明确联合体牵头人和各方权利义务，并承诺就中标项目向招标人承担连带责任；</w:t>
      </w:r>
    </w:p>
    <w:p w14:paraId="29631538">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(2)由同一专业（指从事同一工作内容，下同）的单位组成的联合体，按照资质等级较低的单位确定资质等级；</w:t>
      </w:r>
    </w:p>
    <w:p w14:paraId="5931C196">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(3)联合体各方不得再以自己名义单独或参加其他联合体在同一</w:t>
      </w:r>
      <w:r>
        <w:rPr>
          <w:rFonts w:hint="eastAsia" w:asciiTheme="minorEastAsia" w:hAnsiTheme="minorEastAsia" w:eastAsiaTheme="minorEastAsia" w:cstheme="minorEastAsia"/>
          <w:color w:val="000000" w:themeColor="text1"/>
          <w:kern w:val="0"/>
          <w:sz w:val="24"/>
          <w:lang w:bidi="zh-CN"/>
          <w14:textFill>
            <w14:solidFill>
              <w14:schemeClr w14:val="tx1"/>
            </w14:solidFill>
          </w14:textFill>
        </w:rPr>
        <w:t>项目包</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中投标；</w:t>
      </w:r>
    </w:p>
    <w:p w14:paraId="64DC72D4">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(4)具备附录1要求的工程</w:t>
      </w:r>
      <w:r>
        <w:rPr>
          <w:rFonts w:hint="eastAsia" w:asciiTheme="minorEastAsia" w:hAnsiTheme="minorEastAsia" w:eastAsiaTheme="minorEastAsia" w:cstheme="minorEastAsia"/>
          <w:color w:val="000000" w:themeColor="text1"/>
          <w:kern w:val="0"/>
          <w:sz w:val="24"/>
          <w:lang w:bidi="zh-CN"/>
          <w14:textFill>
            <w14:solidFill>
              <w14:schemeClr w14:val="tx1"/>
            </w14:solidFill>
          </w14:textFill>
        </w:rPr>
        <w:t>勘察、工程设计</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资质的单位与施工单位相互之间不得存在隶属(或股份或股权)关系；</w:t>
      </w:r>
    </w:p>
    <w:p w14:paraId="782E18F6">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(5)联合体所有成员（含牵头人）数量不得超过</w:t>
      </w:r>
      <w:r>
        <w:rPr>
          <w:rFonts w:hint="eastAsia" w:asciiTheme="minorEastAsia" w:hAnsiTheme="minorEastAsia" w:eastAsiaTheme="minorEastAsia" w:cstheme="minorEastAsia"/>
          <w:b/>
          <w:bCs/>
          <w:color w:val="000000" w:themeColor="text1"/>
          <w:kern w:val="0"/>
          <w:sz w:val="24"/>
          <w:u w:val="single"/>
          <w:lang w:bidi="zh-CN"/>
          <w14:textFill>
            <w14:solidFill>
              <w14:schemeClr w14:val="tx1"/>
            </w14:solidFill>
          </w14:textFill>
        </w:rPr>
        <w:t>2</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个；</w:t>
      </w:r>
    </w:p>
    <w:p w14:paraId="1B808F6E">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(6)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39DD47F4">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(7)尽管委任了联合体牵头人，但联合体各成员在投标、签订合同与履行合同过程中，仍负有连带的和各自的法律责任；</w:t>
      </w:r>
    </w:p>
    <w:p w14:paraId="7B99BB57">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（8）联合体牵头人应为满足施工资质要求的企业。</w:t>
      </w:r>
    </w:p>
    <w:p w14:paraId="53B4F0B7">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3.3在本次招标中，一个投标人最多可对</w:t>
      </w:r>
      <w:r>
        <w:rPr>
          <w:rFonts w:hint="eastAsia" w:asciiTheme="minorEastAsia" w:hAnsiTheme="minorEastAsia" w:eastAsiaTheme="minorEastAsia" w:cstheme="minorEastAsia"/>
          <w:b/>
          <w:bCs/>
          <w:color w:val="000000" w:themeColor="text1"/>
          <w:kern w:val="0"/>
          <w:sz w:val="24"/>
          <w:u w:val="single"/>
          <w:lang w:bidi="zh-CN"/>
          <w14:textFill>
            <w14:solidFill>
              <w14:schemeClr w14:val="tx1"/>
            </w14:solidFill>
          </w14:textFill>
        </w:rPr>
        <w:t>1</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个项目包投标，但只允许中</w:t>
      </w:r>
      <w:r>
        <w:rPr>
          <w:rFonts w:hint="eastAsia" w:asciiTheme="minorEastAsia" w:hAnsiTheme="minorEastAsia" w:eastAsiaTheme="minorEastAsia" w:cstheme="minorEastAsia"/>
          <w:b/>
          <w:bCs/>
          <w:color w:val="000000" w:themeColor="text1"/>
          <w:kern w:val="0"/>
          <w:sz w:val="24"/>
          <w:u w:val="single"/>
          <w:lang w:bidi="zh-CN"/>
          <w14:textFill>
            <w14:solidFill>
              <w14:schemeClr w14:val="tx1"/>
            </w14:solidFill>
          </w14:textFill>
        </w:rPr>
        <w:t>1</w:t>
      </w: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个项目包。</w:t>
      </w:r>
    </w:p>
    <w:p w14:paraId="5F837CE9">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3.4与招标人存在利害关系可能影响招标公正性的法人，不得参加投标；若单位负责人为同一人、或者存在控股、管理关系的不同单位，不得参加同一项目包投标或者未划分项目包的同一招标项目投标，否则按否决其投标处理。</w:t>
      </w:r>
    </w:p>
    <w:p w14:paraId="525BEE14">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 w:val="24"/>
          <w:lang w:val="zh-CN" w:bidi="zh-CN"/>
          <w14:textFill>
            <w14:solidFill>
              <w14:schemeClr w14:val="tx1"/>
            </w14:solidFill>
          </w14:textFill>
        </w:rPr>
        <w:t>3.5在“信用中国”网站（http://www.creditchina.gov.cn/)中被列入失信被执行人名单的投标人，在国家企业信用信息公示系统（www.gsxt.gov.cn）中被列入严重违法失信企业名单的投标人，均按否决投标处理。</w:t>
      </w:r>
    </w:p>
    <w:p w14:paraId="2BC963A3">
      <w:pPr>
        <w:pStyle w:val="8"/>
        <w:pageBreakBefore w:val="0"/>
        <w:kinsoku/>
        <w:overflowPunct/>
        <w:topLinePunct w:val="0"/>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000000" w:themeColor="text1"/>
          <w:sz w:val="24"/>
          <w14:textFill>
            <w14:solidFill>
              <w14:schemeClr w14:val="tx1"/>
            </w14:solidFill>
          </w14:textFill>
        </w:rPr>
      </w:pPr>
      <w:bookmarkStart w:id="3" w:name="_Toc28412"/>
      <w:bookmarkStart w:id="4" w:name="_Toc424739347"/>
      <w:bookmarkStart w:id="5" w:name="_Toc19555"/>
      <w:r>
        <w:rPr>
          <w:rFonts w:hint="eastAsia" w:asciiTheme="minorEastAsia" w:hAnsiTheme="minorEastAsia" w:eastAsiaTheme="minorEastAsia" w:cstheme="minorEastAsia"/>
          <w:b/>
          <w:bCs/>
          <w:color w:val="000000" w:themeColor="text1"/>
          <w:sz w:val="24"/>
          <w14:textFill>
            <w14:solidFill>
              <w14:schemeClr w14:val="tx1"/>
            </w14:solidFill>
          </w14:textFill>
        </w:rPr>
        <w:t>注：①单位负责人是指：单位的法定代表人或者法律、行政法规规定代表单位行使职权的主要负责人；②控股是指：股份占股份有限公司股本总额的50%以上的绝对控股、相对控股或协议控股；③管理关系是指：不具有出资持股关系的其它单位之间存在的管理与被管理关系。</w:t>
      </w:r>
    </w:p>
    <w:p w14:paraId="68002D0B">
      <w:pPr>
        <w:pStyle w:val="8"/>
        <w:pageBreakBefore w:val="0"/>
        <w:kinsoku/>
        <w:overflowPunct/>
        <w:topLinePunct w:val="0"/>
        <w:bidi w:val="0"/>
        <w:adjustRightInd w:val="0"/>
        <w:snapToGrid w:val="0"/>
        <w:spacing w:after="0" w:afterAutospacing="0" w:line="440" w:lineRule="exact"/>
        <w:ind w:firstLine="480" w:firstLineChars="20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3.6根据有关文件精神，关于企业和人员证书有效期均按相关行业主管部门最新的文件执行，投标人须附相应文件在投标文件中。</w:t>
      </w:r>
    </w:p>
    <w:p w14:paraId="7D29AD06">
      <w:pPr>
        <w:pageBreakBefore w:val="0"/>
        <w:kinsoku/>
        <w:overflowPunct/>
        <w:topLinePunct w:val="0"/>
        <w:bidi w:val="0"/>
        <w:adjustRightInd w:val="0"/>
        <w:snapToGrid w:val="0"/>
        <w:spacing w:before="0" w:beforeAutospacing="0" w:after="0" w:afterAutospacing="0" w:line="240" w:lineRule="auto"/>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p>
    <w:p w14:paraId="69CCEE1D">
      <w:pPr>
        <w:pStyle w:val="3"/>
        <w:pageBreakBefore w:val="0"/>
        <w:kinsoku/>
        <w:overflowPunct/>
        <w:topLinePunct w:val="0"/>
        <w:bidi w:val="0"/>
        <w:adjustRightInd w:val="0"/>
        <w:snapToGrid w:val="0"/>
        <w:spacing w:before="0" w:beforeAutospacing="0" w:after="0" w:afterAutospacing="0" w:line="440" w:lineRule="exact"/>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4.</w:t>
      </w:r>
      <w:bookmarkEnd w:id="3"/>
      <w:bookmarkEnd w:id="4"/>
      <w:r>
        <w:rPr>
          <w:rFonts w:hint="eastAsia" w:asciiTheme="minorEastAsia" w:hAnsiTheme="minorEastAsia" w:eastAsiaTheme="minorEastAsia" w:cstheme="minorEastAsia"/>
          <w:color w:val="000000" w:themeColor="text1"/>
          <w:sz w:val="28"/>
          <w:szCs w:val="28"/>
          <w14:textFill>
            <w14:solidFill>
              <w14:schemeClr w14:val="tx1"/>
            </w14:solidFill>
          </w14:textFill>
        </w:rPr>
        <w:t>登记及获取招标文件</w:t>
      </w:r>
      <w:bookmarkEnd w:id="5"/>
      <w:bookmarkStart w:id="6" w:name="_Toc26909"/>
    </w:p>
    <w:p w14:paraId="75D7B6AF">
      <w:pPr>
        <w:pStyle w:val="46"/>
        <w:pageBreakBefore w:val="0"/>
        <w:widowControl/>
        <w:kinsoku/>
        <w:overflowPunct/>
        <w:topLinePunct w:val="0"/>
        <w:bidi w:val="0"/>
        <w:adjustRightInd w:val="0"/>
        <w:snapToGrid w:val="0"/>
        <w:spacing w:beforeAutospacing="0" w:line="440" w:lineRule="exact"/>
        <w:ind w:firstLine="480"/>
        <w:jc w:val="left"/>
        <w:textAlignment w:val="auto"/>
        <w:rPr>
          <w:rFonts w:hint="eastAsia" w:asciiTheme="minorEastAsia" w:hAnsiTheme="minorEastAsia" w:eastAsiaTheme="minorEastAsia" w:cstheme="minorEastAsia"/>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4.1本次招标实行电子投标的形式进行。本项目招标文件随招标公告一并在全国公共资源交易平台（广东省·韶关市）</w:t>
      </w:r>
      <w:r>
        <w:rPr>
          <w:rFonts w:hint="eastAsia" w:asciiTheme="minorEastAsia" w:hAnsiTheme="minorEastAsia" w:eastAsiaTheme="minorEastAsia" w:cstheme="minorEastAsia"/>
          <w:color w:val="000000" w:themeColor="text1"/>
          <w:w w:val="80"/>
          <w:kern w:val="0"/>
          <w14:textFill>
            <w14:solidFill>
              <w14:schemeClr w14:val="tx1"/>
            </w14:solidFill>
          </w14:textFill>
        </w:rPr>
        <w:t>（https://ygp.gdzwfw.gov.cn/ggzy-portal/#/440200/index）</w:t>
      </w:r>
      <w:r>
        <w:rPr>
          <w:rFonts w:hint="eastAsia" w:asciiTheme="minorEastAsia" w:hAnsiTheme="minorEastAsia" w:eastAsiaTheme="minorEastAsia" w:cstheme="minorEastAsia"/>
          <w:color w:val="000000" w:themeColor="text1"/>
          <w:kern w:val="0"/>
          <w14:textFill>
            <w14:solidFill>
              <w14:schemeClr w14:val="tx1"/>
            </w14:solidFill>
          </w14:textFill>
        </w:rPr>
        <w:t>网站发布。招标文件一经在全国公共资源交易平台（广东省·韶关市）发布，视为发送投标人，招标文件及相关附件由投标人自行在全国公共资源交易平台（广东省·韶关市）网站下载。请于招标文件获取期间,（见“重要事项时间地点一览表”）招标文件获取期间与招标公告发布时间一致，投标人须登录全国公共资源交易平台（广东省·韶关市）（https://ygp.gdzwfw.gov.cn/ggzy-portal/#/440200/index），使用建设工程交易系统进行下载招标文件及相关附件，并于电子投标截止时间（见“重要事项时间地点一览表”）前完成电子投标。投标人可登录全国公共资源交易平台（广东省·韶关市）（http://portal.ythpt.sg.gov.cn），在【服务指南】栏目中下载《韶关市公共资源建设工程交易系统-投标人操作指南》，了解网上获取招标文件操作流程。技术咨询电话：18819797080/0751-8379671伍先生，业务咨询电话：0751-8633211、8633071。</w:t>
      </w:r>
    </w:p>
    <w:p w14:paraId="6F8843D8">
      <w:pPr>
        <w:pStyle w:val="46"/>
        <w:pageBreakBefore w:val="0"/>
        <w:widowControl/>
        <w:kinsoku/>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4.2只有申领了数字证书（CA）、“粤企签”或GDCA/SZCA/NETCA等符合法律法规规定的电子印章，并在交易系统中完成企业信息数据入库的投标人，方可使用交易系统进行获取招标文件和电子投标。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599FA170">
      <w:pPr>
        <w:pStyle w:val="46"/>
        <w:pageBreakBefore w:val="0"/>
        <w:widowControl/>
        <w:kinsoku/>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C013C26">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bookmarkStart w:id="7" w:name="OLE_LINK4"/>
      <w:r>
        <w:rPr>
          <w:rFonts w:hint="eastAsia" w:asciiTheme="minorEastAsia" w:hAnsiTheme="minorEastAsia" w:eastAsiaTheme="minorEastAsia" w:cstheme="minorEastAsia"/>
          <w:bCs/>
          <w:color w:val="000000" w:themeColor="text1"/>
          <w14:textFill>
            <w14:solidFill>
              <w14:schemeClr w14:val="tx1"/>
            </w14:solidFill>
          </w14:textFill>
        </w:rPr>
        <w:t>4.3投标保证金</w:t>
      </w:r>
    </w:p>
    <w:p w14:paraId="366D5E50">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4.3.1投标人须缴纳金额为人民币</w:t>
      </w:r>
      <w:r>
        <w:rPr>
          <w:rFonts w:hint="eastAsia" w:asciiTheme="minorEastAsia" w:hAnsiTheme="minorEastAsia" w:eastAsiaTheme="minorEastAsia" w:cstheme="minorEastAsia"/>
          <w:b/>
          <w:color w:val="000000" w:themeColor="text1"/>
          <w:u w:val="single"/>
          <w14:textFill>
            <w14:solidFill>
              <w14:schemeClr w14:val="tx1"/>
            </w14:solidFill>
          </w14:textFill>
        </w:rPr>
        <w:t>伍拾万元</w:t>
      </w:r>
      <w:r>
        <w:rPr>
          <w:rFonts w:hint="eastAsia" w:asciiTheme="minorEastAsia" w:hAnsiTheme="minorEastAsia" w:eastAsiaTheme="minorEastAsia" w:cstheme="minorEastAsia"/>
          <w:bCs/>
          <w:color w:val="000000" w:themeColor="text1"/>
          <w14:textFill>
            <w14:solidFill>
              <w14:schemeClr w14:val="tx1"/>
            </w14:solidFill>
          </w14:textFill>
        </w:rPr>
        <w:t>的投标保证。</w:t>
      </w:r>
    </w:p>
    <w:p w14:paraId="1CC7FB1B">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4.3.2投标保证的形式包括</w:t>
      </w:r>
      <w:r>
        <w:rPr>
          <w:rFonts w:hint="eastAsia" w:asciiTheme="minorEastAsia" w:hAnsiTheme="minorEastAsia" w:eastAsiaTheme="minorEastAsia" w:cstheme="minorEastAsia"/>
          <w:snapToGrid w:val="0"/>
          <w:color w:val="000000" w:themeColor="text1"/>
          <w14:textFill>
            <w14:solidFill>
              <w14:schemeClr w14:val="tx1"/>
            </w14:solidFill>
          </w14:textFill>
        </w:rPr>
        <w:t>投标保证金、投标保证担保、投标保证保险三种</w:t>
      </w:r>
      <w:r>
        <w:rPr>
          <w:rFonts w:hint="eastAsia" w:asciiTheme="minorEastAsia" w:hAnsiTheme="minorEastAsia" w:eastAsiaTheme="minorEastAsia" w:cstheme="minorEastAsia"/>
          <w:bCs/>
          <w:color w:val="000000" w:themeColor="text1"/>
          <w14:textFill>
            <w14:solidFill>
              <w14:schemeClr w14:val="tx1"/>
            </w14:solidFill>
          </w14:textFill>
        </w:rPr>
        <w:t>，由投标人自主选择。</w:t>
      </w:r>
    </w:p>
    <w:p w14:paraId="3EF8FEB2">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1）采用投标保证金的，投标人在建设工程交易系统获取招标文件完毕后，即可在系统申请缴纳投标保证金，获取本次招标投标保证金缴纳账号。投标人须于投标保证金到账截止时间（见“重要事项时间地点一览表”）前，从其基本账户将投标保证金转账到指定的缴纳账号。逾期到账的、从非投标人基本账户转出的，其投标无效。</w:t>
      </w:r>
    </w:p>
    <w:p w14:paraId="714FBBDE">
      <w:pPr>
        <w:pageBreakBefore w:val="0"/>
        <w:tabs>
          <w:tab w:val="left" w:pos="7020"/>
        </w:tabs>
        <w:kinsoku/>
        <w:wordWrap w:val="0"/>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采用投标保证担保的，投标人应提交有效的银行保函（出具保函的银行级别：全国性国有商业银行或股份制商业银行的分支机构），银行保函的有效期不得短于投标有效期。投标人必须在投标保证担保截止时间（详见“重要事项时间地点一览表”）前，使用工程建设交易系统完成网上办理电子保函。</w:t>
      </w:r>
    </w:p>
    <w:p w14:paraId="1AE71F40">
      <w:pPr>
        <w:pageBreakBefore w:val="0"/>
        <w:tabs>
          <w:tab w:val="left" w:pos="7020"/>
        </w:tabs>
        <w:kinsoku/>
        <w:wordWrap w:val="0"/>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2FA6876F">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22A6751C">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4.3.3若投标人因自身原因未能正确完成网上获取招标文件、电子投标、缴纳投标保证的，其投标无效。</w:t>
      </w:r>
    </w:p>
    <w:p w14:paraId="66E76718">
      <w:pPr>
        <w:pStyle w:val="47"/>
        <w:pageBreakBefore w:val="0"/>
        <w:kinsoku/>
        <w:overflowPunct/>
        <w:topLinePunct w:val="0"/>
        <w:bidi w:val="0"/>
        <w:adjustRightInd w:val="0"/>
        <w:snapToGrid w:val="0"/>
        <w:spacing w:line="440" w:lineRule="exact"/>
        <w:textAlignment w:val="auto"/>
        <w:rPr>
          <w:rFonts w:hint="eastAsia"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4.4</w:t>
      </w:r>
      <w:r>
        <w:rPr>
          <w:rFonts w:hint="eastAsia" w:asciiTheme="minorEastAsia" w:hAnsiTheme="minorEastAsia" w:cstheme="minorEastAsia"/>
          <w:bCs/>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bCs/>
          <w:color w:val="000000" w:themeColor="text1"/>
          <w14:textFill>
            <w14:solidFill>
              <w14:schemeClr w14:val="tx1"/>
            </w14:solidFill>
          </w14:textFill>
        </w:rPr>
        <w:t>投标单位完成网上获取招标文件后，自行在</w:t>
      </w:r>
      <w:r>
        <w:rPr>
          <w:rFonts w:hint="eastAsia" w:asciiTheme="minorEastAsia" w:hAnsiTheme="minorEastAsia" w:eastAsiaTheme="minorEastAsia" w:cstheme="minorEastAsia"/>
          <w:snapToGrid w:val="0"/>
          <w:color w:val="000000" w:themeColor="text1"/>
          <w14:textFill>
            <w14:solidFill>
              <w14:schemeClr w14:val="tx1"/>
            </w14:solidFill>
          </w14:textFill>
        </w:rPr>
        <w:t>全国公共资源交易平台（广东省·韶关市）（https://ygp.gdzwfw.gov.cn/ggzy-portal/#/440200/index）</w:t>
      </w:r>
      <w:r>
        <w:rPr>
          <w:rFonts w:hint="eastAsia" w:asciiTheme="minorEastAsia" w:hAnsiTheme="minorEastAsia" w:eastAsiaTheme="minorEastAsia" w:cstheme="minorEastAsia"/>
          <w:bCs/>
          <w:color w:val="000000" w:themeColor="text1"/>
          <w14:textFill>
            <w14:solidFill>
              <w14:schemeClr w14:val="tx1"/>
            </w14:solidFill>
          </w14:textFill>
        </w:rPr>
        <w:t>下载招标文件、</w:t>
      </w:r>
      <w:r>
        <w:rPr>
          <w:rFonts w:hint="eastAsia" w:asciiTheme="minorEastAsia" w:hAnsiTheme="minorEastAsia" w:eastAsiaTheme="minorEastAsia" w:cstheme="minorEastAsia"/>
          <w:color w:val="000000" w:themeColor="text1"/>
          <w:kern w:val="0"/>
          <w:sz w:val="24"/>
          <w:szCs w:val="24"/>
          <w:lang w:val="zh-CN" w:eastAsia="zh-CN" w:bidi="zh-CN"/>
          <w14:textFill>
            <w14:solidFill>
              <w14:schemeClr w14:val="tx1"/>
            </w14:solidFill>
          </w14:textFill>
        </w:rPr>
        <w:t>工程量清单（</w:t>
      </w:r>
      <w:r>
        <w:rPr>
          <w:rFonts w:hint="eastAsia" w:asciiTheme="minorEastAsia" w:hAnsiTheme="minorEastAsia" w:eastAsiaTheme="minorEastAsia" w:cstheme="minorEastAsia"/>
          <w:color w:val="000000" w:themeColor="text1"/>
          <w:kern w:val="0"/>
          <w:sz w:val="24"/>
          <w:szCs w:val="24"/>
          <w:lang w:val="en-US" w:eastAsia="zh-CN" w:bidi="zh-CN"/>
          <w14:textFill>
            <w14:solidFill>
              <w14:schemeClr w14:val="tx1"/>
            </w14:solidFill>
          </w14:textFill>
        </w:rPr>
        <w:t>如有</w:t>
      </w:r>
      <w:r>
        <w:rPr>
          <w:rFonts w:hint="eastAsia" w:asciiTheme="minorEastAsia" w:hAnsiTheme="minorEastAsia" w:eastAsiaTheme="minorEastAsia" w:cstheme="minorEastAsia"/>
          <w:color w:val="000000" w:themeColor="text1"/>
          <w:kern w:val="0"/>
          <w:sz w:val="24"/>
          <w:szCs w:val="24"/>
          <w:lang w:val="zh-CN" w:eastAsia="zh-CN" w:bidi="zh-CN"/>
          <w14:textFill>
            <w14:solidFill>
              <w14:schemeClr w14:val="tx1"/>
            </w14:solidFill>
          </w14:textFill>
        </w:rPr>
        <w:t>）、图纸（</w:t>
      </w:r>
      <w:r>
        <w:rPr>
          <w:rFonts w:hint="eastAsia" w:asciiTheme="minorEastAsia" w:hAnsiTheme="minorEastAsia" w:eastAsiaTheme="minorEastAsia" w:cstheme="minorEastAsia"/>
          <w:color w:val="000000" w:themeColor="text1"/>
          <w:kern w:val="0"/>
          <w:sz w:val="24"/>
          <w:szCs w:val="24"/>
          <w:lang w:val="en-US" w:eastAsia="zh-CN" w:bidi="zh-CN"/>
          <w14:textFill>
            <w14:solidFill>
              <w14:schemeClr w14:val="tx1"/>
            </w14:solidFill>
          </w14:textFill>
        </w:rPr>
        <w:t>如有</w:t>
      </w:r>
      <w:r>
        <w:rPr>
          <w:rFonts w:hint="eastAsia" w:asciiTheme="minorEastAsia" w:hAnsiTheme="minorEastAsia" w:eastAsiaTheme="minorEastAsia" w:cstheme="minorEastAsia"/>
          <w:color w:val="000000" w:themeColor="text1"/>
          <w:kern w:val="0"/>
          <w:sz w:val="24"/>
          <w:szCs w:val="24"/>
          <w:lang w:val="zh-CN" w:eastAsia="zh-CN" w:bidi="zh-CN"/>
          <w14:textFill>
            <w14:solidFill>
              <w14:schemeClr w14:val="tx1"/>
            </w14:solidFill>
          </w14:textFill>
        </w:rPr>
        <w:t>）</w:t>
      </w:r>
      <w:r>
        <w:rPr>
          <w:rFonts w:hint="eastAsia" w:asciiTheme="minorEastAsia" w:hAnsiTheme="minorEastAsia" w:eastAsiaTheme="minorEastAsia" w:cstheme="minorEastAsia"/>
          <w:bCs/>
          <w:color w:val="000000" w:themeColor="text1"/>
          <w14:textFill>
            <w14:solidFill>
              <w14:schemeClr w14:val="tx1"/>
            </w14:solidFill>
          </w14:textFill>
        </w:rPr>
        <w:t>等相关资料。</w:t>
      </w:r>
      <w:bookmarkEnd w:id="7"/>
    </w:p>
    <w:p w14:paraId="566AFF33">
      <w:pPr>
        <w:pStyle w:val="47"/>
        <w:pageBreakBefore w:val="0"/>
        <w:kinsoku/>
        <w:overflowPunct/>
        <w:topLinePunct w:val="0"/>
        <w:bidi w:val="0"/>
        <w:adjustRightInd w:val="0"/>
        <w:snapToGrid w:val="0"/>
        <w:spacing w:line="240" w:lineRule="auto"/>
        <w:textAlignment w:val="auto"/>
        <w:rPr>
          <w:rFonts w:hint="eastAsia" w:asciiTheme="minorEastAsia" w:hAnsiTheme="minorEastAsia" w:eastAsiaTheme="minorEastAsia" w:cstheme="minorEastAsia"/>
          <w:bCs/>
          <w:color w:val="000000" w:themeColor="text1"/>
          <w14:textFill>
            <w14:solidFill>
              <w14:schemeClr w14:val="tx1"/>
            </w14:solidFill>
          </w14:textFill>
        </w:rPr>
      </w:pPr>
    </w:p>
    <w:p w14:paraId="61CD2E8D">
      <w:pPr>
        <w:pStyle w:val="3"/>
        <w:pageBreakBefore w:val="0"/>
        <w:kinsoku/>
        <w:overflowPunct/>
        <w:topLinePunct w:val="0"/>
        <w:bidi w:val="0"/>
        <w:adjustRightInd w:val="0"/>
        <w:snapToGrid w:val="0"/>
        <w:spacing w:before="0" w:after="120" w:afterLines="50" w:line="440" w:lineRule="exact"/>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8" w:name="_Toc26278"/>
      <w:r>
        <w:rPr>
          <w:rFonts w:hint="eastAsia" w:asciiTheme="minorEastAsia" w:hAnsiTheme="minorEastAsia" w:eastAsiaTheme="minorEastAsia" w:cstheme="minorEastAsia"/>
          <w:color w:val="000000" w:themeColor="text1"/>
          <w:sz w:val="28"/>
          <w:szCs w:val="28"/>
          <w14:textFill>
            <w14:solidFill>
              <w14:schemeClr w14:val="tx1"/>
            </w14:solidFill>
          </w14:textFill>
        </w:rPr>
        <w:t>5.</w:t>
      </w:r>
      <w:bookmarkEnd w:id="6"/>
      <w:r>
        <w:rPr>
          <w:rFonts w:hint="eastAsia" w:asciiTheme="minorEastAsia" w:hAnsiTheme="minorEastAsia" w:eastAsiaTheme="minorEastAsia" w:cstheme="minorEastAsia"/>
          <w:color w:val="000000" w:themeColor="text1"/>
          <w:sz w:val="28"/>
          <w:szCs w:val="28"/>
          <w14:textFill>
            <w14:solidFill>
              <w14:schemeClr w14:val="tx1"/>
            </w14:solidFill>
          </w14:textFill>
        </w:rPr>
        <w:t>电子投标及相关事宜</w:t>
      </w:r>
      <w:bookmarkEnd w:id="8"/>
    </w:p>
    <w:p w14:paraId="177FCE10">
      <w:pPr>
        <w:pageBreakBefore w:val="0"/>
        <w:kinsoku/>
        <w:wordWrap w:val="0"/>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5.1投标人若对招标文件有疑问，应在提问截止时间（详见本公告“重要事项时间地点一览表”）前使用建设工程交易系统提出问题。未在指定时间前、未采用指定方式提出的，招标人不予受理。</w:t>
      </w:r>
    </w:p>
    <w:p w14:paraId="1D10F270">
      <w:pPr>
        <w:pageBreakBefore w:val="0"/>
        <w:kinsoku/>
        <w:wordWrap w:val="0"/>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5.2招标人在提问截止时间（详见本公告“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2E317620">
      <w:pPr>
        <w:pageBreakBefore w:val="0"/>
        <w:kinsoku/>
        <w:wordWrap w:val="0"/>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5.3招标人对招标文件所作的答疑（或修改）公告，构成招标文件的组成部分。</w:t>
      </w:r>
    </w:p>
    <w:p w14:paraId="3A8D6F62">
      <w:pPr>
        <w:pageBreakBefore w:val="0"/>
        <w:kinsoku/>
        <w:wordWrap w:val="0"/>
        <w:overflowPunct/>
        <w:topLinePunct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5.4投标人必须在规定的截止时间前使用交易系统完成网上获取招标文件、缴纳投标保证和全流程电子投标。只有满足以上所有条件，方为有效投标。</w:t>
      </w:r>
    </w:p>
    <w:p w14:paraId="5EF6E08F">
      <w:pPr>
        <w:pageBreakBefore w:val="0"/>
        <w:kinsoku/>
        <w:wordWrap w:val="0"/>
        <w:overflowPunct/>
        <w:topLinePunct w:val="0"/>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5.5根据《关于全面启用全流程电子化招标投标的通知》（韶交易发〔2022〕24号）文件，自2022年11月28日起，进入交易平台以招标方式进行交易的项目将全面启用全流程电子化招标投标。投标人可通过交易平台在线办理电子保函、保证保险和投标、下载中标通知书等业务。全流程电子化招标投标项目不再接收纸质投标文件，也不接收纸质保函等单证资料。</w:t>
      </w:r>
    </w:p>
    <w:p w14:paraId="4011C59C">
      <w:pPr>
        <w:pageBreakBefore w:val="0"/>
        <w:kinsoku/>
        <w:wordWrap w:val="0"/>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5.6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04D6CE96">
      <w:pPr>
        <w:pageBreakBefore w:val="0"/>
        <w:kinsoku/>
        <w:wordWrap w:val="0"/>
        <w:overflowPunct/>
        <w:topLinePunct w:val="0"/>
        <w:bidi w:val="0"/>
        <w:adjustRightInd w:val="0"/>
        <w:snapToGrid w:val="0"/>
        <w:spacing w:line="440" w:lineRule="exact"/>
        <w:ind w:firstLine="480"/>
        <w:jc w:val="left"/>
        <w:textAlignment w:val="auto"/>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5.7开标时间和地点：见本公告第10条“重要事项时间地点一览表”。投标人无须进行现场签到（需要提交评审原件时，投标人可在规定的地点、时间内递交至开标现场，无原件的不作要求），可登录交易平台及时观看开标实况、提出异议或进行澄清、确认等操作，具体详见招标文件和系统操作手册为准。</w:t>
      </w:r>
    </w:p>
    <w:p w14:paraId="45BE033F">
      <w:pPr>
        <w:pStyle w:val="3"/>
        <w:pageBreakBefore w:val="0"/>
        <w:kinsoku/>
        <w:overflowPunct/>
        <w:topLinePunct w:val="0"/>
        <w:bidi w:val="0"/>
        <w:adjustRightInd w:val="0"/>
        <w:snapToGrid w:val="0"/>
        <w:spacing w:before="0" w:after="120" w:line="440" w:lineRule="exact"/>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9" w:name="_Toc12216"/>
      <w:r>
        <w:rPr>
          <w:rFonts w:hint="eastAsia" w:asciiTheme="minorEastAsia" w:hAnsiTheme="minorEastAsia" w:eastAsiaTheme="minorEastAsia" w:cstheme="minorEastAsia"/>
          <w:color w:val="000000" w:themeColor="text1"/>
          <w:sz w:val="28"/>
          <w:szCs w:val="28"/>
          <w14:textFill>
            <w14:solidFill>
              <w14:schemeClr w14:val="tx1"/>
            </w14:solidFill>
          </w14:textFill>
        </w:rPr>
        <w:t>6.发布公告的媒介</w:t>
      </w:r>
      <w:bookmarkEnd w:id="9"/>
    </w:p>
    <w:p w14:paraId="258F6579">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本次招标公告同时在</w:t>
      </w:r>
      <w:r>
        <w:rPr>
          <w:rFonts w:hint="eastAsia" w:asciiTheme="minorEastAsia" w:hAnsiTheme="minorEastAsia" w:eastAsiaTheme="minorEastAsia" w:cstheme="minorEastAsia"/>
          <w:color w:val="000000" w:themeColor="text1"/>
          <w:sz w:val="24"/>
          <w:u w:val="single"/>
          <w14:textFill>
            <w14:solidFill>
              <w14:schemeClr w14:val="tx1"/>
            </w14:solidFill>
          </w14:textFill>
        </w:rPr>
        <w:t>广东省招标投标监管网（</w:t>
      </w:r>
      <w:r>
        <w:rPr>
          <w:rFonts w:hint="eastAsia" w:asciiTheme="minorEastAsia" w:hAnsiTheme="minorEastAsia" w:eastAsiaTheme="minorEastAsia" w:cstheme="minorEastAsia"/>
          <w:color w:val="000000" w:themeColor="text1"/>
          <w14:textFill>
            <w14:solidFill>
              <w14:schemeClr w14:val="tx1"/>
            </w14:solidFill>
          </w14:textFill>
        </w:rPr>
        <w:fldChar w:fldCharType="begin"/>
      </w:r>
      <w:r>
        <w:rPr>
          <w:rFonts w:hint="eastAsia" w:asciiTheme="minorEastAsia" w:hAnsiTheme="minorEastAsia" w:eastAsiaTheme="minorEastAsia" w:cstheme="minorEastAsia"/>
          <w:color w:val="000000" w:themeColor="text1"/>
          <w14:textFill>
            <w14:solidFill>
              <w14:schemeClr w14:val="tx1"/>
            </w14:solidFill>
          </w14:textFill>
        </w:rPr>
        <w:instrText xml:space="preserve"> HYPERLINK "http://www.gdtzzs.gov.cn/" </w:instrText>
      </w:r>
      <w:r>
        <w:rPr>
          <w:rFonts w:hint="eastAsia" w:asciiTheme="minorEastAsia" w:hAnsiTheme="minorEastAsia" w:eastAsiaTheme="minorEastAsia" w:cstheme="minorEastAsia"/>
          <w:color w:val="000000" w:themeColor="text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u w:val="single"/>
          <w14:textFill>
            <w14:solidFill>
              <w14:schemeClr w14:val="tx1"/>
            </w14:solidFill>
          </w14:textFill>
        </w:rPr>
        <w:t>http://zbtb.gd.gov.cn</w:t>
      </w:r>
      <w:r>
        <w:rPr>
          <w:rFonts w:hint="eastAsia" w:asciiTheme="minorEastAsia" w:hAnsiTheme="minorEastAsia" w:eastAsiaTheme="minorEastAsia" w:cstheme="minorEastAsia"/>
          <w:color w:val="000000" w:themeColor="text1"/>
          <w:sz w:val="24"/>
          <w:u w:val="single"/>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4"/>
          <w:u w:val="single"/>
          <w14:textFill>
            <w14:solidFill>
              <w14:schemeClr w14:val="tx1"/>
            </w14:solidFill>
          </w14:textFill>
        </w:rPr>
        <w:t>）、全国公共资源交易平台（广东省·韶关市）（https://ygp.gdzwfw.gov.cn/ggzy-portal/#/440200/index）</w:t>
      </w:r>
      <w:r>
        <w:rPr>
          <w:rFonts w:hint="eastAsia" w:asciiTheme="minorEastAsia" w:hAnsiTheme="minorEastAsia" w:eastAsiaTheme="minorEastAsia" w:cstheme="minorEastAsia"/>
          <w:color w:val="000000" w:themeColor="text1"/>
          <w:sz w:val="24"/>
          <w14:textFill>
            <w14:solidFill>
              <w14:schemeClr w14:val="tx1"/>
            </w14:solidFill>
          </w14:textFill>
        </w:rPr>
        <w:t>上发布。如公告详细内容不一致者，以全国公共资源交易平台（广东省·韶关市）（https://ygp.gdzwfw.gov.cn/ggzy-portal/#/440200/index）公告为准。</w:t>
      </w:r>
    </w:p>
    <w:p w14:paraId="0934A7C8">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在规定的获取招标文件期间，如本标段获取招标文件的投标人不足3家时，招标人依法有权选择以下任一方式：</w:t>
      </w:r>
      <w:r>
        <w:rPr>
          <w:rFonts w:hint="eastAsia" w:asciiTheme="minorEastAsia" w:hAnsiTheme="minorEastAsia" w:eastAsiaTheme="minorEastAsia" w:cstheme="minorEastAsia"/>
          <w:color w:val="000000" w:themeColor="text1"/>
          <w:sz w:val="24"/>
          <w:u w:val="single"/>
          <w14:textFill>
            <w14:solidFill>
              <w14:schemeClr w14:val="tx1"/>
            </w14:solidFill>
          </w14:textFill>
        </w:rPr>
        <w:t>（1）在全国公共资源交易平台（广东省·韶关市）（https://ygp.gdzwfw.gov.cn/ggzy-portal/#/440200/index）</w:t>
      </w:r>
      <w:r>
        <w:rPr>
          <w:rFonts w:hint="eastAsia" w:asciiTheme="minorEastAsia" w:hAnsiTheme="minorEastAsia" w:eastAsiaTheme="minorEastAsia" w:cstheme="minorEastAsia"/>
          <w:color w:val="000000" w:themeColor="text1"/>
          <w:sz w:val="24"/>
          <w14:textFill>
            <w14:solidFill>
              <w14:schemeClr w14:val="tx1"/>
            </w14:solidFill>
          </w14:textFill>
        </w:rPr>
        <w:t>发布公告延长获取招标文件时间，在延期获取招标文件时间内，已获取招标文件投标人的资料仍有效并可自行补充资料，未获取招标文件的投标人可根据公告的约定进行获取招标文件；（3）依法重新组织招标或不再招标。</w:t>
      </w:r>
    </w:p>
    <w:p w14:paraId="6FFDB31D">
      <w:pPr>
        <w:pageBreakBefore w:val="0"/>
        <w:kinsoku/>
        <w:overflowPunct/>
        <w:topLinePunct w:val="0"/>
        <w:bidi w:val="0"/>
        <w:adjustRightInd w:val="0"/>
        <w:snapToGrid w:val="0"/>
        <w:spacing w:line="440" w:lineRule="exact"/>
        <w:ind w:firstLine="480" w:firstLineChars="200"/>
        <w:textAlignment w:val="auto"/>
        <w:rPr>
          <w:rFonts w:hint="eastAsia" w:asciiTheme="minorEastAsia" w:hAnsiTheme="minorEastAsia" w:cstheme="minorEastAsia"/>
          <w:color w:val="000000" w:themeColor="text1"/>
          <w:kern w:val="0"/>
          <w:sz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投标保证金缴纳截止时间到期后，若建设工程交易系统显示成功缴纳投标保证金的投标人数量少于3家时，招标人将取消于次日召开的项目开标会，重新组织招标。投标人可在投标保证金缴纳截止时间起至电子投标截止时间前自行登录全国公共资源交易平台（广东省·韶关市）（https://ygp.gdzwfw.gov.cn/ggzy-portal/#/440200/index）查询是否发布了取消项目开标会的相关信息</w:t>
      </w:r>
      <w:r>
        <w:rPr>
          <w:rFonts w:hint="eastAsia" w:asciiTheme="minorEastAsia" w:hAnsiTheme="minorEastAsia" w:cstheme="minorEastAsia"/>
          <w:color w:val="000000" w:themeColor="text1"/>
          <w:kern w:val="0"/>
          <w:sz w:val="24"/>
          <w:lang w:eastAsia="zh-CN"/>
          <w14:textFill>
            <w14:solidFill>
              <w14:schemeClr w14:val="tx1"/>
            </w14:solidFill>
          </w14:textFill>
        </w:rPr>
        <w:t>。</w:t>
      </w:r>
    </w:p>
    <w:p w14:paraId="492AAB61">
      <w:pPr>
        <w:pageBreakBefore w:val="0"/>
        <w:kinsoku/>
        <w:overflowPunct/>
        <w:topLinePunct w:val="0"/>
        <w:bidi w:val="0"/>
        <w:adjustRightInd w:val="0"/>
        <w:snapToGrid w:val="0"/>
        <w:spacing w:line="240" w:lineRule="auto"/>
        <w:ind w:firstLine="480" w:firstLineChars="200"/>
        <w:textAlignment w:val="auto"/>
        <w:rPr>
          <w:rFonts w:hint="eastAsia" w:asciiTheme="minorEastAsia" w:hAnsiTheme="minorEastAsia" w:cstheme="minorEastAsia"/>
          <w:color w:val="000000" w:themeColor="text1"/>
          <w:kern w:val="0"/>
          <w:sz w:val="24"/>
          <w:lang w:eastAsia="zh-CN"/>
          <w14:textFill>
            <w14:solidFill>
              <w14:schemeClr w14:val="tx1"/>
            </w14:solidFill>
          </w14:textFill>
        </w:rPr>
      </w:pPr>
    </w:p>
    <w:p w14:paraId="45FEC8B1">
      <w:pPr>
        <w:pStyle w:val="3"/>
        <w:adjustRightInd w:val="0"/>
        <w:snapToGrid w:val="0"/>
        <w:spacing w:before="0" w:after="120" w:line="380" w:lineRule="exact"/>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t>7.联系方式</w:t>
      </w:r>
    </w:p>
    <w:tbl>
      <w:tblPr>
        <w:tblStyle w:val="21"/>
        <w:tblW w:w="9799" w:type="dxa"/>
        <w:jc w:val="center"/>
        <w:tblLayout w:type="fixed"/>
        <w:tblCellMar>
          <w:top w:w="0" w:type="dxa"/>
          <w:left w:w="108" w:type="dxa"/>
          <w:bottom w:w="0" w:type="dxa"/>
          <w:right w:w="108" w:type="dxa"/>
        </w:tblCellMar>
      </w:tblPr>
      <w:tblGrid>
        <w:gridCol w:w="4281"/>
        <w:gridCol w:w="5518"/>
      </w:tblGrid>
      <w:tr w14:paraId="6EB36178">
        <w:tblPrEx>
          <w:tblCellMar>
            <w:top w:w="0" w:type="dxa"/>
            <w:left w:w="108" w:type="dxa"/>
            <w:bottom w:w="0" w:type="dxa"/>
            <w:right w:w="108" w:type="dxa"/>
          </w:tblCellMar>
        </w:tblPrEx>
        <w:trPr>
          <w:trHeight w:val="3136" w:hRule="atLeast"/>
          <w:jc w:val="center"/>
        </w:trPr>
        <w:tc>
          <w:tcPr>
            <w:tcW w:w="4281" w:type="dxa"/>
          </w:tcPr>
          <w:p w14:paraId="5FAC2703">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p>
          <w:p w14:paraId="2581DFDE">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招标人：</w:t>
            </w:r>
            <w:r>
              <w:rPr>
                <w:rFonts w:hint="eastAsia" w:asciiTheme="minorEastAsia" w:hAnsiTheme="minorEastAsia" w:eastAsiaTheme="minorEastAsia" w:cstheme="minorEastAsia"/>
                <w:color w:val="000000" w:themeColor="text1"/>
                <w:sz w:val="24"/>
                <w14:textFill>
                  <w14:solidFill>
                    <w14:schemeClr w14:val="tx1"/>
                  </w14:solidFill>
                </w14:textFill>
              </w:rPr>
              <w:t>南雄市地方公路管理站</w:t>
            </w:r>
          </w:p>
          <w:p w14:paraId="569F1A74">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地址：南雄市新城沿江东路97号</w:t>
            </w:r>
          </w:p>
          <w:p w14:paraId="282FE974">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邮政编码：512400</w:t>
            </w:r>
          </w:p>
          <w:p w14:paraId="31967205">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联系人：聂工</w:t>
            </w:r>
          </w:p>
          <w:p w14:paraId="6CA3D2A6">
            <w:pPr>
              <w:adjustRightInd w:val="0"/>
              <w:snapToGrid w:val="0"/>
              <w:spacing w:line="360" w:lineRule="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电话：0751-3822626</w:t>
            </w:r>
          </w:p>
        </w:tc>
        <w:tc>
          <w:tcPr>
            <w:tcW w:w="5518" w:type="dxa"/>
          </w:tcPr>
          <w:p w14:paraId="55FDBE9A">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5F4510B9">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代理机构：恒艺鼎丰建设集团有限公司</w:t>
            </w:r>
          </w:p>
          <w:p w14:paraId="74051B66">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地址：韶关市武江区工业中路广东省韶关市第二建筑工程公司院内第一栋（办公楼）三楼314号</w:t>
            </w:r>
          </w:p>
          <w:p w14:paraId="778BC43F">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邮政编码：512026</w:t>
            </w:r>
          </w:p>
          <w:p w14:paraId="2D9CF15C">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联系人：邱工</w:t>
            </w:r>
          </w:p>
          <w:p w14:paraId="0CA7BE10">
            <w:pPr>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电话：13346533388</w:t>
            </w:r>
          </w:p>
        </w:tc>
      </w:tr>
      <w:tr w14:paraId="0152378A">
        <w:tblPrEx>
          <w:tblCellMar>
            <w:top w:w="0" w:type="dxa"/>
            <w:left w:w="108" w:type="dxa"/>
            <w:bottom w:w="0" w:type="dxa"/>
            <w:right w:w="108" w:type="dxa"/>
          </w:tblCellMar>
        </w:tblPrEx>
        <w:trPr>
          <w:trHeight w:val="522" w:hRule="atLeast"/>
          <w:jc w:val="center"/>
        </w:trPr>
        <w:tc>
          <w:tcPr>
            <w:tcW w:w="9799" w:type="dxa"/>
            <w:gridSpan w:val="2"/>
          </w:tcPr>
          <w:p w14:paraId="2BF5768D">
            <w:pPr>
              <w:pStyle w:val="19"/>
              <w:adjustRightInd w:val="0"/>
              <w:snapToGrid w:val="0"/>
              <w:spacing w:before="240" w:beforeLines="100" w:afterAutospacing="0" w:line="400" w:lineRule="exact"/>
              <w:jc w:val="right"/>
              <w:rPr>
                <w:rFonts w:hint="eastAsia" w:asciiTheme="minorEastAsia" w:hAnsiTheme="minorEastAsia" w:eastAsiaTheme="minorEastAsia" w:cstheme="minorEastAsia"/>
                <w:snapToGrid w:val="0"/>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lang w:val="en-US" w:eastAsia="zh-CN" w:bidi="ar-SA"/>
                <w14:textFill>
                  <w14:solidFill>
                    <w14:schemeClr w14:val="tx1"/>
                  </w14:solidFill>
                </w14:textFill>
              </w:rPr>
              <w:t>2024年9月</w:t>
            </w:r>
            <w:r>
              <w:rPr>
                <w:rFonts w:hint="eastAsia" w:asciiTheme="minorEastAsia" w:hAnsiTheme="minorEastAsia" w:cstheme="minorEastAsia"/>
                <w:snapToGrid w:val="0"/>
                <w:color w:val="000000" w:themeColor="text1"/>
                <w:kern w:val="0"/>
                <w:sz w:val="24"/>
                <w:szCs w:val="24"/>
                <w:lang w:val="en-US" w:eastAsia="zh-CN" w:bidi="ar-SA"/>
                <w14:textFill>
                  <w14:solidFill>
                    <w14:schemeClr w14:val="tx1"/>
                  </w14:solidFill>
                </w14:textFill>
              </w:rPr>
              <w:t>19</w:t>
            </w:r>
            <w:r>
              <w:rPr>
                <w:rFonts w:hint="eastAsia" w:asciiTheme="minorEastAsia" w:hAnsiTheme="minorEastAsia" w:eastAsiaTheme="minorEastAsia" w:cstheme="minorEastAsia"/>
                <w:snapToGrid w:val="0"/>
                <w:color w:val="000000" w:themeColor="text1"/>
                <w:kern w:val="0"/>
                <w:sz w:val="24"/>
                <w:szCs w:val="24"/>
                <w:lang w:val="en-US" w:eastAsia="zh-CN" w:bidi="ar-SA"/>
                <w14:textFill>
                  <w14:solidFill>
                    <w14:schemeClr w14:val="tx1"/>
                  </w14:solidFill>
                </w14:textFill>
              </w:rPr>
              <w:t>日</w:t>
            </w:r>
          </w:p>
        </w:tc>
      </w:tr>
    </w:tbl>
    <w:p w14:paraId="665AAD6D">
      <w:pPr>
        <w:autoSpaceDE w:val="0"/>
        <w:autoSpaceDN w:val="0"/>
        <w:spacing w:before="140" w:line="360" w:lineRule="auto"/>
        <w:ind w:right="1134"/>
        <w:jc w:val="left"/>
        <w:rPr>
          <w:rFonts w:hint="eastAsia" w:asciiTheme="minorEastAsia" w:hAnsiTheme="minorEastAsia" w:eastAsiaTheme="minorEastAsia" w:cstheme="minorEastAsia"/>
          <w:b/>
          <w:color w:val="000000" w:themeColor="text1"/>
          <w:w w:val="99"/>
          <w:sz w:val="28"/>
          <w:szCs w:val="28"/>
          <w:lang w:bidi="zh-CN"/>
          <w14:textFill>
            <w14:solidFill>
              <w14:schemeClr w14:val="tx1"/>
            </w14:solidFill>
          </w14:textFill>
        </w:rPr>
        <w:sectPr>
          <w:pgSz w:w="11911" w:h="16838"/>
          <w:pgMar w:top="1440" w:right="1080" w:bottom="1440" w:left="1080" w:header="1134" w:footer="998" w:gutter="0"/>
          <w:pgNumType w:fmt="numberInDash"/>
          <w:cols w:space="0" w:num="1"/>
        </w:sectPr>
      </w:pPr>
    </w:p>
    <w:p w14:paraId="36444B8B">
      <w:pPr>
        <w:autoSpaceDE w:val="0"/>
        <w:autoSpaceDN w:val="0"/>
        <w:spacing w:before="140" w:line="360" w:lineRule="auto"/>
        <w:ind w:right="1134"/>
        <w:jc w:val="left"/>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pPr>
      <w:r>
        <w:rPr>
          <w:rFonts w:hint="eastAsia" w:asciiTheme="minorEastAsia" w:hAnsiTheme="minorEastAsia" w:eastAsiaTheme="minorEastAsia" w:cstheme="minorEastAsia"/>
          <w:b/>
          <w:color w:val="000000" w:themeColor="text1"/>
          <w:w w:val="99"/>
          <w:sz w:val="28"/>
          <w:szCs w:val="28"/>
          <w:lang w:bidi="zh-CN"/>
          <w14:textFill>
            <w14:solidFill>
              <w14:schemeClr w14:val="tx1"/>
            </w14:solidFill>
          </w14:textFill>
        </w:rPr>
        <w:t>8.</w:t>
      </w:r>
      <w:r>
        <w:rPr>
          <w:rFonts w:hint="eastAsia" w:asciiTheme="minorEastAsia" w:hAnsiTheme="minorEastAsia" w:eastAsiaTheme="minorEastAsia" w:cstheme="minorEastAsia"/>
          <w:b/>
          <w:color w:val="000000" w:themeColor="text1"/>
          <w:w w:val="99"/>
          <w:sz w:val="28"/>
          <w:szCs w:val="28"/>
          <w:lang w:val="zh-CN" w:bidi="zh-CN"/>
          <w14:textFill>
            <w14:solidFill>
              <w14:schemeClr w14:val="tx1"/>
            </w14:solidFill>
          </w14:textFill>
        </w:rPr>
        <w:t>重要事项时间地点一览表</w:t>
      </w:r>
    </w:p>
    <w:tbl>
      <w:tblPr>
        <w:tblStyle w:val="21"/>
        <w:tblW w:w="9579" w:type="dxa"/>
        <w:tblInd w:w="-15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68"/>
        <w:gridCol w:w="1381"/>
        <w:gridCol w:w="7630"/>
      </w:tblGrid>
      <w:tr w14:paraId="166B37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0"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7512D355">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1</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6E425AC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招标公告发布时间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02A1DB6B">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09</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19</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color w:val="000000" w:themeColor="text1"/>
                <w:szCs w:val="24"/>
                <w:u w:val="single"/>
                <w14:textFill>
                  <w14:solidFill>
                    <w14:schemeClr w14:val="tx1"/>
                  </w14:solidFill>
                </w14:textFill>
              </w:rPr>
              <w:t>18</w:t>
            </w:r>
            <w:r>
              <w:rPr>
                <w:rFonts w:hint="eastAsia" w:asciiTheme="minorEastAsia" w:hAnsiTheme="minorEastAsia" w:eastAsiaTheme="minorEastAsia" w:cstheme="minorEastAsia"/>
                <w:color w:val="000000" w:themeColor="text1"/>
                <w:szCs w:val="24"/>
                <w14:textFill>
                  <w14:solidFill>
                    <w14:schemeClr w14:val="tx1"/>
                  </w14:solidFill>
                </w14:textFill>
              </w:rPr>
              <w:t>时</w:t>
            </w:r>
            <w:r>
              <w:rPr>
                <w:rFonts w:hint="eastAsia" w:asciiTheme="minorEastAsia" w:hAnsiTheme="minorEastAsia" w:eastAsiaTheme="minorEastAsia" w:cstheme="minorEastAsia"/>
                <w:color w:val="000000" w:themeColor="text1"/>
                <w:szCs w:val="24"/>
                <w:u w:val="single"/>
                <w14:textFill>
                  <w14:solidFill>
                    <w14:schemeClr w14:val="tx1"/>
                  </w14:solidFill>
                </w14:textFill>
              </w:rPr>
              <w:t>00</w:t>
            </w:r>
            <w:r>
              <w:rPr>
                <w:rFonts w:hint="eastAsia" w:asciiTheme="minorEastAsia" w:hAnsiTheme="minorEastAsia" w:eastAsiaTheme="minorEastAsia" w:cstheme="minorEastAsia"/>
                <w:color w:val="000000" w:themeColor="text1"/>
                <w:szCs w:val="24"/>
                <w14:textFill>
                  <w14:solidFill>
                    <w14:schemeClr w14:val="tx1"/>
                  </w14:solidFill>
                </w14:textFill>
              </w:rPr>
              <w:t>分</w:t>
            </w:r>
          </w:p>
        </w:tc>
      </w:tr>
      <w:tr w14:paraId="0BF3E1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68"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2A4B08A2">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2</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1B96F630">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获取招标文件截止时间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096F3FEB">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tc>
      </w:tr>
      <w:tr w14:paraId="63924B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4"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262C4CF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3</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0C91D210">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网上提问截止时间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51346EFA">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09</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tc>
      </w:tr>
      <w:tr w14:paraId="38B3F2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1"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7E62AAE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4</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2A43DBAE">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网上答疑</w:t>
            </w:r>
          </w:p>
          <w:p w14:paraId="084F61AE">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6862FDEA">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09</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29</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30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分至</w:t>
            </w: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09</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14:textFill>
                  <w14:solidFill>
                    <w14:schemeClr w14:val="tx1"/>
                  </w14:solidFill>
                </w14:textFill>
              </w:rPr>
              <w:t>30</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16</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tc>
      </w:tr>
      <w:tr w14:paraId="51F1E1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7"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6A6D887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5</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0719AE6E">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投标保证缴</w:t>
            </w:r>
          </w:p>
          <w:p w14:paraId="7F4559F8">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纳截止时间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22997F26">
            <w:pPr>
              <w:pStyle w:val="46"/>
              <w:wordWrap w:val="0"/>
              <w:adjustRightInd w:val="0"/>
              <w:snapToGrid w:val="0"/>
              <w:spacing w:line="288" w:lineRule="auto"/>
              <w:ind w:firstLine="240" w:firstLineChars="100"/>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投标保证金到账截止时间：</w:t>
            </w: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p w14:paraId="75AF989D">
            <w:pPr>
              <w:pStyle w:val="46"/>
              <w:wordWrap w:val="0"/>
              <w:adjustRightInd w:val="0"/>
              <w:snapToGrid w:val="0"/>
              <w:spacing w:line="288" w:lineRule="auto"/>
              <w:ind w:firstLine="240" w:firstLineChars="100"/>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投标保证担保提交截止时间：</w:t>
            </w: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p w14:paraId="6C7EA7A2">
            <w:pPr>
              <w:pStyle w:val="46"/>
              <w:wordWrap w:val="0"/>
              <w:adjustRightInd w:val="0"/>
              <w:snapToGrid w:val="0"/>
              <w:spacing w:line="288" w:lineRule="auto"/>
              <w:ind w:firstLine="240" w:firstLineChars="100"/>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投标保证保险投保截止时间：</w:t>
            </w: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Cs w:val="24"/>
                <w:u w:val="singl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分。</w:t>
            </w:r>
          </w:p>
        </w:tc>
      </w:tr>
      <w:tr w14:paraId="4911C9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69"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47677149">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6</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6671CFC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电子投标截止时间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373D6328">
            <w:pPr>
              <w:pStyle w:val="18"/>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sz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 w:val="24"/>
                <w14:textFill>
                  <w14:solidFill>
                    <w14:schemeClr w14:val="tx1"/>
                  </w14:solidFill>
                </w14:textFill>
              </w:rPr>
              <w:t>年</w:t>
            </w:r>
            <w:r>
              <w:rPr>
                <w:rFonts w:hint="eastAsia" w:asciiTheme="minorEastAsia" w:hAnsiTheme="minorEastAsia" w:eastAsiaTheme="minorEastAsia" w:cstheme="minorEastAsia"/>
                <w:color w:val="000000" w:themeColor="text1"/>
                <w:sz w:val="24"/>
                <w:u w:val="single"/>
                <w14:textFill>
                  <w14:solidFill>
                    <w14:schemeClr w14:val="tx1"/>
                  </w14:solidFill>
                </w14:textFill>
              </w:rPr>
              <w:t>10</w:t>
            </w:r>
            <w:r>
              <w:rPr>
                <w:rFonts w:hint="eastAsia" w:asciiTheme="minorEastAsia" w:hAnsiTheme="minorEastAsia" w:eastAsiaTheme="minorEastAsia" w:cstheme="minorEastAsia"/>
                <w:color w:val="000000" w:themeColor="text1"/>
                <w:sz w:val="24"/>
                <w14:textFill>
                  <w14:solidFill>
                    <w14:schemeClr w14:val="tx1"/>
                  </w14:solidFill>
                </w14:textFill>
              </w:rPr>
              <w:t>月</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4"/>
                <w14:textFill>
                  <w14:solidFill>
                    <w14:schemeClr w14:val="tx1"/>
                  </w14:solidFill>
                </w14:textFill>
              </w:rPr>
              <w:t>日</w:t>
            </w:r>
            <w:r>
              <w:rPr>
                <w:rFonts w:hint="eastAsia" w:asciiTheme="minorEastAsia" w:hAnsiTheme="minorEastAsia" w:eastAsiaTheme="minorEastAsia" w:cstheme="minorEastAsia"/>
                <w:snapToGrid w:val="0"/>
                <w:color w:val="000000" w:themeColor="text1"/>
                <w:kern w:val="0"/>
                <w:sz w:val="24"/>
                <w:u w:val="single"/>
                <w:lang w:val="en-US" w:eastAsia="zh-CN"/>
                <w14:textFill>
                  <w14:solidFill>
                    <w14:schemeClr w14:val="tx1"/>
                  </w14:solidFill>
                </w14:textFill>
              </w:rPr>
              <w:t>10</w:t>
            </w: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时</w:t>
            </w:r>
            <w:r>
              <w:rPr>
                <w:rFonts w:hint="eastAsia" w:asciiTheme="minorEastAsia" w:hAnsiTheme="minorEastAsia" w:eastAsiaTheme="minorEastAsia" w:cstheme="minorEastAsia"/>
                <w:snapToGrid w:val="0"/>
                <w:color w:val="000000" w:themeColor="text1"/>
                <w:kern w:val="0"/>
                <w:sz w:val="24"/>
                <w:u w:val="single"/>
                <w:lang w:val="en-US" w:eastAsia="zh-CN"/>
                <w14:textFill>
                  <w14:solidFill>
                    <w14:schemeClr w14:val="tx1"/>
                  </w14:solidFill>
                </w14:textFill>
              </w:rPr>
              <w:t>00</w:t>
            </w: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分</w:t>
            </w:r>
          </w:p>
        </w:tc>
      </w:tr>
      <w:tr w14:paraId="2F8D02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4"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4A5EABEB">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7</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2CF62C8A">
            <w:pPr>
              <w:pStyle w:val="46"/>
              <w:wordWrap w:val="0"/>
              <w:adjustRightInd w:val="0"/>
              <w:snapToGrid w:val="0"/>
              <w:spacing w:line="288" w:lineRule="auto"/>
              <w:jc w:val="center"/>
              <w:rPr>
                <w:rFonts w:hint="eastAsia" w:asciiTheme="minorEastAsia" w:hAnsiTheme="minorEastAsia" w:eastAsiaTheme="minorEastAsia" w:cstheme="minorEastAsia"/>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投标评审原件（如有）</w:t>
            </w:r>
          </w:p>
          <w:p w14:paraId="7B177F9F">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递交时间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4F8800A1">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color w:val="000000" w:themeColor="text1"/>
                <w:szCs w:val="24"/>
                <w:u w:val="single"/>
                <w14:textFill>
                  <w14:solidFill>
                    <w14:schemeClr w14:val="tx1"/>
                  </w14:solidFill>
                </w14:textFill>
              </w:rPr>
            </w:pP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11</w:t>
            </w:r>
            <w:bookmarkStart w:id="64" w:name="_GoBack"/>
            <w:bookmarkEnd w:id="64"/>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color w:val="000000" w:themeColor="text1"/>
                <w:szCs w:val="24"/>
                <w:u w:val="single"/>
                <w14:textFill>
                  <w14:solidFill>
                    <w14:schemeClr w14:val="tx1"/>
                  </w14:solidFill>
                </w14:textFill>
              </w:rPr>
              <w:t>09</w:t>
            </w:r>
            <w:r>
              <w:rPr>
                <w:rFonts w:hint="eastAsia" w:asciiTheme="minorEastAsia" w:hAnsiTheme="minorEastAsia" w:eastAsiaTheme="minorEastAsia" w:cstheme="minorEastAsia"/>
                <w:color w:val="000000" w:themeColor="text1"/>
                <w:szCs w:val="24"/>
                <w14:textFill>
                  <w14:solidFill>
                    <w14:schemeClr w14:val="tx1"/>
                  </w14:solidFill>
                </w14:textFill>
              </w:rPr>
              <w:t>时</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szCs w:val="24"/>
                <w14:textFill>
                  <w14:solidFill>
                    <w14:schemeClr w14:val="tx1"/>
                  </w14:solidFill>
                </w14:textFill>
              </w:rPr>
              <w:t>分至</w:t>
            </w:r>
            <w:r>
              <w:rPr>
                <w:rFonts w:hint="eastAsia" w:asciiTheme="minorEastAsia" w:hAnsiTheme="minorEastAsia" w:eastAsiaTheme="minorEastAsia" w:cstheme="minorEastAsia"/>
                <w:color w:val="000000" w:themeColor="text1"/>
                <w:szCs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Cs w:val="24"/>
                <w14:textFill>
                  <w14:solidFill>
                    <w14:schemeClr w14:val="tx1"/>
                  </w14:solidFill>
                </w14:textFill>
              </w:rPr>
              <w:t>年</w:t>
            </w:r>
            <w:r>
              <w:rPr>
                <w:rFonts w:hint="eastAsia" w:asciiTheme="minorEastAsia" w:hAnsiTheme="minorEastAsia" w:eastAsiaTheme="minorEastAsia" w:cstheme="minorEastAsia"/>
                <w:color w:val="000000" w:themeColor="text1"/>
                <w:szCs w:val="24"/>
                <w:u w:val="single"/>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月</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Cs w:val="24"/>
                <w14:textFill>
                  <w14:solidFill>
                    <w14:schemeClr w14:val="tx1"/>
                  </w14:solidFill>
                </w14:textFill>
              </w:rPr>
              <w:t>日</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时</w:t>
            </w:r>
            <w:r>
              <w:rPr>
                <w:rFonts w:hint="eastAsia" w:asciiTheme="minorEastAsia" w:hAnsiTheme="minorEastAsia" w:eastAsiaTheme="minorEastAsia" w:cstheme="minorEastAsia"/>
                <w:color w:val="000000" w:themeColor="text1"/>
                <w:szCs w:val="24"/>
                <w:u w:val="single"/>
                <w:lang w:val="en-US" w:eastAsia="zh-CN"/>
                <w14:textFill>
                  <w14:solidFill>
                    <w14:schemeClr w14:val="tx1"/>
                  </w14:solidFill>
                </w14:textFill>
              </w:rPr>
              <w:t>00</w:t>
            </w:r>
            <w:r>
              <w:rPr>
                <w:rFonts w:hint="eastAsia" w:asciiTheme="minorEastAsia" w:hAnsiTheme="minorEastAsia" w:eastAsiaTheme="minorEastAsia" w:cstheme="minorEastAsia"/>
                <w:color w:val="000000" w:themeColor="text1"/>
                <w:szCs w:val="24"/>
                <w14:textFill>
                  <w14:solidFill>
                    <w14:schemeClr w14:val="tx1"/>
                  </w14:solidFill>
                </w14:textFill>
              </w:rPr>
              <w:t>分</w:t>
            </w:r>
          </w:p>
        </w:tc>
      </w:tr>
      <w:tr w14:paraId="32B3CB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0"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4FAE2BB4">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8</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67CF7094">
            <w:pPr>
              <w:pStyle w:val="46"/>
              <w:wordWrap w:val="0"/>
              <w:adjustRightInd w:val="0"/>
              <w:snapToGrid w:val="0"/>
              <w:spacing w:line="288" w:lineRule="auto"/>
              <w:jc w:val="center"/>
              <w:rPr>
                <w:rFonts w:hint="eastAsia" w:asciiTheme="minorEastAsia" w:hAnsiTheme="minorEastAsia" w:eastAsiaTheme="minorEastAsia" w:cstheme="minorEastAsia"/>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投标评审原件（如有）</w:t>
            </w:r>
          </w:p>
          <w:p w14:paraId="1C1ED5F4">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递交地点</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6602B29A">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color w:val="000000" w:themeColor="text1"/>
                <w:szCs w:val="24"/>
                <w:u w:val="single"/>
                <w14:textFill>
                  <w14:solidFill>
                    <w14:schemeClr w14:val="tx1"/>
                  </w14:solidFill>
                </w14:textFill>
              </w:rPr>
            </w:pPr>
            <w:r>
              <w:rPr>
                <w:rFonts w:hint="eastAsia" w:asciiTheme="minorEastAsia" w:hAnsiTheme="minorEastAsia" w:eastAsiaTheme="minorEastAsia" w:cstheme="minorEastAsia"/>
                <w:color w:val="000000" w:themeColor="text1"/>
                <w:kern w:val="0"/>
                <w:szCs w:val="24"/>
                <w14:textFill>
                  <w14:solidFill>
                    <w14:schemeClr w14:val="tx1"/>
                  </w14:solidFill>
                </w14:textFill>
              </w:rPr>
              <w:t>递交场所：</w:t>
            </w:r>
            <w:r>
              <w:rPr>
                <w:rFonts w:hint="eastAsia" w:asciiTheme="minorEastAsia" w:hAnsiTheme="minorEastAsia" w:eastAsiaTheme="minorEastAsia" w:cstheme="minorEastAsia"/>
                <w:color w:val="000000" w:themeColor="text1"/>
                <w:kern w:val="0"/>
                <w:szCs w:val="24"/>
                <w:u w:val="single"/>
                <w14:textFill>
                  <w14:solidFill>
                    <w14:schemeClr w14:val="tx1"/>
                  </w14:solidFill>
                </w14:textFill>
              </w:rPr>
              <w:t>韶关市公共资源交易中心南雄分中心</w:t>
            </w:r>
          </w:p>
          <w:p w14:paraId="108AAA4B">
            <w:pPr>
              <w:pStyle w:val="46"/>
              <w:wordWrap w:val="0"/>
              <w:adjustRightInd w:val="0"/>
              <w:snapToGrid w:val="0"/>
              <w:spacing w:line="288" w:lineRule="auto"/>
              <w:ind w:firstLine="240" w:firstLineChars="100"/>
              <w:jc w:val="left"/>
              <w:rPr>
                <w:rFonts w:hint="eastAsia" w:asciiTheme="minorEastAsia" w:hAnsiTheme="minorEastAsia" w:eastAsiaTheme="minorEastAsia" w:cstheme="minorEastAsia"/>
                <w:color w:val="000000" w:themeColor="text1"/>
                <w:szCs w:val="24"/>
                <w:u w:val="single"/>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地址：</w:t>
            </w:r>
            <w:r>
              <w:rPr>
                <w:rFonts w:hint="eastAsia" w:asciiTheme="minorEastAsia" w:hAnsiTheme="minorEastAsia" w:eastAsiaTheme="minorEastAsia" w:cstheme="minorEastAsia"/>
                <w:color w:val="000000" w:themeColor="text1"/>
                <w:szCs w:val="24"/>
                <w:u w:val="single"/>
                <w14:textFill>
                  <w14:solidFill>
                    <w14:schemeClr w14:val="tx1"/>
                  </w14:solidFill>
                </w14:textFill>
              </w:rPr>
              <w:t>南雄市雄东路1号大润发四楼韶关市公共资源交易中心</w:t>
            </w:r>
            <w:r>
              <w:rPr>
                <w:rFonts w:hint="eastAsia" w:asciiTheme="minorEastAsia" w:hAnsiTheme="minorEastAsia" w:eastAsiaTheme="minorEastAsia" w:cstheme="minorEastAsia"/>
                <w:color w:val="000000" w:themeColor="text1"/>
                <w:szCs w:val="24"/>
                <w14:textFill>
                  <w14:solidFill>
                    <w14:schemeClr w14:val="tx1"/>
                  </w14:solidFill>
                </w14:textFill>
              </w:rPr>
              <w:t>，具体房间号以当日现场通知为准。</w:t>
            </w:r>
          </w:p>
        </w:tc>
      </w:tr>
      <w:tr w14:paraId="036AA3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9"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369C49AF">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9</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24C39C9C">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开标时间</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7F5BE4EF">
            <w:pPr>
              <w:pStyle w:val="18"/>
              <w:wordWrap w:val="0"/>
              <w:adjustRightInd w:val="0"/>
              <w:snapToGrid w:val="0"/>
              <w:spacing w:line="288" w:lineRule="auto"/>
              <w:ind w:firstLine="240" w:firstLineChars="100"/>
              <w:jc w:val="left"/>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sz w:val="24"/>
                <w:u w:val="single"/>
                <w14:textFill>
                  <w14:solidFill>
                    <w14:schemeClr w14:val="tx1"/>
                  </w14:solidFill>
                </w14:textFill>
              </w:rPr>
              <w:t>2024</w:t>
            </w:r>
            <w:r>
              <w:rPr>
                <w:rFonts w:hint="eastAsia" w:asciiTheme="minorEastAsia" w:hAnsiTheme="minorEastAsia" w:eastAsiaTheme="minorEastAsia" w:cstheme="minorEastAsia"/>
                <w:color w:val="000000" w:themeColor="text1"/>
                <w:sz w:val="24"/>
                <w14:textFill>
                  <w14:solidFill>
                    <w14:schemeClr w14:val="tx1"/>
                  </w14:solidFill>
                </w14:textFill>
              </w:rPr>
              <w:t>年</w:t>
            </w:r>
            <w:r>
              <w:rPr>
                <w:rFonts w:hint="eastAsia" w:asciiTheme="minorEastAsia" w:hAnsiTheme="minorEastAsia" w:eastAsiaTheme="minorEastAsia" w:cstheme="minorEastAsia"/>
                <w:color w:val="000000" w:themeColor="text1"/>
                <w:sz w:val="24"/>
                <w:u w:val="single"/>
                <w14:textFill>
                  <w14:solidFill>
                    <w14:schemeClr w14:val="tx1"/>
                  </w14:solidFill>
                </w14:textFill>
              </w:rPr>
              <w:t>10</w:t>
            </w:r>
            <w:r>
              <w:rPr>
                <w:rFonts w:hint="eastAsia" w:asciiTheme="minorEastAsia" w:hAnsiTheme="minorEastAsia" w:eastAsiaTheme="minorEastAsia" w:cstheme="minorEastAsia"/>
                <w:color w:val="000000" w:themeColor="text1"/>
                <w:sz w:val="24"/>
                <w14:textFill>
                  <w14:solidFill>
                    <w14:schemeClr w14:val="tx1"/>
                  </w14:solidFill>
                </w14:textFill>
              </w:rPr>
              <w:t>月</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4"/>
                <w14:textFill>
                  <w14:solidFill>
                    <w14:schemeClr w14:val="tx1"/>
                  </w14:solidFill>
                </w14:textFill>
              </w:rPr>
              <w:t>日</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4"/>
                <w14:textFill>
                  <w14:solidFill>
                    <w14:schemeClr w14:val="tx1"/>
                  </w14:solidFill>
                </w14:textFill>
              </w:rPr>
              <w:t>时</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00</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r>
      <w:tr w14:paraId="5B15EF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30"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2D21911A">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10</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7BC85FC5">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开标地点</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510EF3CA">
            <w:pPr>
              <w:pStyle w:val="19"/>
              <w:widowControl/>
              <w:adjustRightInd w:val="0"/>
              <w:snapToGrid w:val="0"/>
              <w:spacing w:beforeAutospacing="0" w:after="150" w:afterAutospacing="0"/>
              <w:ind w:firstLine="240" w:firstLineChars="100"/>
              <w:rPr>
                <w:rFonts w:hint="eastAsia" w:asciiTheme="minorEastAsia" w:hAnsiTheme="minorEastAsia" w:eastAsiaTheme="minorEastAsia" w:cstheme="minorEastAsia"/>
                <w:snapToGrid w:val="0"/>
                <w:color w:val="000000" w:themeColor="text1"/>
                <w14:textFill>
                  <w14:solidFill>
                    <w14:schemeClr w14:val="tx1"/>
                  </w14:solidFill>
                </w14:textFill>
              </w:rPr>
            </w:pPr>
            <w:r>
              <w:rPr>
                <w:rFonts w:hint="eastAsia" w:asciiTheme="minorEastAsia" w:hAnsiTheme="minorEastAsia" w:eastAsiaTheme="minorEastAsia" w:cstheme="minorEastAsia"/>
                <w:snapToGrid w:val="0"/>
                <w:color w:val="000000" w:themeColor="text1"/>
                <w14:textFill>
                  <w14:solidFill>
                    <w14:schemeClr w14:val="tx1"/>
                  </w14:solidFill>
                </w14:textFill>
              </w:rPr>
              <w:t>开标场所：韶关市公共资源交易中心南雄分中心</w:t>
            </w:r>
          </w:p>
          <w:p w14:paraId="45AB6386">
            <w:pPr>
              <w:pStyle w:val="18"/>
              <w:wordWrap w:val="0"/>
              <w:adjustRightInd w:val="0"/>
              <w:snapToGrid w:val="0"/>
              <w:ind w:firstLine="240" w:firstLineChars="100"/>
              <w:jc w:val="left"/>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14:textFill>
                  <w14:solidFill>
                    <w14:schemeClr w14:val="tx1"/>
                  </w14:solidFill>
                </w14:textFill>
              </w:rPr>
              <w:t>地址：南雄市雄东路1号大润发四楼韶关市公共资源交易中心，具体房间号以当日现场通知为准</w:t>
            </w:r>
            <w:r>
              <w:rPr>
                <w:rFonts w:hint="eastAsia" w:asciiTheme="minorEastAsia" w:hAnsiTheme="minorEastAsia" w:eastAsiaTheme="minorEastAsia" w:cstheme="minorEastAsia"/>
                <w:color w:val="000000" w:themeColor="text1"/>
                <w:sz w:val="24"/>
                <w14:textFill>
                  <w14:solidFill>
                    <w14:schemeClr w14:val="tx1"/>
                  </w14:solidFill>
                </w14:textFill>
              </w:rPr>
              <w:t>。</w:t>
            </w:r>
          </w:p>
        </w:tc>
      </w:tr>
      <w:tr w14:paraId="01780B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9" w:hRule="exact"/>
        </w:trPr>
        <w:tc>
          <w:tcPr>
            <w:tcW w:w="568" w:type="dxa"/>
            <w:tcBorders>
              <w:top w:val="single" w:color="080000" w:sz="4" w:space="0"/>
              <w:left w:val="single" w:color="080000" w:sz="4" w:space="0"/>
              <w:bottom w:val="single" w:color="080000" w:sz="4" w:space="0"/>
              <w:right w:val="single" w:color="080000" w:sz="4" w:space="0"/>
            </w:tcBorders>
            <w:noWrap/>
            <w:vAlign w:val="center"/>
          </w:tcPr>
          <w:p w14:paraId="73800090">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11</w:t>
            </w:r>
          </w:p>
        </w:tc>
        <w:tc>
          <w:tcPr>
            <w:tcW w:w="1381" w:type="dxa"/>
            <w:tcBorders>
              <w:top w:val="single" w:color="080000" w:sz="4" w:space="0"/>
              <w:left w:val="single" w:color="080000" w:sz="4" w:space="0"/>
              <w:bottom w:val="single" w:color="080000" w:sz="4" w:space="0"/>
              <w:right w:val="single" w:color="080000" w:sz="4" w:space="0"/>
            </w:tcBorders>
            <w:noWrap/>
            <w:vAlign w:val="center"/>
          </w:tcPr>
          <w:p w14:paraId="10A27B6B">
            <w:pPr>
              <w:pStyle w:val="46"/>
              <w:wordWrap w:val="0"/>
              <w:adjustRightInd w:val="0"/>
              <w:snapToGrid w:val="0"/>
              <w:spacing w:line="288" w:lineRule="auto"/>
              <w:jc w:val="cente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Cs w:val="24"/>
                <w14:textFill>
                  <w14:solidFill>
                    <w14:schemeClr w14:val="tx1"/>
                  </w14:solidFill>
                </w14:textFill>
              </w:rPr>
              <w:t>其他</w:t>
            </w:r>
          </w:p>
        </w:tc>
        <w:tc>
          <w:tcPr>
            <w:tcW w:w="7630" w:type="dxa"/>
            <w:tcBorders>
              <w:top w:val="single" w:color="080000" w:sz="4" w:space="0"/>
              <w:left w:val="single" w:color="080000" w:sz="4" w:space="0"/>
              <w:bottom w:val="single" w:color="080000" w:sz="4" w:space="0"/>
              <w:right w:val="single" w:color="080000" w:sz="4" w:space="0"/>
            </w:tcBorders>
            <w:noWrap/>
            <w:vAlign w:val="center"/>
          </w:tcPr>
          <w:p w14:paraId="446568F3">
            <w:pPr>
              <w:pStyle w:val="18"/>
              <w:wordWrap w:val="0"/>
              <w:adjustRightInd w:val="0"/>
              <w:snapToGrid w:val="0"/>
              <w:spacing w:line="288" w:lineRule="auto"/>
              <w:ind w:firstLine="240" w:firstLineChars="100"/>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投标人应按有关计划时间安排办理企业CA认证、企业入库等，投标人自行下载招标文件、资料文件及招标答疑书等。若由于投标人自身原因未能及时取得上述资料的，由此发生的任何责任由投标人自负。</w:t>
            </w:r>
          </w:p>
        </w:tc>
      </w:tr>
    </w:tbl>
    <w:p w14:paraId="75504E40">
      <w:pPr>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pPr>
    </w:p>
    <w:p w14:paraId="4AEDE548">
      <w:pP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sectPr>
          <w:pgSz w:w="11911" w:h="16838"/>
          <w:pgMar w:top="1440" w:right="1080" w:bottom="1440" w:left="1080" w:header="0" w:footer="998" w:gutter="0"/>
          <w:pgNumType w:fmt="numberInDash"/>
          <w:cols w:space="0" w:num="1"/>
        </w:sectPr>
      </w:pPr>
    </w:p>
    <w:p w14:paraId="60D6E116">
      <w:pPr>
        <w:spacing w:line="226" w:lineRule="auto"/>
        <w:ind w:left="144"/>
        <w:rPr>
          <w:rFonts w:hint="eastAsia" w:asciiTheme="minorEastAsia" w:hAnsiTheme="minorEastAsia" w:eastAsiaTheme="minorEastAsia" w:cstheme="minorEastAsia"/>
          <w:b/>
          <w:bCs/>
          <w:color w:val="000000" w:themeColor="text1"/>
          <w:sz w:val="27"/>
          <w:szCs w:val="27"/>
          <w14:textFill>
            <w14:solidFill>
              <w14:schemeClr w14:val="tx1"/>
            </w14:solidFill>
          </w14:textFill>
        </w:rPr>
      </w:pPr>
      <w:r>
        <w:rPr>
          <w:rFonts w:hint="eastAsia" w:asciiTheme="minorEastAsia" w:hAnsiTheme="minorEastAsia" w:eastAsiaTheme="minorEastAsia" w:cstheme="minorEastAsia"/>
          <w:b/>
          <w:bCs/>
          <w:color w:val="000000" w:themeColor="text1"/>
          <w:spacing w:val="2"/>
          <w:sz w:val="27"/>
          <w:szCs w:val="27"/>
          <w14:textFill>
            <w14:solidFill>
              <w14:schemeClr w14:val="tx1"/>
            </w14:solidFill>
          </w14:textFill>
        </w:rPr>
        <w:t>附件1:工程项目情况</w:t>
      </w:r>
    </w:p>
    <w:p w14:paraId="2E86017A">
      <w:pPr>
        <w:tabs>
          <w:tab w:val="left" w:pos="3145"/>
        </w:tabs>
        <w:spacing w:line="242" w:lineRule="auto"/>
        <w:ind w:firstLine="843" w:firstLineChars="300"/>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t>南雄市X790线里东村至泷头林场公路提档升级改建工程等5个项目</w:t>
      </w:r>
    </w:p>
    <w:p w14:paraId="65F38228">
      <w:pPr>
        <w:tabs>
          <w:tab w:val="left" w:pos="3145"/>
        </w:tabs>
        <w:spacing w:line="242" w:lineRule="auto"/>
        <w:ind w:firstLine="1687" w:firstLineChars="600"/>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single"/>
          <w14:textFill>
            <w14:solidFill>
              <w14:schemeClr w14:val="tx1"/>
            </w14:solidFill>
          </w14:textFill>
        </w:rPr>
        <w:t>（标段一）施工设计总承包工程建设范围表</w:t>
      </w:r>
    </w:p>
    <w:p w14:paraId="49D51465">
      <w:pPr>
        <w:spacing w:line="120" w:lineRule="exact"/>
        <w:rPr>
          <w:rFonts w:hint="eastAsia" w:asciiTheme="minorEastAsia" w:hAnsiTheme="minorEastAsia" w:eastAsiaTheme="minorEastAsia" w:cstheme="minorEastAsia"/>
          <w:color w:val="000000" w:themeColor="text1"/>
          <w14:textFill>
            <w14:solidFill>
              <w14:schemeClr w14:val="tx1"/>
            </w14:solidFill>
          </w14:textFill>
        </w:rPr>
      </w:pPr>
    </w:p>
    <w:tbl>
      <w:tblPr>
        <w:tblStyle w:val="54"/>
        <w:tblW w:w="96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0"/>
        <w:gridCol w:w="4038"/>
        <w:gridCol w:w="1825"/>
        <w:gridCol w:w="1550"/>
        <w:gridCol w:w="873"/>
      </w:tblGrid>
      <w:tr w14:paraId="3B1A4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jc w:val="center"/>
        </w:trPr>
        <w:tc>
          <w:tcPr>
            <w:tcW w:w="1360" w:type="dxa"/>
            <w:vAlign w:val="center"/>
          </w:tcPr>
          <w:p w14:paraId="0E7C34B2">
            <w:pPr>
              <w:spacing w:before="78" w:line="360" w:lineRule="auto"/>
              <w:ind w:left="158"/>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类别</w:t>
            </w:r>
          </w:p>
        </w:tc>
        <w:tc>
          <w:tcPr>
            <w:tcW w:w="4038" w:type="dxa"/>
            <w:vAlign w:val="center"/>
          </w:tcPr>
          <w:p w14:paraId="4DFE4783">
            <w:pPr>
              <w:spacing w:before="78"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主要标准和规模</w:t>
            </w:r>
          </w:p>
        </w:tc>
        <w:tc>
          <w:tcPr>
            <w:tcW w:w="1825" w:type="dxa"/>
            <w:vAlign w:val="center"/>
          </w:tcPr>
          <w:p w14:paraId="2F0A44EF">
            <w:pPr>
              <w:spacing w:before="78"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主要工程内容</w:t>
            </w:r>
          </w:p>
        </w:tc>
        <w:tc>
          <w:tcPr>
            <w:tcW w:w="1550" w:type="dxa"/>
            <w:vAlign w:val="center"/>
          </w:tcPr>
          <w:p w14:paraId="38033E38">
            <w:pPr>
              <w:spacing w:before="78" w:line="360" w:lineRule="auto"/>
              <w:ind w:left="158"/>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子项目计划工期（日历天）</w:t>
            </w:r>
          </w:p>
        </w:tc>
        <w:tc>
          <w:tcPr>
            <w:tcW w:w="873" w:type="dxa"/>
            <w:vAlign w:val="center"/>
          </w:tcPr>
          <w:p w14:paraId="6F76C96D">
            <w:pPr>
              <w:spacing w:before="78"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备注</w:t>
            </w:r>
          </w:p>
        </w:tc>
      </w:tr>
      <w:tr w14:paraId="06C37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jc w:val="center"/>
        </w:trPr>
        <w:tc>
          <w:tcPr>
            <w:tcW w:w="1360" w:type="dxa"/>
            <w:vAlign w:val="center"/>
          </w:tcPr>
          <w:p w14:paraId="7A3D3D1F">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农村公路新建、改（扩）建工程</w:t>
            </w:r>
          </w:p>
        </w:tc>
        <w:tc>
          <w:tcPr>
            <w:tcW w:w="4038" w:type="dxa"/>
            <w:vAlign w:val="center"/>
          </w:tcPr>
          <w:p w14:paraId="1A5EB6B7">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南雄市X787线帽子峰至江西河洞公路提档升级改建工程，建设内容及规模：项目全长37.750千米，道路等级为为三级公路。路面为水泥混凝土路面，改建后路基宽7.5米，路面宽6.5米，局部困难处缩小宽度。总投资约11216.1242万元，其中建安费约7420.1455万元。</w:t>
            </w:r>
          </w:p>
          <w:p w14:paraId="3E94460D">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南雄市X790线里东村至泷头林场公路提档升级改建工程，建设内容及规模：项目全长36.755千米，道路等级为为三级公路。路面为水泥混凝土路面，改建后路基宽7.5米，路面宽6.5米，局部困难处缩小宽度。总投资约10186.4283万元，其中建安费约6574.5472万元。</w:t>
            </w:r>
          </w:p>
          <w:p w14:paraId="4749169C">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项目总投资约21402.5525 万元，本次工程建安费招标金额约为13994.6927万元，工程勘察设计费约638.64万元。</w:t>
            </w:r>
          </w:p>
        </w:tc>
        <w:tc>
          <w:tcPr>
            <w:tcW w:w="1825" w:type="dxa"/>
            <w:vAlign w:val="center"/>
          </w:tcPr>
          <w:p w14:paraId="7276BF6D">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为本项目包建设范围内的勘察设计、施工、验收、资料管理、缺陷修复以及质量保修等（详见招标人提供的相关资料）。</w:t>
            </w:r>
          </w:p>
        </w:tc>
        <w:tc>
          <w:tcPr>
            <w:tcW w:w="1550" w:type="dxa"/>
            <w:vAlign w:val="center"/>
          </w:tcPr>
          <w:p w14:paraId="509AAF49">
            <w:pPr>
              <w:tabs>
                <w:tab w:val="left" w:pos="3145"/>
              </w:tabs>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计划工期1095日历天（其中勘察设计工期65日历天，施工工期1030日历天）；实际开工时间以业主通知或监理签发开工令为准。</w:t>
            </w:r>
          </w:p>
        </w:tc>
        <w:tc>
          <w:tcPr>
            <w:tcW w:w="873" w:type="dxa"/>
            <w:vAlign w:val="center"/>
          </w:tcPr>
          <w:p w14:paraId="59435291">
            <w:pPr>
              <w:tabs>
                <w:tab w:val="left" w:pos="3145"/>
              </w:tabs>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w:t>
            </w:r>
          </w:p>
        </w:tc>
      </w:tr>
    </w:tbl>
    <w:p w14:paraId="13AE35DB">
      <w:pPr>
        <w:pStyle w:val="8"/>
        <w:spacing w:line="247" w:lineRule="auto"/>
        <w:rPr>
          <w:rFonts w:hint="eastAsia" w:asciiTheme="minorEastAsia" w:hAnsiTheme="minorEastAsia" w:eastAsiaTheme="minorEastAsia" w:cstheme="minorEastAsia"/>
          <w:color w:val="000000" w:themeColor="text1"/>
          <w14:textFill>
            <w14:solidFill>
              <w14:schemeClr w14:val="tx1"/>
            </w14:solidFill>
          </w14:textFill>
        </w:rPr>
      </w:pPr>
    </w:p>
    <w:p w14:paraId="7B96FA42">
      <w:pPr>
        <w:pStyle w:val="2"/>
        <w:spacing w:before="120" w:after="0"/>
        <w:jc w:val="center"/>
        <w:rPr>
          <w:rFonts w:hint="eastAsia" w:asciiTheme="minorEastAsia" w:hAnsiTheme="minorEastAsia" w:eastAsiaTheme="minorEastAsia" w:cstheme="minorEastAsia"/>
          <w:color w:val="000000" w:themeColor="text1"/>
          <w:lang w:val="zh-CN"/>
          <w14:textFill>
            <w14:solidFill>
              <w14:schemeClr w14:val="tx1"/>
            </w14:solidFill>
          </w14:textFill>
        </w:rPr>
        <w:sectPr>
          <w:pgSz w:w="11906" w:h="16838"/>
          <w:pgMar w:top="1440" w:right="1080" w:bottom="1440" w:left="1080" w:header="851" w:footer="992" w:gutter="0"/>
          <w:pgNumType w:fmt="numberInDash"/>
          <w:cols w:space="720" w:num="1"/>
          <w:docGrid w:type="lines" w:linePitch="312" w:charSpace="0"/>
        </w:sectPr>
      </w:pPr>
    </w:p>
    <w:p w14:paraId="59EA65AC">
      <w:pPr>
        <w:pStyle w:val="2"/>
        <w:snapToGrid w:val="0"/>
        <w:spacing w:before="120" w:after="0" w:line="240" w:lineRule="auto"/>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bookmarkStart w:id="10" w:name="_Toc30098"/>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第二章</w:t>
      </w:r>
      <w:r>
        <w:rPr>
          <w:rFonts w:hint="eastAsia" w:asciiTheme="minorEastAsia" w:hAnsiTheme="minorEastAsia" w:eastAsiaTheme="minorEastAsia" w:cstheme="minorEastAsia"/>
          <w:color w:val="000000" w:themeColor="text1"/>
          <w:sz w:val="32"/>
          <w:szCs w:val="32"/>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投标人须知</w:t>
      </w:r>
      <w:bookmarkEnd w:id="10"/>
    </w:p>
    <w:p w14:paraId="104B50A7">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投标人须知前附表</w:t>
      </w:r>
    </w:p>
    <w:p w14:paraId="3461CFFD">
      <w:pPr>
        <w:snapToGrid w:val="0"/>
        <w:spacing w:line="72" w:lineRule="auto"/>
        <w:rPr>
          <w:rFonts w:hint="eastAsia" w:asciiTheme="minorEastAsia" w:hAnsiTheme="minorEastAsia" w:eastAsiaTheme="minorEastAsia" w:cstheme="minorEastAsia"/>
          <w:color w:val="000000" w:themeColor="text1"/>
          <w:szCs w:val="21"/>
          <w:lang w:val="zh-CN"/>
          <w14:textFill>
            <w14:solidFill>
              <w14:schemeClr w14:val="tx1"/>
            </w14:solidFill>
          </w14:textFill>
        </w:rPr>
      </w:pPr>
    </w:p>
    <w:tbl>
      <w:tblPr>
        <w:tblStyle w:val="21"/>
        <w:tblW w:w="9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8"/>
        <w:gridCol w:w="43"/>
        <w:gridCol w:w="2275"/>
        <w:gridCol w:w="6455"/>
      </w:tblGrid>
      <w:tr w14:paraId="10A0D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078" w:type="dxa"/>
            <w:vAlign w:val="center"/>
          </w:tcPr>
          <w:p w14:paraId="2774F50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条款号</w:t>
            </w:r>
          </w:p>
        </w:tc>
        <w:tc>
          <w:tcPr>
            <w:tcW w:w="2318" w:type="dxa"/>
            <w:gridSpan w:val="2"/>
            <w:vAlign w:val="center"/>
          </w:tcPr>
          <w:p w14:paraId="4CE8D86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条款名称</w:t>
            </w:r>
          </w:p>
        </w:tc>
        <w:tc>
          <w:tcPr>
            <w:tcW w:w="6455" w:type="dxa"/>
            <w:vAlign w:val="center"/>
          </w:tcPr>
          <w:p w14:paraId="1BC2862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编列内容</w:t>
            </w:r>
          </w:p>
        </w:tc>
      </w:tr>
      <w:tr w14:paraId="4BDEA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0" w:hRule="atLeast"/>
          <w:jc w:val="center"/>
        </w:trPr>
        <w:tc>
          <w:tcPr>
            <w:tcW w:w="1078" w:type="dxa"/>
            <w:vAlign w:val="center"/>
          </w:tcPr>
          <w:p w14:paraId="05A5A7F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1.1.2</w:t>
            </w:r>
          </w:p>
        </w:tc>
        <w:tc>
          <w:tcPr>
            <w:tcW w:w="2318" w:type="dxa"/>
            <w:gridSpan w:val="2"/>
            <w:vAlign w:val="center"/>
          </w:tcPr>
          <w:p w14:paraId="3F2961E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招标人</w:t>
            </w:r>
          </w:p>
        </w:tc>
        <w:tc>
          <w:tcPr>
            <w:tcW w:w="6455" w:type="dxa"/>
            <w:vAlign w:val="center"/>
          </w:tcPr>
          <w:p w14:paraId="319DDD7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名称：</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南雄市地方公路管理站</w:t>
            </w:r>
          </w:p>
          <w:p w14:paraId="104521ED">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地址：</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南雄市新城沿江东路97号</w:t>
            </w:r>
          </w:p>
          <w:p w14:paraId="47334DD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邮政编码：</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512400</w:t>
            </w:r>
          </w:p>
          <w:p w14:paraId="163D717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联系人：</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聂工</w:t>
            </w:r>
          </w:p>
          <w:p w14:paraId="4E37C07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电话：</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0751-3822626</w:t>
            </w:r>
          </w:p>
        </w:tc>
      </w:tr>
      <w:tr w14:paraId="43617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2" w:hRule="atLeast"/>
          <w:jc w:val="center"/>
        </w:trPr>
        <w:tc>
          <w:tcPr>
            <w:tcW w:w="1078" w:type="dxa"/>
            <w:vAlign w:val="center"/>
          </w:tcPr>
          <w:p w14:paraId="38E4E31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1.1.3</w:t>
            </w:r>
          </w:p>
        </w:tc>
        <w:tc>
          <w:tcPr>
            <w:tcW w:w="2318" w:type="dxa"/>
            <w:gridSpan w:val="2"/>
            <w:vAlign w:val="center"/>
          </w:tcPr>
          <w:p w14:paraId="3FE7A89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招标代理机构</w:t>
            </w:r>
          </w:p>
        </w:tc>
        <w:tc>
          <w:tcPr>
            <w:tcW w:w="6455" w:type="dxa"/>
            <w:vAlign w:val="center"/>
          </w:tcPr>
          <w:p w14:paraId="353A8EA7">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名称：</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恒艺鼎丰建设集团有限公司</w:t>
            </w:r>
          </w:p>
          <w:p w14:paraId="227F7D8D">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地址：</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韶关市武江区工业中路广东省韶关市第二建筑工程公司院内第一栋（办公楼）三楼314号</w:t>
            </w:r>
          </w:p>
          <w:p w14:paraId="10005EB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邮政编码：</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512026</w:t>
            </w:r>
          </w:p>
          <w:p w14:paraId="793F74AA">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联系人：</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邱工</w:t>
            </w:r>
          </w:p>
          <w:p w14:paraId="126B8F3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电话：</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13346533388</w:t>
            </w:r>
          </w:p>
        </w:tc>
      </w:tr>
      <w:tr w14:paraId="1CC20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078" w:type="dxa"/>
            <w:vAlign w:val="center"/>
          </w:tcPr>
          <w:p w14:paraId="0C52744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1.1.4</w:t>
            </w:r>
          </w:p>
        </w:tc>
        <w:tc>
          <w:tcPr>
            <w:tcW w:w="2318" w:type="dxa"/>
            <w:gridSpan w:val="2"/>
            <w:vAlign w:val="center"/>
          </w:tcPr>
          <w:p w14:paraId="52449D3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项目名称</w:t>
            </w:r>
          </w:p>
        </w:tc>
        <w:tc>
          <w:tcPr>
            <w:tcW w:w="6455" w:type="dxa"/>
            <w:vAlign w:val="center"/>
          </w:tcPr>
          <w:p w14:paraId="2D512340">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南雄市X790线里东村至泷头林场公路提档升级改建工程等5个项目（标段一）施工设计总承包</w:t>
            </w:r>
          </w:p>
        </w:tc>
      </w:tr>
      <w:tr w14:paraId="52FB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jc w:val="center"/>
        </w:trPr>
        <w:tc>
          <w:tcPr>
            <w:tcW w:w="1078" w:type="dxa"/>
            <w:vAlign w:val="center"/>
          </w:tcPr>
          <w:p w14:paraId="5B4FFCA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1.1.5</w:t>
            </w:r>
          </w:p>
        </w:tc>
        <w:tc>
          <w:tcPr>
            <w:tcW w:w="2318" w:type="dxa"/>
            <w:gridSpan w:val="2"/>
            <w:vAlign w:val="center"/>
          </w:tcPr>
          <w:p w14:paraId="269C7B0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建设地点</w:t>
            </w:r>
          </w:p>
        </w:tc>
        <w:tc>
          <w:tcPr>
            <w:tcW w:w="6455" w:type="dxa"/>
            <w:vAlign w:val="center"/>
          </w:tcPr>
          <w:p w14:paraId="5C292FCF">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（1）南雄市X787线帽子峰至江西河洞公路提档升级改建工程位于</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南雄市澜河镇、帽子峰镇。</w:t>
            </w:r>
          </w:p>
          <w:p w14:paraId="331BF7BC">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（2）南雄市X790线里东村至泷头林场公路提档升级改建工程位于</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珠玑镇、邓坊镇、湖口镇、水口镇</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tc>
      </w:tr>
      <w:tr w14:paraId="1F90D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jc w:val="center"/>
        </w:trPr>
        <w:tc>
          <w:tcPr>
            <w:tcW w:w="1078" w:type="dxa"/>
            <w:vAlign w:val="center"/>
          </w:tcPr>
          <w:p w14:paraId="1CD4686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1.2.1</w:t>
            </w:r>
          </w:p>
        </w:tc>
        <w:tc>
          <w:tcPr>
            <w:tcW w:w="2318" w:type="dxa"/>
            <w:gridSpan w:val="2"/>
            <w:vAlign w:val="center"/>
          </w:tcPr>
          <w:p w14:paraId="1BB6953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资金来源及比例</w:t>
            </w:r>
          </w:p>
        </w:tc>
        <w:tc>
          <w:tcPr>
            <w:tcW w:w="6455" w:type="dxa"/>
            <w:vAlign w:val="center"/>
          </w:tcPr>
          <w:p w14:paraId="4686DEE8">
            <w:pPr>
              <w:keepNext w:val="0"/>
              <w:keepLines w:val="0"/>
              <w:pageBreakBefore w:val="0"/>
              <w:widowControl w:val="0"/>
              <w:kinsoku/>
              <w:wordWrap/>
              <w:overflowPunct/>
              <w:topLinePunct w:val="0"/>
              <w:bidi w:val="0"/>
              <w:adjustRightInd w:val="0"/>
              <w:snapToGrid w:val="0"/>
              <w:spacing w:line="380" w:lineRule="exact"/>
              <w:ind w:left="1220" w:leftChars="100" w:hanging="1010" w:hangingChars="5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4"/>
                <w:szCs w:val="21"/>
                <w:highlight w:val="none"/>
                <w14:textFill>
                  <w14:solidFill>
                    <w14:schemeClr w14:val="tx1"/>
                  </w14:solidFill>
                </w14:textFill>
              </w:rPr>
              <w:t>资金来源：</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争取中央、省、市有关部门支持补助，其余由地方各级财政筹措解决</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3F223D27">
            <w:pPr>
              <w:keepNext w:val="0"/>
              <w:keepLines w:val="0"/>
              <w:pageBreakBefore w:val="0"/>
              <w:widowControl w:val="0"/>
              <w:kinsoku/>
              <w:wordWrap/>
              <w:overflowPunct/>
              <w:topLinePunct w:val="0"/>
              <w:bidi w:val="0"/>
              <w:adjustRightInd w:val="0"/>
              <w:snapToGrid w:val="0"/>
              <w:spacing w:line="380" w:lineRule="exact"/>
              <w:ind w:left="1200" w:leftChars="100" w:hanging="990" w:hangingChars="5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6"/>
                <w:szCs w:val="21"/>
                <w:highlight w:val="none"/>
                <w14:textFill>
                  <w14:solidFill>
                    <w14:schemeClr w14:val="tx1"/>
                  </w14:solidFill>
                </w14:textFill>
              </w:rPr>
              <w:t>出资比例：</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100</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tc>
      </w:tr>
      <w:tr w14:paraId="59077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078" w:type="dxa"/>
            <w:vAlign w:val="center"/>
          </w:tcPr>
          <w:p w14:paraId="1293746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1.2.2</w:t>
            </w:r>
          </w:p>
        </w:tc>
        <w:tc>
          <w:tcPr>
            <w:tcW w:w="2318" w:type="dxa"/>
            <w:gridSpan w:val="2"/>
            <w:vAlign w:val="center"/>
          </w:tcPr>
          <w:p w14:paraId="3DE4A55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资金落实情况</w:t>
            </w:r>
          </w:p>
        </w:tc>
        <w:tc>
          <w:tcPr>
            <w:tcW w:w="6455" w:type="dxa"/>
            <w:vAlign w:val="center"/>
          </w:tcPr>
          <w:p w14:paraId="07A827B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资金落实情况：</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已落实</w:t>
            </w:r>
          </w:p>
        </w:tc>
      </w:tr>
      <w:tr w14:paraId="3F07B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078" w:type="dxa"/>
            <w:vAlign w:val="center"/>
          </w:tcPr>
          <w:p w14:paraId="0F1610E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1.3.1</w:t>
            </w:r>
          </w:p>
        </w:tc>
        <w:tc>
          <w:tcPr>
            <w:tcW w:w="2318" w:type="dxa"/>
            <w:gridSpan w:val="2"/>
            <w:vAlign w:val="center"/>
          </w:tcPr>
          <w:p w14:paraId="5C93831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招标范围</w:t>
            </w:r>
          </w:p>
        </w:tc>
        <w:tc>
          <w:tcPr>
            <w:tcW w:w="6455" w:type="dxa"/>
            <w:vAlign w:val="center"/>
          </w:tcPr>
          <w:p w14:paraId="221948B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详见招标公告2.3款</w:t>
            </w:r>
          </w:p>
        </w:tc>
      </w:tr>
      <w:tr w14:paraId="10A8F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078" w:type="dxa"/>
            <w:vAlign w:val="center"/>
          </w:tcPr>
          <w:p w14:paraId="261B52F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1.3.2</w:t>
            </w:r>
          </w:p>
        </w:tc>
        <w:tc>
          <w:tcPr>
            <w:tcW w:w="2318" w:type="dxa"/>
            <w:gridSpan w:val="2"/>
            <w:vAlign w:val="center"/>
          </w:tcPr>
          <w:p w14:paraId="014B3E5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计划工期</w:t>
            </w:r>
          </w:p>
        </w:tc>
        <w:tc>
          <w:tcPr>
            <w:tcW w:w="6455" w:type="dxa"/>
            <w:vAlign w:val="center"/>
          </w:tcPr>
          <w:p w14:paraId="3EA2D982">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计划工期：</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1095日历天（其中勘察设计工期65日历天，施工工期1030日历天）</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087F2487">
            <w:pPr>
              <w:keepNext w:val="0"/>
              <w:keepLines w:val="0"/>
              <w:pageBreakBefore w:val="0"/>
              <w:widowControl w:val="0"/>
              <w:kinsoku/>
              <w:wordWrap/>
              <w:overflowPunct/>
              <w:topLinePunct w:val="0"/>
              <w:bidi w:val="0"/>
              <w:adjustRightInd w:val="0"/>
              <w:snapToGrid w:val="0"/>
              <w:spacing w:line="380" w:lineRule="exact"/>
              <w:ind w:firstLine="206"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2"/>
                <w:szCs w:val="21"/>
                <w:highlight w:val="none"/>
                <w14:textFill>
                  <w14:solidFill>
                    <w14:schemeClr w14:val="tx1"/>
                  </w14:solidFill>
                </w14:textFill>
              </w:rPr>
              <w:t>补充说明：</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实际开工时间以业主通知或监理签发开工令为准。</w:t>
            </w:r>
          </w:p>
        </w:tc>
      </w:tr>
      <w:tr w14:paraId="2BA73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jc w:val="center"/>
        </w:trPr>
        <w:tc>
          <w:tcPr>
            <w:tcW w:w="1078" w:type="dxa"/>
            <w:vAlign w:val="center"/>
          </w:tcPr>
          <w:p w14:paraId="3CC7518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458F703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1.3.3</w:t>
            </w:r>
          </w:p>
        </w:tc>
        <w:tc>
          <w:tcPr>
            <w:tcW w:w="2318" w:type="dxa"/>
            <w:gridSpan w:val="2"/>
            <w:vAlign w:val="center"/>
          </w:tcPr>
          <w:p w14:paraId="2AD02B4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0F19C32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质量标准</w:t>
            </w:r>
          </w:p>
        </w:tc>
        <w:tc>
          <w:tcPr>
            <w:tcW w:w="6455" w:type="dxa"/>
            <w:vAlign w:val="center"/>
          </w:tcPr>
          <w:p w14:paraId="6A5F6529">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勘察设计质量标准：</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严格按照交通部颁[公路工程技术标准]（JTGB01-2014）、[公路路线设计规范]（JTGD20-2006）、[公路路基设计规范](JTGD30-2015)等其他现行部颁及国家有关的强制性规范、标准进行工程勘察、设计，满足招标人的使用要求。</w:t>
            </w:r>
          </w:p>
          <w:p w14:paraId="68B8BB1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工程交工验收的质量评定：</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质量评分≥75分</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；质量等级：</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合格</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11EF7D50">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竣工验收的质量评定：</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质量评分≥75分</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；质量等级：</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合格</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tc>
      </w:tr>
      <w:tr w14:paraId="25A3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jc w:val="center"/>
        </w:trPr>
        <w:tc>
          <w:tcPr>
            <w:tcW w:w="1078" w:type="dxa"/>
            <w:vAlign w:val="center"/>
          </w:tcPr>
          <w:p w14:paraId="4857291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1.3.4</w:t>
            </w:r>
          </w:p>
        </w:tc>
        <w:tc>
          <w:tcPr>
            <w:tcW w:w="2318" w:type="dxa"/>
            <w:gridSpan w:val="2"/>
            <w:vAlign w:val="center"/>
          </w:tcPr>
          <w:p w14:paraId="52D04B4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安全目标</w:t>
            </w:r>
          </w:p>
        </w:tc>
        <w:tc>
          <w:tcPr>
            <w:tcW w:w="6455" w:type="dxa"/>
            <w:vAlign w:val="center"/>
          </w:tcPr>
          <w:p w14:paraId="1BE46FD5">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严格执行有关安全生产的法律法规和规章制度，确保项目建设期内无安全生产责任事故发生。</w:t>
            </w:r>
          </w:p>
        </w:tc>
      </w:tr>
      <w:tr w14:paraId="2C647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78" w:type="dxa"/>
            <w:vAlign w:val="center"/>
          </w:tcPr>
          <w:p w14:paraId="7AA0482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1.4.1</w:t>
            </w:r>
          </w:p>
        </w:tc>
        <w:tc>
          <w:tcPr>
            <w:tcW w:w="2318" w:type="dxa"/>
            <w:gridSpan w:val="2"/>
            <w:vAlign w:val="center"/>
          </w:tcPr>
          <w:p w14:paraId="6255257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投标人资质条件、能力和</w:t>
            </w:r>
          </w:p>
          <w:p w14:paraId="71FC5AE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信誉</w:t>
            </w:r>
          </w:p>
        </w:tc>
        <w:tc>
          <w:tcPr>
            <w:tcW w:w="6455" w:type="dxa"/>
          </w:tcPr>
          <w:p w14:paraId="79392BC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资质条件：见附录1</w:t>
            </w:r>
          </w:p>
          <w:p w14:paraId="21528BD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财务要求：见附录2</w:t>
            </w:r>
          </w:p>
          <w:p w14:paraId="76CAFF95">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业绩要求：见附录3</w:t>
            </w:r>
          </w:p>
          <w:p w14:paraId="169F9126">
            <w:pPr>
              <w:keepNext w:val="0"/>
              <w:keepLines w:val="0"/>
              <w:pageBreakBefore w:val="0"/>
              <w:widowControl w:val="0"/>
              <w:kinsoku/>
              <w:wordWrap/>
              <w:overflowPunct/>
              <w:topLinePunct w:val="0"/>
              <w:bidi w:val="0"/>
              <w:adjustRightInd w:val="0"/>
              <w:snapToGrid w:val="0"/>
              <w:spacing w:line="380" w:lineRule="exact"/>
              <w:ind w:left="239" w:leftChars="114"/>
              <w:jc w:val="left"/>
              <w:textAlignment w:val="auto"/>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项目总负责人、项目经理、项目总工、项目设计负责人的资格要求：见附录</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4</w:t>
            </w:r>
          </w:p>
          <w:p w14:paraId="029016B5">
            <w:pPr>
              <w:keepNext w:val="0"/>
              <w:keepLines w:val="0"/>
              <w:pageBreakBefore w:val="0"/>
              <w:widowControl w:val="0"/>
              <w:kinsoku/>
              <w:wordWrap/>
              <w:overflowPunct/>
              <w:topLinePunct w:val="0"/>
              <w:bidi w:val="0"/>
              <w:adjustRightInd w:val="0"/>
              <w:snapToGrid w:val="0"/>
              <w:spacing w:line="380" w:lineRule="exact"/>
              <w:ind w:left="239" w:leftChars="114"/>
              <w:jc w:val="left"/>
              <w:textAlignment w:val="auto"/>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其他要求：</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w:t>
            </w:r>
          </w:p>
          <w:p w14:paraId="5D74A800">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投标人应进入交通运输部“</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（http：//glxy.mot.gov.cn）”中的公路工程设计、施工资质企业名录，且投标人名称和资质与该名录中的相应企业名称和资质完全一致。</w:t>
            </w:r>
          </w:p>
          <w:p w14:paraId="07908DB6">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bidi="zh-CN"/>
                <w14:textFill>
                  <w14:solidFill>
                    <w14:schemeClr w14:val="tx1"/>
                  </w14:solidFill>
                </w14:textFill>
              </w:rPr>
              <w:t>注：根据《</w:t>
            </w:r>
            <w:r>
              <w:rPr>
                <w:rFonts w:hint="eastAsia" w:asciiTheme="minorEastAsia" w:hAnsiTheme="minorEastAsia" w:eastAsiaTheme="minorEastAsia" w:cstheme="minorEastAsia"/>
                <w:color w:val="000000" w:themeColor="text1"/>
                <w:kern w:val="0"/>
                <w:sz w:val="21"/>
                <w:szCs w:val="21"/>
                <w:highlight w:val="none"/>
                <w:lang w:val="zh-CN" w:bidi="zh-CN"/>
                <w14:textFill>
                  <w14:solidFill>
                    <w14:schemeClr w14:val="tx1"/>
                  </w14:solidFill>
                </w14:textFill>
              </w:rPr>
              <w:t>关于进一步加强公路建设市场信用信息管理和使用有关工作的通知</w:t>
            </w:r>
            <w:r>
              <w:rPr>
                <w:rFonts w:hint="eastAsia" w:asciiTheme="minorEastAsia" w:hAnsiTheme="minorEastAsia" w:eastAsiaTheme="minorEastAsia" w:cstheme="minorEastAsia"/>
                <w:color w:val="000000" w:themeColor="text1"/>
                <w:kern w:val="0"/>
                <w:sz w:val="21"/>
                <w:szCs w:val="21"/>
                <w:highlight w:val="none"/>
                <w:lang w:val="en-US" w:bidi="zh-CN"/>
                <w14:textFill>
                  <w14:solidFill>
                    <w14:schemeClr w14:val="tx1"/>
                  </w14:solidFill>
                </w14:textFill>
              </w:rPr>
              <w:t>》</w:t>
            </w:r>
            <w:r>
              <w:rPr>
                <w:rFonts w:hint="eastAsia" w:asciiTheme="minorEastAsia" w:hAnsiTheme="minorEastAsia" w:cstheme="minorEastAsia"/>
                <w:color w:val="000000" w:themeColor="text1"/>
                <w:kern w:val="0"/>
                <w:sz w:val="21"/>
                <w:szCs w:val="21"/>
                <w:highlight w:val="none"/>
                <w:lang w:val="en-US" w:bidi="zh-CN"/>
                <w14:textFill>
                  <w14:solidFill>
                    <w14:schemeClr w14:val="tx1"/>
                  </w14:solidFill>
                </w14:textFill>
              </w:rPr>
              <w:t>投标人的相关内容</w:t>
            </w:r>
            <w:r>
              <w:rPr>
                <w:rFonts w:hint="eastAsia" w:asciiTheme="minorEastAsia" w:hAnsiTheme="minorEastAsia" w:eastAsiaTheme="minorEastAsia" w:cstheme="minorEastAsia"/>
                <w:color w:val="000000" w:themeColor="text1"/>
                <w:kern w:val="0"/>
                <w:sz w:val="21"/>
                <w:szCs w:val="21"/>
                <w:highlight w:val="none"/>
                <w:lang w:val="en-US" w:bidi="zh-CN"/>
                <w14:textFill>
                  <w14:solidFill>
                    <w14:schemeClr w14:val="tx1"/>
                  </w14:solidFill>
                </w14:textFill>
              </w:rPr>
              <w:t>未于2024年12月31日前完成补录工作的，提供“全国公路建设市场信用信息管理系统”相关截图同等有效。</w:t>
            </w:r>
          </w:p>
        </w:tc>
      </w:tr>
      <w:tr w14:paraId="7785D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078" w:type="dxa"/>
            <w:vAlign w:val="center"/>
          </w:tcPr>
          <w:p w14:paraId="25346A0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1.4.2</w:t>
            </w:r>
          </w:p>
        </w:tc>
        <w:tc>
          <w:tcPr>
            <w:tcW w:w="2318" w:type="dxa"/>
            <w:gridSpan w:val="2"/>
            <w:vAlign w:val="center"/>
          </w:tcPr>
          <w:p w14:paraId="66D52E6A">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是否接受联合体投标</w:t>
            </w:r>
          </w:p>
        </w:tc>
        <w:tc>
          <w:tcPr>
            <w:tcW w:w="6455" w:type="dxa"/>
          </w:tcPr>
          <w:p w14:paraId="1B62937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□不接受</w:t>
            </w:r>
          </w:p>
          <w:p w14:paraId="2FC018D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☑接受，应满足下列要求：</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详见招标公告3.</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2</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款</w:t>
            </w:r>
          </w:p>
        </w:tc>
      </w:tr>
      <w:tr w14:paraId="07F61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078" w:type="dxa"/>
            <w:vAlign w:val="center"/>
          </w:tcPr>
          <w:p w14:paraId="658C78F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1.4.</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w:t>
            </w:r>
          </w:p>
        </w:tc>
        <w:tc>
          <w:tcPr>
            <w:tcW w:w="2318" w:type="dxa"/>
            <w:gridSpan w:val="2"/>
            <w:vAlign w:val="center"/>
          </w:tcPr>
          <w:p w14:paraId="5909519A">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投标人不得存在的其他关联情形</w:t>
            </w:r>
          </w:p>
        </w:tc>
        <w:tc>
          <w:tcPr>
            <w:tcW w:w="6455" w:type="dxa"/>
            <w:vAlign w:val="center"/>
          </w:tcPr>
          <w:p w14:paraId="558C71C9">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w:t>
            </w:r>
          </w:p>
        </w:tc>
      </w:tr>
      <w:tr w14:paraId="3337D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atLeast"/>
          <w:jc w:val="center"/>
        </w:trPr>
        <w:tc>
          <w:tcPr>
            <w:tcW w:w="1078" w:type="dxa"/>
            <w:vAlign w:val="center"/>
          </w:tcPr>
          <w:p w14:paraId="0776362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1.4.4</w:t>
            </w:r>
          </w:p>
        </w:tc>
        <w:tc>
          <w:tcPr>
            <w:tcW w:w="2318" w:type="dxa"/>
            <w:gridSpan w:val="2"/>
            <w:vAlign w:val="center"/>
          </w:tcPr>
          <w:p w14:paraId="5D0737C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投标人不得存在的其他不良状况或不良信用记录</w:t>
            </w:r>
          </w:p>
        </w:tc>
        <w:tc>
          <w:tcPr>
            <w:tcW w:w="6455" w:type="dxa"/>
            <w:vAlign w:val="center"/>
          </w:tcPr>
          <w:p w14:paraId="78F3921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在国家企业信用信息公示系统</w:t>
            </w:r>
            <w:r>
              <w:rPr>
                <w:rFonts w:hint="eastAsia" w:asciiTheme="minorEastAsia" w:hAnsiTheme="minorEastAsia" w:eastAsiaTheme="minorEastAsia" w:cstheme="minorEastAsia"/>
                <w:color w:val="000000" w:themeColor="text1"/>
                <w:w w:val="80"/>
                <w:szCs w:val="21"/>
                <w:highlight w:val="none"/>
                <w:lang w:val="zh-CN"/>
                <w14:textFill>
                  <w14:solidFill>
                    <w14:schemeClr w14:val="tx1"/>
                  </w14:solidFill>
                </w14:textFill>
              </w:rPr>
              <w:t>(http://www.gsxt.gov.cn/)</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中被列入严重违法失信企业名单</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或</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在“中国执行信息公开网”网站</w:t>
            </w:r>
            <w:r>
              <w:rPr>
                <w:rFonts w:hint="eastAsia" w:asciiTheme="minorEastAsia" w:hAnsiTheme="minorEastAsia" w:eastAsiaTheme="minorEastAsia" w:cstheme="minorEastAsia"/>
                <w:color w:val="000000" w:themeColor="text1"/>
                <w:w w:val="90"/>
                <w:szCs w:val="21"/>
                <w:highlight w:val="none"/>
                <w:lang w:val="zh-CN"/>
                <w14:textFill>
                  <w14:solidFill>
                    <w14:schemeClr w14:val="tx1"/>
                  </w14:solidFill>
                </w14:textFill>
              </w:rPr>
              <w:t>(http://zxgk.court.gov.cn/shixin/)</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中被列入失信被执行人名单的，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均按否决投标处理。</w:t>
            </w:r>
          </w:p>
        </w:tc>
      </w:tr>
      <w:tr w14:paraId="4EA5B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jc w:val="center"/>
        </w:trPr>
        <w:tc>
          <w:tcPr>
            <w:tcW w:w="1078" w:type="dxa"/>
            <w:vAlign w:val="center"/>
          </w:tcPr>
          <w:p w14:paraId="009AA55F">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1.10.2</w:t>
            </w:r>
          </w:p>
        </w:tc>
        <w:tc>
          <w:tcPr>
            <w:tcW w:w="2318" w:type="dxa"/>
            <w:gridSpan w:val="2"/>
            <w:vAlign w:val="center"/>
          </w:tcPr>
          <w:p w14:paraId="47C6E62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投标人在投标预备会前提出问题</w:t>
            </w:r>
          </w:p>
        </w:tc>
        <w:tc>
          <w:tcPr>
            <w:tcW w:w="6455" w:type="dxa"/>
            <w:vAlign w:val="center"/>
          </w:tcPr>
          <w:p w14:paraId="347872A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时间：</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w:t>
            </w:r>
          </w:p>
          <w:p w14:paraId="0BD39271">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形式：</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不组织投标预备会</w:t>
            </w:r>
          </w:p>
        </w:tc>
      </w:tr>
      <w:tr w14:paraId="177E5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jc w:val="center"/>
        </w:trPr>
        <w:tc>
          <w:tcPr>
            <w:tcW w:w="1078" w:type="dxa"/>
            <w:vAlign w:val="center"/>
          </w:tcPr>
          <w:p w14:paraId="45C71DF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1.11.1</w:t>
            </w:r>
          </w:p>
        </w:tc>
        <w:tc>
          <w:tcPr>
            <w:tcW w:w="2318" w:type="dxa"/>
            <w:gridSpan w:val="2"/>
            <w:vAlign w:val="center"/>
          </w:tcPr>
          <w:p w14:paraId="02D602C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分包</w:t>
            </w:r>
          </w:p>
        </w:tc>
        <w:tc>
          <w:tcPr>
            <w:tcW w:w="6455" w:type="dxa"/>
            <w:vAlign w:val="center"/>
          </w:tcPr>
          <w:p w14:paraId="67361310">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□不允许</w:t>
            </w:r>
          </w:p>
          <w:p w14:paraId="20864D8B">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☑允许，允许分包的专项工程</w:t>
            </w:r>
          </w:p>
          <w:p w14:paraId="5B599A3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对分包人的资格要求：</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具备交通安全设施工程：公路交通工程（公路安全设施分项）专业承包二级或以上资质。</w:t>
            </w:r>
          </w:p>
        </w:tc>
      </w:tr>
      <w:tr w14:paraId="5ACB4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078" w:type="dxa"/>
            <w:vAlign w:val="center"/>
          </w:tcPr>
          <w:p w14:paraId="64CB0A8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2.1</w:t>
            </w:r>
          </w:p>
        </w:tc>
        <w:tc>
          <w:tcPr>
            <w:tcW w:w="2318" w:type="dxa"/>
            <w:gridSpan w:val="2"/>
            <w:vAlign w:val="center"/>
          </w:tcPr>
          <w:p w14:paraId="36A8623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构成招标文件的其他</w:t>
            </w:r>
          </w:p>
          <w:p w14:paraId="5C5FDCC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资料</w:t>
            </w:r>
          </w:p>
        </w:tc>
        <w:tc>
          <w:tcPr>
            <w:tcW w:w="6455" w:type="dxa"/>
            <w:vAlign w:val="center"/>
          </w:tcPr>
          <w:p w14:paraId="64A64C55">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本招标文件的澄清文件、答疑文件、修改文件、更正（改）文件、补遗书。</w:t>
            </w:r>
          </w:p>
        </w:tc>
      </w:tr>
      <w:tr w14:paraId="58315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78" w:type="dxa"/>
            <w:vMerge w:val="restart"/>
            <w:vAlign w:val="center"/>
          </w:tcPr>
          <w:p w14:paraId="4408E49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2.2.1</w:t>
            </w:r>
          </w:p>
        </w:tc>
        <w:tc>
          <w:tcPr>
            <w:tcW w:w="2318" w:type="dxa"/>
            <w:gridSpan w:val="2"/>
            <w:vMerge w:val="restart"/>
            <w:vAlign w:val="center"/>
          </w:tcPr>
          <w:p w14:paraId="10C4BFB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投标人要求澄清招标</w:t>
            </w:r>
          </w:p>
          <w:p w14:paraId="24373BE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文件</w:t>
            </w:r>
          </w:p>
        </w:tc>
        <w:tc>
          <w:tcPr>
            <w:tcW w:w="6455" w:type="dxa"/>
            <w:vAlign w:val="center"/>
          </w:tcPr>
          <w:p w14:paraId="76027AE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时间：</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见“重要事项时间地点一览表”</w:t>
            </w:r>
          </w:p>
        </w:tc>
      </w:tr>
      <w:tr w14:paraId="3D7DD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8" w:hRule="atLeast"/>
          <w:jc w:val="center"/>
        </w:trPr>
        <w:tc>
          <w:tcPr>
            <w:tcW w:w="1078" w:type="dxa"/>
            <w:vMerge w:val="continue"/>
            <w:tcBorders>
              <w:top w:val="nil"/>
            </w:tcBorders>
            <w:vAlign w:val="center"/>
          </w:tcPr>
          <w:p w14:paraId="7735B71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tc>
        <w:tc>
          <w:tcPr>
            <w:tcW w:w="2318" w:type="dxa"/>
            <w:gridSpan w:val="2"/>
            <w:vMerge w:val="continue"/>
            <w:tcBorders>
              <w:top w:val="nil"/>
            </w:tcBorders>
            <w:vAlign w:val="center"/>
          </w:tcPr>
          <w:p w14:paraId="62BE8E2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tc>
        <w:tc>
          <w:tcPr>
            <w:tcW w:w="6455" w:type="dxa"/>
            <w:vAlign w:val="center"/>
          </w:tcPr>
          <w:p w14:paraId="435F63A0">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形式：</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投标人在</w:t>
            </w:r>
            <w:r>
              <w:rPr>
                <w:rFonts w:hint="eastAsia" w:asciiTheme="minorEastAsia" w:hAnsiTheme="minorEastAsia" w:eastAsiaTheme="minorEastAsia" w:cstheme="minorEastAsia"/>
                <w:color w:val="000000" w:themeColor="text1"/>
                <w:kern w:val="0"/>
                <w:szCs w:val="21"/>
                <w:highlight w:val="none"/>
                <w:u w:val="single"/>
                <w14:textFill>
                  <w14:solidFill>
                    <w14:schemeClr w14:val="tx1"/>
                  </w14:solidFill>
                </w14:textFill>
              </w:rPr>
              <w:t>全国公共资源交易平台（广东省·韶关市）（https://ygp.gdzwfw.gov.cn/ggzy-portal/#/440200/index）</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招标答疑栏以不记名方式提出</w:t>
            </w:r>
          </w:p>
        </w:tc>
      </w:tr>
      <w:tr w14:paraId="642F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078" w:type="dxa"/>
            <w:vAlign w:val="center"/>
          </w:tcPr>
          <w:p w14:paraId="1EB7CDB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2.2.2</w:t>
            </w:r>
          </w:p>
        </w:tc>
        <w:tc>
          <w:tcPr>
            <w:tcW w:w="2318" w:type="dxa"/>
            <w:gridSpan w:val="2"/>
            <w:vAlign w:val="center"/>
          </w:tcPr>
          <w:p w14:paraId="0C5B499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招标文件澄清发出形式</w:t>
            </w:r>
          </w:p>
        </w:tc>
        <w:tc>
          <w:tcPr>
            <w:tcW w:w="6455" w:type="dxa"/>
            <w:vAlign w:val="center"/>
          </w:tcPr>
          <w:p w14:paraId="2523A9A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网站公告：</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全国公共资源交易平台（广东省·韶关市）（https://ygp.gdzwfw.gov.cn/ggzy-portal/#/440200/index）发布。</w:t>
            </w:r>
          </w:p>
        </w:tc>
      </w:tr>
      <w:tr w14:paraId="597E2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078" w:type="dxa"/>
            <w:vAlign w:val="center"/>
          </w:tcPr>
          <w:p w14:paraId="0CB5D9A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2.2.3</w:t>
            </w:r>
          </w:p>
        </w:tc>
        <w:tc>
          <w:tcPr>
            <w:tcW w:w="2318" w:type="dxa"/>
            <w:gridSpan w:val="2"/>
            <w:vAlign w:val="center"/>
          </w:tcPr>
          <w:p w14:paraId="376BD5F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投标人确认收到招标文件澄清</w:t>
            </w:r>
          </w:p>
        </w:tc>
        <w:tc>
          <w:tcPr>
            <w:tcW w:w="6455" w:type="dxa"/>
            <w:vAlign w:val="center"/>
          </w:tcPr>
          <w:p w14:paraId="3EFBB5E7">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时间：以</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全国公共资源交易平台（广东省·韶关市）（https://ygp.gdzwfw.gov.cn/ggzy-portal/#/440200/index）</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发布时间为准。</w:t>
            </w:r>
          </w:p>
        </w:tc>
      </w:tr>
      <w:tr w14:paraId="2B746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1078" w:type="dxa"/>
            <w:vAlign w:val="center"/>
          </w:tcPr>
          <w:p w14:paraId="574EFEF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2.3.1</w:t>
            </w:r>
          </w:p>
        </w:tc>
        <w:tc>
          <w:tcPr>
            <w:tcW w:w="2318" w:type="dxa"/>
            <w:gridSpan w:val="2"/>
            <w:vAlign w:val="center"/>
          </w:tcPr>
          <w:p w14:paraId="0C97129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招标文件修改发出形式</w:t>
            </w:r>
          </w:p>
        </w:tc>
        <w:tc>
          <w:tcPr>
            <w:tcW w:w="6455" w:type="dxa"/>
            <w:vAlign w:val="center"/>
          </w:tcPr>
          <w:p w14:paraId="1AB1A0D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网站公告</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（全国公共资源交易平台（广东省·韶关市）（https://ygp.gdzwfw.gov.cn/ggzy-portal/#/440200/index）。</w:t>
            </w:r>
          </w:p>
        </w:tc>
      </w:tr>
      <w:tr w14:paraId="5624A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078" w:type="dxa"/>
            <w:vMerge w:val="restart"/>
            <w:vAlign w:val="center"/>
          </w:tcPr>
          <w:p w14:paraId="2B4CAAC6">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2.3.2</w:t>
            </w:r>
          </w:p>
        </w:tc>
        <w:tc>
          <w:tcPr>
            <w:tcW w:w="2318" w:type="dxa"/>
            <w:gridSpan w:val="2"/>
            <w:vMerge w:val="restart"/>
            <w:vAlign w:val="center"/>
          </w:tcPr>
          <w:p w14:paraId="374049A5">
            <w:pPr>
              <w:keepNext w:val="0"/>
              <w:keepLines w:val="0"/>
              <w:pageBreakBefore w:val="0"/>
              <w:widowControl w:val="0"/>
              <w:kinsoku/>
              <w:wordWrap/>
              <w:overflowPunct/>
              <w:topLinePunct w:val="0"/>
              <w:bidi w:val="0"/>
              <w:adjustRightInd w:val="0"/>
              <w:snapToGrid w:val="0"/>
              <w:spacing w:line="380" w:lineRule="exact"/>
              <w:ind w:firstLine="210" w:firstLineChars="100"/>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投标人确认收到招标文件修改</w:t>
            </w:r>
          </w:p>
        </w:tc>
        <w:tc>
          <w:tcPr>
            <w:tcW w:w="6455" w:type="dxa"/>
            <w:vAlign w:val="center"/>
          </w:tcPr>
          <w:p w14:paraId="3855FF0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时间：以全国公共资源交易平台（广东省·韶关市）（https://ygp.gdzwfw.gov.cn/ggzy-portal/#/440200/index）发布时间为准。</w:t>
            </w:r>
          </w:p>
        </w:tc>
      </w:tr>
      <w:tr w14:paraId="15C9D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jc w:val="center"/>
        </w:trPr>
        <w:tc>
          <w:tcPr>
            <w:tcW w:w="1078" w:type="dxa"/>
            <w:vMerge w:val="continue"/>
            <w:vAlign w:val="center"/>
          </w:tcPr>
          <w:p w14:paraId="58535F8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tc>
        <w:tc>
          <w:tcPr>
            <w:tcW w:w="2318" w:type="dxa"/>
            <w:gridSpan w:val="2"/>
            <w:vMerge w:val="continue"/>
            <w:vAlign w:val="center"/>
          </w:tcPr>
          <w:p w14:paraId="118431C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tc>
        <w:tc>
          <w:tcPr>
            <w:tcW w:w="6455" w:type="dxa"/>
            <w:vAlign w:val="center"/>
          </w:tcPr>
          <w:p w14:paraId="17759B0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形式：投标人应及时留意浏览网上发出的修改公告，因投标人自身原因未及时获知修改内容而导致的任何后果将由投标人自行承担。</w:t>
            </w:r>
          </w:p>
        </w:tc>
      </w:tr>
      <w:tr w14:paraId="4E1C6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jc w:val="center"/>
        </w:trPr>
        <w:tc>
          <w:tcPr>
            <w:tcW w:w="1078" w:type="dxa"/>
            <w:vAlign w:val="center"/>
          </w:tcPr>
          <w:p w14:paraId="7C63BEA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3.1.1</w:t>
            </w:r>
          </w:p>
        </w:tc>
        <w:tc>
          <w:tcPr>
            <w:tcW w:w="2318" w:type="dxa"/>
            <w:gridSpan w:val="2"/>
            <w:vAlign w:val="center"/>
          </w:tcPr>
          <w:p w14:paraId="6C65BD5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构成投标文件的其他</w:t>
            </w:r>
          </w:p>
          <w:p w14:paraId="1995904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资料</w:t>
            </w:r>
          </w:p>
        </w:tc>
        <w:tc>
          <w:tcPr>
            <w:tcW w:w="6455" w:type="dxa"/>
            <w:vAlign w:val="center"/>
          </w:tcPr>
          <w:p w14:paraId="19CC4FC1">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投标人自行查阅全国公共资源交易平台（广东省·韶关市）建设工程栏目的公告公示，因投标人自身原因未及时查阅的，由此引起的任何责任由投标人自行承担。</w:t>
            </w:r>
          </w:p>
        </w:tc>
      </w:tr>
      <w:tr w14:paraId="6DFE3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078" w:type="dxa"/>
            <w:vAlign w:val="center"/>
          </w:tcPr>
          <w:p w14:paraId="3339B2C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3.2.1</w:t>
            </w:r>
          </w:p>
        </w:tc>
        <w:tc>
          <w:tcPr>
            <w:tcW w:w="2318" w:type="dxa"/>
            <w:gridSpan w:val="2"/>
            <w:vAlign w:val="center"/>
          </w:tcPr>
          <w:p w14:paraId="478B7B1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增值税税金的计算方法</w:t>
            </w:r>
          </w:p>
        </w:tc>
        <w:tc>
          <w:tcPr>
            <w:tcW w:w="6455" w:type="dxa"/>
            <w:vAlign w:val="center"/>
          </w:tcPr>
          <w:p w14:paraId="4CFF020B">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按国家、省、市现行规定执行</w:t>
            </w:r>
          </w:p>
        </w:tc>
      </w:tr>
      <w:tr w14:paraId="1E857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78" w:type="dxa"/>
            <w:vAlign w:val="center"/>
          </w:tcPr>
          <w:p w14:paraId="4CE3B99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3.2.1</w:t>
            </w:r>
          </w:p>
        </w:tc>
        <w:tc>
          <w:tcPr>
            <w:tcW w:w="2318" w:type="dxa"/>
            <w:gridSpan w:val="2"/>
            <w:vAlign w:val="center"/>
          </w:tcPr>
          <w:p w14:paraId="57533AF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工程量清单的填写方式</w:t>
            </w:r>
          </w:p>
        </w:tc>
        <w:tc>
          <w:tcPr>
            <w:tcW w:w="6455" w:type="dxa"/>
            <w:vAlign w:val="center"/>
          </w:tcPr>
          <w:p w14:paraId="2F099AD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w:t>
            </w:r>
          </w:p>
        </w:tc>
      </w:tr>
      <w:tr w14:paraId="6256E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078" w:type="dxa"/>
            <w:vAlign w:val="center"/>
          </w:tcPr>
          <w:p w14:paraId="01589E2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3.2.3</w:t>
            </w:r>
          </w:p>
        </w:tc>
        <w:tc>
          <w:tcPr>
            <w:tcW w:w="2318" w:type="dxa"/>
            <w:gridSpan w:val="2"/>
            <w:vAlign w:val="center"/>
          </w:tcPr>
          <w:p w14:paraId="3FB8A42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报价方式</w:t>
            </w:r>
          </w:p>
        </w:tc>
        <w:tc>
          <w:tcPr>
            <w:tcW w:w="6455" w:type="dxa"/>
            <w:vAlign w:val="center"/>
          </w:tcPr>
          <w:p w14:paraId="297D2490">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☑总价</w:t>
            </w:r>
          </w:p>
          <w:p w14:paraId="40F06B7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□单价</w:t>
            </w:r>
          </w:p>
        </w:tc>
      </w:tr>
      <w:tr w14:paraId="60C73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5" w:hRule="atLeast"/>
          <w:jc w:val="center"/>
        </w:trPr>
        <w:tc>
          <w:tcPr>
            <w:tcW w:w="1078" w:type="dxa"/>
            <w:vAlign w:val="center"/>
          </w:tcPr>
          <w:p w14:paraId="3B8333A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3.2.4</w:t>
            </w:r>
          </w:p>
        </w:tc>
        <w:tc>
          <w:tcPr>
            <w:tcW w:w="2318" w:type="dxa"/>
            <w:gridSpan w:val="2"/>
            <w:vAlign w:val="center"/>
          </w:tcPr>
          <w:p w14:paraId="336050E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最高投标限价</w:t>
            </w:r>
          </w:p>
        </w:tc>
        <w:tc>
          <w:tcPr>
            <w:tcW w:w="6455" w:type="dxa"/>
            <w:vAlign w:val="center"/>
          </w:tcPr>
          <w:p w14:paraId="110D58BC">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□无</w:t>
            </w:r>
          </w:p>
          <w:p w14:paraId="4811E675">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有，本招标项目最高投标限价最终以补充公告形式在开标前15天另行发布于相关网站，各投标人可在全国公共资源交易平台（广东省·韶关市）（https://ygp.gdzwfw.gov.cn/ggzy-portal/#/440200/index）自行下载。</w:t>
            </w:r>
          </w:p>
          <w:p w14:paraId="71C2FF40">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注：最高投标限价为暂定价，中标人须接受以下条款：在发出中标通知书后，中标人待设计方案和施工图完成后，接受招标人（即业主）对设计图纸进行优化，确定优化后的设计图纸送交通行政主管部门进行审批，设计图预算部分送南雄市财政局投资评审中心进行评审，建安费按南雄市财政局投资评审中心评审的结果作为施工合同价；勘察费、设计费按施工图批复的费用各下浮40%作为勘察费、设计费合同价，三项合计总金额作为本项目的合同价。</w:t>
            </w:r>
          </w:p>
        </w:tc>
      </w:tr>
      <w:tr w14:paraId="21434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78" w:type="dxa"/>
            <w:vAlign w:val="center"/>
          </w:tcPr>
          <w:p w14:paraId="55B88A4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3.2.5</w:t>
            </w:r>
          </w:p>
        </w:tc>
        <w:tc>
          <w:tcPr>
            <w:tcW w:w="2318" w:type="dxa"/>
            <w:gridSpan w:val="2"/>
            <w:vAlign w:val="center"/>
          </w:tcPr>
          <w:p w14:paraId="239DE58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投标报价的其他要求</w:t>
            </w:r>
          </w:p>
        </w:tc>
        <w:tc>
          <w:tcPr>
            <w:tcW w:w="6455" w:type="dxa"/>
            <w:vAlign w:val="center"/>
          </w:tcPr>
          <w:p w14:paraId="7B7BC2D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1、设计部分投标报价的要求：</w:t>
            </w:r>
          </w:p>
          <w:p w14:paraId="55EF690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strike/>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工程设计费由投标人根据招标文件要求以及投标人自身情况填报，不得超过设计费最高投标限价。工程设计费参照国家发展计划委员会、建设部2002年颁布的《勘察设计费收费标准》及国家发展改革委颁布的《关于进一步放开建设项目专业服务价格的通知》（发改价格[2015]299号）进行计算。在合同实施期间工程设计费按建设规模和设计工作量调整，但投标下浮率不变，下浮率=[1-（工程设计费投标报价/工程设计费控制价）]×100%，下浮率以百分比计算，精确到小数点后2位。</w:t>
            </w:r>
          </w:p>
          <w:p w14:paraId="5C9E371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2、勘察部分投标报价的要求：</w:t>
            </w:r>
          </w:p>
          <w:p w14:paraId="3CB47AF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工程勘察费由投标人根据招标文件要求以及投标人自身情况填报，不得超过勘察费最高投标限价。工程勘察费参照国家发展计划委员会、建设部2002年颁布的《工程勘察设计收费标准》及国家发展改革委颁布的《关于进一步放开建设项目专业服务价格的通知》（发改价格[2015]299号）进行计算。在合同实施期间岩土工程勘察费用、工程测量费及工程物探（含管线探测）费按实际完成工作量调整，但投标下浮率不变，下浮率=[1-（工程勘察费投标报价/工程勘察费控制价）]×100%，下浮率以百分比计算，精确到小数点后2位。</w:t>
            </w:r>
          </w:p>
          <w:p w14:paraId="72DE617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3、施工部分投标报价的要求：</w:t>
            </w:r>
          </w:p>
          <w:p w14:paraId="584E2F9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工程建安费由投标人招标文件要求、自行编制的设计方案以及投标人自身情况填报，不得超过工程建安费最高投标限价。施工部分的工程建安费投标下浮率及施工合同的计价方式（详见附件合同计价方式，具体签订的施工合同为准）作为结算的依据，最终结算以南雄市财政局投资评审中心审定结果为准。下浮率=[1-（建安工程费投标报价/建安工程费控制价）]×100%，下浮率以百分比计算，精确到小数点后2位。</w:t>
            </w:r>
          </w:p>
          <w:p w14:paraId="4A842BB0">
            <w:pPr>
              <w:keepNext w:val="0"/>
              <w:keepLines w:val="0"/>
              <w:pageBreakBefore w:val="0"/>
              <w:widowControl w:val="0"/>
              <w:numPr>
                <w:ilvl w:val="0"/>
                <w:numId w:val="2"/>
              </w:numPr>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本项目实行全过程限额设计施工，限额投资。勘察费、设计在中标报价下浮率的基础上再按施工图批复的费用各下浮40%作为作为最终合同价。</w:t>
            </w:r>
          </w:p>
          <w:p w14:paraId="4B8CE07E">
            <w:pPr>
              <w:keepNext w:val="0"/>
              <w:keepLines w:val="0"/>
              <w:pageBreakBefore w:val="0"/>
              <w:widowControl w:val="0"/>
              <w:numPr>
                <w:ilvl w:val="0"/>
                <w:numId w:val="2"/>
              </w:numPr>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经审定的概算金额不超过批复的项目投资估算金额，经审定的预算金额不超过审定概算中的建安工程费。因规划调整等客观原因导致投资估算或概算发生重大调整时，应按程序报批。</w:t>
            </w:r>
          </w:p>
          <w:p w14:paraId="768D2EA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6、合同价修正原则。签订合同，应以中标价为暂定合同价。完成概（预）算评审后，以经审定的工程勘察设计费、工程预算为基价，结合中标下浮率相应调整工程勘察设计费、施工各清单项对应的单价及合同总价(安全文明施工措施费不参与下浮)。合同结算价最终以南雄市财政局投资评审中心审定金额为准。</w:t>
            </w:r>
          </w:p>
        </w:tc>
      </w:tr>
      <w:tr w14:paraId="7931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078" w:type="dxa"/>
            <w:vAlign w:val="center"/>
          </w:tcPr>
          <w:p w14:paraId="2D02346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3.2.6</w:t>
            </w:r>
          </w:p>
        </w:tc>
        <w:tc>
          <w:tcPr>
            <w:tcW w:w="2318" w:type="dxa"/>
            <w:gridSpan w:val="2"/>
            <w:vAlign w:val="center"/>
          </w:tcPr>
          <w:p w14:paraId="48A0012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是否接受调价函</w:t>
            </w:r>
          </w:p>
        </w:tc>
        <w:tc>
          <w:tcPr>
            <w:tcW w:w="6455" w:type="dxa"/>
            <w:vAlign w:val="center"/>
          </w:tcPr>
          <w:p w14:paraId="3D59B499">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sym w:font="Wingdings 2" w:char="00A3"/>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接受</w:t>
            </w:r>
          </w:p>
          <w:p w14:paraId="35723397">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sym w:font="Wingdings 2" w:char="0052"/>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不接受</w:t>
            </w:r>
          </w:p>
        </w:tc>
      </w:tr>
      <w:tr w14:paraId="4F70C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078" w:type="dxa"/>
            <w:vAlign w:val="center"/>
          </w:tcPr>
          <w:p w14:paraId="0C1676C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3.3.1</w:t>
            </w:r>
          </w:p>
        </w:tc>
        <w:tc>
          <w:tcPr>
            <w:tcW w:w="2318" w:type="dxa"/>
            <w:gridSpan w:val="2"/>
            <w:vAlign w:val="center"/>
          </w:tcPr>
          <w:p w14:paraId="54D69AF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投标有效期</w:t>
            </w:r>
          </w:p>
        </w:tc>
        <w:tc>
          <w:tcPr>
            <w:tcW w:w="6455" w:type="dxa"/>
            <w:vAlign w:val="center"/>
          </w:tcPr>
          <w:p w14:paraId="4803A8D5">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自投标人提交投标文件截止之日起计算</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90</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日</w:t>
            </w:r>
          </w:p>
        </w:tc>
      </w:tr>
      <w:tr w14:paraId="04665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078" w:type="dxa"/>
            <w:vAlign w:val="center"/>
          </w:tcPr>
          <w:p w14:paraId="34CB770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3.4.1</w:t>
            </w:r>
          </w:p>
        </w:tc>
        <w:tc>
          <w:tcPr>
            <w:tcW w:w="2318" w:type="dxa"/>
            <w:gridSpan w:val="2"/>
            <w:vAlign w:val="center"/>
          </w:tcPr>
          <w:p w14:paraId="7CA2609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投标保证金</w:t>
            </w:r>
          </w:p>
        </w:tc>
        <w:tc>
          <w:tcPr>
            <w:tcW w:w="6455" w:type="dxa"/>
            <w:vAlign w:val="center"/>
          </w:tcPr>
          <w:p w14:paraId="7C61911E">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是否要求投标人递交投标保证金：</w:t>
            </w:r>
          </w:p>
          <w:p w14:paraId="460938B0">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☑要求，投标保证金为人民币：</w:t>
            </w: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50</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万元。</w:t>
            </w:r>
          </w:p>
          <w:p w14:paraId="6AD09D77">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投标保证金的有关说明： </w:t>
            </w:r>
          </w:p>
          <w:p w14:paraId="6035BCCA">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1、投标保证的形式包括投标保证金、投标保证担保、投标保证保险担保三种，由投标人自主选择。</w:t>
            </w:r>
          </w:p>
          <w:p w14:paraId="08987438">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采用投标保证金的，投标人在建设工程交易系统获取招标文件完毕后，即可在系统申请缴纳投标保证金，获取本次招标投标保证金缴纳账号。投标人须于投标保证金到账截止时间（见“重要事项时间地点一览表”）前，从其基本账户将投标保证金转账到指定的缴纳账号。逾期到账的、从非投标人基本账户转出的，其投标无效。</w:t>
            </w:r>
          </w:p>
          <w:p w14:paraId="5BAF2BDC">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采用投标保证担保的，投标人应提交有效的银行保函（出具保函的银行级别：全国性国有商业银行或股份制商业银行的分支机构），银行保函的有效期不得短于投标有效期。投标人必须在投标保证担保截止时间（详见“重要事项时间地点一览表”）前，使用工程建设交易系统完成网上办理电子保函。</w:t>
            </w:r>
          </w:p>
          <w:p w14:paraId="6A327481">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2CAC740C">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温馨提醒：投标人采用投标保证担保、投标保证保险的，为避免在评标过程中因有效期发生争议，建议投标人将银行保函有效期设置为较招标文件规定的投标有效期延长不少于20个日历天。</w:t>
            </w:r>
          </w:p>
          <w:p w14:paraId="6EECBB8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2、投标保证金的退还方式：</w:t>
            </w:r>
          </w:p>
          <w:p w14:paraId="0AE2718D">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中标人采用银行转账方式提交的投标保证金，平台在收到招标人与中标人所签合同后五日内退还原转出银行帐号；未中标投标人的投标保证金退还，按法定的评标结果、中标结果公示结束日或异议处理结束日后五日内分批退还至原转出银行帐号。</w:t>
            </w:r>
          </w:p>
          <w:p w14:paraId="2C2AE380">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□不要求</w:t>
            </w:r>
          </w:p>
        </w:tc>
      </w:tr>
      <w:tr w14:paraId="43586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1078" w:type="dxa"/>
            <w:vAlign w:val="center"/>
          </w:tcPr>
          <w:p w14:paraId="6647D6CA">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3.4.3</w:t>
            </w:r>
          </w:p>
        </w:tc>
        <w:tc>
          <w:tcPr>
            <w:tcW w:w="2318" w:type="dxa"/>
            <w:gridSpan w:val="2"/>
            <w:vAlign w:val="center"/>
          </w:tcPr>
          <w:p w14:paraId="6D0800F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投标保证金的利息计算</w:t>
            </w:r>
          </w:p>
          <w:p w14:paraId="6719C7B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原则</w:t>
            </w:r>
          </w:p>
        </w:tc>
        <w:tc>
          <w:tcPr>
            <w:tcW w:w="6455" w:type="dxa"/>
            <w:vAlign w:val="center"/>
          </w:tcPr>
          <w:p w14:paraId="630EA18C">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按韶关市公共资源交易中心相关规定进行计算</w:t>
            </w:r>
          </w:p>
        </w:tc>
      </w:tr>
      <w:tr w14:paraId="1423A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jc w:val="center"/>
        </w:trPr>
        <w:tc>
          <w:tcPr>
            <w:tcW w:w="1078" w:type="dxa"/>
            <w:shd w:val="clear" w:color="auto" w:fill="auto"/>
            <w:vAlign w:val="center"/>
          </w:tcPr>
          <w:p w14:paraId="31598E23">
            <w:pPr>
              <w:keepNext w:val="0"/>
              <w:keepLines w:val="0"/>
              <w:pageBreakBefore w:val="0"/>
              <w:widowControl w:val="0"/>
              <w:kinsoku/>
              <w:wordWrap/>
              <w:overflowPunct/>
              <w:topLinePunct w:val="0"/>
              <w:autoSpaceDE w:val="0"/>
              <w:autoSpaceDN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kern w:val="0"/>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3.4.4</w:t>
            </w:r>
          </w:p>
        </w:tc>
        <w:tc>
          <w:tcPr>
            <w:tcW w:w="2318" w:type="dxa"/>
            <w:gridSpan w:val="2"/>
            <w:shd w:val="clear" w:color="auto" w:fill="auto"/>
            <w:vAlign w:val="center"/>
          </w:tcPr>
          <w:p w14:paraId="53AE9959">
            <w:pPr>
              <w:keepNext w:val="0"/>
              <w:keepLines w:val="0"/>
              <w:pageBreakBefore w:val="0"/>
              <w:widowControl w:val="0"/>
              <w:kinsoku/>
              <w:wordWrap/>
              <w:overflowPunct/>
              <w:topLinePunct w:val="0"/>
              <w:autoSpaceDE w:val="0"/>
              <w:autoSpaceDN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kern w:val="0"/>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其他可以不予退还投标保证金的情形</w:t>
            </w:r>
          </w:p>
        </w:tc>
        <w:tc>
          <w:tcPr>
            <w:tcW w:w="6455" w:type="dxa"/>
            <w:shd w:val="clear" w:color="auto" w:fill="auto"/>
            <w:vAlign w:val="center"/>
          </w:tcPr>
          <w:p w14:paraId="6C3DD3DB">
            <w:pPr>
              <w:keepNext w:val="0"/>
              <w:keepLines w:val="0"/>
              <w:pageBreakBefore w:val="0"/>
              <w:widowControl w:val="0"/>
              <w:kinsoku/>
              <w:wordWrap/>
              <w:overflowPunct/>
              <w:topLinePunct w:val="0"/>
              <w:autoSpaceDE w:val="0"/>
              <w:autoSpaceDN w:val="0"/>
              <w:bidi w:val="0"/>
              <w:adjustRightInd w:val="0"/>
              <w:snapToGrid w:val="0"/>
              <w:spacing w:line="380" w:lineRule="exact"/>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（3）串通投标；或</w:t>
            </w:r>
          </w:p>
          <w:p w14:paraId="1AF56150">
            <w:pPr>
              <w:keepNext w:val="0"/>
              <w:keepLines w:val="0"/>
              <w:pageBreakBefore w:val="0"/>
              <w:widowControl w:val="0"/>
              <w:kinsoku/>
              <w:wordWrap/>
              <w:overflowPunct/>
              <w:topLinePunct w:val="0"/>
              <w:autoSpaceDE w:val="0"/>
              <w:autoSpaceDN w:val="0"/>
              <w:bidi w:val="0"/>
              <w:adjustRightInd w:val="0"/>
              <w:snapToGrid w:val="0"/>
              <w:spacing w:line="380" w:lineRule="exact"/>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（4）评标、中标候选人公示、签订合同前等环节因作假而被取消中标资格；或</w:t>
            </w:r>
          </w:p>
          <w:p w14:paraId="52A2EB24">
            <w:pPr>
              <w:keepNext w:val="0"/>
              <w:keepLines w:val="0"/>
              <w:pageBreakBefore w:val="0"/>
              <w:widowControl w:val="0"/>
              <w:kinsoku/>
              <w:wordWrap/>
              <w:overflowPunct/>
              <w:topLinePunct w:val="0"/>
              <w:autoSpaceDE w:val="0"/>
              <w:autoSpaceDN w:val="0"/>
              <w:bidi w:val="0"/>
              <w:adjustRightInd w:val="0"/>
              <w:snapToGrid w:val="0"/>
              <w:spacing w:line="380" w:lineRule="exact"/>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（5）因投诉属实取消投标资格的；或</w:t>
            </w:r>
          </w:p>
          <w:p w14:paraId="4F239CF1">
            <w:pPr>
              <w:keepNext w:val="0"/>
              <w:keepLines w:val="0"/>
              <w:pageBreakBefore w:val="0"/>
              <w:widowControl w:val="0"/>
              <w:kinsoku/>
              <w:wordWrap/>
              <w:overflowPunct/>
              <w:topLinePunct w:val="0"/>
              <w:autoSpaceDE w:val="0"/>
              <w:autoSpaceDN w:val="0"/>
              <w:bidi w:val="0"/>
              <w:adjustRightInd w:val="0"/>
              <w:snapToGrid w:val="0"/>
              <w:spacing w:line="380" w:lineRule="exact"/>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（6）其他违反规定、妨碍公平竞争准则的行为；或</w:t>
            </w:r>
          </w:p>
          <w:p w14:paraId="2448B3BA">
            <w:pPr>
              <w:keepNext w:val="0"/>
              <w:keepLines w:val="0"/>
              <w:pageBreakBefore w:val="0"/>
              <w:widowControl w:val="0"/>
              <w:kinsoku/>
              <w:wordWrap/>
              <w:overflowPunct/>
              <w:topLinePunct w:val="0"/>
              <w:autoSpaceDE w:val="0"/>
              <w:autoSpaceDN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tc>
      </w:tr>
      <w:tr w14:paraId="65A5A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078" w:type="dxa"/>
            <w:vAlign w:val="center"/>
          </w:tcPr>
          <w:p w14:paraId="370FD68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3.5.2</w:t>
            </w:r>
          </w:p>
        </w:tc>
        <w:tc>
          <w:tcPr>
            <w:tcW w:w="2318" w:type="dxa"/>
            <w:gridSpan w:val="2"/>
            <w:vAlign w:val="center"/>
          </w:tcPr>
          <w:p w14:paraId="4EB603B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近年财务状况的年份</w:t>
            </w:r>
          </w:p>
          <w:p w14:paraId="75A6D8C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要求</w:t>
            </w:r>
          </w:p>
        </w:tc>
        <w:tc>
          <w:tcPr>
            <w:tcW w:w="6455" w:type="dxa"/>
            <w:vAlign w:val="center"/>
          </w:tcPr>
          <w:p w14:paraId="1CD655C8">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2021年～2023年（近三个年度）</w:t>
            </w:r>
          </w:p>
        </w:tc>
      </w:tr>
      <w:tr w14:paraId="6AB27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078" w:type="dxa"/>
            <w:vAlign w:val="center"/>
          </w:tcPr>
          <w:p w14:paraId="1E4EBE8E">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3.5.3</w:t>
            </w:r>
          </w:p>
        </w:tc>
        <w:tc>
          <w:tcPr>
            <w:tcW w:w="2318" w:type="dxa"/>
            <w:gridSpan w:val="2"/>
            <w:vAlign w:val="center"/>
          </w:tcPr>
          <w:p w14:paraId="4DF11BB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近年完成的类似项目情况的时间要求</w:t>
            </w:r>
          </w:p>
        </w:tc>
        <w:tc>
          <w:tcPr>
            <w:tcW w:w="6455" w:type="dxa"/>
            <w:vAlign w:val="center"/>
          </w:tcPr>
          <w:p w14:paraId="35C1E672">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2019年9月1日至投标截止之日止（近五年）。</w:t>
            </w:r>
          </w:p>
        </w:tc>
      </w:tr>
      <w:tr w14:paraId="7B445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1078" w:type="dxa"/>
            <w:vAlign w:val="center"/>
          </w:tcPr>
          <w:p w14:paraId="5B06491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3.6.1</w:t>
            </w:r>
          </w:p>
        </w:tc>
        <w:tc>
          <w:tcPr>
            <w:tcW w:w="2318" w:type="dxa"/>
            <w:gridSpan w:val="2"/>
            <w:vAlign w:val="center"/>
          </w:tcPr>
          <w:p w14:paraId="1B2F1C2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是否允许递交备选投标</w:t>
            </w:r>
          </w:p>
          <w:p w14:paraId="7956BB8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方案</w:t>
            </w:r>
          </w:p>
        </w:tc>
        <w:tc>
          <w:tcPr>
            <w:tcW w:w="6455" w:type="dxa"/>
            <w:vAlign w:val="center"/>
          </w:tcPr>
          <w:p w14:paraId="0F6459C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□允许</w:t>
            </w:r>
          </w:p>
          <w:p w14:paraId="17D5AC6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☑不允许</w:t>
            </w:r>
          </w:p>
        </w:tc>
      </w:tr>
      <w:tr w14:paraId="30EED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078" w:type="dxa"/>
            <w:vAlign w:val="center"/>
          </w:tcPr>
          <w:p w14:paraId="090C1CA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3.7.4</w:t>
            </w:r>
          </w:p>
        </w:tc>
        <w:tc>
          <w:tcPr>
            <w:tcW w:w="2318" w:type="dxa"/>
            <w:gridSpan w:val="2"/>
            <w:vAlign w:val="center"/>
          </w:tcPr>
          <w:p w14:paraId="30B300D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投标文件副本份数及其他要求</w:t>
            </w:r>
          </w:p>
        </w:tc>
        <w:tc>
          <w:tcPr>
            <w:tcW w:w="6455" w:type="dxa"/>
            <w:vAlign w:val="center"/>
          </w:tcPr>
          <w:p w14:paraId="5E34F6D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本项目采用全流程电子投标，不需要提交纸质版的投标文件。</w:t>
            </w:r>
          </w:p>
        </w:tc>
      </w:tr>
      <w:tr w14:paraId="7192B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1078" w:type="dxa"/>
            <w:vAlign w:val="center"/>
          </w:tcPr>
          <w:p w14:paraId="55CDF5D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3.7.5</w:t>
            </w:r>
          </w:p>
        </w:tc>
        <w:tc>
          <w:tcPr>
            <w:tcW w:w="2318" w:type="dxa"/>
            <w:gridSpan w:val="2"/>
            <w:vAlign w:val="center"/>
          </w:tcPr>
          <w:p w14:paraId="595DC0C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装订的其他要求</w:t>
            </w:r>
          </w:p>
        </w:tc>
        <w:tc>
          <w:tcPr>
            <w:tcW w:w="6455" w:type="dxa"/>
            <w:vAlign w:val="center"/>
          </w:tcPr>
          <w:p w14:paraId="7CB9738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本项目采用全流程电子投标，不需要提交纸质版的投标文件。</w:t>
            </w:r>
          </w:p>
        </w:tc>
      </w:tr>
      <w:tr w14:paraId="12A8A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1078" w:type="dxa"/>
            <w:vAlign w:val="center"/>
          </w:tcPr>
          <w:p w14:paraId="24D880D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4.1.2</w:t>
            </w:r>
          </w:p>
        </w:tc>
        <w:tc>
          <w:tcPr>
            <w:tcW w:w="2318" w:type="dxa"/>
            <w:gridSpan w:val="2"/>
            <w:vAlign w:val="center"/>
          </w:tcPr>
          <w:p w14:paraId="20D2CC4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封套上应载明的信息</w:t>
            </w:r>
          </w:p>
        </w:tc>
        <w:tc>
          <w:tcPr>
            <w:tcW w:w="6455" w:type="dxa"/>
            <w:vAlign w:val="center"/>
          </w:tcPr>
          <w:p w14:paraId="51F3D7B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本项目采用全流程电子投标，不需要提交纸质版的投标文件。</w:t>
            </w:r>
          </w:p>
        </w:tc>
      </w:tr>
      <w:tr w14:paraId="14CCE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078" w:type="dxa"/>
            <w:vAlign w:val="center"/>
          </w:tcPr>
          <w:p w14:paraId="6A67AE6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4.2.3</w:t>
            </w:r>
          </w:p>
        </w:tc>
        <w:tc>
          <w:tcPr>
            <w:tcW w:w="2318" w:type="dxa"/>
            <w:gridSpan w:val="2"/>
            <w:vAlign w:val="center"/>
          </w:tcPr>
          <w:p w14:paraId="269B83D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是否退还投标文件</w:t>
            </w:r>
          </w:p>
        </w:tc>
        <w:tc>
          <w:tcPr>
            <w:tcW w:w="6455" w:type="dxa"/>
            <w:vAlign w:val="center"/>
          </w:tcPr>
          <w:p w14:paraId="371E56DB">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☑否</w:t>
            </w:r>
          </w:p>
          <w:p w14:paraId="21F6D16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□是，退还时间：</w:t>
            </w:r>
          </w:p>
        </w:tc>
      </w:tr>
      <w:tr w14:paraId="1C871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078" w:type="dxa"/>
            <w:vAlign w:val="center"/>
          </w:tcPr>
          <w:p w14:paraId="1417BEF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5.1</w:t>
            </w:r>
          </w:p>
        </w:tc>
        <w:tc>
          <w:tcPr>
            <w:tcW w:w="2318" w:type="dxa"/>
            <w:gridSpan w:val="2"/>
            <w:vAlign w:val="center"/>
          </w:tcPr>
          <w:p w14:paraId="6E0539B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开标时间和地点</w:t>
            </w:r>
          </w:p>
        </w:tc>
        <w:tc>
          <w:tcPr>
            <w:tcW w:w="6455" w:type="dxa"/>
            <w:vAlign w:val="center"/>
          </w:tcPr>
          <w:p w14:paraId="5983AEE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投标文件第一个信封（商务及技术文件）开标时间：</w:t>
            </w:r>
          </w:p>
          <w:p w14:paraId="2BD94E73">
            <w:pPr>
              <w:keepNext w:val="0"/>
              <w:keepLines w:val="0"/>
              <w:pageBreakBefore w:val="0"/>
              <w:widowControl w:val="0"/>
              <w:kinsoku/>
              <w:wordWrap/>
              <w:overflowPunct/>
              <w:topLinePunct w:val="0"/>
              <w:bidi w:val="0"/>
              <w:adjustRightInd w:val="0"/>
              <w:snapToGrid w:val="0"/>
              <w:spacing w:line="380" w:lineRule="exact"/>
              <w:ind w:firstLine="211" w:firstLineChars="100"/>
              <w:jc w:val="left"/>
              <w:textAlignment w:val="auto"/>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见“重要事项时间地点一览表”。具体开标室以当日现场通知为准。</w:t>
            </w:r>
          </w:p>
          <w:p w14:paraId="4AA361A7">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投标文件第一个信封（商务及技术文件）开标地点：</w:t>
            </w:r>
          </w:p>
          <w:p w14:paraId="78E60F44">
            <w:pPr>
              <w:keepNext w:val="0"/>
              <w:keepLines w:val="0"/>
              <w:pageBreakBefore w:val="0"/>
              <w:widowControl w:val="0"/>
              <w:kinsoku/>
              <w:wordWrap/>
              <w:overflowPunct/>
              <w:topLinePunct w:val="0"/>
              <w:bidi w:val="0"/>
              <w:adjustRightInd w:val="0"/>
              <w:snapToGrid w:val="0"/>
              <w:spacing w:line="380" w:lineRule="exact"/>
              <w:ind w:firstLine="211" w:firstLineChars="100"/>
              <w:jc w:val="left"/>
              <w:textAlignment w:val="auto"/>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见“重要事项时间地点一览表”。具体开标室以当日现场通知为准。</w:t>
            </w:r>
          </w:p>
          <w:p w14:paraId="2CE4AE79">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投标文件第二个信封（报价文件）开标时间：</w:t>
            </w:r>
          </w:p>
          <w:p w14:paraId="5C061AB7">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在商务及技术文件评审完成后。通过了评标办法规定的资格审查和初步评审，未出现废标情况的投标文件可进入投标文件第二个信封评审。</w:t>
            </w:r>
          </w:p>
          <w:p w14:paraId="713BD89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投标文件第二个信封（报价文件）开标地点：</w:t>
            </w:r>
          </w:p>
          <w:p w14:paraId="1FF1DBB9">
            <w:pPr>
              <w:keepNext w:val="0"/>
              <w:keepLines w:val="0"/>
              <w:pageBreakBefore w:val="0"/>
              <w:widowControl w:val="0"/>
              <w:kinsoku/>
              <w:wordWrap/>
              <w:overflowPunct/>
              <w:topLinePunct w:val="0"/>
              <w:bidi w:val="0"/>
              <w:adjustRightInd w:val="0"/>
              <w:snapToGrid w:val="0"/>
              <w:spacing w:line="380" w:lineRule="exact"/>
              <w:ind w:firstLine="211"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见“重要事项时间地点一览表”。具体开标室以当日现场通知为准。</w:t>
            </w:r>
          </w:p>
        </w:tc>
      </w:tr>
      <w:tr w14:paraId="19950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1078" w:type="dxa"/>
            <w:vAlign w:val="center"/>
          </w:tcPr>
          <w:p w14:paraId="056BCC7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5.2.1</w:t>
            </w:r>
          </w:p>
        </w:tc>
        <w:tc>
          <w:tcPr>
            <w:tcW w:w="2318" w:type="dxa"/>
            <w:gridSpan w:val="2"/>
            <w:vAlign w:val="center"/>
          </w:tcPr>
          <w:p w14:paraId="138FC99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第一个信封（商务及技术文件）开标程序</w:t>
            </w:r>
          </w:p>
        </w:tc>
        <w:tc>
          <w:tcPr>
            <w:tcW w:w="6455" w:type="dxa"/>
            <w:vAlign w:val="center"/>
          </w:tcPr>
          <w:p w14:paraId="0E34C5CD">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开标顺序：逐一公布。</w:t>
            </w:r>
          </w:p>
        </w:tc>
      </w:tr>
      <w:tr w14:paraId="2497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1078" w:type="dxa"/>
            <w:vAlign w:val="center"/>
          </w:tcPr>
          <w:p w14:paraId="0481FEE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5.2.3</w:t>
            </w:r>
          </w:p>
        </w:tc>
        <w:tc>
          <w:tcPr>
            <w:tcW w:w="2318" w:type="dxa"/>
            <w:gridSpan w:val="2"/>
            <w:vAlign w:val="center"/>
          </w:tcPr>
          <w:p w14:paraId="0A1C830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第二个信封（报价文件）开标程序</w:t>
            </w:r>
          </w:p>
        </w:tc>
        <w:tc>
          <w:tcPr>
            <w:tcW w:w="6455" w:type="dxa"/>
            <w:vAlign w:val="center"/>
          </w:tcPr>
          <w:p w14:paraId="02DAF28B">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开标顺序：逐一公布。</w:t>
            </w:r>
          </w:p>
        </w:tc>
      </w:tr>
      <w:tr w14:paraId="14601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jc w:val="center"/>
        </w:trPr>
        <w:tc>
          <w:tcPr>
            <w:tcW w:w="1078" w:type="dxa"/>
            <w:vAlign w:val="center"/>
          </w:tcPr>
          <w:p w14:paraId="622CE16C">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6.1.1</w:t>
            </w:r>
          </w:p>
        </w:tc>
        <w:tc>
          <w:tcPr>
            <w:tcW w:w="2318" w:type="dxa"/>
            <w:gridSpan w:val="2"/>
            <w:vAlign w:val="center"/>
          </w:tcPr>
          <w:p w14:paraId="6ED0CDCA">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评标委员会的组建</w:t>
            </w:r>
          </w:p>
        </w:tc>
        <w:tc>
          <w:tcPr>
            <w:tcW w:w="6455" w:type="dxa"/>
            <w:vAlign w:val="center"/>
          </w:tcPr>
          <w:p w14:paraId="5B73AB41">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评标委员会构成：</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评标委员会人数构成：9人；其中招标人代表</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人，专家</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9</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人</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7F7DB39A">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评标专家确定方式：</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依法从广东省综合评标</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评审</w:t>
            </w:r>
            <w:r>
              <w:rPr>
                <w:rFonts w:hint="eastAsia" w:asciiTheme="minorEastAsia" w:hAnsiTheme="minorEastAsia" w:eastAsiaTheme="minorEastAsia" w:cstheme="minorEastAsia"/>
                <w:color w:val="000000" w:themeColor="text1"/>
                <w:szCs w:val="21"/>
                <w:highlight w:val="none"/>
                <w:u w:val="single"/>
                <w:lang w:val="zh-CN"/>
                <w14:textFill>
                  <w14:solidFill>
                    <w14:schemeClr w14:val="tx1"/>
                  </w14:solidFill>
                </w14:textFill>
              </w:rPr>
              <w:t>专家库中随机抽取</w:t>
            </w:r>
          </w:p>
        </w:tc>
      </w:tr>
      <w:tr w14:paraId="38879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1078" w:type="dxa"/>
            <w:vAlign w:val="center"/>
          </w:tcPr>
          <w:p w14:paraId="4554BA1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5E74842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6.3.2</w:t>
            </w:r>
          </w:p>
        </w:tc>
        <w:tc>
          <w:tcPr>
            <w:tcW w:w="2318" w:type="dxa"/>
            <w:gridSpan w:val="2"/>
            <w:vAlign w:val="center"/>
          </w:tcPr>
          <w:p w14:paraId="36FEF76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评标委员会推荐中标候选人人数</w:t>
            </w:r>
          </w:p>
        </w:tc>
        <w:tc>
          <w:tcPr>
            <w:tcW w:w="6455" w:type="dxa"/>
            <w:vAlign w:val="center"/>
          </w:tcPr>
          <w:p w14:paraId="6E651FF3">
            <w:pPr>
              <w:keepNext w:val="0"/>
              <w:keepLines w:val="0"/>
              <w:pageBreakBefore w:val="0"/>
              <w:widowControl w:val="0"/>
              <w:kinsoku/>
              <w:wordWrap/>
              <w:overflowPunct/>
              <w:topLinePunct w:val="0"/>
              <w:bidi w:val="0"/>
              <w:adjustRightInd w:val="0"/>
              <w:snapToGrid w:val="0"/>
              <w:spacing w:line="380" w:lineRule="exact"/>
              <w:ind w:firstLine="214"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2"/>
                <w:szCs w:val="21"/>
                <w:highlight w:val="none"/>
                <w14:textFill>
                  <w14:solidFill>
                    <w14:schemeClr w14:val="tx1"/>
                  </w14:solidFill>
                </w14:textFill>
              </w:rPr>
              <w:t>原则上</w:t>
            </w:r>
            <w:r>
              <w:rPr>
                <w:rFonts w:hint="eastAsia" w:asciiTheme="minorEastAsia" w:hAnsiTheme="minorEastAsia" w:eastAsiaTheme="minorEastAsia" w:cstheme="minorEastAsia"/>
                <w:color w:val="000000" w:themeColor="text1"/>
                <w:spacing w:val="2"/>
                <w:szCs w:val="21"/>
                <w:highlight w:val="none"/>
                <w:u w:val="single"/>
                <w14:textFill>
                  <w14:solidFill>
                    <w14:schemeClr w14:val="tx1"/>
                  </w14:solidFill>
                </w14:textFill>
              </w:rPr>
              <w:t>3个</w:t>
            </w:r>
            <w:r>
              <w:rPr>
                <w:rFonts w:hint="eastAsia" w:asciiTheme="minorEastAsia" w:hAnsiTheme="minorEastAsia" w:eastAsiaTheme="minorEastAsia" w:cstheme="minorEastAsia"/>
                <w:color w:val="000000" w:themeColor="text1"/>
                <w:spacing w:val="2"/>
                <w:szCs w:val="21"/>
                <w:highlight w:val="none"/>
                <w14:textFill>
                  <w14:solidFill>
                    <w14:schemeClr w14:val="tx1"/>
                  </w14:solidFill>
                </w14:textFill>
              </w:rPr>
              <w:t>（评标办法规定的特殊情况按实际数量推</w:t>
            </w:r>
            <w:r>
              <w:rPr>
                <w:rFonts w:hint="eastAsia" w:asciiTheme="minorEastAsia" w:hAnsiTheme="minorEastAsia" w:eastAsiaTheme="minorEastAsia" w:cstheme="minorEastAsia"/>
                <w:color w:val="000000" w:themeColor="text1"/>
                <w:spacing w:val="-6"/>
                <w:szCs w:val="21"/>
                <w:highlight w:val="none"/>
                <w14:textFill>
                  <w14:solidFill>
                    <w14:schemeClr w14:val="tx1"/>
                  </w14:solidFill>
                </w14:textFill>
              </w:rPr>
              <w:t>荐）</w:t>
            </w:r>
          </w:p>
        </w:tc>
      </w:tr>
      <w:tr w14:paraId="6A219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jc w:val="center"/>
        </w:trPr>
        <w:tc>
          <w:tcPr>
            <w:tcW w:w="1078" w:type="dxa"/>
            <w:vAlign w:val="center"/>
          </w:tcPr>
          <w:p w14:paraId="443A45E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0A9926EF">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7.1</w:t>
            </w:r>
          </w:p>
        </w:tc>
        <w:tc>
          <w:tcPr>
            <w:tcW w:w="2318" w:type="dxa"/>
            <w:gridSpan w:val="2"/>
            <w:vAlign w:val="center"/>
          </w:tcPr>
          <w:p w14:paraId="30775B2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中标候选人公示媒介及</w:t>
            </w:r>
          </w:p>
          <w:p w14:paraId="6DF0566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期限</w:t>
            </w:r>
          </w:p>
        </w:tc>
        <w:tc>
          <w:tcPr>
            <w:tcW w:w="6455" w:type="dxa"/>
            <w:vAlign w:val="center"/>
          </w:tcPr>
          <w:p w14:paraId="382ED36E">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公示媒介：广东省招标投标监管网（http://zbtb.gd.gov.cn）、全国公共资源交易平台（广东省·韶关市）（https://ygp.gdzwfw.gov.cn/ggzy-portal/#/440200/index）</w:t>
            </w:r>
          </w:p>
          <w:p w14:paraId="7771F71A">
            <w:pPr>
              <w:keepNext w:val="0"/>
              <w:keepLines w:val="0"/>
              <w:pageBreakBefore w:val="0"/>
              <w:widowControl w:val="0"/>
              <w:kinsoku/>
              <w:wordWrap/>
              <w:overflowPunct/>
              <w:topLinePunct w:val="0"/>
              <w:bidi w:val="0"/>
              <w:adjustRightInd w:val="0"/>
              <w:snapToGrid w:val="0"/>
              <w:spacing w:line="380" w:lineRule="exact"/>
              <w:ind w:left="210" w:left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公示期限：3日（</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公示期最后一日须为工作日</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tc>
      </w:tr>
      <w:tr w14:paraId="56F25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jc w:val="center"/>
        </w:trPr>
        <w:tc>
          <w:tcPr>
            <w:tcW w:w="1078" w:type="dxa"/>
            <w:vAlign w:val="center"/>
          </w:tcPr>
          <w:p w14:paraId="2702F34B">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7.4</w:t>
            </w:r>
          </w:p>
        </w:tc>
        <w:tc>
          <w:tcPr>
            <w:tcW w:w="2318" w:type="dxa"/>
            <w:gridSpan w:val="2"/>
            <w:vAlign w:val="center"/>
          </w:tcPr>
          <w:p w14:paraId="1E0710C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是否授权评标委员会确定中标人</w:t>
            </w:r>
          </w:p>
        </w:tc>
        <w:tc>
          <w:tcPr>
            <w:tcW w:w="6455" w:type="dxa"/>
            <w:vAlign w:val="center"/>
          </w:tcPr>
          <w:p w14:paraId="101C4E4F">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□是</w:t>
            </w:r>
          </w:p>
          <w:p w14:paraId="28F4EB4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☑否，推荐的中标候选人数：3名</w:t>
            </w:r>
          </w:p>
        </w:tc>
      </w:tr>
      <w:tr w14:paraId="43653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78" w:type="dxa"/>
            <w:vAlign w:val="center"/>
          </w:tcPr>
          <w:p w14:paraId="2AE2010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7.5</w:t>
            </w:r>
          </w:p>
        </w:tc>
        <w:tc>
          <w:tcPr>
            <w:tcW w:w="2318" w:type="dxa"/>
            <w:gridSpan w:val="2"/>
            <w:vAlign w:val="center"/>
          </w:tcPr>
          <w:p w14:paraId="3B4E227D">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中标通知书和中标结果通知发出的形式</w:t>
            </w:r>
          </w:p>
        </w:tc>
        <w:tc>
          <w:tcPr>
            <w:tcW w:w="6455" w:type="dxa"/>
            <w:vAlign w:val="center"/>
          </w:tcPr>
          <w:p w14:paraId="3F8DF10C">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书面或电子文件形式</w:t>
            </w:r>
          </w:p>
        </w:tc>
      </w:tr>
      <w:tr w14:paraId="168BB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6" w:hRule="atLeast"/>
          <w:jc w:val="center"/>
        </w:trPr>
        <w:tc>
          <w:tcPr>
            <w:tcW w:w="1078" w:type="dxa"/>
            <w:vAlign w:val="center"/>
          </w:tcPr>
          <w:p w14:paraId="1D41938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7.6</w:t>
            </w:r>
          </w:p>
        </w:tc>
        <w:tc>
          <w:tcPr>
            <w:tcW w:w="2318" w:type="dxa"/>
            <w:gridSpan w:val="2"/>
            <w:vAlign w:val="center"/>
          </w:tcPr>
          <w:p w14:paraId="77C46CB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中标结果公告媒介</w:t>
            </w:r>
          </w:p>
        </w:tc>
        <w:tc>
          <w:tcPr>
            <w:tcW w:w="6455" w:type="dxa"/>
            <w:vAlign w:val="center"/>
          </w:tcPr>
          <w:p w14:paraId="458B92CE">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公示媒介：</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广东省招标投标监管网</w:t>
            </w:r>
            <w:r>
              <w:rPr>
                <w:rFonts w:hint="eastAsia" w:asciiTheme="minorEastAsia" w:hAnsiTheme="minorEastAsia" w:eastAsiaTheme="minorEastAsia" w:cstheme="minorEastAsia"/>
                <w:color w:val="000000" w:themeColor="text1"/>
                <w:w w:val="90"/>
                <w:szCs w:val="21"/>
                <w:highlight w:val="none"/>
                <w:u w:val="single"/>
                <w14:textFill>
                  <w14:solidFill>
                    <w14:schemeClr w14:val="tx1"/>
                  </w14:solidFill>
                </w14:textFill>
              </w:rPr>
              <w:t>（http://zbtb.gd.gov.cn）</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、全国公共资源交易平台（广东省·韶关市）（https://ygp.gdzwfw.gov.cn/ggzy-portal/#/440200/index）</w:t>
            </w:r>
          </w:p>
        </w:tc>
      </w:tr>
      <w:tr w14:paraId="7AE72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6" w:hRule="atLeast"/>
          <w:jc w:val="center"/>
        </w:trPr>
        <w:tc>
          <w:tcPr>
            <w:tcW w:w="1078" w:type="dxa"/>
            <w:vAlign w:val="center"/>
          </w:tcPr>
          <w:p w14:paraId="0948491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7.7.1</w:t>
            </w:r>
          </w:p>
        </w:tc>
        <w:tc>
          <w:tcPr>
            <w:tcW w:w="2318" w:type="dxa"/>
            <w:gridSpan w:val="2"/>
            <w:vAlign w:val="center"/>
          </w:tcPr>
          <w:p w14:paraId="35282DB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履约保证金</w:t>
            </w:r>
          </w:p>
        </w:tc>
        <w:tc>
          <w:tcPr>
            <w:tcW w:w="6455" w:type="dxa"/>
            <w:vAlign w:val="center"/>
          </w:tcPr>
          <w:p w14:paraId="616E1706">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是否要求中标人提交履约保证金：</w:t>
            </w:r>
          </w:p>
          <w:p w14:paraId="577629B4">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☑要求，履约担保形式：</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包括履约保证金、履约保证担保、履约保证保险三种，由中标人自主选择，中标人根据《关于统一在市公共资源交易一体化服务平台缴退工程建设项目履约保证金的通知》办理相关手续，项目竣工后，由招标人发起退保。</w:t>
            </w:r>
          </w:p>
          <w:p w14:paraId="6B2AC72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履约担保金额：中标合同额的</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3%</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w:t>
            </w:r>
          </w:p>
          <w:p w14:paraId="6326875E">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采用银行保函时，出具履约担保的银行级别:投标人公司注册所在地的全国性国有商业银行或股份制商业银行的分支机构。</w:t>
            </w:r>
          </w:p>
          <w:p w14:paraId="58241284">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□不要求</w:t>
            </w:r>
          </w:p>
        </w:tc>
      </w:tr>
      <w:tr w14:paraId="4E5C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jc w:val="center"/>
        </w:trPr>
        <w:tc>
          <w:tcPr>
            <w:tcW w:w="1078" w:type="dxa"/>
            <w:vAlign w:val="center"/>
          </w:tcPr>
          <w:p w14:paraId="1082483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8.5.1</w:t>
            </w:r>
          </w:p>
        </w:tc>
        <w:tc>
          <w:tcPr>
            <w:tcW w:w="2318" w:type="dxa"/>
            <w:gridSpan w:val="2"/>
            <w:vAlign w:val="center"/>
          </w:tcPr>
          <w:p w14:paraId="71182A4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监督部门</w:t>
            </w:r>
          </w:p>
        </w:tc>
        <w:tc>
          <w:tcPr>
            <w:tcW w:w="6455" w:type="dxa"/>
            <w:vAlign w:val="center"/>
          </w:tcPr>
          <w:p w14:paraId="471B0BFC">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监督部门：</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南雄市交通运输局</w:t>
            </w:r>
          </w:p>
          <w:p w14:paraId="73A797E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地址：</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韶关市南雄市沿江东路97号交通大厦</w:t>
            </w:r>
          </w:p>
          <w:p w14:paraId="7F7ADB65">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电话：</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0751-3838785</w:t>
            </w:r>
          </w:p>
          <w:p w14:paraId="273F9C51">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邮政编码：</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512400</w:t>
            </w:r>
          </w:p>
        </w:tc>
      </w:tr>
      <w:tr w14:paraId="53164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078" w:type="dxa"/>
            <w:shd w:val="clear" w:color="auto" w:fill="auto"/>
            <w:vAlign w:val="center"/>
          </w:tcPr>
          <w:p w14:paraId="50D40A0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9</w:t>
            </w:r>
          </w:p>
        </w:tc>
        <w:tc>
          <w:tcPr>
            <w:tcW w:w="2318" w:type="dxa"/>
            <w:gridSpan w:val="2"/>
            <w:shd w:val="clear" w:color="auto" w:fill="auto"/>
            <w:vAlign w:val="center"/>
          </w:tcPr>
          <w:p w14:paraId="7191CC90">
            <w:pPr>
              <w:keepNext w:val="0"/>
              <w:keepLines w:val="0"/>
              <w:pageBreakBefore w:val="0"/>
              <w:widowControl w:val="0"/>
              <w:kinsoku/>
              <w:wordWrap/>
              <w:overflowPunct/>
              <w:topLinePunct w:val="0"/>
              <w:bidi w:val="0"/>
              <w:adjustRightInd w:val="0"/>
              <w:snapToGrid w:val="0"/>
              <w:spacing w:line="380" w:lineRule="exact"/>
              <w:ind w:left="113" w:right="113"/>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是否采用电子招标</w:t>
            </w:r>
          </w:p>
          <w:p w14:paraId="0161B397">
            <w:pPr>
              <w:keepNext w:val="0"/>
              <w:keepLines w:val="0"/>
              <w:pageBreakBefore w:val="0"/>
              <w:widowControl w:val="0"/>
              <w:kinsoku/>
              <w:wordWrap/>
              <w:overflowPunct/>
              <w:topLinePunct w:val="0"/>
              <w:bidi w:val="0"/>
              <w:adjustRightInd w:val="0"/>
              <w:snapToGrid w:val="0"/>
              <w:spacing w:line="380" w:lineRule="exact"/>
              <w:ind w:left="113" w:right="113"/>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w:t>
            </w:r>
          </w:p>
        </w:tc>
        <w:tc>
          <w:tcPr>
            <w:tcW w:w="6455" w:type="dxa"/>
            <w:shd w:val="clear" w:color="auto" w:fill="auto"/>
            <w:vAlign w:val="center"/>
          </w:tcPr>
          <w:p w14:paraId="1C336453">
            <w:pPr>
              <w:keepNext w:val="0"/>
              <w:keepLines w:val="0"/>
              <w:pageBreakBefore w:val="0"/>
              <w:widowControl w:val="0"/>
              <w:kinsoku/>
              <w:wordWrap/>
              <w:overflowPunct/>
              <w:topLinePunct w:val="0"/>
              <w:bidi w:val="0"/>
              <w:adjustRightInd w:val="0"/>
              <w:snapToGrid w:val="0"/>
              <w:spacing w:line="380" w:lineRule="exact"/>
              <w:ind w:firstLine="210"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□否</w:t>
            </w:r>
          </w:p>
          <w:p w14:paraId="7A9C8E08">
            <w:pPr>
              <w:keepNext w:val="0"/>
              <w:keepLines w:val="0"/>
              <w:pageBreakBefore w:val="0"/>
              <w:widowControl w:val="0"/>
              <w:kinsoku/>
              <w:wordWrap/>
              <w:overflowPunct/>
              <w:topLinePunct w:val="0"/>
              <w:bidi w:val="0"/>
              <w:adjustRightInd w:val="0"/>
              <w:snapToGrid w:val="0"/>
              <w:spacing w:line="380" w:lineRule="exact"/>
              <w:ind w:firstLine="211"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是，具体要求：</w:t>
            </w:r>
          </w:p>
          <w:p w14:paraId="6301B1FE">
            <w:pPr>
              <w:keepNext w:val="0"/>
              <w:keepLines w:val="0"/>
              <w:pageBreakBefore w:val="0"/>
              <w:widowControl w:val="0"/>
              <w:kinsoku/>
              <w:wordWrap/>
              <w:overflowPunct/>
              <w:topLinePunct w:val="0"/>
              <w:bidi w:val="0"/>
              <w:adjustRightInd w:val="0"/>
              <w:snapToGrid w:val="0"/>
              <w:spacing w:line="380" w:lineRule="exact"/>
              <w:ind w:firstLine="211" w:firstLineChars="100"/>
              <w:jc w:val="lef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投标人必须在规定的截止时间前使用建设工程交易系统完成电子投标(包括缴纳投标保证金)。</w:t>
            </w:r>
          </w:p>
        </w:tc>
      </w:tr>
      <w:tr w14:paraId="285B0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9851" w:type="dxa"/>
            <w:gridSpan w:val="4"/>
            <w:vAlign w:val="center"/>
          </w:tcPr>
          <w:p w14:paraId="17C2D466">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需要补充的其他内容</w:t>
            </w:r>
          </w:p>
        </w:tc>
      </w:tr>
      <w:tr w14:paraId="14608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jc w:val="center"/>
        </w:trPr>
        <w:tc>
          <w:tcPr>
            <w:tcW w:w="1121" w:type="dxa"/>
            <w:gridSpan w:val="2"/>
            <w:vAlign w:val="center"/>
          </w:tcPr>
          <w:p w14:paraId="4652B187">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1.4</w:t>
            </w:r>
          </w:p>
        </w:tc>
        <w:tc>
          <w:tcPr>
            <w:tcW w:w="8730" w:type="dxa"/>
            <w:gridSpan w:val="2"/>
            <w:vAlign w:val="center"/>
          </w:tcPr>
          <w:p w14:paraId="2874C0C4">
            <w:pPr>
              <w:keepNext w:val="0"/>
              <w:keepLines w:val="0"/>
              <w:pageBreakBefore w:val="0"/>
              <w:widowControl w:val="0"/>
              <w:kinsoku/>
              <w:wordWrap/>
              <w:overflowPunct/>
              <w:topLinePunct w:val="0"/>
              <w:bidi w:val="0"/>
              <w:adjustRightInd w:val="0"/>
              <w:snapToGrid w:val="0"/>
              <w:spacing w:line="380" w:lineRule="exact"/>
              <w:ind w:firstLine="422" w:firstLineChars="200"/>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删除范本投标人须知正文第 1.4.款内容，并修改细化如下：</w:t>
            </w:r>
          </w:p>
          <w:p w14:paraId="6D4361C8">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1.4.1投标人应具备承担本招标项目资质条件、能力和信誉。 </w:t>
            </w:r>
          </w:p>
          <w:p w14:paraId="24E0377C">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（1）资质要求：见投标人须知前附表； </w:t>
            </w:r>
          </w:p>
          <w:p w14:paraId="19D01608">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（2）财务要求：见投标人须知前附表； </w:t>
            </w:r>
          </w:p>
          <w:p w14:paraId="5EDEC85E">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（3）业绩要求：见投标人须知前附表； </w:t>
            </w:r>
          </w:p>
          <w:p w14:paraId="1373C9B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（4）项目总负责人、项目经理、项目总工、设计负责人的资格要求：见投标人须知前附表；</w:t>
            </w:r>
          </w:p>
          <w:p w14:paraId="35E36FB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（5）其他要求：见投标人须知前附表。 </w:t>
            </w:r>
          </w:p>
          <w:p w14:paraId="303A23D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1.4.2投标人须知前附表规定接受联合体投标的，联合体除应符合本章第1.4.1项和投标人须知前附表的要求外，还应遵守以下规定：  </w:t>
            </w:r>
          </w:p>
          <w:p w14:paraId="2F99EE8D">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（1）为招标人不具有独立法人资格的附属机构（单位）；  </w:t>
            </w:r>
          </w:p>
          <w:p w14:paraId="67BF5845">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（2）为招标人存在利害关系且可能影响招标公正性； </w:t>
            </w:r>
          </w:p>
          <w:p w14:paraId="4BD7396A">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（3）与</w:t>
            </w:r>
            <w:r>
              <w:rPr>
                <w:rFonts w:hint="eastAsia" w:asciiTheme="minorEastAsia" w:hAnsiTheme="minorEastAsia" w:cstheme="minorEastAsia"/>
                <w:b w:val="0"/>
                <w:bCs w:val="0"/>
                <w:color w:val="000000" w:themeColor="text1"/>
                <w:szCs w:val="21"/>
                <w:highlight w:val="none"/>
                <w:lang w:val="zh-CN"/>
                <w14:textFill>
                  <w14:solidFill>
                    <w14:schemeClr w14:val="tx1"/>
                  </w14:solidFill>
                </w14:textFill>
              </w:rPr>
              <w:t>本项目包</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的其他投标人同为一个单位的负责人； </w:t>
            </w:r>
          </w:p>
          <w:p w14:paraId="6713005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（4）与</w:t>
            </w:r>
            <w:r>
              <w:rPr>
                <w:rFonts w:hint="eastAsia" w:asciiTheme="minorEastAsia" w:hAnsiTheme="minorEastAsia" w:cstheme="minorEastAsia"/>
                <w:b w:val="0"/>
                <w:bCs w:val="0"/>
                <w:color w:val="000000" w:themeColor="text1"/>
                <w:szCs w:val="21"/>
                <w:highlight w:val="none"/>
                <w:lang w:val="zh-CN"/>
                <w14:textFill>
                  <w14:solidFill>
                    <w14:schemeClr w14:val="tx1"/>
                  </w14:solidFill>
                </w14:textFill>
              </w:rPr>
              <w:t>本项目包</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的其他投标人存在控股、管理关系； </w:t>
            </w:r>
          </w:p>
          <w:p w14:paraId="5C5B626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（5）为本招标项目的代建人； </w:t>
            </w:r>
          </w:p>
          <w:p w14:paraId="5EBF2790">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（6）为</w:t>
            </w:r>
            <w:r>
              <w:rPr>
                <w:rFonts w:hint="eastAsia" w:asciiTheme="minorEastAsia" w:hAnsiTheme="minorEastAsia" w:cstheme="minorEastAsia"/>
                <w:b w:val="0"/>
                <w:bCs w:val="0"/>
                <w:color w:val="000000" w:themeColor="text1"/>
                <w:szCs w:val="21"/>
                <w:highlight w:val="none"/>
                <w:lang w:val="zh-CN"/>
                <w14:textFill>
                  <w14:solidFill>
                    <w14:schemeClr w14:val="tx1"/>
                  </w14:solidFill>
                </w14:textFill>
              </w:rPr>
              <w:t>本项目包</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的招标代理机构； </w:t>
            </w:r>
          </w:p>
          <w:p w14:paraId="600DD2F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（7）与</w:t>
            </w:r>
            <w:r>
              <w:rPr>
                <w:rFonts w:hint="eastAsia" w:asciiTheme="minorEastAsia" w:hAnsiTheme="minorEastAsia" w:cstheme="minorEastAsia"/>
                <w:b w:val="0"/>
                <w:bCs w:val="0"/>
                <w:color w:val="000000" w:themeColor="text1"/>
                <w:szCs w:val="21"/>
                <w:highlight w:val="none"/>
                <w:lang w:val="zh-CN"/>
                <w14:textFill>
                  <w14:solidFill>
                    <w14:schemeClr w14:val="tx1"/>
                  </w14:solidFill>
                </w14:textFill>
              </w:rPr>
              <w:t>本项目包</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的代建人或招标代理机构为同一法定代表人； </w:t>
            </w:r>
          </w:p>
          <w:p w14:paraId="3A24926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（8）与</w:t>
            </w:r>
            <w:r>
              <w:rPr>
                <w:rFonts w:hint="eastAsia" w:asciiTheme="minorEastAsia" w:hAnsiTheme="minorEastAsia" w:cstheme="minorEastAsia"/>
                <w:b w:val="0"/>
                <w:bCs w:val="0"/>
                <w:color w:val="000000" w:themeColor="text1"/>
                <w:szCs w:val="21"/>
                <w:highlight w:val="none"/>
                <w:lang w:val="zh-CN"/>
                <w14:textFill>
                  <w14:solidFill>
                    <w14:schemeClr w14:val="tx1"/>
                  </w14:solidFill>
                </w14:textFill>
              </w:rPr>
              <w:t>本项目包</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的代建人或招标代理机构存在控股或参股关系；  </w:t>
            </w:r>
          </w:p>
          <w:p w14:paraId="64C4DE8C">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（9）法律法规规或投标人须知前附表规定的其他情形。 </w:t>
            </w:r>
          </w:p>
          <w:p w14:paraId="3417231A">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1.4.4投标人(包括联合体各成员)不得存在下列不良状况或不良信用记录：</w:t>
            </w:r>
          </w:p>
          <w:p w14:paraId="3A37BE6A">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(1)被省级及以上交通运输主管部门取消招标项目所在地的（广东省内）投标资格且处于有效期内； </w:t>
            </w:r>
          </w:p>
          <w:p w14:paraId="2E702F6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(2)被责令停业，暂扣或吊销执照，或吊销资质证书； </w:t>
            </w:r>
          </w:p>
          <w:p w14:paraId="7EF09A90">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(3)进入清算程序，或被宣告破产，或其他丧失履约能力的情形； </w:t>
            </w:r>
          </w:p>
          <w:p w14:paraId="06813632">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(4)在国家企业信用信息公示系统(http://www.gsxt.gov.cn/)中被列入严重违法失信企业名单； </w:t>
            </w:r>
          </w:p>
          <w:p w14:paraId="72772186">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(5)在“中国执行信息公开网”网站 (http://zxgk.court.gov.cn/shixin/)中被列入失信被执行人名单； </w:t>
            </w:r>
          </w:p>
          <w:p w14:paraId="44047AB2">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(6)投标人或其法定代表人、拟委任的项目经理、项目总工、设计负责人在近三年内有行贿犯罪行为的【以投标人在投标函中的承诺为准】； </w:t>
            </w:r>
          </w:p>
          <w:p w14:paraId="253E0FE3">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(7)法律法规或投标人须知前附表规定的其他情形。</w:t>
            </w:r>
          </w:p>
          <w:p w14:paraId="7DE234E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 xml:space="preserve">1.4.5投标人（包括联合体各成员）应进入交通运输部“全国公路建设市场监督管理系统（http://glxy.mot.gov.cn）”中对应的公路工程施工资质、设计资质企业名录，且投标人名称和资质与该名录中的相应企业名称和资质完全一致。投标人不满足本项规定条件的，将被否决投标。 </w:t>
            </w:r>
          </w:p>
          <w:p w14:paraId="05E94237">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default"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pPr>
            <w:r>
              <w:rPr>
                <w:rFonts w:hint="default"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t>注：根据《关于进一步加强公路建设市场信用信息管理和使用有关工作的通知》</w:t>
            </w:r>
            <w:r>
              <w:rPr>
                <w:rFonts w:hint="eastAsia" w:asciiTheme="minorEastAsia" w:hAnsiTheme="minorEastAsia" w:cstheme="minorEastAsia"/>
                <w:b w:val="0"/>
                <w:bCs w:val="0"/>
                <w:color w:val="000000" w:themeColor="text1"/>
                <w:szCs w:val="21"/>
                <w:highlight w:val="none"/>
                <w:lang w:val="en-US" w:eastAsia="zh-CN"/>
                <w14:textFill>
                  <w14:solidFill>
                    <w14:schemeClr w14:val="tx1"/>
                  </w14:solidFill>
                </w14:textFill>
              </w:rPr>
              <w:t>投标人的相关内容</w:t>
            </w:r>
            <w:r>
              <w:rPr>
                <w:rFonts w:hint="default"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t>未于2024年12月31日前完成补录工作的，提供“全国公路建设市场信用信息管理系统”相关截图同等有效。</w:t>
            </w:r>
          </w:p>
        </w:tc>
      </w:tr>
      <w:tr w14:paraId="635B9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6" w:hRule="atLeast"/>
          <w:jc w:val="center"/>
        </w:trPr>
        <w:tc>
          <w:tcPr>
            <w:tcW w:w="1121" w:type="dxa"/>
            <w:gridSpan w:val="2"/>
            <w:vAlign w:val="center"/>
          </w:tcPr>
          <w:p w14:paraId="573A75C9">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1.5</w:t>
            </w:r>
          </w:p>
        </w:tc>
        <w:tc>
          <w:tcPr>
            <w:tcW w:w="8730" w:type="dxa"/>
            <w:gridSpan w:val="2"/>
            <w:vAlign w:val="center"/>
          </w:tcPr>
          <w:p w14:paraId="78C59761">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1.5</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项增加</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1.5.3</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内容如下：</w:t>
            </w:r>
          </w:p>
          <w:p w14:paraId="4F4D4BA4">
            <w:pPr>
              <w:keepNext w:val="0"/>
              <w:keepLines w:val="0"/>
              <w:pageBreakBefore w:val="0"/>
              <w:widowControl w:val="0"/>
              <w:kinsoku/>
              <w:wordWrap/>
              <w:overflowPunct/>
              <w:topLinePunct w:val="0"/>
              <w:bidi w:val="0"/>
              <w:adjustRightInd w:val="0"/>
              <w:snapToGrid w:val="0"/>
              <w:spacing w:line="380" w:lineRule="exact"/>
              <w:ind w:firstLine="452" w:firstLineChars="2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8"/>
                <w:szCs w:val="21"/>
                <w:highlight w:val="none"/>
                <w14:textFill>
                  <w14:solidFill>
                    <w14:schemeClr w14:val="tx1"/>
                  </w14:solidFill>
                </w14:textFill>
              </w:rPr>
              <w:t>1.5.3</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根据建设工程招标代理协议书约定，本项目的招标代理服务费及评标专家酬劳全部由中标人支付，该费用不再另行报价，由投标人在投标报价时综合考虑在内。</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依据《关于印发&lt;招标代理服务收费管理暂行办法&gt;通知》[2002]1980号、《国家发展改革委关于降低部分建设项目收费标准规范收费行为等有关问题的通知》〔2011〕534号文计算服务费用金额，并以工程</w:t>
            </w:r>
            <w:r>
              <w:rPr>
                <w:rFonts w:hint="eastAsia" w:asciiTheme="minorEastAsia" w:hAnsiTheme="minorEastAsia" w:eastAsiaTheme="minorEastAsia" w:cstheme="minorEastAsia"/>
                <w:b/>
                <w:bCs/>
                <w:color w:val="000000" w:themeColor="text1"/>
                <w:szCs w:val="21"/>
                <w:highlight w:val="none"/>
                <w:u w:val="single"/>
                <w14:textFill>
                  <w14:solidFill>
                    <w14:schemeClr w14:val="tx1"/>
                  </w14:solidFill>
                </w14:textFill>
              </w:rPr>
              <w:t>中标价</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来计算</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招标代理</w:t>
            </w:r>
            <w:r>
              <w:rPr>
                <w:rFonts w:hint="eastAsia" w:asciiTheme="minorEastAsia" w:hAnsiTheme="minorEastAsia" w:eastAsiaTheme="minorEastAsia" w:cstheme="minorEastAsia"/>
                <w:color w:val="000000" w:themeColor="text1"/>
                <w:szCs w:val="21"/>
                <w:highlight w:val="none"/>
                <w:u w:val="single"/>
                <w14:textFill>
                  <w14:solidFill>
                    <w14:schemeClr w14:val="tx1"/>
                  </w14:solidFill>
                </w14:textFill>
              </w:rPr>
              <w:t>服务费用，按标准收费的70%。</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中标人在领取中标通知书前须向招标代理机构一次性支付招标代理服务费及评标专家酬劳，先由招标代理垫付（招标代理服务费按招标代理协议书约定执行，评标专家酬劳以评标结束当日的评标专家酬劳签收表总额为准）。</w:t>
            </w:r>
          </w:p>
        </w:tc>
      </w:tr>
      <w:tr w14:paraId="3186B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1" w:type="dxa"/>
            <w:gridSpan w:val="2"/>
            <w:vAlign w:val="center"/>
          </w:tcPr>
          <w:p w14:paraId="1E7E0EB5">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default"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t>2.1</w:t>
            </w:r>
          </w:p>
        </w:tc>
        <w:tc>
          <w:tcPr>
            <w:tcW w:w="8730" w:type="dxa"/>
            <w:gridSpan w:val="2"/>
            <w:vAlign w:val="center"/>
          </w:tcPr>
          <w:p w14:paraId="18FA8C0B">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删除投标人须知范本正文第2.</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款内容，并修改细化如下：</w:t>
            </w:r>
          </w:p>
          <w:p w14:paraId="08836AB5">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2.1招标文件的组成</w:t>
            </w:r>
          </w:p>
          <w:p w14:paraId="28413133">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本招标文件包括：</w:t>
            </w:r>
          </w:p>
          <w:p w14:paraId="438135F7">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（1）招标公告（或投标邀请书）；</w:t>
            </w:r>
          </w:p>
          <w:p w14:paraId="1EEACB16">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（2）投标人须知；</w:t>
            </w:r>
          </w:p>
          <w:p w14:paraId="6D380AF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（3）评标办法（</w:t>
            </w:r>
            <w:r>
              <w:rPr>
                <w:rFonts w:hint="eastAsia"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t>双信封的综合评分法</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w:t>
            </w:r>
          </w:p>
          <w:p w14:paraId="148ECFB9">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（4）合同条款及格式；</w:t>
            </w:r>
          </w:p>
          <w:p w14:paraId="65658210">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（5）发包人要求；</w:t>
            </w:r>
          </w:p>
          <w:p w14:paraId="11DBFAB2">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（6）</w:t>
            </w:r>
            <w:r>
              <w:rPr>
                <w:rFonts w:hint="eastAsia" w:asciiTheme="minorEastAsia" w:hAnsiTheme="minorEastAsia" w:eastAsiaTheme="minorEastAsia" w:cstheme="minorEastAsia"/>
                <w:b w:val="0"/>
                <w:bCs w:val="0"/>
                <w:color w:val="000000" w:themeColor="text1"/>
                <w:szCs w:val="21"/>
                <w:highlight w:val="none"/>
                <w:lang w:val="en-US" w:eastAsia="zh-CN"/>
                <w14:textFill>
                  <w14:solidFill>
                    <w14:schemeClr w14:val="tx1"/>
                  </w14:solidFill>
                </w14:textFill>
              </w:rPr>
              <w:t>发包人提供的资料</w:t>
            </w: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w:t>
            </w:r>
          </w:p>
          <w:p w14:paraId="3D2EB787">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（7）投标文件格式；</w:t>
            </w:r>
          </w:p>
          <w:p w14:paraId="731D590E">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（8）投标人须知前附表规定的其他资料。</w:t>
            </w:r>
          </w:p>
          <w:p w14:paraId="34F6DA27">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Cs w:val="21"/>
                <w:highlight w:val="none"/>
                <w:lang w:val="zh-CN"/>
                <w14:textFill>
                  <w14:solidFill>
                    <w14:schemeClr w14:val="tx1"/>
                  </w14:solidFill>
                </w14:textFill>
              </w:rPr>
              <w:t>根据本章第1.10款、第2.2款和第2.3款对招标文件所作的澄清、修改，构成招标文件的组成部分。</w:t>
            </w:r>
          </w:p>
        </w:tc>
      </w:tr>
      <w:tr w14:paraId="025A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1" w:type="dxa"/>
            <w:gridSpan w:val="2"/>
            <w:vAlign w:val="center"/>
          </w:tcPr>
          <w:p w14:paraId="1B5B2A7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2A9FC6B1">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4E964ED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775A6B95">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62DE342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0183B44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34A7E827">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p>
          <w:p w14:paraId="2881EA46">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2.2</w:t>
            </w:r>
          </w:p>
          <w:p w14:paraId="1B055710">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2.3</w:t>
            </w:r>
          </w:p>
        </w:tc>
        <w:tc>
          <w:tcPr>
            <w:tcW w:w="8730" w:type="dxa"/>
            <w:gridSpan w:val="2"/>
            <w:vAlign w:val="center"/>
          </w:tcPr>
          <w:p w14:paraId="36E9B18E">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删除投标人须知范本正文第2.2款及2.3款内容，并修改细化如下</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3E4D6147">
            <w:pPr>
              <w:keepNext w:val="0"/>
              <w:keepLines w:val="0"/>
              <w:pageBreakBefore w:val="0"/>
              <w:widowControl w:val="0"/>
              <w:kinsoku/>
              <w:wordWrap/>
              <w:overflowPunct/>
              <w:topLinePunct w:val="0"/>
              <w:bidi w:val="0"/>
              <w:adjustRightInd w:val="0"/>
              <w:snapToGrid w:val="0"/>
              <w:spacing w:line="380" w:lineRule="exact"/>
              <w:ind w:firstLine="210" w:firstLineChars="1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2.2</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招标文件的澄清</w:t>
            </w:r>
          </w:p>
          <w:p w14:paraId="3999A3EE">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2.2.1本项目属于电子投标项目，投标人对招标文件任何需要澄清或答疑的问题，应在招标文件规定的时间在全国公共资源交易平台（广东省·韶关市）（https://ygp.gdzwfw.gov.cn/ggzy-portal/#/440200/index）提出，并不得署名。招标人对招标文件的任何修改、澄清及答疑均在全国公共资源交易平台（广东省·韶关市）（https://ygp.gdzwfw.gov.cn/ggzy-portal/#/440200/index）发布，招标人不另行通知，投标人自行在韶关市公共资源建设工程交易系统下载查看。投标人逾期提出或没有提出问题，视为对招标文件没有任何异议。</w:t>
            </w:r>
          </w:p>
          <w:p w14:paraId="5632B1B5">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2.2.2澄清和修改内容将以编号的补遗书形式在全国公共资源交易平台（广东省·韶关市）（https://ygp.gdzwfw.gov.cn/ggzy-portal/#/440200/index）建设工程栏目的公告公示上发布。补遗书作为招标文件的组成部分，对所有投标人均具有约束力。</w:t>
            </w:r>
          </w:p>
          <w:p w14:paraId="71D85B32">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2.3招标文件的修改</w:t>
            </w:r>
          </w:p>
          <w:p w14:paraId="142F8354">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2.3.1招标文件发出后,在递交投标文件截止时间15日前，招标人可对招标文件进行必要的修改。如果修改招标文件的时间距投标截止时间不足15天，相应延长投标截止时间。招标修改文件一经在全国公共资源交易平台（广东省·韶关市）（https://ygp.gdzwfw.gov.cn/ggzy-portal/#/440200/index）发布，视作已发放给所有投标人。</w:t>
            </w:r>
          </w:p>
          <w:p w14:paraId="7DCDF239">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2.3.2招标文件的修改作为招标文件的组成部分，具有约束作用。投标人应及时留意浏览网上发出的修改公告，因投标人自身原因未及时获知修改内容而导致的任何后果将由投标人自行承担。</w:t>
            </w:r>
          </w:p>
          <w:p w14:paraId="60D26433">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2.3.3招标文件的修改均以全国公共资源交易平台（广东省·韶关市）（https://ygp.gdzwfw.gov.cn/ggzy-portal/#/440200/index）发布的内容为准。当招标文件的修改在同一内容的表述不一致时，以全国公共资源交易平台（广东省·韶关市）（https://ygp.gdzwfw.gov.cn/ggzy-portal/#/440200/index）最后发布的内容为准。</w:t>
            </w:r>
          </w:p>
        </w:tc>
      </w:tr>
      <w:tr w14:paraId="1FC97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3" w:hRule="atLeast"/>
          <w:jc w:val="center"/>
        </w:trPr>
        <w:tc>
          <w:tcPr>
            <w:tcW w:w="1121" w:type="dxa"/>
            <w:gridSpan w:val="2"/>
            <w:vAlign w:val="center"/>
          </w:tcPr>
          <w:p w14:paraId="72E31F32">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3.4.3</w:t>
            </w:r>
          </w:p>
        </w:tc>
        <w:tc>
          <w:tcPr>
            <w:tcW w:w="8730" w:type="dxa"/>
            <w:gridSpan w:val="2"/>
            <w:vAlign w:val="center"/>
          </w:tcPr>
          <w:p w14:paraId="0E30AEF1">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删除投标人须知范本正文第3.4.3项内容，并修改细化如下</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w:t>
            </w:r>
          </w:p>
          <w:p w14:paraId="7CB3FBA2">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3.4.3</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中标人的投标保证金，系统在收到招标人与中标人所签合同后五日内退还原转出银行帐号；未中标投标人的投标保证金退还，按法定的评标结果、中标结果公示结束或异议处理结束后五日内分批退还至原转出银行帐号。</w:t>
            </w:r>
          </w:p>
        </w:tc>
      </w:tr>
      <w:tr w14:paraId="1CD28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7" w:hRule="atLeast"/>
          <w:jc w:val="center"/>
        </w:trPr>
        <w:tc>
          <w:tcPr>
            <w:tcW w:w="1121" w:type="dxa"/>
            <w:gridSpan w:val="2"/>
            <w:shd w:val="clear" w:color="auto" w:fill="auto"/>
            <w:vAlign w:val="center"/>
          </w:tcPr>
          <w:p w14:paraId="0FC85D24">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lang w:bidi="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3.5.4</w:t>
            </w:r>
          </w:p>
        </w:tc>
        <w:tc>
          <w:tcPr>
            <w:tcW w:w="8730" w:type="dxa"/>
            <w:gridSpan w:val="2"/>
            <w:shd w:val="clear" w:color="auto" w:fill="auto"/>
            <w:vAlign w:val="center"/>
          </w:tcPr>
          <w:p w14:paraId="14A9F7A9">
            <w:pPr>
              <w:pStyle w:val="34"/>
              <w:keepNext w:val="0"/>
              <w:keepLines w:val="0"/>
              <w:pageBreakBefore w:val="0"/>
              <w:widowControl w:val="0"/>
              <w:kinsoku/>
              <w:wordWrap/>
              <w:overflowPunct/>
              <w:topLinePunct w:val="0"/>
              <w:bidi w:val="0"/>
              <w:adjustRightInd w:val="0"/>
              <w:snapToGrid w:val="0"/>
              <w:spacing w:line="380" w:lineRule="exact"/>
              <w:ind w:right="227"/>
              <w:textAlignment w:val="auto"/>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 w:val="21"/>
                <w:szCs w:val="21"/>
                <w:highlight w:val="none"/>
                <w:lang w:val="en-US"/>
                <w14:textFill>
                  <w14:solidFill>
                    <w14:schemeClr w14:val="tx1"/>
                  </w14:solidFill>
                </w14:textFill>
              </w:rPr>
              <w:t>3.5.4</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项</w:t>
            </w:r>
            <w:r>
              <w:rPr>
                <w:rFonts w:hint="eastAsia" w:asciiTheme="minorEastAsia" w:hAnsiTheme="minorEastAsia" w:eastAsiaTheme="minorEastAsia" w:cstheme="minorEastAsia"/>
                <w:b/>
                <w:bCs/>
                <w:color w:val="000000" w:themeColor="text1"/>
                <w:sz w:val="21"/>
                <w:szCs w:val="21"/>
                <w:highlight w:val="none"/>
                <w:lang w:val="en-US"/>
                <w14:textFill>
                  <w14:solidFill>
                    <w14:schemeClr w14:val="tx1"/>
                  </w14:solidFill>
                </w14:textFill>
              </w:rPr>
              <w:t>修改</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如下：</w:t>
            </w:r>
          </w:p>
          <w:p w14:paraId="578ED01B">
            <w:pPr>
              <w:pStyle w:val="34"/>
              <w:keepNext w:val="0"/>
              <w:keepLines w:val="0"/>
              <w:pageBreakBefore w:val="0"/>
              <w:widowControl w:val="0"/>
              <w:kinsoku/>
              <w:wordWrap/>
              <w:overflowPunct/>
              <w:topLinePunct w:val="0"/>
              <w:bidi w:val="0"/>
              <w:adjustRightInd w:val="0"/>
              <w:snapToGrid w:val="0"/>
              <w:spacing w:line="380" w:lineRule="exact"/>
              <w:ind w:right="227" w:firstLine="420" w:firstLineChars="200"/>
              <w:textAlignment w:val="auto"/>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投标人的信誉情况表”应附投标人在全国企业信用信息公示系统中未被列入严重违法失信企业名单、在“信用中国”网站中未被列入失信被执行人名单的网页截图复印件。投标人、投标人的法定代表人、拟投入本项目的项目总负责人、项目经理、项目总工、设计负责人无行贿犯罪记录以投标函的承诺为准。</w:t>
            </w:r>
          </w:p>
        </w:tc>
      </w:tr>
      <w:tr w14:paraId="729C3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jc w:val="center"/>
        </w:trPr>
        <w:tc>
          <w:tcPr>
            <w:tcW w:w="1121" w:type="dxa"/>
            <w:gridSpan w:val="2"/>
            <w:shd w:val="clear" w:color="auto" w:fill="auto"/>
            <w:vAlign w:val="center"/>
          </w:tcPr>
          <w:p w14:paraId="52AFFF30">
            <w:pPr>
              <w:keepNext w:val="0"/>
              <w:keepLines w:val="0"/>
              <w:pageBreakBefore w:val="0"/>
              <w:widowControl w:val="0"/>
              <w:kinsoku/>
              <w:wordWrap/>
              <w:overflowPunct/>
              <w:topLinePunct w:val="0"/>
              <w:bidi w:val="0"/>
              <w:adjustRightInd w:val="0"/>
              <w:snapToGrid w:val="0"/>
              <w:spacing w:line="312" w:lineRule="auto"/>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3.5.5</w:t>
            </w:r>
          </w:p>
        </w:tc>
        <w:tc>
          <w:tcPr>
            <w:tcW w:w="8730" w:type="dxa"/>
            <w:gridSpan w:val="2"/>
            <w:shd w:val="clear" w:color="auto" w:fill="auto"/>
            <w:vAlign w:val="center"/>
          </w:tcPr>
          <w:p w14:paraId="44DDC37B">
            <w:pPr>
              <w:pStyle w:val="34"/>
              <w:keepNext w:val="0"/>
              <w:keepLines w:val="0"/>
              <w:pageBreakBefore w:val="0"/>
              <w:widowControl w:val="0"/>
              <w:kinsoku/>
              <w:wordWrap/>
              <w:overflowPunct/>
              <w:topLinePunct w:val="0"/>
              <w:bidi w:val="0"/>
              <w:adjustRightInd w:val="0"/>
              <w:snapToGrid w:val="0"/>
              <w:spacing w:line="312" w:lineRule="auto"/>
              <w:ind w:right="227"/>
              <w:textAlignment w:val="auto"/>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删除</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 w:val="21"/>
                <w:szCs w:val="21"/>
                <w:highlight w:val="none"/>
                <w:lang w:val="en-US"/>
                <w14:textFill>
                  <w14:solidFill>
                    <w14:schemeClr w14:val="tx1"/>
                  </w14:solidFill>
                </w14:textFill>
              </w:rPr>
              <w:t>3.5.5</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项</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并</w:t>
            </w:r>
            <w:r>
              <w:rPr>
                <w:rFonts w:hint="eastAsia" w:asciiTheme="minorEastAsia" w:hAnsiTheme="minorEastAsia" w:eastAsiaTheme="minorEastAsia" w:cstheme="minorEastAsia"/>
                <w:b/>
                <w:bCs/>
                <w:color w:val="000000" w:themeColor="text1"/>
                <w:sz w:val="21"/>
                <w:szCs w:val="21"/>
                <w:highlight w:val="none"/>
                <w:lang w:val="en-US"/>
                <w14:textFill>
                  <w14:solidFill>
                    <w14:schemeClr w14:val="tx1"/>
                  </w14:solidFill>
                </w14:textFill>
              </w:rPr>
              <w:t>修改</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细化</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如下：</w:t>
            </w:r>
          </w:p>
          <w:p w14:paraId="29E36E7B">
            <w:pPr>
              <w:keepNext w:val="0"/>
              <w:keepLines w:val="0"/>
              <w:pageBreakBefore w:val="0"/>
              <w:widowControl w:val="0"/>
              <w:kinsoku/>
              <w:wordWrap/>
              <w:overflowPunct/>
              <w:topLinePunct w:val="0"/>
              <w:bidi w:val="0"/>
              <w:adjustRightInd w:val="0"/>
              <w:snapToGrid w:val="0"/>
              <w:spacing w:line="312" w:lineRule="auto"/>
              <w:ind w:firstLine="420" w:firstLineChars="200"/>
              <w:textAlignment w:val="auto"/>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3.5.5</w:t>
            </w:r>
            <w:r>
              <w:rPr>
                <w:rFonts w:hint="eastAsia" w:asciiTheme="minorEastAsia" w:hAnsiTheme="minorEastAsia" w:cstheme="minorEastAsia"/>
                <w:color w:val="000000" w:themeColor="text1"/>
                <w:highlight w:val="none"/>
                <w:lang w:eastAsia="zh-CN"/>
                <w14:textFill>
                  <w14:solidFill>
                    <w14:schemeClr w14:val="tx1"/>
                  </w14:solidFill>
                </w14:textFill>
              </w:rPr>
              <w:t>“拟委任的项目经理、项目总工、设计负责人资历表”</w:t>
            </w:r>
            <w:r>
              <w:rPr>
                <w:rFonts w:hint="eastAsia" w:asciiTheme="minorEastAsia" w:hAnsiTheme="minorEastAsia" w:eastAsiaTheme="minorEastAsia" w:cstheme="minorEastAsia"/>
                <w:color w:val="000000" w:themeColor="text1"/>
                <w:highlight w:val="none"/>
                <w14:textFill>
                  <w14:solidFill>
                    <w14:schemeClr w14:val="tx1"/>
                  </w14:solidFill>
                </w14:textFill>
              </w:rPr>
              <w:t>应同时附：①交通运输部“</w:t>
            </w:r>
            <w:r>
              <w:rPr>
                <w:rFonts w:hint="eastAsia" w:asciiTheme="minorEastAsia" w:hAnsiTheme="minorEastAsia" w:eastAsiaTheme="minorEastAsia" w:cstheme="minorEastAsia"/>
                <w:color w:val="000000" w:themeColor="text1"/>
                <w:highlight w:val="none"/>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highlight w:val="none"/>
                <w14:textFill>
                  <w14:solidFill>
                    <w14:schemeClr w14:val="tx1"/>
                  </w14:solidFill>
                </w14:textFill>
              </w:rPr>
              <w:t>”中载明的、</w:t>
            </w:r>
            <w:r>
              <w:rPr>
                <w:rFonts w:hint="eastAsia" w:asciiTheme="minorEastAsia" w:hAnsiTheme="minorEastAsia" w:cstheme="minorEastAsia"/>
                <w:color w:val="000000" w:themeColor="text1"/>
                <w:highlight w:val="none"/>
                <w:lang w:eastAsia="zh-CN"/>
                <w14:textFill>
                  <w14:solidFill>
                    <w14:schemeClr w14:val="tx1"/>
                  </w14:solidFill>
                </w14:textFill>
              </w:rPr>
              <w:t>能够证明项目经理、项目总工、</w:t>
            </w:r>
            <w:r>
              <w:rPr>
                <w:rFonts w:hint="eastAsia" w:asciiTheme="minorEastAsia" w:hAnsiTheme="minorEastAsia" w:eastAsiaTheme="minorEastAsia" w:cstheme="minorEastAsia"/>
                <w:color w:val="000000" w:themeColor="text1"/>
                <w:highlight w:val="none"/>
                <w14:textFill>
                  <w14:solidFill>
                    <w14:schemeClr w14:val="tx1"/>
                  </w14:solidFill>
                </w14:textFill>
              </w:rPr>
              <w:t>项目设计负责人满足投标人须知前附表附录4或者评标办法评分标准（如有）所提出的各项指标（即包括人员的“基本信息”、“职称信息”、“执业资格”、“个人业绩”等栏目在内）的网页截图复印件或网页打印件；②建造师注册证书在中华人民共和国住房和城乡建设部网站上公开信息的网页截图复印件或网页打印件；③安全生产考核合格证书在交通运输部公路水运工程施工企业安全生产管理人员信息公共查询平台上公开信息的网页截图复印件或网页打印件；④投标人所属社保机构出具的拟委任的项目总负责人、项目经理、项目总工和</w:t>
            </w:r>
            <w:r>
              <w:rPr>
                <w:rFonts w:hint="eastAsia" w:asciiTheme="minorEastAsia" w:hAnsiTheme="minorEastAsia" w:cstheme="minorEastAsia"/>
                <w:color w:val="000000" w:themeColor="text1"/>
                <w:highlight w:val="none"/>
                <w:lang w:eastAsia="zh-CN"/>
                <w14:textFill>
                  <w14:solidFill>
                    <w14:schemeClr w14:val="tx1"/>
                  </w14:solidFill>
                </w14:textFill>
              </w:rPr>
              <w:t>设计负责人</w:t>
            </w:r>
            <w:r>
              <w:rPr>
                <w:rFonts w:hint="eastAsia" w:asciiTheme="minorEastAsia" w:hAnsiTheme="minorEastAsia" w:eastAsiaTheme="minorEastAsia" w:cstheme="minorEastAsia"/>
                <w:color w:val="000000" w:themeColor="text1"/>
                <w:highlight w:val="none"/>
                <w14:textFill>
                  <w14:solidFill>
                    <w14:schemeClr w14:val="tx1"/>
                  </w14:solidFill>
                </w14:textFill>
              </w:rPr>
              <w:t>的社保缴费证明或其他能够证明拟委任的项目经理、项目总工和</w:t>
            </w:r>
            <w:r>
              <w:rPr>
                <w:rFonts w:hint="eastAsia" w:asciiTheme="minorEastAsia" w:hAnsiTheme="minorEastAsia" w:cstheme="minorEastAsia"/>
                <w:color w:val="000000" w:themeColor="text1"/>
                <w:highlight w:val="none"/>
                <w:lang w:eastAsia="zh-CN"/>
                <w14:textFill>
                  <w14:solidFill>
                    <w14:schemeClr w14:val="tx1"/>
                  </w14:solidFill>
                </w14:textFill>
              </w:rPr>
              <w:t>设计负责人</w:t>
            </w:r>
            <w:r>
              <w:rPr>
                <w:rFonts w:hint="eastAsia" w:asciiTheme="minorEastAsia" w:hAnsiTheme="minorEastAsia" w:eastAsiaTheme="minorEastAsia" w:cstheme="minorEastAsia"/>
                <w:color w:val="000000" w:themeColor="text1"/>
                <w:highlight w:val="none"/>
                <w14:textFill>
                  <w14:solidFill>
                    <w14:schemeClr w14:val="tx1"/>
                  </w14:solidFill>
                </w14:textFill>
              </w:rPr>
              <w:t>的参加社保的有效证明材料复印件（提供投标截止日前近半年内连续不少于3个月社保证明）。</w:t>
            </w:r>
          </w:p>
          <w:p w14:paraId="0E21E14D">
            <w:pPr>
              <w:keepNext w:val="0"/>
              <w:keepLines w:val="0"/>
              <w:pageBreakBefore w:val="0"/>
              <w:widowControl w:val="0"/>
              <w:kinsoku/>
              <w:wordWrap/>
              <w:overflowPunct/>
              <w:topLinePunct w:val="0"/>
              <w:bidi w:val="0"/>
              <w:adjustRightInd w:val="0"/>
              <w:snapToGrid w:val="0"/>
              <w:spacing w:line="312" w:lineRule="auto"/>
              <w:ind w:firstLine="422" w:firstLineChars="200"/>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注：根据《关于进一步加强公路建设市场信用信息管理和使用有关工作的通知》</w:t>
            </w:r>
            <w:r>
              <w:rPr>
                <w:rFonts w:hint="eastAsia" w:asciiTheme="minorEastAsia" w:hAnsiTheme="minorEastAsia" w:cstheme="minorEastAsia"/>
                <w:b/>
                <w:bCs/>
                <w:color w:val="000000" w:themeColor="text1"/>
                <w:szCs w:val="21"/>
                <w:highlight w:val="none"/>
                <w:lang w:eastAsia="zh-CN"/>
                <w14:textFill>
                  <w14:solidFill>
                    <w14:schemeClr w14:val="tx1"/>
                  </w14:solidFill>
                </w14:textFill>
              </w:rPr>
              <w:t>投标人的相关内容</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未于2024年12月31日前完成补录工作的，提供“全国公路建设市场信用信息管理系统”相关截图同等有效。</w:t>
            </w:r>
          </w:p>
          <w:p w14:paraId="2CEDCC3B">
            <w:pPr>
              <w:keepNext w:val="0"/>
              <w:keepLines w:val="0"/>
              <w:pageBreakBefore w:val="0"/>
              <w:widowControl w:val="0"/>
              <w:kinsoku/>
              <w:wordWrap/>
              <w:overflowPunct/>
              <w:topLinePunct w:val="0"/>
              <w:bidi w:val="0"/>
              <w:adjustRightInd w:val="0"/>
              <w:snapToGrid w:val="0"/>
              <w:spacing w:line="312" w:lineRule="auto"/>
              <w:ind w:firstLine="422"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除上述资料外，申请人无需再提供任何证明材料。如项目经理和项目总工目前仍在其他项目上任职，则投标人应按投标函的格式承诺上述人员能够从该项目撤离。</w:t>
            </w:r>
          </w:p>
        </w:tc>
      </w:tr>
      <w:tr w14:paraId="5BC43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6" w:hRule="atLeast"/>
          <w:jc w:val="center"/>
        </w:trPr>
        <w:tc>
          <w:tcPr>
            <w:tcW w:w="1121" w:type="dxa"/>
            <w:gridSpan w:val="2"/>
            <w:vAlign w:val="center"/>
          </w:tcPr>
          <w:p w14:paraId="6EE0676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3.7</w:t>
            </w:r>
          </w:p>
        </w:tc>
        <w:tc>
          <w:tcPr>
            <w:tcW w:w="8730" w:type="dxa"/>
            <w:gridSpan w:val="2"/>
            <w:vAlign w:val="center"/>
          </w:tcPr>
          <w:p w14:paraId="31EBE8B5">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kern w:val="0"/>
                <w:szCs w:val="21"/>
                <w:highlight w:val="none"/>
                <w14:textFill>
                  <w14:solidFill>
                    <w14:schemeClr w14:val="tx1"/>
                  </w14:solidFill>
                </w14:textFill>
              </w:rPr>
              <w:t>投标人须知范本</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正文第3.</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7</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项增加</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3.7.6</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内容如下</w:t>
            </w:r>
          </w:p>
          <w:p w14:paraId="424B3F32">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3.7.6本项目采用全流程电子投标，不需要提交纸质版的投标文件。</w:t>
            </w:r>
          </w:p>
        </w:tc>
      </w:tr>
      <w:tr w14:paraId="2276A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0" w:hRule="atLeast"/>
          <w:jc w:val="center"/>
        </w:trPr>
        <w:tc>
          <w:tcPr>
            <w:tcW w:w="1121" w:type="dxa"/>
            <w:gridSpan w:val="2"/>
            <w:vAlign w:val="center"/>
          </w:tcPr>
          <w:p w14:paraId="11F308B8">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4.1</w:t>
            </w:r>
          </w:p>
        </w:tc>
        <w:tc>
          <w:tcPr>
            <w:tcW w:w="8730" w:type="dxa"/>
            <w:gridSpan w:val="2"/>
            <w:vAlign w:val="center"/>
          </w:tcPr>
          <w:p w14:paraId="33A23D15">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删除</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4.1项内容：</w:t>
            </w:r>
          </w:p>
          <w:p w14:paraId="720E17F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4.1投标文件的密封和标记</w:t>
            </w:r>
          </w:p>
          <w:p w14:paraId="21BAF1B8">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4.1.1投标文件应采用双信封形式密封。投标文件第一个信封（商务及技术文件）以及第二个信封（报价文件）应单独密封包装。商务及技术文件的正本与副本应统一密封在一个封套中。报价文件的正本与副本、投标文件电子版文件（如需要）应统一密封在另一个封套中。封套应加贴封条，并在封套的封口处加盖投标人单位章或由投标人的法定代表人或其委托代理人签字。</w:t>
            </w:r>
          </w:p>
          <w:p w14:paraId="1BD7EB4D">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采用银行保函形式提交投标保证金的，银行保函原件应密封在单独的封套中。</w:t>
            </w:r>
          </w:p>
          <w:p w14:paraId="456A991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4.1.2投标文件第一个信封（商务及技术文件）、第二个信封（报价文件）以及银行保函封套上应写明的内容见投标人须知前附表。</w:t>
            </w:r>
          </w:p>
          <w:p w14:paraId="257F5F45">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4.1.3未按本章第4.1.1项要求密封的投标文件，招标人将予以拒收。</w:t>
            </w:r>
          </w:p>
        </w:tc>
      </w:tr>
      <w:tr w14:paraId="634B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4" w:hRule="atLeast"/>
          <w:jc w:val="center"/>
        </w:trPr>
        <w:tc>
          <w:tcPr>
            <w:tcW w:w="1121" w:type="dxa"/>
            <w:gridSpan w:val="2"/>
            <w:vAlign w:val="center"/>
          </w:tcPr>
          <w:p w14:paraId="3DDB08B9">
            <w:pPr>
              <w:keepNext w:val="0"/>
              <w:keepLines w:val="0"/>
              <w:pageBreakBefore w:val="0"/>
              <w:widowControl w:val="0"/>
              <w:kinsoku/>
              <w:wordWrap/>
              <w:overflowPunct/>
              <w:topLinePunct w:val="0"/>
              <w:bidi w:val="0"/>
              <w:adjustRightInd w:val="0"/>
              <w:snapToGrid w:val="0"/>
              <w:spacing w:line="380" w:lineRule="exact"/>
              <w:ind w:firstLine="210" w:firstLineChars="100"/>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w:t>
            </w:r>
          </w:p>
        </w:tc>
        <w:tc>
          <w:tcPr>
            <w:tcW w:w="8730" w:type="dxa"/>
            <w:gridSpan w:val="2"/>
            <w:vAlign w:val="center"/>
          </w:tcPr>
          <w:p w14:paraId="16EA71FC">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删除</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4.2项内容，并修改细化如下：</w:t>
            </w:r>
          </w:p>
          <w:p w14:paraId="3B237CAE">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4.2投标文件的递交</w:t>
            </w:r>
          </w:p>
          <w:p w14:paraId="5B72F886">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4.2.1投标人代表应按投标人须知前附表所规定的时间和地点向招标人递交投标文件。</w:t>
            </w:r>
          </w:p>
          <w:p w14:paraId="64B51A4C">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4.2.2电子投标文件统一采用网络上传的形式，投标人使用制作该投标文件的机构业务数字证书登录在递交投标文件截止时间前完整上传至全国公共资源交易平台（广东省·韶关市）电子投标系统。</w:t>
            </w:r>
          </w:p>
          <w:p w14:paraId="12BECBD9">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4.2.3投标文件统一制作成PDF格式文件，所附证书、证件均为扫描件，需个人签字的应手签后扫描上传。投标文件应采用单位数字证书，按招标文件要求在相应位置加盖电子印章且不能进行压缩处理。</w:t>
            </w:r>
          </w:p>
          <w:p w14:paraId="3C9F0F6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4.2.4投标文件应当按照《中华人民共和国电子签名法》和招标文件的要求加盖电子签章。</w:t>
            </w:r>
          </w:p>
          <w:p w14:paraId="3D1FF9B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4.2.5若出现以下情况之一的，招标人将拒绝接收投标文件：</w:t>
            </w:r>
          </w:p>
          <w:p w14:paraId="0EBC3DB3">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4.2.5.1投标文件未在递交投标文件截止时间前完整上传并保存在全国公共资源交易平台（广东省·韶关市）电子投标系统的；</w:t>
            </w:r>
          </w:p>
          <w:p w14:paraId="6697A96F">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4.2.5.2投标文件损坏或格式不正确的。</w:t>
            </w:r>
          </w:p>
        </w:tc>
      </w:tr>
      <w:tr w14:paraId="02D40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0" w:hRule="atLeast"/>
          <w:jc w:val="center"/>
        </w:trPr>
        <w:tc>
          <w:tcPr>
            <w:tcW w:w="1121" w:type="dxa"/>
            <w:gridSpan w:val="2"/>
            <w:vAlign w:val="center"/>
          </w:tcPr>
          <w:p w14:paraId="71771503">
            <w:pPr>
              <w:keepNext w:val="0"/>
              <w:keepLines w:val="0"/>
              <w:pageBreakBefore w:val="0"/>
              <w:widowControl w:val="0"/>
              <w:kinsoku/>
              <w:wordWrap/>
              <w:overflowPunct/>
              <w:topLinePunct w:val="0"/>
              <w:bidi w:val="0"/>
              <w:adjustRightInd w:val="0"/>
              <w:snapToGrid w:val="0"/>
              <w:spacing w:line="38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4.3</w:t>
            </w:r>
          </w:p>
        </w:tc>
        <w:tc>
          <w:tcPr>
            <w:tcW w:w="8730" w:type="dxa"/>
            <w:gridSpan w:val="2"/>
            <w:vAlign w:val="center"/>
          </w:tcPr>
          <w:p w14:paraId="006E10B3">
            <w:pPr>
              <w:keepNext w:val="0"/>
              <w:keepLines w:val="0"/>
              <w:pageBreakBefore w:val="0"/>
              <w:widowControl w:val="0"/>
              <w:kinsoku/>
              <w:wordWrap/>
              <w:overflowPunct/>
              <w:topLinePunct w:val="0"/>
              <w:bidi w:val="0"/>
              <w:adjustRightInd w:val="0"/>
              <w:snapToGrid w:val="0"/>
              <w:spacing w:line="380" w:lineRule="exact"/>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删除</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4.3项内容，并修改细化如下：</w:t>
            </w:r>
          </w:p>
          <w:p w14:paraId="19835934">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4.3投标文件的修改与撤回</w:t>
            </w:r>
          </w:p>
          <w:p w14:paraId="5F01DFE1">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4.3.1投标人在递交投标文件截止时间前，可以撤回或替换已递交的投标文件。</w:t>
            </w:r>
          </w:p>
          <w:p w14:paraId="65F6A4B9">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4.3.2在递交投标文件截止时间后，投标人不得补充、修改和更换投标文件。</w:t>
            </w:r>
          </w:p>
          <w:p w14:paraId="421A379B">
            <w:pPr>
              <w:keepNext w:val="0"/>
              <w:keepLines w:val="0"/>
              <w:pageBreakBefore w:val="0"/>
              <w:widowControl w:val="0"/>
              <w:kinsoku/>
              <w:wordWrap/>
              <w:overflowPunct/>
              <w:topLinePunct w:val="0"/>
              <w:bidi w:val="0"/>
              <w:adjustRightInd w:val="0"/>
              <w:snapToGrid w:val="0"/>
              <w:spacing w:line="380" w:lineRule="exact"/>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4.3.3在递交投标文件截止时间后，投标人在投标文件格式中规定的有效期终止日前，投标人不能撤回投标文件，否则其投标保证金将不予退还。</w:t>
            </w:r>
          </w:p>
        </w:tc>
      </w:tr>
      <w:tr w14:paraId="56628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1" w:type="dxa"/>
            <w:gridSpan w:val="2"/>
            <w:vAlign w:val="center"/>
          </w:tcPr>
          <w:p w14:paraId="1BEE7B2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5.2.1</w:t>
            </w:r>
          </w:p>
          <w:p w14:paraId="26F69BA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5.2.2</w:t>
            </w:r>
          </w:p>
          <w:p w14:paraId="5DBE070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5.2.3</w:t>
            </w:r>
          </w:p>
        </w:tc>
        <w:tc>
          <w:tcPr>
            <w:tcW w:w="8730" w:type="dxa"/>
            <w:gridSpan w:val="2"/>
            <w:vAlign w:val="center"/>
          </w:tcPr>
          <w:p w14:paraId="5E2125BC">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删除</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5.2.1、5.2.2、5.2.3项内容，并修改细化如下：</w:t>
            </w:r>
          </w:p>
          <w:p w14:paraId="38B176FD">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5.2开标程序</w:t>
            </w:r>
          </w:p>
          <w:p w14:paraId="0B2E8BA6">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5.2.1主持人按下列程序对投标文件第一个信封（商务及技术文件）进行开标：</w:t>
            </w:r>
          </w:p>
          <w:p w14:paraId="13B01A93">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（1）到达开标时间时，招标人（或招标代理机构）在电子开评标系统对本项目进行开标操作并对投标人的电子投标文件进行解密；</w:t>
            </w:r>
          </w:p>
          <w:p w14:paraId="65F846E0">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（2）投标人应该在开标结束时间前确认开标结果或提出异议，超时未确认的视为认可开标程序及开标结果。</w:t>
            </w:r>
          </w:p>
          <w:p w14:paraId="00C3F88A">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（3）查看开标疑义并进行答复（如有）；</w:t>
            </w:r>
          </w:p>
          <w:p w14:paraId="79226E97">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（4）到达开标结束时间时，结束开标。</w:t>
            </w:r>
          </w:p>
          <w:p w14:paraId="38F99A5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（5）开标会结束，招标人（或委托招标代理）对开标过程进行记录，并存档备查。</w:t>
            </w:r>
          </w:p>
          <w:p w14:paraId="5AA3720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5.2.2在投标文件第一个信封（商务及技术文件）开标现场，投标文件第二个信封（报价文件）不予开标。</w:t>
            </w:r>
          </w:p>
          <w:p w14:paraId="4B5AF9C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5.2.3招标人将按照本章第5.1款规定的时间和地点对投标文件第二个信封</w:t>
            </w:r>
          </w:p>
          <w:p w14:paraId="7C2DCCDD">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（报价文件）进行开标。主持人按下列程序进行开标：</w:t>
            </w:r>
          </w:p>
          <w:p w14:paraId="04193E9D">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（1）宣布开标纪律；</w:t>
            </w:r>
          </w:p>
          <w:p w14:paraId="5783B81E">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（2）当众宣布通过投标文件第一个信封（商务及技术文件）评审的投标人名单；</w:t>
            </w:r>
          </w:p>
          <w:p w14:paraId="733B41BE">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（3）宣布开标人、唱标人、记录人等有关人员姓名；</w:t>
            </w:r>
          </w:p>
          <w:p w14:paraId="435616FA">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按照投标人须知前附表规定的开标顺序当众开标，开标人只解密通过投标文件第一个信封（商务及技术文件）评审的投标文件第二个信封（报价文件），公布项目包名称、投标人名称、投标报价及其他内容，并记录在案；</w:t>
            </w:r>
          </w:p>
          <w:p w14:paraId="58BC3F86">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（5）计算并宣布评标基准价；</w:t>
            </w:r>
          </w:p>
          <w:p w14:paraId="48DDD531">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（6）有关人员在开标记录上签字确认；</w:t>
            </w:r>
          </w:p>
          <w:p w14:paraId="014886A8">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（7）开标结束。</w:t>
            </w:r>
          </w:p>
        </w:tc>
      </w:tr>
      <w:tr w14:paraId="5A7BB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4" w:hRule="atLeast"/>
          <w:jc w:val="center"/>
        </w:trPr>
        <w:tc>
          <w:tcPr>
            <w:tcW w:w="1121" w:type="dxa"/>
            <w:gridSpan w:val="2"/>
            <w:vAlign w:val="center"/>
          </w:tcPr>
          <w:p w14:paraId="1C6C952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5.4</w:t>
            </w:r>
          </w:p>
        </w:tc>
        <w:tc>
          <w:tcPr>
            <w:tcW w:w="8730" w:type="dxa"/>
            <w:gridSpan w:val="2"/>
            <w:vAlign w:val="center"/>
          </w:tcPr>
          <w:p w14:paraId="0CA223D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投标人须知正文范本第</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5.3</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款后</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增加5.4条款，内容如下：</w:t>
            </w:r>
          </w:p>
          <w:p w14:paraId="434533C3">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5.4.</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1.招标人在投标人须知前附表规定的时间和地点公开开标，并邀请所有投标人的代表出席。上述时间及地点是否有改变，请密切留意招标答疑的相关信息。</w:t>
            </w:r>
          </w:p>
          <w:p w14:paraId="50DF9F13">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5.</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.2根据关于网上开标大厅功能上线使用的通知，本项目开标采用网上开标的形式，投标人无需到开标现场参加开标会议。</w:t>
            </w:r>
          </w:p>
          <w:p w14:paraId="2DE67093">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5.4.3开标过程中，投标人对开标过程或开标结果有疑义的，可登录交易系统在交易系统提出及查看相关答复。</w:t>
            </w:r>
          </w:p>
          <w:p w14:paraId="7C79749E">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5.4.4具体事宜投标人可登录全国公共资源交易平台（广东省·韶关市）（http://portal.ythpt.sg.gov.cn），在【服务指南】栏目中下载《韶关市公共资源建设工程交易系统-投标人操作指南》。</w:t>
            </w:r>
          </w:p>
        </w:tc>
      </w:tr>
      <w:tr w14:paraId="4E1D1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1121" w:type="dxa"/>
            <w:gridSpan w:val="2"/>
            <w:vAlign w:val="center"/>
          </w:tcPr>
          <w:p w14:paraId="57B25A5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9</w:t>
            </w:r>
          </w:p>
        </w:tc>
        <w:tc>
          <w:tcPr>
            <w:tcW w:w="8730" w:type="dxa"/>
            <w:gridSpan w:val="2"/>
          </w:tcPr>
          <w:p w14:paraId="703FD45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投标人须知范本正文第9.5款后增加如下条款：9.6款、</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9.7款</w:t>
            </w:r>
            <w:r>
              <w:rPr>
                <w:rFonts w:hint="eastAsia" w:asciiTheme="minorEastAsia" w:hAnsiTheme="minorEastAsia" w:eastAsiaTheme="minorEastAsia" w:cstheme="minorEastAsia"/>
                <w:b/>
                <w:bCs/>
                <w:color w:val="000000" w:themeColor="text1"/>
                <w:szCs w:val="21"/>
                <w:highlight w:val="none"/>
                <w:lang w:val="zh-CN"/>
                <w14:textFill>
                  <w14:solidFill>
                    <w14:schemeClr w14:val="tx1"/>
                  </w14:solidFill>
                </w14:textFill>
              </w:rPr>
              <w:t>。</w:t>
            </w:r>
          </w:p>
          <w:p w14:paraId="5BC275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9.6本招标文件中所有“类似工程”均指</w:t>
            </w:r>
            <w:r>
              <w:rPr>
                <w:rFonts w:hint="eastAsia" w:asciiTheme="minorEastAsia" w:hAnsiTheme="minorEastAsia" w:eastAsiaTheme="minorEastAsia" w:cstheme="minorEastAsia"/>
                <w:color w:val="000000" w:themeColor="text1"/>
                <w:spacing w:val="-2"/>
                <w:szCs w:val="21"/>
                <w:highlight w:val="none"/>
                <w14:textFill>
                  <w14:solidFill>
                    <w14:schemeClr w14:val="tx1"/>
                  </w14:solidFill>
                </w14:textFill>
              </w:rPr>
              <w:t>本招标文件中所有“类似工程”均指</w:t>
            </w:r>
            <w:r>
              <w:rPr>
                <w:rFonts w:hint="eastAsia" w:asciiTheme="minorEastAsia" w:hAnsiTheme="minorEastAsia" w:eastAsiaTheme="minorEastAsia" w:cstheme="minorEastAsia"/>
                <w:color w:val="000000" w:themeColor="text1"/>
                <w:spacing w:val="-2"/>
                <w:szCs w:val="21"/>
                <w:highlight w:val="none"/>
                <w:u w:val="single"/>
                <w14:textFill>
                  <w14:solidFill>
                    <w14:schemeClr w14:val="tx1"/>
                  </w14:solidFill>
                </w14:textFill>
              </w:rPr>
              <w:t>公路新建或</w:t>
            </w:r>
            <w:r>
              <w:rPr>
                <w:rFonts w:hint="eastAsia" w:asciiTheme="minorEastAsia" w:hAnsiTheme="minorEastAsia" w:eastAsiaTheme="minorEastAsia" w:cstheme="minorEastAsia"/>
                <w:color w:val="000000" w:themeColor="text1"/>
                <w:spacing w:val="-3"/>
                <w:szCs w:val="21"/>
                <w:highlight w:val="none"/>
                <w:u w:val="single"/>
                <w14:textFill>
                  <w14:solidFill>
                    <w14:schemeClr w14:val="tx1"/>
                  </w14:solidFill>
                </w14:textFill>
              </w:rPr>
              <w:t>改建或扩建项目或公路养护</w:t>
            </w:r>
            <w:r>
              <w:rPr>
                <w:rFonts w:hint="eastAsia" w:asciiTheme="minorEastAsia" w:hAnsiTheme="minorEastAsia" w:eastAsiaTheme="minorEastAsia" w:cstheme="minorEastAsia"/>
                <w:color w:val="000000" w:themeColor="text1"/>
                <w:spacing w:val="-4"/>
                <w:szCs w:val="21"/>
                <w:highlight w:val="none"/>
                <w:u w:val="single"/>
                <w14:textFill>
                  <w14:solidFill>
                    <w14:schemeClr w14:val="tx1"/>
                  </w14:solidFill>
                </w14:textFill>
              </w:rPr>
              <w:t>项目</w:t>
            </w: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。在采用新建公路项目完工业绩时，对于同公路等级改、扩建中的新建桥梁或隧道工程业绩也应认可。</w:t>
            </w:r>
          </w:p>
        </w:tc>
      </w:tr>
      <w:tr w14:paraId="761A5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0" w:hRule="atLeast"/>
          <w:jc w:val="center"/>
        </w:trPr>
        <w:tc>
          <w:tcPr>
            <w:tcW w:w="1121" w:type="dxa"/>
            <w:gridSpan w:val="2"/>
            <w:vAlign w:val="center"/>
          </w:tcPr>
          <w:p w14:paraId="4DF6BC2B">
            <w:pPr>
              <w:keepNext w:val="0"/>
              <w:keepLines w:val="0"/>
              <w:pageBreakBefore w:val="0"/>
              <w:widowControl w:val="0"/>
              <w:kinsoku/>
              <w:wordWrap/>
              <w:overflowPunct/>
              <w:topLinePunct w:val="0"/>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10</w:t>
            </w:r>
          </w:p>
        </w:tc>
        <w:tc>
          <w:tcPr>
            <w:tcW w:w="8730" w:type="dxa"/>
            <w:gridSpan w:val="2"/>
          </w:tcPr>
          <w:p w14:paraId="0D9D9AC3">
            <w:pPr>
              <w:pStyle w:val="48"/>
              <w:keepNext w:val="0"/>
              <w:keepLines w:val="0"/>
              <w:pageBreakBefore w:val="0"/>
              <w:widowControl w:val="0"/>
              <w:kinsoku/>
              <w:wordWrap/>
              <w:overflowPunct/>
              <w:topLinePunct w:val="0"/>
              <w:bidi w:val="0"/>
              <w:adjustRightInd w:val="0"/>
              <w:snapToGrid w:val="0"/>
              <w:spacing w:line="288" w:lineRule="auto"/>
              <w:jc w:val="left"/>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在10.1款后增加如下条款：10.2款、10.3款、10.4款、10.5款、10.6款、10.7款、10.8款、10.9款。</w:t>
            </w:r>
          </w:p>
          <w:p w14:paraId="7246D5D9">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10.2信用等级的确定原则：</w:t>
            </w:r>
          </w:p>
          <w:p w14:paraId="2286C9B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10.2.1招标文件中的信用等级指的是广东省交通运输厅最新年度的信用评价。如无广东省最新年度信用等级而有上一年度广东省信用等级的，则其原信用等级可延续一年，但在递交资审申请文件(资格后审的为投标文件)时信用等级的使用次数应按上一年度公布的信用评价结果顺延上一年度的使用次数。具体使用次数有关规定如下：</w:t>
            </w:r>
          </w:p>
          <w:p w14:paraId="27F529E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1.对于信用等级为AA级的从业单位:</w:t>
            </w:r>
          </w:p>
          <w:p w14:paraId="03555425">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仅最新一年度信用等级为AA级的从业单位在参加广东省公路工程建设项目投标活动(以递交资格预审申请文件或资格后审递交投标文件时间为准)时，可申请使用AA级分值8次，用完8次后信用等级分值将按A级分值取定；</w:t>
            </w:r>
          </w:p>
          <w:p w14:paraId="7B89BF04">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(2)连续最近两个年度信用等级为AA级的单位在参加广东省公路工程投标活动(以递交资格预审申请文件或资格后审递交投标文件时间为准)时，可申请使用AA级分值12次，用完12次后信用等级分值将按A级取定；</w:t>
            </w:r>
          </w:p>
          <w:p w14:paraId="6E7209C5">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对于信用等级为A级的从业单位:当年度信用等级A级单位在参加广东省公路工程建设项目招投标活动(以递交资格预审申请文件或资格后审递交投标文件时间为准)时，可申请使用A级分值12次，用完12次后信用等级分值将按B级分值取定。</w:t>
            </w:r>
          </w:p>
          <w:p w14:paraId="27EDAB2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3.当年度信用等级为AA、A级的从业单位未承诺使用的信用等级分值的，AA级信用等级企业按A级对待、A级信用等级企业按B级对待。</w:t>
            </w:r>
          </w:p>
          <w:p w14:paraId="63CBAFE3">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4.若从业企业在信用评价年度信用等级由AA降级为A级时，AA级信用等级已使用次数纳入A级信用等级使用次数合并累计。</w:t>
            </w:r>
          </w:p>
          <w:p w14:paraId="18278490">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10.2.2信用等级延续1年后仍无信用评价等级的，按照初次进入广东省确定，原则上按B级对待，但下列情况除外：最新年度的全国公路从业单位(施工单位)信用评价结果为C级或D级的，则按最新年度的全国公路从业单位(施工单位)信用评价结果对待；或最新年度的全国公路从业单位(施工单位)信用评价结果未被评为C级或D级的，但在广东省最近年度原评价等级为D级的，则按C级对待。</w:t>
            </w:r>
          </w:p>
          <w:p w14:paraId="3F154DC5">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10.2.3AA、A级单位是指使用广东省信用评价等级申请承诺书的单位。提交申请承诺书未使用AA、A时，在评标过程中，AA级信用等级企业按A级对待、A级信用等级企业按B级对待。(注：属于资格预审项目的，以资格预审申请文件的为准。当出现跨年度信用等级时，以投标人资格预审时申请使用信用等级与投标文件递交截止日的信用等级作比较，按“就低原则”认定等级，即降低等级的按低等级认定、升高等级的仍维持资审时的申请等级。)</w:t>
            </w:r>
          </w:p>
          <w:p w14:paraId="2F556705">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10.2.4在招标评标中，信用评价等级采用按次、按标段或标类(指资格预审时未明确具体标段的情形)申请使用的原则，即在同一次招标中的多个标段的投标，可自愿对其中部分或全部标段申请使用AA或A级信用等级，无论中标与否，均应根据递交投标(或申请)文件情况按标段计算使用次数(非投标人原因导致招标失败的情况外)。</w:t>
            </w:r>
          </w:p>
          <w:p w14:paraId="7A5DE63B">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10.2.5招标项目为一个标段类别时，投标人以联合体形式投标的，信用等级以联合体中信用等级较低的为准。</w:t>
            </w:r>
          </w:p>
          <w:p w14:paraId="7F566735">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10.2.6如招标内容包含了多个标段类别(如机电工程+交通安全设施工程类)，招标项目的资质条件设置不止一个资质时投标人的信用等级认定原则：</w:t>
            </w:r>
          </w:p>
          <w:p w14:paraId="30C24D2C">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方法一(就低不就高模式)：</w:t>
            </w:r>
          </w:p>
          <w:p w14:paraId="291760A3">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独立投标的，按各类别招标内容相对应的投标人的信用等级，按就低不就高的原则确定投标人的最终信用等级得分；以联合体形式投标的，联合体成员按联合体协议书中约定承担的专业工程对应相应的信用等级，按就低不就高的原则确定投标人的最终信用等级得分。</w:t>
            </w:r>
          </w:p>
          <w:p w14:paraId="00E303EB">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10.2.7附属区房建项目不属于广东省公路水运工程从业企业信用评价体系的参评范围，故附属区房建项目单独招标时，投标人的信用评价等级视为B级。</w:t>
            </w:r>
          </w:p>
          <w:p w14:paraId="2019F26A">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10.3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1E758E26">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10.4如果开标后至中标通知书发出前，中标候选人发生投标人须知1.4.4（1）至（7）的情形及中标候选人信用等级被广东省交通运输厅直接降为D级的情形，则取消其中标资格，招标人按推荐中标候选人排名顺序依次确定中标人，或重新组织招标。</w:t>
            </w:r>
          </w:p>
          <w:p w14:paraId="1EDB0B48">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10.5本招标文件中所有“类似工程”均指新建、改建、扩建、路面改造、路面维修类型中的一种三级或以上等级公路工程。在采用新建的公路项目完工业绩时，对于同公路等级改、扩建中的新建桥梁或隧道工程业绩也应认可。</w:t>
            </w:r>
          </w:p>
          <w:p w14:paraId="544C7F3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10.6有关业绩的说明：</w:t>
            </w:r>
          </w:p>
          <w:p w14:paraId="15B95011">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10.6.1</w:t>
            </w:r>
          </w:p>
          <w:p w14:paraId="0141475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a、特大桥及大桥按国家最新颁布的标准进行划分；</w:t>
            </w:r>
          </w:p>
          <w:p w14:paraId="405A79B2">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b、完成整座桥梁的半幅或整座桥梁其中的一部分工作内容达到特大桥或大桥对应技术标准的，按相应标标准以座计算；</w:t>
            </w:r>
          </w:p>
          <w:p w14:paraId="69FB7821">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c、同一投标人的单座桥梁仅能计一次，只完成整个工程部分分部工程不参与计算业绩。</w:t>
            </w:r>
          </w:p>
          <w:p w14:paraId="6F3C86D1">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10.6.2</w:t>
            </w:r>
          </w:p>
          <w:p w14:paraId="000CF14C">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a、特长隧道：单座隧道单洞（即左洞加右洞）总长大于6000m的，或完成单座隧道的一部分且该部分的单洞累计长度大于6000m的，均按1座计；完成单座特长隧道的一部分，该部分单洞累计长度大于3000m且不大于6000m的，按0.5座计，完成N座该类隧道按N×0.5座计；</w:t>
            </w:r>
          </w:p>
          <w:p w14:paraId="0B919D58">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b、长隧道：单座隧道单洞（即左洞加右洞）总长大于2000米且不大于6000米的，或完成单座隧道的一部分且该部分的单洞累计长度大于2000米且不大于6000米的，均按1座计；</w:t>
            </w:r>
          </w:p>
          <w:p w14:paraId="6C4DFD4D">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c、同一座隧道同时满足条件的，同一投标人只计算一次业绩；特长隧道可计为长隧道。</w:t>
            </w:r>
          </w:p>
          <w:p w14:paraId="06FB73A6">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10.7招标文件中如无特别说明，业绩里程累计长度均不扣除桥隧等构造物长度。</w:t>
            </w:r>
          </w:p>
          <w:p w14:paraId="77904E57">
            <w:pPr>
              <w:pStyle w:val="48"/>
              <w:keepNext w:val="0"/>
              <w:keepLines w:val="0"/>
              <w:pageBreakBefore w:val="0"/>
              <w:widowControl w:val="0"/>
              <w:kinsoku/>
              <w:wordWrap/>
              <w:overflowPunct/>
              <w:topLinePunct w:val="0"/>
              <w:bidi w:val="0"/>
              <w:adjustRightInd w:val="0"/>
              <w:snapToGrid w:val="0"/>
              <w:spacing w:line="288" w:lineRule="auto"/>
              <w:ind w:firstLine="420" w:firstLineChars="200"/>
              <w:jc w:val="left"/>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10.8若投标人在递交投标文件期间，出现采取不正当手段妨碍其他投标人投标的过激行为，或出现在开标会现场扰乱招投标市场秩序的行为，招标人有权将投标人此行为上报省级交通主管部门，作为不良记录纳入公路建设市场信用信息管理系统。</w:t>
            </w:r>
          </w:p>
        </w:tc>
      </w:tr>
      <w:tr w14:paraId="02473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jc w:val="center"/>
        </w:trPr>
        <w:tc>
          <w:tcPr>
            <w:tcW w:w="9851" w:type="dxa"/>
            <w:gridSpan w:val="4"/>
            <w:vAlign w:val="center"/>
          </w:tcPr>
          <w:p w14:paraId="6AC0D20D">
            <w:pPr>
              <w:keepNext w:val="0"/>
              <w:keepLines w:val="0"/>
              <w:pageBreakBefore w:val="0"/>
              <w:widowControl w:val="0"/>
              <w:kinsoku/>
              <w:wordWrap/>
              <w:overflowPunct/>
              <w:topLinePunct w:val="0"/>
              <w:bidi w:val="0"/>
              <w:adjustRightInd w:val="0"/>
              <w:snapToGrid w:val="0"/>
              <w:spacing w:line="288" w:lineRule="auto"/>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备注：“投标人须知”前附表是“投标人须知”正文内容的补充、细化和修改，投标人应结合“投标人须知”正文与“投标人须知”前附表两部分内容仔细阅读“投标人须知”。</w:t>
            </w:r>
          </w:p>
        </w:tc>
      </w:tr>
    </w:tbl>
    <w:p w14:paraId="026C1C9A">
      <w:pPr>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pPr>
      <w:r>
        <w:rPr>
          <w:rFonts w:hint="eastAsia" w:asciiTheme="minorEastAsia" w:hAnsiTheme="minorEastAsia" w:eastAsiaTheme="minorEastAsia" w:cstheme="minorEastAsia"/>
          <w:color w:val="000000" w:themeColor="text1"/>
          <w:kern w:val="0"/>
          <w:szCs w:val="22"/>
          <w:lang w:val="zh-CN" w:bidi="zh-CN"/>
          <w14:textFill>
            <w14:solidFill>
              <w14:schemeClr w14:val="tx1"/>
            </w14:solidFill>
          </w14:textFill>
        </w:rPr>
        <w:br w:type="page"/>
      </w:r>
    </w:p>
    <w:p w14:paraId="0891E797">
      <w:pPr>
        <w:autoSpaceDE w:val="0"/>
        <w:autoSpaceDN w:val="0"/>
        <w:adjustRightInd w:val="0"/>
        <w:spacing w:after="156" w:line="460" w:lineRule="exact"/>
        <w:jc w:val="center"/>
        <w:outlineLvl w:val="1"/>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附录1资格审查条件(资质最低要求)</w:t>
      </w:r>
    </w:p>
    <w:p w14:paraId="606E3356">
      <w:pPr>
        <w:spacing w:line="160" w:lineRule="exact"/>
        <w:rPr>
          <w:rFonts w:hint="eastAsia" w:asciiTheme="minorEastAsia" w:hAnsiTheme="minorEastAsia" w:eastAsiaTheme="minorEastAsia" w:cstheme="minorEastAsia"/>
          <w:color w:val="000000" w:themeColor="text1"/>
          <w14:textFill>
            <w14:solidFill>
              <w14:schemeClr w14:val="tx1"/>
            </w14:solidFill>
          </w14:textFill>
        </w:rPr>
      </w:pP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67AA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000" w:type="pct"/>
            <w:vAlign w:val="center"/>
          </w:tcPr>
          <w:p w14:paraId="7EB45841">
            <w:pPr>
              <w:pStyle w:val="8"/>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勘察设计、施工企业资质等级要求</w:t>
            </w:r>
          </w:p>
        </w:tc>
      </w:tr>
      <w:tr w14:paraId="484C2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000" w:type="pct"/>
            <w:vAlign w:val="center"/>
          </w:tcPr>
          <w:p w14:paraId="17DAA99C">
            <w:pPr>
              <w:spacing w:before="68" w:line="220" w:lineRule="auto"/>
              <w:ind w:left="135"/>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4"/>
                <w14:textFill>
                  <w14:solidFill>
                    <w14:schemeClr w14:val="tx1"/>
                  </w14:solidFill>
                </w14:textFill>
              </w:rPr>
              <w:t>同时具备在有效期内的下列资质：</w:t>
            </w:r>
          </w:p>
          <w:p w14:paraId="3AA977E0">
            <w:pPr>
              <w:numPr>
                <w:ilvl w:val="0"/>
                <w:numId w:val="3"/>
              </w:numPr>
              <w:topLinePunct/>
              <w:adjustRightInd w:val="0"/>
              <w:spacing w:before="93" w:beforeLines="30"/>
              <w:ind w:left="210"/>
              <w:rPr>
                <w:rFonts w:hint="eastAsia" w:asciiTheme="minorEastAsia" w:hAnsiTheme="minorEastAsia" w:eastAsiaTheme="minorEastAsia" w:cstheme="minorEastAsia"/>
                <w:b/>
                <w:bCs/>
                <w:color w:val="000000" w:themeColor="text1"/>
                <w:kern w:val="0"/>
                <w:sz w:val="24"/>
                <w:lang w:bidi="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lang w:bidi="zh-CN"/>
                <w14:textFill>
                  <w14:solidFill>
                    <w14:schemeClr w14:val="tx1"/>
                  </w14:solidFill>
                </w14:textFill>
              </w:rPr>
              <w:t>勘察资质须具备以下资质之一：</w:t>
            </w:r>
          </w:p>
          <w:p w14:paraId="12689AAE">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①具有建设行政主管部门颁发的工程勘察综合甲级资质；</w:t>
            </w:r>
          </w:p>
          <w:p w14:paraId="5202B191">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②具有建设行政主管部门颁发的工程勘察专业类（工程测量）乙级或以上资质和工程勘察专业类（岩土工程（勘察））乙级或以上资质；</w:t>
            </w:r>
          </w:p>
          <w:p w14:paraId="4C62F5E5">
            <w:pPr>
              <w:adjustRightInd w:val="0"/>
              <w:snapToGrid w:val="0"/>
              <w:spacing w:line="410" w:lineRule="exact"/>
              <w:ind w:firstLine="241" w:firstLineChars="100"/>
              <w:rPr>
                <w:rFonts w:hint="eastAsia" w:asciiTheme="minorEastAsia" w:hAnsiTheme="minorEastAsia" w:eastAsiaTheme="minorEastAsia" w:cstheme="minorEastAsia"/>
                <w:b/>
                <w:bCs/>
                <w:color w:val="000000" w:themeColor="text1"/>
                <w:kern w:val="0"/>
                <w:sz w:val="24"/>
                <w:lang w:bidi="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lang w:bidi="zh-CN"/>
                <w14:textFill>
                  <w14:solidFill>
                    <w14:schemeClr w14:val="tx1"/>
                  </w14:solidFill>
                </w14:textFill>
              </w:rPr>
              <w:t>（二）设计资质须具备以下资质之一：</w:t>
            </w:r>
          </w:p>
          <w:p w14:paraId="0B803374">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①具有建设行政主管部门颁发的工程设计综合甲级资质；</w:t>
            </w:r>
          </w:p>
          <w:p w14:paraId="504293C6">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②具有建设行政主管部门颁发的公路行业设计甲级资质；</w:t>
            </w:r>
          </w:p>
          <w:p w14:paraId="252BFA55">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③具有建设行政主管部门颁发的公路行业（公路）专业设计乙级或以上资质。</w:t>
            </w:r>
          </w:p>
          <w:p w14:paraId="232F5BD5">
            <w:pPr>
              <w:topLinePunct/>
              <w:adjustRightInd w:val="0"/>
              <w:spacing w:before="93" w:beforeLines="30"/>
              <w:ind w:firstLine="482" w:firstLineChars="200"/>
              <w:rPr>
                <w:rFonts w:hint="eastAsia" w:asciiTheme="minorEastAsia" w:hAnsiTheme="minorEastAsia" w:eastAsiaTheme="minorEastAsia" w:cstheme="minorEastAsia"/>
                <w:b/>
                <w:bCs/>
                <w:color w:val="000000" w:themeColor="text1"/>
                <w:kern w:val="0"/>
                <w:sz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14:textFill>
                  <w14:solidFill>
                    <w14:schemeClr w14:val="tx1"/>
                  </w14:solidFill>
                </w14:textFill>
              </w:rPr>
              <w:t>（三）施工资质要求：</w:t>
            </w:r>
          </w:p>
          <w:p w14:paraId="6AE2C2C2">
            <w:pPr>
              <w:topLinePunct/>
              <w:adjustRightInd w:val="0"/>
              <w:spacing w:before="93" w:beforeLines="30"/>
              <w:ind w:firstLine="480" w:firstLineChars="20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具有建设行政主管部门颁发的公路工程施工总承包三级或以上资质，并具备建设行政主管部门颁发具备合法有效的安全生产许可证；</w:t>
            </w:r>
          </w:p>
          <w:p w14:paraId="18567827">
            <w:pPr>
              <w:topLinePunct/>
              <w:adjustRightInd w:val="0"/>
              <w:spacing w:before="93" w:beforeLines="30"/>
              <w:ind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如以为联合体投标，联合体所有成员数量不得超过2家，联合体牵头人必须为施工单位；联合体投标时，必须签订联合体协议书，明确联合体成员各方的权利和义务；已组成联合体各方不得再以自己名义单独或加入其它联合体在本项目中参加投标。</w:t>
            </w:r>
          </w:p>
        </w:tc>
      </w:tr>
    </w:tbl>
    <w:p w14:paraId="2C1D0152">
      <w:pPr>
        <w:rPr>
          <w:rFonts w:hint="eastAsia" w:asciiTheme="minorEastAsia" w:hAnsiTheme="minorEastAsia" w:eastAsiaTheme="minorEastAsia" w:cstheme="minorEastAsia"/>
          <w:color w:val="000000" w:themeColor="text1"/>
          <w14:textFill>
            <w14:solidFill>
              <w14:schemeClr w14:val="tx1"/>
            </w14:solidFill>
          </w14:textFill>
        </w:rPr>
      </w:pPr>
    </w:p>
    <w:p w14:paraId="6FC87D54">
      <w:pPr>
        <w:ind w:firstLine="420"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注：1、招标人将按照交通运输部《</w:t>
      </w:r>
      <w:r>
        <w:rPr>
          <w:rFonts w:hint="eastAsia" w:asciiTheme="minorEastAsia" w:hAnsiTheme="minorEastAsia" w:eastAsiaTheme="minorEastAsia" w:cstheme="minorEastAsia"/>
          <w:color w:val="000000" w:themeColor="text1"/>
          <w:szCs w:val="2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szCs w:val="21"/>
          <w14:textFill>
            <w14:solidFill>
              <w14:schemeClr w14:val="tx1"/>
            </w14:solidFill>
          </w14:textFill>
        </w:rPr>
        <w:t>》网站中“公路工程施工资质企业名录”（以下简称“名录”）进行审核。对于未列入“名录”或投标人名称、资质信息与“名录”查询结果不符的，将不能通过资格审查</w:t>
      </w:r>
      <w:r>
        <w:rPr>
          <w:rFonts w:hint="eastAsia" w:asciiTheme="minorEastAsia" w:hAnsiTheme="minorEastAsia" w:eastAsiaTheme="minorEastAsia" w:cstheme="minorEastAsia"/>
          <w:b/>
          <w:bCs/>
          <w:color w:val="000000" w:themeColor="text1"/>
          <w:szCs w:val="21"/>
          <w14:textFill>
            <w14:solidFill>
              <w14:schemeClr w14:val="tx1"/>
            </w14:solidFill>
          </w14:textFill>
        </w:rPr>
        <w:t>（如以联合体投标的，适用于联合体各成员中具有施工资质的联合体牵头人）。</w:t>
      </w:r>
    </w:p>
    <w:p w14:paraId="797CF7D9">
      <w:pPr>
        <w:ind w:firstLine="840" w:firstLineChars="400"/>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2、招标人将按照交通运输部《</w:t>
      </w:r>
      <w:r>
        <w:rPr>
          <w:rFonts w:hint="eastAsia" w:asciiTheme="minorEastAsia" w:hAnsiTheme="minorEastAsia" w:eastAsiaTheme="minorEastAsia" w:cstheme="minorEastAsia"/>
          <w:color w:val="000000" w:themeColor="text1"/>
          <w:szCs w:val="2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szCs w:val="21"/>
          <w14:textFill>
            <w14:solidFill>
              <w14:schemeClr w14:val="tx1"/>
            </w14:solidFill>
          </w14:textFill>
        </w:rPr>
        <w:t>》网站中“公路工程设计资质企业名录”（以下简称“名录”）进行审核。对于未列入“名录”或投标人名称、资质信息与“名录”查询结果不符的，将不能通过资格审查</w:t>
      </w:r>
      <w:r>
        <w:rPr>
          <w:rFonts w:hint="eastAsia" w:asciiTheme="minorEastAsia" w:hAnsiTheme="minorEastAsia" w:eastAsiaTheme="minorEastAsia" w:cstheme="minorEastAsia"/>
          <w:b/>
          <w:bCs/>
          <w:color w:val="000000" w:themeColor="text1"/>
          <w:szCs w:val="21"/>
          <w14:textFill>
            <w14:solidFill>
              <w14:schemeClr w14:val="tx1"/>
            </w14:solidFill>
          </w14:textFill>
        </w:rPr>
        <w:t>（如以联合体投标的，适用于联合体各成员中具有勘察设计资质联合体成员）。</w:t>
      </w:r>
    </w:p>
    <w:p w14:paraId="4A3D353F">
      <w:pPr>
        <w:autoSpaceDE w:val="0"/>
        <w:autoSpaceDN w:val="0"/>
        <w:adjustRightInd w:val="0"/>
        <w:spacing w:before="156" w:after="156" w:line="460" w:lineRule="exact"/>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p>
    <w:p w14:paraId="29307DA4">
      <w:pPr>
        <w:autoSpaceDE w:val="0"/>
        <w:autoSpaceDN w:val="0"/>
        <w:adjustRightInd w:val="0"/>
        <w:spacing w:before="156" w:after="156" w:line="460" w:lineRule="exact"/>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p>
    <w:p w14:paraId="4450C88E">
      <w:pPr>
        <w:autoSpaceDE w:val="0"/>
        <w:autoSpaceDN w:val="0"/>
        <w:adjustRightInd w:val="0"/>
        <w:spacing w:before="156" w:after="156" w:line="460" w:lineRule="exact"/>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p>
    <w:p w14:paraId="71642EF6">
      <w:pPr>
        <w:autoSpaceDE w:val="0"/>
        <w:autoSpaceDN w:val="0"/>
        <w:adjustRightInd w:val="0"/>
        <w:spacing w:before="156" w:after="156" w:line="460" w:lineRule="exact"/>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sectPr>
          <w:pgSz w:w="11906" w:h="16838"/>
          <w:pgMar w:top="1440" w:right="1080" w:bottom="1440" w:left="1080" w:header="851" w:footer="992" w:gutter="0"/>
          <w:pgNumType w:fmt="numberInDash"/>
          <w:cols w:space="720" w:num="1"/>
          <w:docGrid w:type="lines" w:linePitch="312" w:charSpace="0"/>
        </w:sectPr>
      </w:pPr>
    </w:p>
    <w:p w14:paraId="078C601E">
      <w:pPr>
        <w:autoSpaceDE w:val="0"/>
        <w:autoSpaceDN w:val="0"/>
        <w:adjustRightInd w:val="0"/>
        <w:spacing w:after="156" w:line="460" w:lineRule="exact"/>
        <w:jc w:val="center"/>
        <w:outlineLvl w:val="1"/>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附录2资格审查条件(财务最低要求)</w:t>
      </w:r>
    </w:p>
    <w:p w14:paraId="2F500E2E">
      <w:pPr>
        <w:snapToGrid w:val="0"/>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49"/>
      </w:tblGrid>
      <w:tr w14:paraId="0F7CB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3" w:hRule="exact"/>
        </w:trPr>
        <w:tc>
          <w:tcPr>
            <w:tcW w:w="9549" w:type="dxa"/>
            <w:vAlign w:val="center"/>
          </w:tcPr>
          <w:p w14:paraId="2D3CC5CA">
            <w:pPr>
              <w:jc w:val="center"/>
              <w:rPr>
                <w:rFonts w:hint="eastAsia"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财务要求</w:t>
            </w:r>
          </w:p>
        </w:tc>
      </w:tr>
      <w:tr w14:paraId="15BF8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8" w:hRule="exact"/>
        </w:trPr>
        <w:tc>
          <w:tcPr>
            <w:tcW w:w="9549" w:type="dxa"/>
            <w:vAlign w:val="center"/>
          </w:tcPr>
          <w:p w14:paraId="3D870C1F">
            <w:pPr>
              <w:topLinePunct/>
              <w:adjustRightInd w:val="0"/>
              <w:spacing w:before="93" w:beforeLines="30"/>
              <w:ind w:left="21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1、企业净资产（总资产-总负债）不少于</w:t>
            </w:r>
            <w:r>
              <w:rPr>
                <w:rFonts w:hint="eastAsia" w:asciiTheme="minorEastAsia" w:hAnsiTheme="minorEastAsia" w:eastAsiaTheme="minorEastAsia" w:cstheme="minorEastAsia"/>
                <w:color w:val="000000" w:themeColor="text1"/>
                <w:kern w:val="0"/>
                <w:sz w:val="24"/>
                <w:u w:val="single"/>
                <w14:textFill>
                  <w14:solidFill>
                    <w14:schemeClr w14:val="tx1"/>
                  </w14:solidFill>
                </w14:textFill>
              </w:rPr>
              <w:t>10000</w:t>
            </w:r>
            <w:r>
              <w:rPr>
                <w:rFonts w:hint="eastAsia" w:asciiTheme="minorEastAsia" w:hAnsiTheme="minorEastAsia" w:eastAsiaTheme="minorEastAsia" w:cstheme="minorEastAsia"/>
                <w:color w:val="000000" w:themeColor="text1"/>
                <w:kern w:val="0"/>
                <w:sz w:val="24"/>
                <w14:textFill>
                  <w14:solidFill>
                    <w14:schemeClr w14:val="tx1"/>
                  </w14:solidFill>
                </w14:textFill>
              </w:rPr>
              <w:t>万元人民币；</w:t>
            </w:r>
          </w:p>
          <w:p w14:paraId="00E8D26A">
            <w:pPr>
              <w:topLinePunct/>
              <w:adjustRightInd w:val="0"/>
              <w:spacing w:before="93" w:beforeLines="30"/>
              <w:ind w:left="21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2、营运资金（流动资产－流动负债）不少于</w:t>
            </w:r>
            <w:r>
              <w:rPr>
                <w:rFonts w:hint="eastAsia" w:asciiTheme="minorEastAsia" w:hAnsiTheme="minorEastAsia" w:eastAsiaTheme="minorEastAsia" w:cstheme="minorEastAsia"/>
                <w:color w:val="000000" w:themeColor="text1"/>
                <w:kern w:val="0"/>
                <w:sz w:val="24"/>
                <w:u w:val="single"/>
                <w14:textFill>
                  <w14:solidFill>
                    <w14:schemeClr w14:val="tx1"/>
                  </w14:solidFill>
                </w14:textFill>
              </w:rPr>
              <w:t>10000</w:t>
            </w:r>
            <w:r>
              <w:rPr>
                <w:rFonts w:hint="eastAsia" w:asciiTheme="minorEastAsia" w:hAnsiTheme="minorEastAsia" w:eastAsiaTheme="minorEastAsia" w:cstheme="minorEastAsia"/>
                <w:color w:val="000000" w:themeColor="text1"/>
                <w:kern w:val="0"/>
                <w:sz w:val="24"/>
                <w14:textFill>
                  <w14:solidFill>
                    <w14:schemeClr w14:val="tx1"/>
                  </w14:solidFill>
                </w14:textFill>
              </w:rPr>
              <w:t>万元人民币；</w:t>
            </w:r>
          </w:p>
          <w:p w14:paraId="7EDCD51E">
            <w:pPr>
              <w:topLinePunct/>
              <w:adjustRightInd w:val="0"/>
              <w:spacing w:before="93" w:beforeLines="30"/>
              <w:ind w:left="21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3、近三个年度的年平均营业总收入不少于</w:t>
            </w:r>
            <w:r>
              <w:rPr>
                <w:rFonts w:hint="eastAsia" w:asciiTheme="minorEastAsia" w:hAnsiTheme="minorEastAsia" w:eastAsiaTheme="minorEastAsia" w:cstheme="minorEastAsia"/>
                <w:color w:val="000000" w:themeColor="text1"/>
                <w:kern w:val="0"/>
                <w:sz w:val="24"/>
                <w:u w:val="single"/>
                <w14:textFill>
                  <w14:solidFill>
                    <w14:schemeClr w14:val="tx1"/>
                  </w14:solidFill>
                </w14:textFill>
              </w:rPr>
              <w:t>20000</w:t>
            </w:r>
            <w:r>
              <w:rPr>
                <w:rFonts w:hint="eastAsia" w:asciiTheme="minorEastAsia" w:hAnsiTheme="minorEastAsia" w:eastAsiaTheme="minorEastAsia" w:cstheme="minorEastAsia"/>
                <w:color w:val="000000" w:themeColor="text1"/>
                <w:kern w:val="0"/>
                <w:sz w:val="24"/>
                <w14:textFill>
                  <w14:solidFill>
                    <w14:schemeClr w14:val="tx1"/>
                  </w14:solidFill>
                </w14:textFill>
              </w:rPr>
              <w:t>万元人民币；</w:t>
            </w:r>
          </w:p>
          <w:p w14:paraId="78E8CAF8">
            <w:pPr>
              <w:topLinePunct/>
              <w:adjustRightInd w:val="0"/>
              <w:spacing w:before="93" w:beforeLines="30"/>
              <w:ind w:left="210"/>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14:textFill>
                  <w14:solidFill>
                    <w14:schemeClr w14:val="tx1"/>
                  </w14:solidFill>
                </w14:textFill>
              </w:rPr>
              <w:t>4、最近三个年度均为盈利。</w:t>
            </w:r>
          </w:p>
        </w:tc>
      </w:tr>
    </w:tbl>
    <w:p w14:paraId="6FB29A26">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1D08FDA">
      <w:pPr>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注：1.企业净资产、营运资金是按交通运输部“全国公路建设市场监督管理系统”登记的最新年度数据计算得出。近三个年度是指2021年、2022、2023年。</w:t>
      </w:r>
    </w:p>
    <w:p w14:paraId="292B7557">
      <w:pPr>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color w:val="000000" w:themeColor="text1"/>
          <w:szCs w:val="21"/>
          <w:lang w:val="zh-CN"/>
          <w14:textFill>
            <w14:solidFill>
              <w14:schemeClr w14:val="tx1"/>
            </w14:solidFill>
          </w14:textFill>
        </w:rPr>
        <w:t>近三个年度财务信息以投标人提供的“全国公路建设市场监督管理系统”企业所填的信息截图为准。</w:t>
      </w:r>
    </w:p>
    <w:p w14:paraId="0341479A">
      <w:pPr>
        <w:adjustRightInd w:val="0"/>
        <w:snapToGrid w:val="0"/>
        <w:spacing w:line="38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w:t>
      </w:r>
      <w:r>
        <w:rPr>
          <w:rFonts w:hint="eastAsia" w:asciiTheme="minorEastAsia" w:hAnsiTheme="minorEastAsia" w:eastAsiaTheme="minorEastAsia" w:cstheme="minorEastAsia"/>
          <w:color w:val="000000" w:themeColor="text1"/>
          <w:szCs w:val="21"/>
          <w:lang w:val="zh-CN"/>
          <w14:textFill>
            <w14:solidFill>
              <w14:schemeClr w14:val="tx1"/>
            </w14:solidFill>
          </w14:textFill>
        </w:rPr>
        <w:t>以联合体形式投标的，财务最低要求中的第1、2、3、4项其财务能力以联合体牵头人为准。</w:t>
      </w:r>
    </w:p>
    <w:p w14:paraId="7A648CE0">
      <w:pPr>
        <w:adjustRightInd w:val="0"/>
        <w:snapToGrid w:val="0"/>
        <w:spacing w:line="38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5.投标人应根据招标文件第二章“投标人须知”第3.5.2项的要求附相关证明材料。</w:t>
      </w:r>
    </w:p>
    <w:p w14:paraId="7E7D547A">
      <w:pPr>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291EBAD7">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1AF2A0F3">
      <w:pPr>
        <w:autoSpaceDE w:val="0"/>
        <w:autoSpaceDN w:val="0"/>
        <w:adjustRightInd w:val="0"/>
        <w:spacing w:after="156" w:line="460" w:lineRule="exact"/>
        <w:jc w:val="center"/>
        <w:outlineLvl w:val="1"/>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附录3资格审查条件(业绩最低要求)</w:t>
      </w:r>
    </w:p>
    <w:p w14:paraId="691551C2">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6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20"/>
      </w:tblGrid>
      <w:tr w14:paraId="6188F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exact"/>
          <w:jc w:val="center"/>
        </w:trPr>
        <w:tc>
          <w:tcPr>
            <w:tcW w:w="9620" w:type="dxa"/>
            <w:vAlign w:val="center"/>
          </w:tcPr>
          <w:p w14:paraId="71EE6441">
            <w:pPr>
              <w:jc w:val="center"/>
              <w:rPr>
                <w:rFonts w:hint="eastAsia"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业绩要求</w:t>
            </w:r>
          </w:p>
        </w:tc>
      </w:tr>
      <w:tr w14:paraId="70FC4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7" w:hRule="atLeast"/>
          <w:jc w:val="center"/>
        </w:trPr>
        <w:tc>
          <w:tcPr>
            <w:tcW w:w="9620" w:type="dxa"/>
            <w:vAlign w:val="center"/>
          </w:tcPr>
          <w:p w14:paraId="5E80DE82">
            <w:pPr>
              <w:pStyle w:val="8"/>
              <w:ind w:firstLine="472" w:firstLineChars="200"/>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pPr>
            <w:r>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t>近五年，成功地独立完成：</w:t>
            </w:r>
          </w:p>
          <w:p w14:paraId="10E4FFCA">
            <w:pPr>
              <w:pStyle w:val="8"/>
              <w:ind w:firstLine="472" w:firstLineChars="200"/>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pPr>
            <w:r>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t>（1）类似工程勘察设计业绩至少1个标段（其中有一个标段里程不少于30km），且类似工程的累计里程不少于70km。</w:t>
            </w:r>
          </w:p>
          <w:p w14:paraId="3C35A4B3">
            <w:pPr>
              <w:pStyle w:val="8"/>
              <w:ind w:firstLine="472" w:firstLineChars="200"/>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pPr>
            <w:r>
              <w:rPr>
                <w:rFonts w:hint="eastAsia" w:asciiTheme="minorEastAsia" w:hAnsiTheme="minorEastAsia" w:eastAsiaTheme="minorEastAsia" w:cstheme="minorEastAsia"/>
                <w:color w:val="000000" w:themeColor="text1"/>
                <w:spacing w:val="-2"/>
                <w:kern w:val="0"/>
                <w:sz w:val="24"/>
                <w14:textFill>
                  <w14:solidFill>
                    <w14:schemeClr w14:val="tx1"/>
                  </w14:solidFill>
                </w14:textFill>
              </w:rPr>
              <w:t>（2）类似工程施工业绩至少1个标段（其中有一个标段里程不少于30km），且类似工程的累计里程不少于70km。</w:t>
            </w:r>
          </w:p>
        </w:tc>
      </w:tr>
    </w:tbl>
    <w:p w14:paraId="199627B6">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07E1EE6">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注：1、本附录所要求的业绩仅限中华人民共和国境内业绩。</w:t>
      </w:r>
    </w:p>
    <w:p w14:paraId="717436B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2、若投标人提供的业绩证明为联合体业绩，则按交通运输部“</w:t>
      </w:r>
      <w:r>
        <w:rPr>
          <w:rFonts w:hint="eastAsia" w:asciiTheme="minorEastAsia" w:hAnsiTheme="minorEastAsia" w:eastAsiaTheme="minorEastAsia" w:cstheme="minorEastAsia"/>
          <w:color w:val="000000" w:themeColor="text1"/>
          <w:szCs w:val="2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szCs w:val="21"/>
          <w14:textFill>
            <w14:solidFill>
              <w14:schemeClr w14:val="tx1"/>
            </w14:solidFill>
          </w14:textFill>
        </w:rPr>
        <w:t>”业绩信息的网页截图）体现其完成的工作量认定，无法界定其完成的工作量，此业绩不予认定。</w:t>
      </w:r>
    </w:p>
    <w:p w14:paraId="12641088">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3、若为联合体投标，投标人业绩的资格审查条件和加分条件（如有）的认定原则如下：联合体成员须按联合体协议书中约定承担的各专业工程满足对应的业绩要求。</w:t>
      </w:r>
    </w:p>
    <w:p w14:paraId="23DAE33C">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4、投标人应根据招标文件第二章“投标人须知”第3.5.3项的要求附相关证明材料。</w:t>
      </w:r>
    </w:p>
    <w:p w14:paraId="4C3E02B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Cs w:val="21"/>
          <w14:textFill>
            <w14:solidFill>
              <w14:schemeClr w14:val="tx1"/>
            </w14:solidFill>
          </w14:textFill>
        </w:rPr>
        <w:t>、近五年是指：2019年9月1日至投标文件递交截止之日止。</w:t>
      </w:r>
    </w:p>
    <w:p w14:paraId="01FB5F8F">
      <w:pPr>
        <w:autoSpaceDE w:val="0"/>
        <w:autoSpaceDN w:val="0"/>
        <w:adjustRightInd w:val="0"/>
        <w:spacing w:after="156" w:line="460" w:lineRule="exact"/>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bookmarkStart w:id="11" w:name="_Toc14887"/>
    </w:p>
    <w:bookmarkEnd w:id="11"/>
    <w:p w14:paraId="0D3FB0D0">
      <w:pPr>
        <w:widowControl/>
        <w:jc w:val="center"/>
        <w:outlineLvl w:val="1"/>
        <w:rPr>
          <w:rFonts w:hint="eastAsia" w:asciiTheme="minorEastAsia" w:hAnsiTheme="minorEastAsia" w:eastAsiaTheme="minorEastAsia" w:cstheme="minorEastAsia"/>
          <w:b/>
          <w:bCs/>
          <w:color w:val="000000" w:themeColor="text1"/>
          <w:sz w:val="28"/>
          <w:szCs w:val="28"/>
          <w14:textFill>
            <w14:solidFill>
              <w14:schemeClr w14:val="tx1"/>
            </w14:solidFill>
          </w14:textFill>
        </w:rPr>
        <w:sectPr>
          <w:pgSz w:w="11906" w:h="16838"/>
          <w:pgMar w:top="1440" w:right="1080" w:bottom="1440" w:left="1080" w:header="851" w:footer="992" w:gutter="0"/>
          <w:pgNumType w:fmt="numberInDash"/>
          <w:cols w:space="720" w:num="1"/>
          <w:docGrid w:type="lines" w:linePitch="312" w:charSpace="0"/>
        </w:sectPr>
      </w:pPr>
      <w:bookmarkStart w:id="12" w:name="_Toc12569"/>
    </w:p>
    <w:p w14:paraId="09EA124C">
      <w:pPr>
        <w:widowControl/>
        <w:jc w:val="center"/>
        <w:outlineLvl w:val="1"/>
        <w:rPr>
          <w:rFonts w:hint="eastAsia" w:asciiTheme="minorEastAsia" w:hAnsiTheme="minorEastAsia" w:eastAsiaTheme="minorEastAsia" w:cstheme="minorEastAsia"/>
          <w:color w:val="000000" w:themeColor="text1"/>
          <w:w w:val="90"/>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w w:val="90"/>
          <w:sz w:val="28"/>
          <w:szCs w:val="28"/>
          <w14:textFill>
            <w14:solidFill>
              <w14:schemeClr w14:val="tx1"/>
            </w14:solidFill>
          </w14:textFill>
        </w:rPr>
        <w:t>附录4资格审查条件(项目总负责人、项目经理、项目总工、设计负责人最低要求)</w:t>
      </w:r>
      <w:bookmarkEnd w:id="12"/>
    </w:p>
    <w:p w14:paraId="73CC95EB">
      <w:pPr>
        <w:spacing w:line="160" w:lineRule="exact"/>
        <w:rPr>
          <w:rFonts w:hint="eastAsia" w:asciiTheme="minorEastAsia" w:hAnsiTheme="minorEastAsia" w:eastAsiaTheme="minorEastAsia" w:cstheme="minorEastAsia"/>
          <w:color w:val="000000" w:themeColor="text1"/>
          <w14:textFill>
            <w14:solidFill>
              <w14:schemeClr w14:val="tx1"/>
            </w14:solidFill>
          </w14:textFill>
        </w:rPr>
      </w:pPr>
    </w:p>
    <w:tbl>
      <w:tblPr>
        <w:tblStyle w:val="21"/>
        <w:tblW w:w="4627" w:type="pct"/>
        <w:tblInd w:w="29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20"/>
        <w:gridCol w:w="863"/>
        <w:gridCol w:w="4778"/>
        <w:gridCol w:w="1658"/>
      </w:tblGrid>
      <w:tr w14:paraId="4AD49D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041" w:type="pct"/>
            <w:vAlign w:val="center"/>
          </w:tcPr>
          <w:p w14:paraId="0AA04DF0">
            <w:pPr>
              <w:jc w:val="center"/>
              <w:rPr>
                <w:rFonts w:hint="eastAsia" w:asciiTheme="minorEastAsia" w:hAnsiTheme="minorEastAsia" w:eastAsiaTheme="minorEastAsia" w:cstheme="minorEastAsia"/>
                <w:b/>
                <w:bCs/>
                <w:color w:val="000000" w:themeColor="text1"/>
                <w:sz w:val="24"/>
                <w:szCs w:val="32"/>
                <w14:textFill>
                  <w14:solidFill>
                    <w14:schemeClr w14:val="tx1"/>
                  </w14:solidFill>
                </w14:textFill>
              </w:rPr>
            </w:pPr>
            <w:r>
              <w:rPr>
                <w:rFonts w:hint="eastAsia" w:asciiTheme="minorEastAsia" w:hAnsiTheme="minorEastAsia" w:eastAsiaTheme="minorEastAsia" w:cstheme="minorEastAsia"/>
                <w:b/>
                <w:bCs/>
                <w:color w:val="000000" w:themeColor="text1"/>
                <w:sz w:val="24"/>
                <w:szCs w:val="32"/>
                <w14:textFill>
                  <w14:solidFill>
                    <w14:schemeClr w14:val="tx1"/>
                  </w14:solidFill>
                </w14:textFill>
              </w:rPr>
              <w:t>人员</w:t>
            </w:r>
          </w:p>
        </w:tc>
        <w:tc>
          <w:tcPr>
            <w:tcW w:w="468" w:type="pct"/>
            <w:vAlign w:val="center"/>
          </w:tcPr>
          <w:p w14:paraId="42DAA383">
            <w:pPr>
              <w:jc w:val="center"/>
              <w:rPr>
                <w:rFonts w:hint="eastAsia" w:asciiTheme="minorEastAsia" w:hAnsiTheme="minorEastAsia" w:eastAsiaTheme="minorEastAsia" w:cstheme="minorEastAsia"/>
                <w:b/>
                <w:bCs/>
                <w:color w:val="000000" w:themeColor="text1"/>
                <w:sz w:val="24"/>
                <w:szCs w:val="32"/>
                <w14:textFill>
                  <w14:solidFill>
                    <w14:schemeClr w14:val="tx1"/>
                  </w14:solidFill>
                </w14:textFill>
              </w:rPr>
            </w:pPr>
            <w:r>
              <w:rPr>
                <w:rFonts w:hint="eastAsia" w:asciiTheme="minorEastAsia" w:hAnsiTheme="minorEastAsia" w:eastAsiaTheme="minorEastAsia" w:cstheme="minorEastAsia"/>
                <w:b/>
                <w:bCs/>
                <w:color w:val="000000" w:themeColor="text1"/>
                <w:sz w:val="24"/>
                <w:szCs w:val="32"/>
                <w14:textFill>
                  <w14:solidFill>
                    <w14:schemeClr w14:val="tx1"/>
                  </w14:solidFill>
                </w14:textFill>
              </w:rPr>
              <w:t>数量</w:t>
            </w:r>
          </w:p>
        </w:tc>
        <w:tc>
          <w:tcPr>
            <w:tcW w:w="2591" w:type="pct"/>
            <w:vAlign w:val="center"/>
          </w:tcPr>
          <w:p w14:paraId="58BFC2B0">
            <w:pPr>
              <w:jc w:val="center"/>
              <w:rPr>
                <w:rFonts w:hint="eastAsia" w:asciiTheme="minorEastAsia" w:hAnsiTheme="minorEastAsia" w:eastAsiaTheme="minorEastAsia" w:cstheme="minorEastAsia"/>
                <w:b/>
                <w:bCs/>
                <w:color w:val="000000" w:themeColor="text1"/>
                <w:sz w:val="24"/>
                <w:szCs w:val="32"/>
                <w14:textFill>
                  <w14:solidFill>
                    <w14:schemeClr w14:val="tx1"/>
                  </w14:solidFill>
                </w14:textFill>
              </w:rPr>
            </w:pPr>
            <w:r>
              <w:rPr>
                <w:rFonts w:hint="eastAsia" w:asciiTheme="minorEastAsia" w:hAnsiTheme="minorEastAsia" w:eastAsiaTheme="minorEastAsia" w:cstheme="minorEastAsia"/>
                <w:b/>
                <w:bCs/>
                <w:color w:val="000000" w:themeColor="text1"/>
                <w:sz w:val="24"/>
                <w:szCs w:val="32"/>
                <w14:textFill>
                  <w14:solidFill>
                    <w14:schemeClr w14:val="tx1"/>
                  </w14:solidFill>
                </w14:textFill>
              </w:rPr>
              <w:t>资格要求</w:t>
            </w:r>
          </w:p>
        </w:tc>
        <w:tc>
          <w:tcPr>
            <w:tcW w:w="898" w:type="pct"/>
            <w:vAlign w:val="center"/>
          </w:tcPr>
          <w:p w14:paraId="4F9CBB92">
            <w:pPr>
              <w:jc w:val="center"/>
              <w:rPr>
                <w:rFonts w:hint="eastAsia" w:asciiTheme="minorEastAsia" w:hAnsiTheme="minorEastAsia" w:eastAsiaTheme="minorEastAsia" w:cstheme="minorEastAsia"/>
                <w:b/>
                <w:bCs/>
                <w:color w:val="000000" w:themeColor="text1"/>
                <w:sz w:val="24"/>
                <w:szCs w:val="32"/>
                <w14:textFill>
                  <w14:solidFill>
                    <w14:schemeClr w14:val="tx1"/>
                  </w14:solidFill>
                </w14:textFill>
              </w:rPr>
            </w:pPr>
            <w:r>
              <w:rPr>
                <w:rFonts w:hint="eastAsia" w:asciiTheme="minorEastAsia" w:hAnsiTheme="minorEastAsia" w:eastAsiaTheme="minorEastAsia" w:cstheme="minorEastAsia"/>
                <w:b/>
                <w:bCs/>
                <w:color w:val="000000" w:themeColor="text1"/>
                <w:sz w:val="24"/>
                <w:szCs w:val="32"/>
                <w14:textFill>
                  <w14:solidFill>
                    <w14:schemeClr w14:val="tx1"/>
                  </w14:solidFill>
                </w14:textFill>
              </w:rPr>
              <w:t>在岗要求</w:t>
            </w:r>
          </w:p>
        </w:tc>
      </w:tr>
      <w:tr w14:paraId="07785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6" w:hRule="atLeast"/>
        </w:trPr>
        <w:tc>
          <w:tcPr>
            <w:tcW w:w="1041" w:type="pct"/>
            <w:shd w:val="clear" w:color="auto" w:fill="auto"/>
          </w:tcPr>
          <w:p w14:paraId="59ABA3BF">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p>
          <w:p w14:paraId="28B5CB94">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t>项目总负责人</w:t>
            </w:r>
          </w:p>
        </w:tc>
        <w:tc>
          <w:tcPr>
            <w:tcW w:w="468" w:type="pct"/>
            <w:shd w:val="clear" w:color="auto" w:fill="auto"/>
          </w:tcPr>
          <w:p w14:paraId="614FA389">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p>
          <w:p w14:paraId="4741B681">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t>1</w:t>
            </w:r>
          </w:p>
        </w:tc>
        <w:tc>
          <w:tcPr>
            <w:tcW w:w="2591" w:type="pct"/>
            <w:shd w:val="clear" w:color="auto" w:fill="auto"/>
          </w:tcPr>
          <w:p w14:paraId="3F0356BE">
            <w:pP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t>担任牵头人单位副总经理或总经理助理或以上职务或经牵头人法定代表人授权的项目总负责人，具有丰富的统筹协调能力。</w:t>
            </w:r>
          </w:p>
        </w:tc>
        <w:tc>
          <w:tcPr>
            <w:tcW w:w="898" w:type="pct"/>
            <w:shd w:val="clear" w:color="auto" w:fill="auto"/>
          </w:tcPr>
          <w:p w14:paraId="7E2395BB">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p>
          <w:p w14:paraId="3634178D">
            <w:pPr>
              <w:jc w:val="cente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24"/>
                <w:szCs w:val="32"/>
                <w:highlight w:val="none"/>
                <w14:textFill>
                  <w14:solidFill>
                    <w14:schemeClr w14:val="tx1"/>
                  </w14:solidFill>
                </w14:textFill>
              </w:rPr>
              <w:t>无</w:t>
            </w:r>
          </w:p>
        </w:tc>
      </w:tr>
      <w:tr w14:paraId="57706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79" w:hRule="atLeast"/>
        </w:trPr>
        <w:tc>
          <w:tcPr>
            <w:tcW w:w="1041" w:type="pct"/>
            <w:vAlign w:val="center"/>
          </w:tcPr>
          <w:p w14:paraId="2E95F4F8">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项目经理</w:t>
            </w:r>
          </w:p>
        </w:tc>
        <w:tc>
          <w:tcPr>
            <w:tcW w:w="468" w:type="pct"/>
            <w:vAlign w:val="center"/>
          </w:tcPr>
          <w:p w14:paraId="49E39700">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1</w:t>
            </w:r>
          </w:p>
        </w:tc>
        <w:tc>
          <w:tcPr>
            <w:tcW w:w="2591" w:type="pct"/>
            <w:vAlign w:val="center"/>
          </w:tcPr>
          <w:p w14:paraId="3B24AAB9">
            <w:pP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工程师，持有住房和城乡建设部颁发的公路工程专业一级建造师注册证书，担任类似工程项目经理（或项目副经理或项目总工）岗位累计24个月，具有交通主管部门颁发的有效安全生产“三类人员”B类证书。</w:t>
            </w:r>
          </w:p>
        </w:tc>
        <w:tc>
          <w:tcPr>
            <w:tcW w:w="898" w:type="pct"/>
            <w:vMerge w:val="restart"/>
            <w:vAlign w:val="center"/>
          </w:tcPr>
          <w:p w14:paraId="08B65F3D">
            <w:pP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无在岗项目（指目前未在其他项目上任职，或虽在其他项目上任职但本项目中标后能够从该项目撤离）。</w:t>
            </w:r>
          </w:p>
        </w:tc>
      </w:tr>
      <w:tr w14:paraId="4CFD2B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89" w:hRule="atLeast"/>
        </w:trPr>
        <w:tc>
          <w:tcPr>
            <w:tcW w:w="1041" w:type="pct"/>
            <w:vAlign w:val="center"/>
          </w:tcPr>
          <w:p w14:paraId="0F23706E">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项目总工</w:t>
            </w:r>
          </w:p>
        </w:tc>
        <w:tc>
          <w:tcPr>
            <w:tcW w:w="468" w:type="pct"/>
            <w:vAlign w:val="center"/>
          </w:tcPr>
          <w:p w14:paraId="5D9CE069">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1</w:t>
            </w:r>
          </w:p>
        </w:tc>
        <w:tc>
          <w:tcPr>
            <w:tcW w:w="2591" w:type="pct"/>
            <w:vAlign w:val="center"/>
          </w:tcPr>
          <w:p w14:paraId="6659FBAD">
            <w:pP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路桥相关专业工程师，主管类似工程技术工作岗位不少于24个月，具有交通主管部门颁发的有效安全生产“三类人员”B类证书。</w:t>
            </w:r>
          </w:p>
        </w:tc>
        <w:tc>
          <w:tcPr>
            <w:tcW w:w="898" w:type="pct"/>
            <w:vMerge w:val="continue"/>
            <w:vAlign w:val="center"/>
          </w:tcPr>
          <w:p w14:paraId="25190C64">
            <w:pPr>
              <w:rPr>
                <w:rFonts w:hint="eastAsia" w:asciiTheme="minorEastAsia" w:hAnsiTheme="minorEastAsia" w:eastAsiaTheme="minorEastAsia" w:cstheme="minorEastAsia"/>
                <w:color w:val="000000" w:themeColor="text1"/>
                <w14:textFill>
                  <w14:solidFill>
                    <w14:schemeClr w14:val="tx1"/>
                  </w14:solidFill>
                </w14:textFill>
              </w:rPr>
            </w:pPr>
          </w:p>
        </w:tc>
      </w:tr>
      <w:tr w14:paraId="688DD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2" w:hRule="atLeast"/>
        </w:trPr>
        <w:tc>
          <w:tcPr>
            <w:tcW w:w="1041" w:type="pct"/>
            <w:vAlign w:val="center"/>
          </w:tcPr>
          <w:p w14:paraId="2777B8EF">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设计负责人</w:t>
            </w:r>
          </w:p>
        </w:tc>
        <w:tc>
          <w:tcPr>
            <w:tcW w:w="468" w:type="pct"/>
            <w:vAlign w:val="center"/>
          </w:tcPr>
          <w:p w14:paraId="36FE757A">
            <w:pPr>
              <w:jc w:val="cente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1</w:t>
            </w:r>
          </w:p>
        </w:tc>
        <w:tc>
          <w:tcPr>
            <w:tcW w:w="3490" w:type="pct"/>
            <w:gridSpan w:val="2"/>
            <w:vAlign w:val="center"/>
          </w:tcPr>
          <w:p w14:paraId="5AED9C31">
            <w:pPr>
              <w:rPr>
                <w:rFonts w:hint="eastAsia" w:asciiTheme="minorEastAsia" w:hAnsiTheme="minorEastAsia" w:eastAsiaTheme="minorEastAsia" w:cstheme="minorEastAsia"/>
                <w:color w:val="000000" w:themeColor="text1"/>
                <w:sz w:val="24"/>
                <w:szCs w:val="32"/>
                <w14:textFill>
                  <w14:solidFill>
                    <w14:schemeClr w14:val="tx1"/>
                  </w14:solidFill>
                </w14:textFill>
              </w:rPr>
            </w:pPr>
            <w:r>
              <w:rPr>
                <w:rFonts w:hint="eastAsia" w:asciiTheme="minorEastAsia" w:hAnsiTheme="minorEastAsia" w:eastAsiaTheme="minorEastAsia" w:cstheme="minorEastAsia"/>
                <w:color w:val="000000" w:themeColor="text1"/>
                <w:sz w:val="24"/>
                <w:szCs w:val="32"/>
                <w14:textFill>
                  <w14:solidFill>
                    <w14:schemeClr w14:val="tx1"/>
                  </w14:solidFill>
                </w14:textFill>
              </w:rPr>
              <w:t>路桥相关专业高级工程师职称，作为项目负责人至少负责过1个项目包类似工程勘察设计工作。</w:t>
            </w:r>
          </w:p>
        </w:tc>
      </w:tr>
    </w:tbl>
    <w:p w14:paraId="5B6238A0">
      <w:pPr>
        <w:tabs>
          <w:tab w:val="left" w:pos="0"/>
        </w:tabs>
        <w:autoSpaceDE w:val="0"/>
        <w:autoSpaceDN w:val="0"/>
        <w:adjustRightInd w:val="0"/>
        <w:ind w:firstLine="210" w:firstLineChars="100"/>
        <w:jc w:val="left"/>
        <w:rPr>
          <w:rFonts w:hint="eastAsia" w:asciiTheme="minorEastAsia" w:hAnsiTheme="minorEastAsia" w:eastAsiaTheme="minorEastAsia" w:cstheme="minorEastAsia"/>
          <w:color w:val="000000" w:themeColor="text1"/>
          <w:szCs w:val="21"/>
          <w14:textFill>
            <w14:solidFill>
              <w14:schemeClr w14:val="tx1"/>
            </w14:solidFill>
          </w14:textFill>
        </w:rPr>
      </w:pPr>
    </w:p>
    <w:p w14:paraId="622338B3">
      <w:pPr>
        <w:tabs>
          <w:tab w:val="left" w:pos="0"/>
        </w:tabs>
        <w:autoSpaceDE w:val="0"/>
        <w:autoSpaceDN w:val="0"/>
        <w:adjustRightInd w:val="0"/>
        <w:ind w:firstLine="210" w:firstLineChars="100"/>
        <w:jc w:val="lef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注：1.资格审查条件要求的人员建造师注册证书、安全生产“三类人员”B类证书及社保均应在投标人所在的单位，否则视为无效。</w:t>
      </w:r>
    </w:p>
    <w:p w14:paraId="7C431E6A">
      <w:pPr>
        <w:tabs>
          <w:tab w:val="left" w:pos="0"/>
        </w:tabs>
        <w:autoSpaceDE w:val="0"/>
        <w:autoSpaceDN w:val="0"/>
        <w:adjustRightInd w:val="0"/>
        <w:ind w:firstLine="210" w:firstLineChars="100"/>
        <w:jc w:val="lef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主管技术工作指：担任过项目经理、项目副经理、总工程师、技术负责人、质检部门负责人、工程部门负责人。担任类似工程项目经理（或项目副经理或项目总工）岗位经验累计时间、主管类似工程技术工作累计时间统计至月，计算时尾数如不少于15天的按1个月计，不足15天部分不计。</w:t>
      </w:r>
    </w:p>
    <w:p w14:paraId="2C3A483B">
      <w:pPr>
        <w:tabs>
          <w:tab w:val="left" w:pos="0"/>
        </w:tabs>
        <w:autoSpaceDE w:val="0"/>
        <w:autoSpaceDN w:val="0"/>
        <w:adjustRightInd w:val="0"/>
        <w:ind w:firstLine="210" w:firstLineChars="100"/>
        <w:jc w:val="left"/>
        <w:rPr>
          <w:rFonts w:hint="eastAsia" w:asciiTheme="minorEastAsia" w:hAnsiTheme="minorEastAsia" w:eastAsiaTheme="minorEastAsia" w:cstheme="minorEastAsia"/>
          <w:color w:val="000000" w:themeColor="text1"/>
          <w:szCs w:val="21"/>
          <w14:textFill>
            <w14:solidFill>
              <w14:schemeClr w14:val="tx1"/>
            </w14:solidFill>
          </w14:textFill>
        </w:rPr>
        <w:sectPr>
          <w:pgSz w:w="11906" w:h="16838"/>
          <w:pgMar w:top="1440" w:right="1080" w:bottom="1440" w:left="1080" w:header="851" w:footer="992" w:gutter="0"/>
          <w:pgNumType w:fmt="numberInDash"/>
          <w:cols w:space="720" w:num="1"/>
          <w:docGrid w:type="lines" w:linePitch="312" w:charSpace="0"/>
        </w:sectPr>
      </w:pPr>
      <w:r>
        <w:rPr>
          <w:rFonts w:hint="eastAsia" w:asciiTheme="minorEastAsia" w:hAnsiTheme="minorEastAsia" w:eastAsiaTheme="minorEastAsia" w:cstheme="minorEastAsia"/>
          <w:color w:val="000000" w:themeColor="text1"/>
          <w:szCs w:val="21"/>
          <w14:textFill>
            <w14:solidFill>
              <w14:schemeClr w14:val="tx1"/>
            </w14:solidFill>
          </w14:textFill>
        </w:rPr>
        <w:t>3.若为联合体投标，项目总负责人需为联合体牵头人的正式员工，项目经理、项目总工为联合体中负责施工工作的成员方的正式员工，</w:t>
      </w:r>
      <w:r>
        <w:rPr>
          <w:rFonts w:hint="eastAsia" w:asciiTheme="minorEastAsia" w:hAnsiTheme="minorEastAsia" w:cstheme="minorEastAsia"/>
          <w:color w:val="000000" w:themeColor="text1"/>
          <w:szCs w:val="21"/>
          <w:lang w:eastAsia="zh-CN"/>
          <w14:textFill>
            <w14:solidFill>
              <w14:schemeClr w14:val="tx1"/>
            </w14:solidFill>
          </w14:textFill>
        </w:rPr>
        <w:t>设计负责人</w:t>
      </w:r>
      <w:r>
        <w:rPr>
          <w:rFonts w:hint="eastAsia" w:asciiTheme="minorEastAsia" w:hAnsiTheme="minorEastAsia" w:eastAsiaTheme="minorEastAsia" w:cstheme="minorEastAsia"/>
          <w:color w:val="000000" w:themeColor="text1"/>
          <w:szCs w:val="21"/>
          <w14:textFill>
            <w14:solidFill>
              <w14:schemeClr w14:val="tx1"/>
            </w14:solidFill>
          </w14:textFill>
        </w:rPr>
        <w:t>为联合体中负责设计、勘察工作的成员方正式员工；</w:t>
      </w:r>
    </w:p>
    <w:p w14:paraId="3C7851F8">
      <w:pPr>
        <w:adjustRightInd w:val="0"/>
        <w:snapToGrid w:val="0"/>
        <w:spacing w:line="440" w:lineRule="exact"/>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Style w:val="29"/>
          <w:rFonts w:hint="eastAsia" w:asciiTheme="minorEastAsia" w:hAnsiTheme="minorEastAsia" w:eastAsiaTheme="minorEastAsia" w:cstheme="minorEastAsia"/>
          <w:color w:val="000000" w:themeColor="text1"/>
          <w:lang w:val="zh-CN"/>
          <w14:textFill>
            <w14:solidFill>
              <w14:schemeClr w14:val="tx1"/>
            </w14:solidFill>
          </w14:textFill>
        </w:rPr>
        <w:t>1.总则</w:t>
      </w:r>
    </w:p>
    <w:p w14:paraId="6EED78F3">
      <w:pPr>
        <w:adjustRightInd w:val="0"/>
        <w:snapToGrid w:val="0"/>
        <w:spacing w:line="440" w:lineRule="exact"/>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1.1项目概况</w:t>
      </w:r>
    </w:p>
    <w:p w14:paraId="2745E4A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1.1.1根据《中华人民共和国招标投标法》《中华人民共和国招标投标法实施条例》《广东省农村公路条例》以及交通运输部《公路工程建设项目招标投标管理办法》《农村公路建设管理办法》《公路养护工程管理办法》等有关法律、法规和规章的规定，本招标项目已具备招标条件，现对该</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施工设计总承包</w:t>
      </w:r>
      <w:r>
        <w:rPr>
          <w:rFonts w:hint="eastAsia" w:asciiTheme="minorEastAsia" w:hAnsiTheme="minorEastAsia" w:eastAsiaTheme="minorEastAsia" w:cstheme="minorEastAsia"/>
          <w:color w:val="000000" w:themeColor="text1"/>
          <w:lang w:val="zh-CN"/>
          <w14:textFill>
            <w14:solidFill>
              <w14:schemeClr w14:val="tx1"/>
            </w14:solidFill>
          </w14:textFill>
        </w:rPr>
        <w:t>进行招标。</w:t>
      </w:r>
    </w:p>
    <w:p w14:paraId="3F61EDE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1.1.2本招标项目招标人：见投标人须知前附表。</w:t>
      </w:r>
    </w:p>
    <w:p w14:paraId="2AF08DD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1.1.3本项目包招标代理机构：见投标人须知前附表。</w:t>
      </w:r>
    </w:p>
    <w:p w14:paraId="697E193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1.1.4本招标项目名称：见投标人须知前附表。</w:t>
      </w:r>
    </w:p>
    <w:p w14:paraId="25994D7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1.1.5本项目包建设地点：见投标人须知前附表。</w:t>
      </w:r>
    </w:p>
    <w:p w14:paraId="053D677C">
      <w:pPr>
        <w:adjustRightInd w:val="0"/>
        <w:snapToGrid w:val="0"/>
        <w:spacing w:line="440" w:lineRule="exact"/>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1.2项目的资金来源和落实情况</w:t>
      </w:r>
      <w:r>
        <w:rPr>
          <w:rFonts w:hint="eastAsia" w:asciiTheme="minorEastAsia" w:hAnsiTheme="minorEastAsia" w:cstheme="minorEastAsia"/>
          <w:color w:val="000000" w:themeColor="text1"/>
          <w:lang w:val="en-US" w:eastAsia="zh-CN"/>
          <w14:textFill>
            <w14:solidFill>
              <w14:schemeClr w14:val="tx1"/>
            </w14:solidFill>
          </w14:textFill>
        </w:rPr>
        <w:t xml:space="preserve"> </w:t>
      </w:r>
    </w:p>
    <w:p w14:paraId="1FB7BBB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1.2.1资金来源及比例：见投标人须知前附表。</w:t>
      </w:r>
    </w:p>
    <w:p w14:paraId="66A83F4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1.2.2资金落实情况：见投标人须知前附表。</w:t>
      </w:r>
    </w:p>
    <w:p w14:paraId="5F8F852A">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1.3招标范围、计划工期、质量要求和安全目标</w:t>
      </w:r>
    </w:p>
    <w:p w14:paraId="1FF4935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1.3.1本项目包的招标范围：见投标人须知前附表。</w:t>
      </w:r>
    </w:p>
    <w:p w14:paraId="04C47C5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1.3.2本项目包的计划工期：见投标人须知前附表。</w:t>
      </w:r>
    </w:p>
    <w:p w14:paraId="00E20CD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1.3.3本项目包的质量标准：见投标人须知前附表。</w:t>
      </w:r>
    </w:p>
    <w:p w14:paraId="7B14412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1.3.4本项目包的安全目标：见投标人须知前附表。</w:t>
      </w:r>
    </w:p>
    <w:p w14:paraId="5314E204">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1.4投标人资格要求</w:t>
      </w:r>
    </w:p>
    <w:p w14:paraId="632F9F4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1.4.1投标人应具备承担本招标项目资质条件、能力和信誉。</w:t>
      </w:r>
    </w:p>
    <w:p w14:paraId="34FE28E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（1）资质要求：见投标人须知前附表；</w:t>
      </w:r>
    </w:p>
    <w:p w14:paraId="1573218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（2）财务要求：见投标人须知前附表；</w:t>
      </w:r>
    </w:p>
    <w:p w14:paraId="7CD9C6B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（3）业绩要求：见投标人须知前附表；</w:t>
      </w:r>
    </w:p>
    <w:p w14:paraId="49A9BE7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）项目总负责人、项目经理、项目总工、</w:t>
      </w:r>
      <w:r>
        <w:rPr>
          <w:rFonts w:hint="eastAsia" w:asciiTheme="minorEastAsia" w:hAnsiTheme="minorEastAsia" w:cstheme="minorEastAsia"/>
          <w:color w:val="000000" w:themeColor="text1"/>
          <w:lang w:val="zh-CN"/>
          <w14:textFill>
            <w14:solidFill>
              <w14:schemeClr w14:val="tx1"/>
            </w14:solidFill>
          </w14:textFill>
        </w:rPr>
        <w:t>设计负责人</w:t>
      </w:r>
      <w:r>
        <w:rPr>
          <w:rFonts w:hint="eastAsia" w:asciiTheme="minorEastAsia" w:hAnsiTheme="minorEastAsia" w:eastAsiaTheme="minorEastAsia" w:cstheme="minorEastAsia"/>
          <w:color w:val="000000" w:themeColor="text1"/>
          <w:lang w:val="zh-CN"/>
          <w14:textFill>
            <w14:solidFill>
              <w14:schemeClr w14:val="tx1"/>
            </w14:solidFill>
          </w14:textFill>
        </w:rPr>
        <w:t>的资格要求：见投标人须知前附表；</w:t>
      </w:r>
    </w:p>
    <w:p w14:paraId="0FFD911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5</w:t>
      </w:r>
      <w:r>
        <w:rPr>
          <w:rFonts w:hint="eastAsia" w:asciiTheme="minorEastAsia" w:hAnsiTheme="minorEastAsia" w:eastAsiaTheme="minorEastAsia" w:cstheme="minorEastAsia"/>
          <w:color w:val="000000" w:themeColor="text1"/>
          <w:lang w:val="zh-CN"/>
          <w14:textFill>
            <w14:solidFill>
              <w14:schemeClr w14:val="tx1"/>
            </w14:solidFill>
          </w14:textFill>
        </w:rPr>
        <w:t>）其他要求：见投标人须知前附表。</w:t>
      </w:r>
    </w:p>
    <w:p w14:paraId="6A8D59D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1.4.2 投标人须知前附表规定接受联合体投标的，联合体除应符合本章第 1.4.1项和投标人须知前附表的要求外，还应遵守以下规定：</w:t>
      </w:r>
    </w:p>
    <w:p w14:paraId="42E971C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 xml:space="preserve">1.4.2投标人须知前附表规定接受联合体投标的，联合体除应符合本章第1.4.1项和投标人须知前附表的要求外，还应遵守以下规定：  </w:t>
      </w:r>
    </w:p>
    <w:p w14:paraId="544BF89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（1）联合体各方应按招标文件提供的格式签订联合体协议书，明确联合体牵头人和各方权利义务，并承诺就中标项目向招标人承担连带责任；</w:t>
      </w:r>
    </w:p>
    <w:p w14:paraId="1ED85BB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（2）由同一专业（只从事同一工作内容，下同）的单位组成的联合体，按照资质等级较低的单位确定资质等级；</w:t>
      </w:r>
    </w:p>
    <w:p w14:paraId="23A7AA3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cstheme="minorEastAsia"/>
          <w:color w:val="000000" w:themeColor="text1"/>
          <w:lang w:val="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3</w:t>
      </w:r>
      <w:r>
        <w:rPr>
          <w:rFonts w:hint="eastAsia" w:asciiTheme="minorEastAsia" w:hAnsi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lang w:val="zh-CN"/>
          <w14:textFill>
            <w14:solidFill>
              <w14:schemeClr w14:val="tx1"/>
            </w14:solidFill>
          </w14:textFill>
        </w:rPr>
        <w:t>联合体各方不得再以自己名义单独或参加其他联合体在同一</w:t>
      </w:r>
      <w:r>
        <w:rPr>
          <w:rFonts w:hint="eastAsia" w:asciiTheme="minorEastAsia" w:hAnsiTheme="minorEastAsia" w:cstheme="minorEastAsia"/>
          <w:color w:val="000000" w:themeColor="text1"/>
          <w:lang w:val="en-US" w:eastAsia="zh-CN"/>
          <w14:textFill>
            <w14:solidFill>
              <w14:schemeClr w14:val="tx1"/>
            </w14:solidFill>
          </w14:textFill>
        </w:rPr>
        <w:t>项目包</w:t>
      </w:r>
      <w:r>
        <w:rPr>
          <w:rFonts w:hint="eastAsia" w:asciiTheme="minorEastAsia" w:hAnsiTheme="minorEastAsia" w:eastAsiaTheme="minorEastAsia" w:cstheme="minorEastAsia"/>
          <w:color w:val="000000" w:themeColor="text1"/>
          <w:lang w:val="zh-CN"/>
          <w14:textFill>
            <w14:solidFill>
              <w14:schemeClr w14:val="tx1"/>
            </w14:solidFill>
          </w14:textFill>
        </w:rPr>
        <w:t>中投标；</w:t>
      </w:r>
    </w:p>
    <w:p w14:paraId="5F79C82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 具备附录 1 要求的工程勘察资质或工程设计资质的单位（以下简称“</w:t>
      </w:r>
      <w:r>
        <w:rPr>
          <w:rFonts w:hint="eastAsia" w:asciiTheme="minorEastAsia" w:hAnsiTheme="minorEastAsia" w:cstheme="minorEastAsia"/>
          <w:color w:val="000000" w:themeColor="text1"/>
          <w:lang w:val="en-US" w:eastAsia="zh-CN"/>
          <w14:textFill>
            <w14:solidFill>
              <w14:schemeClr w14:val="tx1"/>
            </w14:solidFill>
          </w14:textFill>
        </w:rPr>
        <w:t>勘察、设计单位</w:t>
      </w:r>
      <w:r>
        <w:rPr>
          <w:rFonts w:hint="eastAsia" w:asciiTheme="minorEastAsia" w:hAnsiTheme="minorEastAsia" w:eastAsiaTheme="minorEastAsia" w:cstheme="minorEastAsia"/>
          <w:color w:val="000000" w:themeColor="text1"/>
          <w:lang w:val="zh-CN"/>
          <w14:textFill>
            <w14:solidFill>
              <w14:schemeClr w14:val="tx1"/>
            </w14:solidFill>
          </w14:textFill>
        </w:rPr>
        <w:t>”）与施工单位相互之间不得存在隶属(或股份或股权)关系；</w:t>
      </w:r>
    </w:p>
    <w:p w14:paraId="45FFCF3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（5）联合体所有成员（含牵头人）数量不得超过的具体数量详见招标公告；</w:t>
      </w:r>
    </w:p>
    <w:p w14:paraId="59E5801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4E1055B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（7）尽管委任了联合体牵头人，但联合体各成员在投标、签约合同与履行合同过程中，仍负有连带的和各自的法律责任。</w:t>
      </w:r>
    </w:p>
    <w:p w14:paraId="4F7A17D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（8）联合体牵头人应为满足施工资质要求的企业。</w:t>
      </w:r>
    </w:p>
    <w:p w14:paraId="3A0D66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 xml:space="preserve">1.4.3投标人（包括联合体各成员）不得存在下列情形之一： </w:t>
      </w:r>
    </w:p>
    <w:p w14:paraId="2812821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 xml:space="preserve">（1）为招标人不具有独立法人资格的附属机构（单位）；  </w:t>
      </w:r>
    </w:p>
    <w:p w14:paraId="666AB9F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 xml:space="preserve">（2）为招标人存在利害关系且可能影响招标公正性； </w:t>
      </w:r>
    </w:p>
    <w:p w14:paraId="6B731DE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（3）与</w:t>
      </w:r>
      <w:r>
        <w:rPr>
          <w:rFonts w:hint="eastAsia" w:asciiTheme="minorEastAsia" w:hAnsiTheme="minorEastAsia" w:cstheme="minorEastAsia"/>
          <w:color w:val="000000" w:themeColor="text1"/>
          <w:lang w:val="zh-CN"/>
          <w14:textFill>
            <w14:solidFill>
              <w14:schemeClr w14:val="tx1"/>
            </w14:solidFill>
          </w14:textFill>
        </w:rPr>
        <w:t>本项目包</w:t>
      </w:r>
      <w:r>
        <w:rPr>
          <w:rFonts w:hint="eastAsia" w:asciiTheme="minorEastAsia" w:hAnsiTheme="minorEastAsia" w:eastAsiaTheme="minorEastAsia" w:cstheme="minorEastAsia"/>
          <w:color w:val="000000" w:themeColor="text1"/>
          <w:lang w:val="zh-CN"/>
          <w14:textFill>
            <w14:solidFill>
              <w14:schemeClr w14:val="tx1"/>
            </w14:solidFill>
          </w14:textFill>
        </w:rPr>
        <w:t xml:space="preserve">的其他投标人同为一个单位的负责人； </w:t>
      </w:r>
    </w:p>
    <w:p w14:paraId="6FDB4F0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（4）与</w:t>
      </w:r>
      <w:r>
        <w:rPr>
          <w:rFonts w:hint="eastAsia" w:asciiTheme="minorEastAsia" w:hAnsiTheme="minorEastAsia" w:cstheme="minorEastAsia"/>
          <w:color w:val="000000" w:themeColor="text1"/>
          <w:lang w:val="zh-CN"/>
          <w14:textFill>
            <w14:solidFill>
              <w14:schemeClr w14:val="tx1"/>
            </w14:solidFill>
          </w14:textFill>
        </w:rPr>
        <w:t>本项目包</w:t>
      </w:r>
      <w:r>
        <w:rPr>
          <w:rFonts w:hint="eastAsia" w:asciiTheme="minorEastAsia" w:hAnsiTheme="minorEastAsia" w:eastAsiaTheme="minorEastAsia" w:cstheme="minorEastAsia"/>
          <w:color w:val="000000" w:themeColor="text1"/>
          <w:lang w:val="zh-CN"/>
          <w14:textFill>
            <w14:solidFill>
              <w14:schemeClr w14:val="tx1"/>
            </w14:solidFill>
          </w14:textFill>
        </w:rPr>
        <w:t xml:space="preserve">的其他投标人存在控股、管理关系； </w:t>
      </w:r>
    </w:p>
    <w:p w14:paraId="74CDAFA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 xml:space="preserve">（5）为本招标项目的代建人； </w:t>
      </w:r>
    </w:p>
    <w:p w14:paraId="2501DB1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（6）为</w:t>
      </w:r>
      <w:r>
        <w:rPr>
          <w:rFonts w:hint="eastAsia" w:asciiTheme="minorEastAsia" w:hAnsiTheme="minorEastAsia" w:cstheme="minorEastAsia"/>
          <w:color w:val="000000" w:themeColor="text1"/>
          <w:lang w:val="zh-CN"/>
          <w14:textFill>
            <w14:solidFill>
              <w14:schemeClr w14:val="tx1"/>
            </w14:solidFill>
          </w14:textFill>
        </w:rPr>
        <w:t>本项目包</w:t>
      </w:r>
      <w:r>
        <w:rPr>
          <w:rFonts w:hint="eastAsia" w:asciiTheme="minorEastAsia" w:hAnsiTheme="minorEastAsia" w:eastAsiaTheme="minorEastAsia" w:cstheme="minorEastAsia"/>
          <w:color w:val="000000" w:themeColor="text1"/>
          <w:lang w:val="zh-CN"/>
          <w14:textFill>
            <w14:solidFill>
              <w14:schemeClr w14:val="tx1"/>
            </w14:solidFill>
          </w14:textFill>
        </w:rPr>
        <w:t xml:space="preserve">的招标代理机构； </w:t>
      </w:r>
    </w:p>
    <w:p w14:paraId="6F77A8E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（7）与</w:t>
      </w:r>
      <w:r>
        <w:rPr>
          <w:rFonts w:hint="eastAsia" w:asciiTheme="minorEastAsia" w:hAnsiTheme="minorEastAsia" w:cstheme="minorEastAsia"/>
          <w:color w:val="000000" w:themeColor="text1"/>
          <w:lang w:val="zh-CN"/>
          <w14:textFill>
            <w14:solidFill>
              <w14:schemeClr w14:val="tx1"/>
            </w14:solidFill>
          </w14:textFill>
        </w:rPr>
        <w:t>本项目包</w:t>
      </w:r>
      <w:r>
        <w:rPr>
          <w:rFonts w:hint="eastAsia" w:asciiTheme="minorEastAsia" w:hAnsiTheme="minorEastAsia" w:eastAsiaTheme="minorEastAsia" w:cstheme="minorEastAsia"/>
          <w:color w:val="000000" w:themeColor="text1"/>
          <w:lang w:val="zh-CN"/>
          <w14:textFill>
            <w14:solidFill>
              <w14:schemeClr w14:val="tx1"/>
            </w14:solidFill>
          </w14:textFill>
        </w:rPr>
        <w:t xml:space="preserve">的代建人或招标代理机构为同一法定代表人； </w:t>
      </w:r>
    </w:p>
    <w:p w14:paraId="1ABE4AD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（8）与</w:t>
      </w:r>
      <w:r>
        <w:rPr>
          <w:rFonts w:hint="eastAsia" w:asciiTheme="minorEastAsia" w:hAnsiTheme="minorEastAsia" w:cstheme="minorEastAsia"/>
          <w:color w:val="000000" w:themeColor="text1"/>
          <w:lang w:val="zh-CN"/>
          <w14:textFill>
            <w14:solidFill>
              <w14:schemeClr w14:val="tx1"/>
            </w14:solidFill>
          </w14:textFill>
        </w:rPr>
        <w:t>本项目包</w:t>
      </w:r>
      <w:r>
        <w:rPr>
          <w:rFonts w:hint="eastAsia" w:asciiTheme="minorEastAsia" w:hAnsiTheme="minorEastAsia" w:eastAsiaTheme="minorEastAsia" w:cstheme="minorEastAsia"/>
          <w:color w:val="000000" w:themeColor="text1"/>
          <w:lang w:val="zh-CN"/>
          <w14:textFill>
            <w14:solidFill>
              <w14:schemeClr w14:val="tx1"/>
            </w14:solidFill>
          </w14:textFill>
        </w:rPr>
        <w:t xml:space="preserve">的代建人或招标代理机构存在控股或参股关系；  </w:t>
      </w:r>
    </w:p>
    <w:p w14:paraId="40333BB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（9）具备附录 1 要求的工程</w:t>
      </w:r>
      <w:r>
        <w:rPr>
          <w:rFonts w:hint="eastAsia" w:asciiTheme="minorEastAsia" w:hAnsiTheme="minorEastAsia" w:cstheme="minorEastAsia"/>
          <w:color w:val="000000" w:themeColor="text1"/>
          <w:lang w:val="en-US" w:eastAsia="zh-CN"/>
          <w14:textFill>
            <w14:solidFill>
              <w14:schemeClr w14:val="tx1"/>
            </w14:solidFill>
          </w14:textFill>
        </w:rPr>
        <w:t>勘察、设计</w:t>
      </w:r>
      <w:r>
        <w:rPr>
          <w:rFonts w:hint="eastAsia" w:asciiTheme="minorEastAsia" w:hAnsiTheme="minorEastAsia" w:eastAsiaTheme="minorEastAsia" w:cstheme="minorEastAsia"/>
          <w:color w:val="000000" w:themeColor="text1"/>
          <w:lang w:val="zh-CN"/>
          <w14:textFill>
            <w14:solidFill>
              <w14:schemeClr w14:val="tx1"/>
            </w14:solidFill>
          </w14:textFill>
        </w:rPr>
        <w:t>的单位（以下简称“</w:t>
      </w:r>
      <w:r>
        <w:rPr>
          <w:rFonts w:hint="eastAsia" w:asciiTheme="minorEastAsia" w:hAnsiTheme="minorEastAsia" w:cstheme="minorEastAsia"/>
          <w:color w:val="000000" w:themeColor="text1"/>
          <w:lang w:val="en-US" w:eastAsia="zh-CN"/>
          <w14:textFill>
            <w14:solidFill>
              <w14:schemeClr w14:val="tx1"/>
            </w14:solidFill>
          </w14:textFill>
        </w:rPr>
        <w:t>勘察、设计单位</w:t>
      </w:r>
      <w:r>
        <w:rPr>
          <w:rFonts w:hint="eastAsia" w:asciiTheme="minorEastAsia" w:hAnsiTheme="minorEastAsia" w:eastAsiaTheme="minorEastAsia" w:cstheme="minorEastAsia"/>
          <w:color w:val="000000" w:themeColor="text1"/>
          <w:lang w:val="zh-CN"/>
          <w14:textFill>
            <w14:solidFill>
              <w14:schemeClr w14:val="tx1"/>
            </w14:solidFill>
          </w14:textFill>
        </w:rPr>
        <w:t>”）与施工单位相互之间不得存在隶属(或股份或股权)关系；</w:t>
      </w:r>
    </w:p>
    <w:p w14:paraId="7A6132E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 xml:space="preserve">（10）法律法规规或投标人须知前附表规定的其他情形。 </w:t>
      </w:r>
    </w:p>
    <w:p w14:paraId="5FD3909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1.4.4投标人(包括联合体各成员)不得存在下列不良状况或不良信用记录：</w:t>
      </w:r>
    </w:p>
    <w:p w14:paraId="525F6F9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1</w:t>
      </w:r>
      <w:r>
        <w:rPr>
          <w:rFonts w:hint="eastAsia" w:asciiTheme="minorEastAsia" w:hAnsiTheme="minorEastAsia" w:eastAsiaTheme="minorEastAsia" w:cstheme="minorEastAsia"/>
          <w:color w:val="000000" w:themeColor="text1"/>
          <w:lang w:val="zh-CN"/>
          <w14:textFill>
            <w14:solidFill>
              <w14:schemeClr w14:val="tx1"/>
            </w14:solidFill>
          </w14:textFill>
        </w:rPr>
        <w:t>）被省级及以上交通运输主管部门取消招标项目所在地的（广东省内）投标资格且处于有效期内；</w:t>
      </w:r>
    </w:p>
    <w:p w14:paraId="3249A3B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zh-CN"/>
          <w14:textFill>
            <w14:solidFill>
              <w14:schemeClr w14:val="tx1"/>
            </w14:solidFill>
          </w14:textFill>
        </w:rPr>
        <w:t>）被责令停业，暂扣或吊销执照，或吊销资质证书；</w:t>
      </w:r>
    </w:p>
    <w:p w14:paraId="4E1985F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）进入清算程序，或被宣告破产，或其他丧失履约能力的情形；</w:t>
      </w:r>
    </w:p>
    <w:p w14:paraId="4435CF5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）在国家企业信用信息公示系统(http://www.gsxt.gov.cn/)中被列入严重违法失信企业名单；</w:t>
      </w:r>
    </w:p>
    <w:p w14:paraId="5F61132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5</w:t>
      </w:r>
      <w:r>
        <w:rPr>
          <w:rFonts w:hint="eastAsia" w:asciiTheme="minorEastAsia" w:hAnsiTheme="minorEastAsia" w:eastAsiaTheme="minorEastAsia" w:cstheme="minorEastAsia"/>
          <w:color w:val="000000" w:themeColor="text1"/>
          <w:lang w:val="zh-CN"/>
          <w14:textFill>
            <w14:solidFill>
              <w14:schemeClr w14:val="tx1"/>
            </w14:solidFill>
          </w14:textFill>
        </w:rPr>
        <w:t>）在“中国执行信息公开网”网站(http://zxgk.court.gov.cn/shixin/)中被列入失信被执行人名单；</w:t>
      </w:r>
    </w:p>
    <w:p w14:paraId="2A2990D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6</w:t>
      </w:r>
      <w:r>
        <w:rPr>
          <w:rFonts w:hint="eastAsia" w:asciiTheme="minorEastAsia" w:hAnsiTheme="minorEastAsia" w:eastAsiaTheme="minorEastAsia" w:cstheme="minorEastAsia"/>
          <w:color w:val="000000" w:themeColor="text1"/>
          <w:lang w:val="zh-CN"/>
          <w14:textFill>
            <w14:solidFill>
              <w14:schemeClr w14:val="tx1"/>
            </w14:solidFill>
          </w14:textFill>
        </w:rPr>
        <w:t>）投标人或其法定代表人、拟委任的项目经理、项目总工、设计负责人在近三年内有行贿犯罪行为的【以投标人在投标函中的承诺为准】；</w:t>
      </w:r>
    </w:p>
    <w:p w14:paraId="17A7879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7</w:t>
      </w:r>
      <w:r>
        <w:rPr>
          <w:rFonts w:hint="eastAsia" w:asciiTheme="minorEastAsia" w:hAnsiTheme="minorEastAsia" w:eastAsiaTheme="minorEastAsia" w:cstheme="minorEastAsia"/>
          <w:color w:val="000000" w:themeColor="text1"/>
          <w:lang w:val="zh-CN"/>
          <w14:textFill>
            <w14:solidFill>
              <w14:schemeClr w14:val="tx1"/>
            </w14:solidFill>
          </w14:textFill>
        </w:rPr>
        <w:t>）法律法规或投标人须知前附表规定的其他情形。</w:t>
      </w:r>
    </w:p>
    <w:p w14:paraId="110977C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1.4.5投标人（包括联合体各成员）应进入交通运输部“全国公路建设市场监督管理系统（http://glxy.mot.gov.cn）”中对应的公路工程施工资质、设计资质企业名录，且投标人名称和资质与该名录中的相应企业名称和资质完全一致。投标人不满足本项规定条件的，将被否决投标。</w:t>
      </w:r>
    </w:p>
    <w:p w14:paraId="587BD2A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注：根据《关于进一步加强公路建设市场信用信息管理和使用有关工作的通知》</w:t>
      </w:r>
      <w:r>
        <w:rPr>
          <w:rFonts w:hint="eastAsia" w:asciiTheme="minorEastAsia" w:hAnsiTheme="minorEastAsia" w:cstheme="minorEastAsia"/>
          <w:color w:val="000000" w:themeColor="text1"/>
          <w:lang w:val="zh-CN"/>
          <w14:textFill>
            <w14:solidFill>
              <w14:schemeClr w14:val="tx1"/>
            </w14:solidFill>
          </w14:textFill>
        </w:rPr>
        <w:t>投标人的相关内容</w:t>
      </w:r>
      <w:r>
        <w:rPr>
          <w:rFonts w:hint="eastAsia" w:asciiTheme="minorEastAsia" w:hAnsiTheme="minorEastAsia" w:eastAsiaTheme="minorEastAsia" w:cstheme="minorEastAsia"/>
          <w:color w:val="000000" w:themeColor="text1"/>
          <w:lang w:val="zh-CN"/>
          <w14:textFill>
            <w14:solidFill>
              <w14:schemeClr w14:val="tx1"/>
            </w14:solidFill>
          </w14:textFill>
        </w:rPr>
        <w:t>未于2024年12月31日前完成补录工作的，提供“全国公路建设市场信用信息管理系统”相关截图同等有效。</w:t>
      </w:r>
    </w:p>
    <w:p w14:paraId="33442764">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1.5费用承担</w:t>
      </w:r>
    </w:p>
    <w:p w14:paraId="58A7FFF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1.5.1投标人准备和参加投标活动发生的费用自理。</w:t>
      </w:r>
    </w:p>
    <w:p w14:paraId="4013A25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1.5.2招标人对符合招标文件规定的未中标人的设计成果不进行补偿，且招标人经未中标人同意后，可免费使用其设计成果。</w:t>
      </w:r>
    </w:p>
    <w:p w14:paraId="4C48986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1.5.3根据建设工程招标代理协议书约定，本项目的招标代理服务费及评标专家酬劳全部由中标人支付，该费用不再另行报价，由投标人在投标报价时综合考虑在内。依据《关于印发&lt;招标代理服务收费管理暂行办法&gt;通知》[2002]1980号、《国家发展改革委关于降低部分建设项目收费标准规范收费行为等有关问题的通知》〔2011〕534号文计算服务费用金额，并以工程中标价来计算招标代理服务费用，按标准收费的70%。中标人在领取中标通知书前须向招标代理机构一次性支付招标代理服务费及评标专家酬劳，先由招标代理垫付（招标代理服务费按招标代理协议书约定执行，评标专家酬劳以评标结束当日的评标专家酬劳签收表总额为准）。</w:t>
      </w:r>
    </w:p>
    <w:p w14:paraId="180AD633">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1.6保密</w:t>
      </w:r>
    </w:p>
    <w:p w14:paraId="72C819E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参与招标投标活动的各方应对招标文件和投标文件中的商业和技术等秘密保密，否则应承担相应的法律责任。</w:t>
      </w:r>
    </w:p>
    <w:p w14:paraId="01966F50">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1.7语言文字</w:t>
      </w:r>
    </w:p>
    <w:p w14:paraId="0339132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招标投标文件使用的语言文字为中文。专用术语使用外文的，应附有中文注释。</w:t>
      </w:r>
    </w:p>
    <w:p w14:paraId="3F9F7BE8">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1.8计量单位</w:t>
      </w:r>
    </w:p>
    <w:p w14:paraId="64614AF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所有计量均采用中华人民共和国法定计量单位。</w:t>
      </w:r>
    </w:p>
    <w:p w14:paraId="03866CA8">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1.9踏勘现场</w:t>
      </w:r>
    </w:p>
    <w:p w14:paraId="57032AF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1.9.1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14:paraId="2F943FF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1.9.2投标人踏勘现场发生的费用自理。</w:t>
      </w:r>
    </w:p>
    <w:p w14:paraId="6565BDD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1.9.3除招标人的原因外，投标人自行负责在踏勘现场中所发生的人员伤亡和财产损失。</w:t>
      </w:r>
    </w:p>
    <w:p w14:paraId="0B30D14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1.9.4招标人在踏勘现场中介绍的工程场地和相关的周边环境情况，供投标人在编制投标文件时参考，招标人不对投标人据此作出的判断和决策负责。</w:t>
      </w:r>
    </w:p>
    <w:p w14:paraId="6AD9410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1.9.5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2BA1424D">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1.10投标预备会</w:t>
      </w:r>
    </w:p>
    <w:p w14:paraId="64794ED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1.10.1第一章“招标公告”或“投标邀请书”规定召开投标预备会的，招标人按规定的时间和地点召开投标预备会，澄清投标人提出的问题。</w:t>
      </w:r>
    </w:p>
    <w:p w14:paraId="1CD1E01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1.10.2投标人应按投标人须知前附表规定的时间和形式将提出的问题送达招标人，以便招标人在会议期间澄清。</w:t>
      </w:r>
    </w:p>
    <w:p w14:paraId="3A8F0B0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1.10.3投标预备会后，招标人将对投标人所提问题的澄清，以本章第2.2款规定的形式通知所有购买招标文件的投标人。该澄清内容为招标文件的组成部分。</w:t>
      </w:r>
    </w:p>
    <w:p w14:paraId="1CA7E81D">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1.11分包</w:t>
      </w:r>
    </w:p>
    <w:p w14:paraId="708053B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1.11.1投标人拟在中标后将中标项目的部分非主体、非关键性工作进行分包的，应符合以下规定：</w:t>
      </w:r>
    </w:p>
    <w:p w14:paraId="0618494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（1）分包内容要求：允许分包的工程范围仅限于非关键性工程或适合专业化队伍施工的专项工程；招标人允许分包或不允许分包的专项工程（如有）应在投标人须知前附表中载明。</w:t>
      </w:r>
    </w:p>
    <w:p w14:paraId="6CC012D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（2）接受分包的第三人资格要求：分包人的资格能力应与其分包工程的标准和规模相适应，且具备投标人须知前附表中规定的资格条件。</w:t>
      </w:r>
    </w:p>
    <w:p w14:paraId="1F9EB69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（3）其他要求：投标人如有分包计划，应按第七章“投标文件格式”的要求填写“拟分包项目情况表”，明确拟分包的工程及规模，且投标人中标后的分包应满足合同条款的相关要求。</w:t>
      </w:r>
    </w:p>
    <w:p w14:paraId="26CF909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1.11.2中标人不得向他人转让中标项目，接受分包的人不得再次分包。中标人应就分包项目向招标人负责，接受分包的人就分包项目承担连带责任。</w:t>
      </w:r>
    </w:p>
    <w:p w14:paraId="03EB444F">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1.12偏离</w:t>
      </w:r>
    </w:p>
    <w:p w14:paraId="73A82E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1.12.1投标文件偏离招标文件某些要求，视为投标文件存在偏差。偏差包括重大偏差和细微偏差。</w:t>
      </w:r>
    </w:p>
    <w:p w14:paraId="160A712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1.12.2投标文件应对招标文件的实质性要求和条件作出满足性或更有利于招标人的响应，否则，视为投标文件存在重大偏差，投标人的投标将被否决。投标文件存在第三章“评标办法”中所列任一否决投标情形的，均属于存在重大偏差。</w:t>
      </w:r>
    </w:p>
    <w:p w14:paraId="29A4BA2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1.12.3投标文件中的下列偏差为细微偏差：</w:t>
      </w:r>
    </w:p>
    <w:p w14:paraId="2F86CFE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(1)在按照第三章“评标办法”的规定对投标价进行算术性错误修正及其他错误修正后，最终投标报价未超过最高投标限价（如有）的情况下，出现第三章“评标办法”规定的算术性错误和投标报价的其他错误；</w:t>
      </w:r>
    </w:p>
    <w:p w14:paraId="61E280F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(2)建设总承包方案和项目管理机构不够完善。</w:t>
      </w:r>
    </w:p>
    <w:p w14:paraId="4979AE5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(3)投标文件页码不连续、采用活页夹装订、个别文字有遗漏错误等不影响投标文件实质性内容的偏差。</w:t>
      </w:r>
    </w:p>
    <w:p w14:paraId="5C210A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1.12.4评标委员会对投标文件中的细微偏差按如下规定处理：</w:t>
      </w:r>
    </w:p>
    <w:p w14:paraId="7A91503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（1）对于本章第1．12．3项(1)目所述的细微偏差，按照第三章“评标办法”的规定予以修正并要求投标人进行澄清；</w:t>
      </w:r>
    </w:p>
    <w:p w14:paraId="33C0552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对于本章第1．12．3项(2)目所述的细微偏差，如果采用合理低价法评标，应要求投标人对细微偏差进行澄清，只有投标人的澄清文件被评标委员会接受，投标人才能参加评标价的最终评比。如果采用综合评分法评标，可在相关评分因素的评分中酌情扣分；</w:t>
      </w:r>
    </w:p>
    <w:p w14:paraId="7490ACE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（3）对于本章第1．12．3项（3）目所述的细微偏差，可要求投标人对细微偏差进行澄清。</w:t>
      </w:r>
    </w:p>
    <w:p w14:paraId="6D455ED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1.12.5投标人应根据招标文件的要求提供建设总承包方案等内容以对招标文件作出响应。</w:t>
      </w:r>
    </w:p>
    <w:p w14:paraId="19558C1F">
      <w:pPr>
        <w:adjustRightInd w:val="0"/>
        <w:snapToGrid w:val="0"/>
        <w:spacing w:line="440" w:lineRule="exact"/>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2.招标文件</w:t>
      </w:r>
    </w:p>
    <w:p w14:paraId="01ED4587">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2.1招标文件的组成</w:t>
      </w:r>
    </w:p>
    <w:p w14:paraId="0690EB5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本招标文件包括：</w:t>
      </w:r>
    </w:p>
    <w:p w14:paraId="00A225C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（1）招标公告（或投标邀请书）；</w:t>
      </w:r>
    </w:p>
    <w:p w14:paraId="67902FB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（2）投标人须知；</w:t>
      </w:r>
    </w:p>
    <w:p w14:paraId="2182F6F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（3）评标办法</w:t>
      </w:r>
      <w:r>
        <w:rPr>
          <w:rFonts w:hint="eastAsia" w:asciiTheme="minorEastAsia" w:hAnsiTheme="minorEastAsia" w:cstheme="minorEastAsia"/>
          <w:color w:val="000000" w:themeColor="text1"/>
          <w:lang w:val="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双信封的综合评分法</w:t>
      </w:r>
      <w:r>
        <w:rPr>
          <w:rFonts w:hint="eastAsia" w:asciiTheme="minorEastAsia" w:hAnsi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384959B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（4）合同条款及格式；</w:t>
      </w:r>
    </w:p>
    <w:p w14:paraId="7102ADB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（5）发包人要求；</w:t>
      </w:r>
    </w:p>
    <w:p w14:paraId="0ECF648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发包人提供的资料</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4551670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（7）投标文件格式；</w:t>
      </w:r>
    </w:p>
    <w:p w14:paraId="5EEAC11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（8）投标人须知前附表规定的其他资料。</w:t>
      </w:r>
    </w:p>
    <w:p w14:paraId="6EFECD7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根据本章第1.10款、第2.2款和第2.3款对招标文件所作的澄清、修改，构成招标文件的组成部分。</w:t>
      </w:r>
    </w:p>
    <w:p w14:paraId="401C87C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2.2</w:t>
      </w:r>
      <w:r>
        <w:rPr>
          <w:rFonts w:hint="eastAsia" w:asciiTheme="minorEastAsia" w:hAnsiTheme="minorEastAsia" w:eastAsiaTheme="minorEastAsia" w:cstheme="minorEastAsia"/>
          <w:color w:val="000000" w:themeColor="text1"/>
          <w:lang w:val="zh-CN"/>
          <w14:textFill>
            <w14:solidFill>
              <w14:schemeClr w14:val="tx1"/>
            </w14:solidFill>
          </w14:textFill>
        </w:rPr>
        <w:t>招标文件的澄清</w:t>
      </w:r>
    </w:p>
    <w:p w14:paraId="219280D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2.2.1本项目属于电子投标项目，投标人对招标文件任何需要澄清或答疑的问题，应在招标文件规定的时间在全国公共资源交易平台（广东省·韶关市）（https://ygp.gdzwfw.gov.cn/ggzy-portal/#/440200/index）提出，并不得署名。招标人对招标文件的任何修改、澄清及答疑均在全国公共资源交易平台（广东省·韶关市）（https://ygp.gdzwfw.gov.cn/ggzy-portal/#/440200/index）发布，招标人不另行通知，投标人自行在韶关市公共资源建设工程交易系统下载查看。投标人逾期提出或没有提出问题，视为对招标文件没有任何异议。</w:t>
      </w:r>
    </w:p>
    <w:p w14:paraId="0C6588E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2.2.2澄清和修改内容将以编号的补遗书形式在全国公共资源交易平台（广东省·韶关市）（https://ygp.gdzwfw.gov.cn/ggzy-portal/#/440200/index）建设工程栏目的公告公示上发布。补遗书作为招标文件的组成部分，对所有投标人均具有约束力。</w:t>
      </w:r>
    </w:p>
    <w:p w14:paraId="2E40F23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2.3招标文件的修改</w:t>
      </w:r>
    </w:p>
    <w:p w14:paraId="0C99C11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2.3.1招标文件发出后,在递交投标文件截止时间15日前，招标人可对招标文件进行必要的修改。如果修改招标文件的时间距投标截止时间不足15天，相应延长投标截止时间。招标修改文件一经在全国公共资源交易平台（广东省·韶关市）（https://ygp.gdzwfw.gov.cn/ggzy-portal/#/440200/index）发布，视作已发放给所有投标人。</w:t>
      </w:r>
    </w:p>
    <w:p w14:paraId="01923CC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2.3.2招标文件的修改作为招标文件的组成部分，具有约束作用。投标人应及时留意浏览网上发出的修改公告，因投标人自身原因未及时获知修改内容而导致的任何后果将由投标人自行承担。</w:t>
      </w:r>
    </w:p>
    <w:p w14:paraId="6233079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2.3.3招标文件的修改均以全国公共资源交易平台（广东省·韶关市）（https://ygp.gdzwfw.gov.cn/ggzy-portal/#/440200/index）发布的内容为准。当招标文件的修改在同一内容的表述不一致时，以全国公共资源交易平台（广东省·韶关市）（https://ygp.gdzwfw.gov.cn/ggzy-portal/#/440200/index）最后发布的内容为准。</w:t>
      </w:r>
    </w:p>
    <w:p w14:paraId="5AB82A5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2.4对招标文件的异议</w:t>
      </w:r>
    </w:p>
    <w:p w14:paraId="663E21A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投标人或其他利害关系人对招标文件有异议的，应在投标截止时间10日前以书面或电子邮件形式提出。招标人将在收到异议之日起3日内作出答复；作出答复前，将暂停招标投标活动。</w:t>
      </w:r>
    </w:p>
    <w:p w14:paraId="789DE4C6">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3.投标文件</w:t>
      </w:r>
    </w:p>
    <w:p w14:paraId="5C5E695A">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3.1投标文件的组成</w:t>
      </w:r>
    </w:p>
    <w:p w14:paraId="2CFC916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3.1.1投标文件应包括下列内容：</w:t>
      </w:r>
    </w:p>
    <w:p w14:paraId="706362AD">
      <w:pPr>
        <w:adjustRightInd w:val="0"/>
        <w:snapToGrid w:val="0"/>
        <w:spacing w:line="440" w:lineRule="exact"/>
        <w:ind w:firstLine="422"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第一个信封（商务及技术文件）：</w:t>
      </w:r>
    </w:p>
    <w:p w14:paraId="2FCD788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（1）投标函及投标函附录；</w:t>
      </w:r>
    </w:p>
    <w:p w14:paraId="7895288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（2）授权委托书或法定代表人身份证明；</w:t>
      </w:r>
    </w:p>
    <w:p w14:paraId="0D41D02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（3）联合体协议书（如有）；</w:t>
      </w:r>
    </w:p>
    <w:p w14:paraId="30DBA96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（4）投标保证金；</w:t>
      </w:r>
    </w:p>
    <w:p w14:paraId="75FEE5E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（5）总承包方案；</w:t>
      </w:r>
    </w:p>
    <w:p w14:paraId="4EC7AB8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（6）项目管理机构；</w:t>
      </w:r>
    </w:p>
    <w:p w14:paraId="5D0D6D8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（7）拟分包项目情况表；</w:t>
      </w:r>
    </w:p>
    <w:p w14:paraId="672FD96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（8）资格审查资料；</w:t>
      </w:r>
    </w:p>
    <w:p w14:paraId="31B49DA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（9）其他资料；</w:t>
      </w:r>
    </w:p>
    <w:p w14:paraId="79103FC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（10）投标人须知前附表规定的其他资料。</w:t>
      </w:r>
    </w:p>
    <w:p w14:paraId="7F6C36D1">
      <w:pPr>
        <w:adjustRightInd w:val="0"/>
        <w:snapToGrid w:val="0"/>
        <w:spacing w:line="440" w:lineRule="exact"/>
        <w:ind w:firstLine="422" w:firstLineChars="200"/>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第二个信封（报价文件）：</w:t>
      </w:r>
    </w:p>
    <w:p w14:paraId="757FFBA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（1）投标函；</w:t>
      </w:r>
    </w:p>
    <w:p w14:paraId="49E69FD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（2）已标价工程量清单（如有）。</w:t>
      </w:r>
    </w:p>
    <w:p w14:paraId="2F8E06E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投标人在评标过程中作出的符合法律法规和招标文件规定的澄清确认，构成投标文件的组成部分。</w:t>
      </w:r>
    </w:p>
    <w:p w14:paraId="76AB3D3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3.1.2投标人须知前附表规定不接受联合体投标的，或投标人没有组成联合体的，投标文件不包括本章第3.1.1（3）目所指的联合体协议书。</w:t>
      </w:r>
    </w:p>
    <w:p w14:paraId="2258E98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3.1.3投标人须知前附表未要求提交投标保证金的，投标文件不包括本章第3.1.1（4）目所指的投标保证金。</w:t>
      </w:r>
    </w:p>
    <w:p w14:paraId="4804E6CB">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3.2投标报价</w:t>
      </w:r>
    </w:p>
    <w:p w14:paraId="7F16DD6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3.2.1投标报价应包括按国家、省、市现行规定执行的增值税税金，除投标人须知前附表另有规定外，增值税税金按一般计税方法计算。投标人应按第七章“投标文件格式”的要求填写工程量清单。</w:t>
      </w:r>
    </w:p>
    <w:p w14:paraId="2B38823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工程量清单的填写分下列两种方式。投标人应按投标人须知前附表规定的方式填写工程量清单。</w:t>
      </w:r>
    </w:p>
    <w:p w14:paraId="31E89B6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本项目招标采用工程量固化清单，招标人在出售招标文件的同时向投标人提供工程量固化清单电子文件(光盘或U盘)，或将工程量固化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439E77F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必须严格遵循工程量固化清单电子文件中的数据、格式及运算定义，并将已填写完毕的投标工程量清单电子文件单独拷入光盘(或U盘)中密封在投标文件正本内一并交回。严禁投标人修改工程量固化清单电子文件中的数据、格式及运算定义。</w:t>
      </w:r>
    </w:p>
    <w:p w14:paraId="316D056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投标人根据招标人提供的工程量固化清单电子文件填报完成并打印的投标工程量清单中的投标报价和投标函大写金额报价应一致，如果报价金额出现差异时，其投标将被否决。</w:t>
      </w:r>
    </w:p>
    <w:p w14:paraId="3E748BD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本项目招标由招标人提供书面工程量清单，由投标人按照招标人提供的工程量清单填写本合同各工程子目的单价、合价和总额价。评标委员会将按照第三章“评标办法”的规定对投标价进行算术性错误修正及其他错误修正。</w:t>
      </w:r>
    </w:p>
    <w:p w14:paraId="1824BD8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3.2.2投标人应充分了解施工场地的位置、周边环境、道路、装卸、保管、安装限制以及影响投标报价的其他要素。投标人根据投标设计，结合市场情况进行投标报价。</w:t>
      </w:r>
    </w:p>
    <w:p w14:paraId="5486928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3.2.3本项目的报价方式见投标人须知前附表，投标人在投标截止时间前修改投标函中的投标报价总额，应同时修改投标文件“工程量清单”中的相应报价，投标报价总额为各分项金额之和。此修改须符合本章第4.3款的有关要求。</w:t>
      </w:r>
    </w:p>
    <w:p w14:paraId="49B0BD6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3.2.4招标人设有最高投标限价的，投标人的投标报价不得超过最高投标限价，最高投标限价或其计算方法在投标人须知前附表中载明。</w:t>
      </w:r>
    </w:p>
    <w:p w14:paraId="1C60041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3.2.5投标报价的其他要求见投标人须知前附表。</w:t>
      </w:r>
    </w:p>
    <w:p w14:paraId="2A8AE6F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3.2.6除投标人须知前附表另有规定外，招标人不接受调价函。</w:t>
      </w:r>
    </w:p>
    <w:p w14:paraId="2DCB5312">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3.3投标有效期</w:t>
      </w:r>
    </w:p>
    <w:p w14:paraId="6C3E9C0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3.3.1除投标人须知前附表另有规定外，投标有效期为120日。</w:t>
      </w:r>
    </w:p>
    <w:p w14:paraId="38F38A4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3.3.2在投标有效期内，投标人撤销投标文件的，应承担招标文件和法律规定的责任。</w:t>
      </w:r>
    </w:p>
    <w:p w14:paraId="720BF34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4F8184F9">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3.4投标保证金</w:t>
      </w:r>
    </w:p>
    <w:p w14:paraId="36D720B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3.4.1投标人在递交投标文件的同时，应按投标人须知前附表规定的金额和第七章“投标文件格式”规定的投标保证金格式递交投标保证金，并作为其投标文件的组成部分。联合体投标的，其投标保证金由牵头人递交，并应符合投标人须知前附表的规定。</w:t>
      </w:r>
    </w:p>
    <w:p w14:paraId="760E172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投标保证金应采用现金、支票、银行保函或招标人在投标人须知前附表规定的其他形式。</w:t>
      </w:r>
    </w:p>
    <w:p w14:paraId="159AAF0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(1)若采用现金或支票，投标人应在递交投标文件截止时间之前，将投标保证金由投标人的基本账户转入招标人指定账户，否则视为投标保证金无效。招标人指定的开户银行及账号见投标人须知前附表。</w:t>
      </w:r>
    </w:p>
    <w:p w14:paraId="6A3A39A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(2)若采用银行保函，则应由符合投标人须知前附表规定级别的银行开具，并应采用招标文件提供的格式。银行保函复印件装订在投标文件内，原件应在递交投标文件截止时间之前单独密封递交给招标人。</w:t>
      </w:r>
    </w:p>
    <w:p w14:paraId="56C26A6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无论采取何种形式的投标保证金，投标保证金有效期均应与投标有效期一致。招标人如果按本章第3.3.3项的规定延长了投标有效期，则投标保证金的有效期也相应延长。</w:t>
      </w:r>
    </w:p>
    <w:p w14:paraId="7B79984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3.4.2投标人不按本章第3.4.1项要求递交投标保证金的，评标委员会将否决其投标。</w:t>
      </w:r>
    </w:p>
    <w:p w14:paraId="02D312D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3.4.3中标人的投标保证金，系统在收到招标人与中标人所签合同后五日内退还原转出银行帐号；未中标投标人的投标保证金退还，按法定的评标结果、中标结果公示结束或异议处理结束后五日内分批退还至原转出银行帐号。</w:t>
      </w:r>
    </w:p>
    <w:p w14:paraId="768592B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利息计算原则见投标人须知前附表。</w:t>
      </w:r>
    </w:p>
    <w:p w14:paraId="7D59AE6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3.4.4有下列情形之一的，投标保证金将不予退还：</w:t>
      </w:r>
    </w:p>
    <w:p w14:paraId="74847A0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（1）投标人在规定的投标有效期内撤销或修改其投标文件；</w:t>
      </w:r>
    </w:p>
    <w:p w14:paraId="1949A1C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（2）中标人在收到中标通知书后，无正当理由拒签合同或在签订合同时向招标人提出不合理的附加条件或未按招标文件规定提交履约担保。</w:t>
      </w:r>
    </w:p>
    <w:p w14:paraId="38D01D4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（3）串通投标；</w:t>
      </w:r>
    </w:p>
    <w:p w14:paraId="2300A37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（4）评标、中标候选人公示、签订合同前等环节因作假而被取消中标资格；</w:t>
      </w:r>
    </w:p>
    <w:p w14:paraId="6A8B97D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（5）因投诉属实取消投标资格的；</w:t>
      </w:r>
    </w:p>
    <w:p w14:paraId="084D193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（6）其他违反规定、妨碍公平竞争准则的行为。</w:t>
      </w:r>
    </w:p>
    <w:p w14:paraId="10CDA528">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3.5资格审查资料</w:t>
      </w:r>
    </w:p>
    <w:p w14:paraId="3C45B64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3.5.1“投标人基本情况表”应附企业法人营业执照副本、资质证书副本、安全生产许可证副本（联合体投标的，施工资质成员方提供，下同）、基本账户开户许可证（如企业所在地已取消企业银行账户许可而无法提供开户许可证的，则需附上开户银行出具的“基本存款账户信息”或“人民银行账户管理系统查询的基本账户信息截图”，下同）的复印件，投标人在交通运输部“全国公路建设市场监督管理系统”公路工程施工资质企业名录中的网页截图和公路工程设计资质企业名录中的网页截图投标人在全国企业信用信息公示系统中基础信息（体现股东）的网页截图复印件。</w:t>
      </w:r>
    </w:p>
    <w:p w14:paraId="596E142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3.5.2“近年财务状况表”具体年份要求见投标人须知前附表，近年财务信息以投标人提供的“全国公路建设市场监督管理系统”企业所填的信息截图为准。投标人的成立时间少于投标人须知前附表规定年份的，应提供成立以来的财务信息截图，且规定年份的平均营业总收入按成立以来的财务数据结合招标文件规定的年份数进行计算评审，盈利满足资格审查要求的年数。以联合体形式投标的，其财务能力以联合体牵头人为准。</w:t>
      </w:r>
    </w:p>
    <w:p w14:paraId="6F08515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3.5.3</w:t>
      </w:r>
      <w:r>
        <w:rPr>
          <w:rFonts w:hint="eastAsia" w:asciiTheme="minorEastAsia" w:hAnsiTheme="minorEastAsia" w:eastAsiaTheme="minorEastAsia" w:cstheme="minorEastAsia"/>
          <w:color w:val="000000" w:themeColor="text1"/>
          <w14:textFill>
            <w14:solidFill>
              <w14:schemeClr w14:val="tx1"/>
            </w14:solidFill>
          </w14:textFill>
        </w:rPr>
        <w:t>“近年完成的类似施工项目”应是已列入交通运输部“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”并公开的总包已建业绩或分包（不包括劳务分包）已建业绩，具体时间要求见投标人须知前附表。</w:t>
      </w:r>
    </w:p>
    <w:p w14:paraId="2D257EC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“近年完成的类似施工项目”应附在交通运输部“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中查询到的企业“业绩信息”相关项目网页截图复印件或网页打印件，即包括“项目名称”、“标段类型”、“合同价”、“主要工程量”等栏目在内的项目详细信息网页截图复印件或网页打印件。除网页截图复印件或网页打印件外，投标人无需再提供任何业绩证明材料。</w:t>
      </w:r>
    </w:p>
    <w:p w14:paraId="127C673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上述的施工业绩如投标人未提供相关项目网页截图复印件或相关项目网页截图中的信息无法证实投标人满足招标文件规定的资格审查条件（业绩最低要求）或评标办法评分标准（如有），则该项目业绩不予认定。</w:t>
      </w:r>
    </w:p>
    <w:p w14:paraId="499160A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“近年完成的类似勘察设计项目”应是已列入交通运输部“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”并公开的“初步设计已批复或施工图设计已批复”的主包业绩或分包业绩，业绩的计算时间以交通运输部“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”中体现的该业绩的初步设计已批复或施工图设计审查（批）时间为准。具体时间要求见投标人须知前附表。</w:t>
      </w:r>
    </w:p>
    <w:p w14:paraId="6936E50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“近年完成的类似勘察设计项目”应附在交通运输部“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中查询到的企业“业绩信息”相关项目网页截图复印件或网页打印件，即包括“工程名称”“项目类型”“合同价”“技术等级”“主要设计内容”“人员履约信息”等栏目在内的项目详细信息网页截图复印件或网页打印件。除网页截图复印件或网页打印件外，投标人无须再提供任何业绩证明材料。</w:t>
      </w:r>
    </w:p>
    <w:p w14:paraId="79FD140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如投标人未提供相关项目网页截图复印件或相关项目网页截图中的信息无法证实投标人满足招标文件规定的资格审查条件（业绩最低要求）或评标办法评分标准（如有），则该项目业绩不予认定。</w:t>
      </w:r>
    </w:p>
    <w:p w14:paraId="7CF5821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3.5.4“投标人的信誉情况表”应附投标人在全国企业信用信息公示系统中未被列入严重违法失信企业名单、在“信用中国”网站中未被列入失信被执行人名单的网页截图复印件。投标人、投标人的法定代表人、拟投入本项目的项目总负责人、项目经理、项目总工、</w:t>
      </w:r>
      <w:r>
        <w:rPr>
          <w:rFonts w:hint="eastAsia" w:asciiTheme="minorEastAsia" w:hAnsiTheme="minorEastAsia" w:cstheme="minorEastAsia"/>
          <w:color w:val="000000" w:themeColor="text1"/>
          <w:lang w:val="zh-CN"/>
          <w14:textFill>
            <w14:solidFill>
              <w14:schemeClr w14:val="tx1"/>
            </w14:solidFill>
          </w14:textFill>
        </w:rPr>
        <w:t>设计负责人</w:t>
      </w:r>
      <w:r>
        <w:rPr>
          <w:rFonts w:hint="eastAsia" w:asciiTheme="minorEastAsia" w:hAnsiTheme="minorEastAsia" w:eastAsiaTheme="minorEastAsia" w:cstheme="minorEastAsia"/>
          <w:color w:val="000000" w:themeColor="text1"/>
          <w:lang w:val="zh-CN"/>
          <w14:textFill>
            <w14:solidFill>
              <w14:schemeClr w14:val="tx1"/>
            </w14:solidFill>
          </w14:textFill>
        </w:rPr>
        <w:t>无行贿犯罪记录以投标函的承诺为准。</w:t>
      </w:r>
    </w:p>
    <w:p w14:paraId="718CA5D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3.5.5</w:t>
      </w:r>
      <w:r>
        <w:rPr>
          <w:rFonts w:hint="eastAsia" w:asciiTheme="minorEastAsia" w:hAnsiTheme="minorEastAsia" w:cstheme="minorEastAsia"/>
          <w:color w:val="000000" w:themeColor="text1"/>
          <w:lang w:eastAsia="zh-CN"/>
          <w14:textFill>
            <w14:solidFill>
              <w14:schemeClr w14:val="tx1"/>
            </w14:solidFill>
          </w14:textFill>
        </w:rPr>
        <w:t>“拟委任的项目经理、项目总工、设计负责人资历表”</w:t>
      </w:r>
      <w:r>
        <w:rPr>
          <w:rFonts w:hint="eastAsia" w:asciiTheme="minorEastAsia" w:hAnsiTheme="minorEastAsia" w:eastAsiaTheme="minorEastAsia" w:cstheme="minorEastAsia"/>
          <w:color w:val="000000" w:themeColor="text1"/>
          <w14:textFill>
            <w14:solidFill>
              <w14:schemeClr w14:val="tx1"/>
            </w14:solidFill>
          </w14:textFill>
        </w:rPr>
        <w:t>应同时附：①交通运输部“</w:t>
      </w:r>
      <w:r>
        <w:rPr>
          <w:rFonts w:hint="eastAsia" w:asciiTheme="minorEastAsia" w:hAnsiTheme="minorEastAsia" w:eastAsiaTheme="minorEastAsia" w:cstheme="minorEastAsia"/>
          <w:color w:val="000000" w:themeColor="text1"/>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14:textFill>
            <w14:solidFill>
              <w14:schemeClr w14:val="tx1"/>
            </w14:solidFill>
          </w14:textFill>
        </w:rPr>
        <w:t>”中载明的、能够证明项目经理、项目总工和项目设计负责人满足投标人须知前附表附录4或者评标办法评分标准（如有）所提出的各项指标（即包括人员的“基本信息”、“职称信息”、“执业资格”、“个人业绩”等栏目在内）的网页截图复印件或网页打印件；②建造师注册证书在中华人民共和国住房和城乡建设部网站上公开信息的网页截图复印件或网页打印件；③安全生产考核合格证书在交通运输部公路水运工程施工企业安全生产管理人员信息公共查询平台上公开信息的网页截图复印件或网页打印件；④投标人所属社保机构出具的拟委任的项目总负责人、项目经理、项目总工和</w:t>
      </w:r>
      <w:r>
        <w:rPr>
          <w:rFonts w:hint="eastAsia" w:asciiTheme="minorEastAsia" w:hAnsiTheme="minorEastAsia" w:cstheme="minorEastAsia"/>
          <w:color w:val="000000" w:themeColor="text1"/>
          <w:lang w:eastAsia="zh-CN"/>
          <w14:textFill>
            <w14:solidFill>
              <w14:schemeClr w14:val="tx1"/>
            </w14:solidFill>
          </w14:textFill>
        </w:rPr>
        <w:t>设计负责人</w:t>
      </w:r>
      <w:r>
        <w:rPr>
          <w:rFonts w:hint="eastAsia" w:asciiTheme="minorEastAsia" w:hAnsiTheme="minorEastAsia" w:eastAsiaTheme="minorEastAsia" w:cstheme="minorEastAsia"/>
          <w:color w:val="000000" w:themeColor="text1"/>
          <w14:textFill>
            <w14:solidFill>
              <w14:schemeClr w14:val="tx1"/>
            </w14:solidFill>
          </w14:textFill>
        </w:rPr>
        <w:t>的社保缴费证明或其他能够证明拟委任的项目经理、项目总工和</w:t>
      </w:r>
      <w:r>
        <w:rPr>
          <w:rFonts w:hint="eastAsia" w:asciiTheme="minorEastAsia" w:hAnsiTheme="minorEastAsia" w:cstheme="minorEastAsia"/>
          <w:color w:val="000000" w:themeColor="text1"/>
          <w:lang w:eastAsia="zh-CN"/>
          <w14:textFill>
            <w14:solidFill>
              <w14:schemeClr w14:val="tx1"/>
            </w14:solidFill>
          </w14:textFill>
        </w:rPr>
        <w:t>设计负责人</w:t>
      </w:r>
      <w:r>
        <w:rPr>
          <w:rFonts w:hint="eastAsia" w:asciiTheme="minorEastAsia" w:hAnsiTheme="minorEastAsia" w:eastAsiaTheme="minorEastAsia" w:cstheme="minorEastAsia"/>
          <w:color w:val="000000" w:themeColor="text1"/>
          <w14:textFill>
            <w14:solidFill>
              <w14:schemeClr w14:val="tx1"/>
            </w14:solidFill>
          </w14:textFill>
        </w:rPr>
        <w:t>的参加社保的有效证明材料复印件（提供投标截止日前近半年内连续不少于3个月社保证明）。</w:t>
      </w:r>
    </w:p>
    <w:p w14:paraId="3A8109DF">
      <w:pPr>
        <w:adjustRightInd w:val="0"/>
        <w:snapToGrid w:val="0"/>
        <w:spacing w:line="440" w:lineRule="exact"/>
        <w:ind w:firstLine="422"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注：根据《关于进一步加强公路建设市场信用信息管理和使用有关工作的通知》</w:t>
      </w:r>
      <w:r>
        <w:rPr>
          <w:rFonts w:hint="eastAsia" w:asciiTheme="minorEastAsia" w:hAnsiTheme="minorEastAsia" w:cstheme="minorEastAsia"/>
          <w:b/>
          <w:bCs/>
          <w:color w:val="000000" w:themeColor="text1"/>
          <w:szCs w:val="21"/>
          <w:lang w:eastAsia="zh-CN"/>
          <w14:textFill>
            <w14:solidFill>
              <w14:schemeClr w14:val="tx1"/>
            </w14:solidFill>
          </w14:textFill>
        </w:rPr>
        <w:t>投标人的相关内容</w:t>
      </w:r>
      <w:r>
        <w:rPr>
          <w:rFonts w:hint="eastAsia" w:asciiTheme="minorEastAsia" w:hAnsiTheme="minorEastAsia" w:eastAsiaTheme="minorEastAsia" w:cstheme="minorEastAsia"/>
          <w:b/>
          <w:bCs/>
          <w:color w:val="000000" w:themeColor="text1"/>
          <w:szCs w:val="21"/>
          <w14:textFill>
            <w14:solidFill>
              <w14:schemeClr w14:val="tx1"/>
            </w14:solidFill>
          </w14:textFill>
        </w:rPr>
        <w:t>未于2024年12月31日前完成补录工作的，提供“全国公路建设市场信用信息管理系统”相关截图同等有效。</w:t>
      </w:r>
    </w:p>
    <w:p w14:paraId="1DA041F1">
      <w:pPr>
        <w:adjustRightInd w:val="0"/>
        <w:snapToGrid w:val="0"/>
        <w:spacing w:line="440" w:lineRule="exact"/>
        <w:ind w:firstLine="422"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除上述资料外，申请人无需再提供任何证明材料。如项目经理和项目总工目前仍在其他项目上任职，则投标人应按投标函的格式承诺上述人员能够从该项目撤离。</w:t>
      </w:r>
    </w:p>
    <w:p w14:paraId="280E69E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3.5.6投标人须知前附表规定接受联合体投标的，本章第3.5.1项至第3.5.5项规定的表格和资料应包括联合体各方相关情况（近年财务状况表除外）。</w:t>
      </w:r>
    </w:p>
    <w:p w14:paraId="4C01BB5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3.5.7除合同条款约定的特殊情形外，投标人在投标文件中填报的项目经理和项目总工不允许更换。</w:t>
      </w:r>
    </w:p>
    <w:p w14:paraId="797C5B6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3.5.8投标人（或联合体牵头人）在投标文件中填报的资质、业绩、项目管理机构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14:paraId="32CA9E9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3.5.9招标人有权核查投标人在资格预审申请文件和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10％签约合同价的金额作为违约金。同时招标人将投标人上述弄虚作假行为上报省级交通运输主管部门，作为不良记录纳入公路建设市场信用信息管理系统。</w:t>
      </w:r>
    </w:p>
    <w:p w14:paraId="2232AE3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3.6备选投标方案</w:t>
      </w:r>
    </w:p>
    <w:p w14:paraId="0D51758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3.6.1除投标人须知前附表规定允许外，投标人不得递交备选投标方案，否则其投标将被否决。</w:t>
      </w:r>
    </w:p>
    <w:p w14:paraId="0915985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3.6.2允许投标人递交备选投标方案的，只有中标人所递交的备选投标方案方可予以考虑。评标委员会认为中标人的备选投标方案优于其按照招标文件要求编制的投标方案的，招标人可以接受该备选投标方案。</w:t>
      </w:r>
    </w:p>
    <w:p w14:paraId="1C81866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3.6.3投标人提供两个或两个以上投标报价，或在投标文件中提供一个报价，但同时提供两个或两个以上建设总承包方案的，视为提供备选方案。</w:t>
      </w:r>
    </w:p>
    <w:p w14:paraId="300E5751">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3.7投标文件的编制</w:t>
      </w:r>
    </w:p>
    <w:p w14:paraId="31388AD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3.7.1投标文件应按第七章“投标文件格式”进行编写，如有必要，可以增加附页，作为投标文件的组成部分。其中，投标函附录在满足招标文件实质性要求的基础上，可以提出比招标文件要求更有利于招标人的承诺。</w:t>
      </w:r>
    </w:p>
    <w:p w14:paraId="6133B18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3.7.2投标文件应当对招标文件有关工期、投标有效期、质量标准、安全目标、发包人要求等实质性内容作出响应。</w:t>
      </w:r>
    </w:p>
    <w:p w14:paraId="172E43D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3.7.3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其中投标函、调价函（如有）及对投标文件的澄清和说明应加盖投标人单位章，或由投标人的法定代表人或其委托代理人签字。</w:t>
      </w:r>
    </w:p>
    <w:p w14:paraId="64ED40A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如果投标文件由委托代理人签署，则投标人需提交授权委托书，授权委托书应按第七章“投标文件格式”的要求出具，并由法定代表人和委托代理人亲笔签名，不得使用印章、签名章或其他电子制版签名。</w:t>
      </w:r>
    </w:p>
    <w:p w14:paraId="7CD5632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如果由投标人的法定代表人亲自签署投标文件，则投标人需提交法定代表人身份证明，身份证明应符合第七章“投标文件格式”的要求。</w:t>
      </w:r>
    </w:p>
    <w:p w14:paraId="214A13B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以联合体形式参与投标的，投标文件由联合体牵头人的法定代表人或其委托代理人按上述规定签署并加盖联合体牵头人单位章。法定代表人授权委托书或法定代表人身份证明须有联合体牵头人按上述规定出具。</w:t>
      </w:r>
    </w:p>
    <w:p w14:paraId="31E2CB5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投标文件应尽量避免涂改、行间插字或删除。如果出现上述情况，改动之处应由投标人的法定代表人或其授权的代理人签字或盖单位章。</w:t>
      </w:r>
    </w:p>
    <w:p w14:paraId="649E9D9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14:paraId="3411A34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3.7.4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14:paraId="23B164F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3.7.5投标文件的正本和副本应分别装订成册（A4纸幅），并编制目录、且逐页标注连续页码。投标文件不得采用活页夹装订，否则，招标人对由于投标文件装订松散而造成的丢失或其他后果不承担任何责任。装订的其他要求见投标人须知前附表。</w:t>
      </w:r>
    </w:p>
    <w:p w14:paraId="677BE5FF">
      <w:pPr>
        <w:adjustRightInd w:val="0"/>
        <w:snapToGrid w:val="0"/>
        <w:spacing w:line="440" w:lineRule="exact"/>
        <w:ind w:firstLine="420" w:firstLineChars="200"/>
        <w:rPr>
          <w:rFonts w:hint="eastAsia" w:asciiTheme="minorEastAsia" w:hAnsiTheme="minorEastAsia" w:eastAsiaTheme="minorEastAsia" w:cstheme="minorEastAsia"/>
          <w:b w:val="0"/>
          <w:bCs w:val="0"/>
          <w:color w:val="000000" w:themeColor="text1"/>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lang w:val="zh-CN"/>
          <w14:textFill>
            <w14:solidFill>
              <w14:schemeClr w14:val="tx1"/>
            </w14:solidFill>
          </w14:textFill>
        </w:rPr>
        <w:t>3.7.6本项目采用全流程电子投标，不需要提交纸质版的投标文件。</w:t>
      </w:r>
    </w:p>
    <w:p w14:paraId="1733484C">
      <w:pPr>
        <w:adjustRightInd w:val="0"/>
        <w:snapToGrid w:val="0"/>
        <w:spacing w:line="440" w:lineRule="exact"/>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4.投标</w:t>
      </w:r>
    </w:p>
    <w:p w14:paraId="25694B3A">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4.1投标文件的密封和标记</w:t>
      </w:r>
      <w:r>
        <w:rPr>
          <w:rFonts w:hint="eastAsia" w:asciiTheme="minorEastAsia" w:hAnsiTheme="minorEastAsia" w:eastAsiaTheme="minorEastAsia" w:cstheme="minorEastAsia"/>
          <w:b/>
          <w:bCs/>
          <w:color w:val="000000" w:themeColor="text1"/>
          <w:lang w:val="zh-CN"/>
          <w14:textFill>
            <w14:solidFill>
              <w14:schemeClr w14:val="tx1"/>
            </w14:solidFill>
          </w14:textFill>
        </w:rPr>
        <w:t>（</w:t>
      </w:r>
      <w:r>
        <w:rPr>
          <w:rFonts w:hint="eastAsia" w:asciiTheme="minorEastAsia" w:hAnsiTheme="minorEastAsia" w:eastAsiaTheme="minorEastAsia" w:cstheme="minorEastAsia"/>
          <w:b/>
          <w:bCs/>
          <w:color w:val="000000" w:themeColor="text1"/>
          <w14:textFill>
            <w14:solidFill>
              <w14:schemeClr w14:val="tx1"/>
            </w14:solidFill>
          </w14:textFill>
        </w:rPr>
        <w:t>删除</w:t>
      </w:r>
      <w:r>
        <w:rPr>
          <w:rFonts w:hint="eastAsia" w:asciiTheme="minorEastAsia" w:hAnsiTheme="minorEastAsia" w:eastAsiaTheme="minorEastAsia" w:cstheme="minorEastAsia"/>
          <w:b/>
          <w:bCs/>
          <w:color w:val="000000" w:themeColor="text1"/>
          <w:lang w:val="zh-CN"/>
          <w14:textFill>
            <w14:solidFill>
              <w14:schemeClr w14:val="tx1"/>
            </w14:solidFill>
          </w14:textFill>
        </w:rPr>
        <w:t>）</w:t>
      </w:r>
    </w:p>
    <w:p w14:paraId="5377ABB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4.1.1投标文件应采用双信封形式密封。投标文件第一个信封（商务及技术文件）以及第二个信封（报价文件）应单独密封包装。商务及技术文件的正本与副本应统一密封在一个封套中。报价文件的正本与副本、投标文件电子版文件（如需要）应统一密封在另一个封套中。封套应加贴封条，并在封套的封口处加盖投标人单位章或由投标人的法定代表人或其委托代理人签字。</w:t>
      </w:r>
    </w:p>
    <w:p w14:paraId="310355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采用银行保函形式提交投标保证金的，银行保函原件应密封在单独的封套中。</w:t>
      </w:r>
    </w:p>
    <w:p w14:paraId="67F167E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4.1.2投标文件第一个信封（商务及技术文件）、第二个信封（报价文件）以及银行保函封套上应写明的内容见投标人须知前附表。</w:t>
      </w:r>
    </w:p>
    <w:p w14:paraId="332AF3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4.1.3未按本章第4.1.1项要求密封的投标文件，招标人将予以拒收。</w:t>
      </w:r>
    </w:p>
    <w:p w14:paraId="11C9DB3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4.2投标文件的递交</w:t>
      </w:r>
    </w:p>
    <w:p w14:paraId="07EBAA6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4.2.1投标人代表应按投标人须知前附表所规定的时间和地点向招标人递交投标文件。</w:t>
      </w:r>
    </w:p>
    <w:p w14:paraId="76F591C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4.2.2电子投标文件统一采用网络上传的形式，投标人使用制作该投标文件的机构业务数字证书登录全国公共资源交易平台（广东省·韶关市）电子投标系统在递交投标文件截止时间前完整上传至全国公共资源交易平台（广东省·韶关市）电子投标系统。</w:t>
      </w:r>
    </w:p>
    <w:p w14:paraId="45E56C8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4.2.3投标文件统一制作成PDF格式文件，所附证书、证件均为扫描件，需个人签字的应手签后扫描上传。投标文件应采用单位数字证书，按招标文件要求在相应位置加盖电子印章且不能进行压缩处理。</w:t>
      </w:r>
    </w:p>
    <w:p w14:paraId="0D80978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4.2.4投标文件应当按照《中华人民共和国电子签名法》和招标文件的要求加盖电子签章。</w:t>
      </w:r>
    </w:p>
    <w:p w14:paraId="19413FB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4.2.5若出现以下情况之一的，招标人将拒绝接收投标文件：</w:t>
      </w:r>
    </w:p>
    <w:p w14:paraId="773692D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4.2.5.1投标文件未在递交投标文件截止时间前完整上传并保存在全国公共资源交易平台（广东省·韶关市）电子投标系统的；</w:t>
      </w:r>
    </w:p>
    <w:p w14:paraId="03AB4A6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4.2.5.2投标文件损坏或格式不正确的。</w:t>
      </w:r>
    </w:p>
    <w:p w14:paraId="5D50EE7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4.3投标文件的修改与撤回</w:t>
      </w:r>
    </w:p>
    <w:p w14:paraId="04D8F77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4.3.1投标人在递交投标文件截止时间前，可以撤回或替换已递交的投标文件。</w:t>
      </w:r>
    </w:p>
    <w:p w14:paraId="129963F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4.3.2在递交投标文件截止时间后，投标人不得补充、修改和更换投标文件。</w:t>
      </w:r>
    </w:p>
    <w:p w14:paraId="219D0A9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4.3.3在递交投标文件截止时间后，投标人在投标文件格式中规定的有效期终止日前，投标人不能撤回投标文件，否则其投标保证金将不予退还。</w:t>
      </w:r>
    </w:p>
    <w:p w14:paraId="20AC3978">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5.开标</w:t>
      </w:r>
    </w:p>
    <w:p w14:paraId="0A2578A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5.1开标时间和地点</w:t>
      </w:r>
    </w:p>
    <w:p w14:paraId="5A9354A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招标人在本章第4.2.1项规定的投标截止时间（开标时间）和投标人须知前附表规定的地点对收到的投标文件第一个信封（商务及技术文件）公开开标，并邀请所有投标人的法定代表人或其委托代理人准时参加。</w:t>
      </w:r>
    </w:p>
    <w:p w14:paraId="612328F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招标人在投标人须知前附表规定的时间和地点对投标文件第二个信封（报价文件）进行开标，并邀请所有投标人的法定代表人或其委托代理人准时参加。</w:t>
      </w:r>
    </w:p>
    <w:p w14:paraId="1CE667B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若未派法定代表人或委托代理人参加第一个信封（商务及技术文件）开标的，视为该投标人默认第一个信封（商务及技术文件）的开标结果。投标人若未派法定代表人或委托代理人参加第二个信封（报价文件）开标的，视为该投标人默认第二个信封（报价文件）的开标结果。</w:t>
      </w:r>
    </w:p>
    <w:p w14:paraId="4E2599D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5.2开标程序</w:t>
      </w:r>
    </w:p>
    <w:p w14:paraId="138CB0F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5.2.1主持人按下列程序对投标文件第一个信封（商务及技术文件）进行开标：</w:t>
      </w:r>
    </w:p>
    <w:p w14:paraId="176CD87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（1）到达开标时间时，招标人（或招标代理机构）在电子开评标系统对本项目进行开标操作并对投标人的电子投标文件进行解密；</w:t>
      </w:r>
    </w:p>
    <w:p w14:paraId="45B9B2B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（2）投标人应该在开标结束时间前确认开标结果或提出异议，超时未确认的视为认可开标程序及开标结果。</w:t>
      </w:r>
    </w:p>
    <w:p w14:paraId="000ABE2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（3）查看开标疑义并进行答复（如有）；</w:t>
      </w:r>
    </w:p>
    <w:p w14:paraId="372D88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（4）到达开标结束时间时，结束开标。</w:t>
      </w:r>
    </w:p>
    <w:p w14:paraId="68CF08E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（5）开标会结束，招标人（或委托招标代理）对开标过程进行记录，并存档备查。</w:t>
      </w:r>
    </w:p>
    <w:p w14:paraId="6995A7D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5.2.2在投标文件第一个信封（商务及技术文件）开标现场，投标文件第二个信封（报价文件）不予开标。</w:t>
      </w:r>
    </w:p>
    <w:p w14:paraId="2D54AAB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5.2.3招标人将按照本章第5.1款规定的时间和地点对投标文件第二个信封</w:t>
      </w:r>
    </w:p>
    <w:p w14:paraId="2426E10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（报价文件）进行开标。主持人按下列程序进行开标：</w:t>
      </w:r>
    </w:p>
    <w:p w14:paraId="02930D7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（1）宣布开标纪律；</w:t>
      </w:r>
    </w:p>
    <w:p w14:paraId="5E77DB0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（2）当众宣布通过投标文件第一个信封（商务及技术文件）评审的投标人名单；</w:t>
      </w:r>
    </w:p>
    <w:p w14:paraId="371B7F9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（3）宣布开标人、唱标人、记录人等有关人员姓名；</w:t>
      </w:r>
    </w:p>
    <w:p w14:paraId="34FB2DC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按照投标人须知前附表规定的开标顺序当众开标，开标人只解密通过投标文件第一个信封（商务及技术文件）评审的投标文件第二个信封（报价文件），公布项目包名称、投标人名称、投标报价及其他内容，并记录在案；</w:t>
      </w:r>
    </w:p>
    <w:p w14:paraId="23182EA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（5）计算并宣布评标基准价；</w:t>
      </w:r>
    </w:p>
    <w:p w14:paraId="71C2336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（6）有关人员在开标记录上签字确认；</w:t>
      </w:r>
    </w:p>
    <w:p w14:paraId="4239D5F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（7）开标结束。</w:t>
      </w:r>
    </w:p>
    <w:p w14:paraId="3FD375A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5.2.2在投标文件第一个信封（商务及技术文件）开标现场，投标文件第二个信封（报价文件）不予开标。</w:t>
      </w:r>
    </w:p>
    <w:p w14:paraId="2E561FC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5.2.3招标人将按照本章第5.1款规定的时间和地点对投标文件第二个信封（报价文件）进行开标。主持人按下列程序进行开标：</w:t>
      </w:r>
    </w:p>
    <w:p w14:paraId="390CE18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（1）宣布开标纪律；</w:t>
      </w:r>
    </w:p>
    <w:p w14:paraId="3E354E5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（2）当众宣布通过投标文件第一个信封（商务及技术文件）评审的投标人名单；</w:t>
      </w:r>
    </w:p>
    <w:p w14:paraId="1E0B25F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（3）宣布开标人、唱标人、记录人等有关人员姓名；</w:t>
      </w:r>
    </w:p>
    <w:p w14:paraId="2CBC3DB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按照投标人须知前附表规定的开标顺序当众开标，开标人只解密通过投标文件第一个信封（商务及技术文件）评审的投标文件第二个信封（报价文件），公布项目包名称、投标人名称、投标报价及其他内容，并记录在案；</w:t>
      </w:r>
    </w:p>
    <w:p w14:paraId="4C9845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（5）计算并宣布评标基准价；</w:t>
      </w:r>
    </w:p>
    <w:p w14:paraId="08BAF61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（6）有关人员在开标记录上签字确认；</w:t>
      </w:r>
    </w:p>
    <w:p w14:paraId="078056D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（7）开标结束。</w:t>
      </w:r>
    </w:p>
    <w:p w14:paraId="618FE7D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5.2.4若采用合理低价法或综合评分法，在投标文件第二个信封（报价文件）开标现场，招标人将按第三章“评标办法”规定的原则计算并宣布评标基准价。若招标人发现投标文件出现以下任一情况，其投标报价将不再参加评标基准价的计算：</w:t>
      </w:r>
    </w:p>
    <w:p w14:paraId="68BF1C3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（1）未在投标函上填写投标总价；</w:t>
      </w:r>
    </w:p>
    <w:p w14:paraId="06AA71C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（2）投标报价或调价函中的报价超出招标人公布的最高投标限价（如有）；</w:t>
      </w:r>
    </w:p>
    <w:p w14:paraId="53DAB1A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（3）投标报价或调价函中报价的大写金额无法确定具体数值；</w:t>
      </w:r>
    </w:p>
    <w:p w14:paraId="07DF65B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（4）投标函上填写的项目包号与投标文件封套上标记的项目包号不一致。</w:t>
      </w:r>
    </w:p>
    <w:p w14:paraId="204EAB0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如果投标人认为某一项目包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0502E05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5.2.5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14:paraId="5A652C1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5.3开标异议</w:t>
      </w:r>
    </w:p>
    <w:p w14:paraId="7658666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投标人对开标有异议的，应在开标现场提出，招标人当场作出答复，并制作记录，有异议的投标人、招标人代表、记录人等有关人员在记录上签字确认。</w:t>
      </w:r>
    </w:p>
    <w:p w14:paraId="385E9D7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5.4开标注意事项</w:t>
      </w:r>
    </w:p>
    <w:p w14:paraId="20CCDDA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5.4.1.招标人在投标人须知前附表规定的时间和地点公开开标，并邀请所有投标人的代表出席。上述时间及地点是否有改变，请密切留意招标答疑的相关信息。</w:t>
      </w:r>
    </w:p>
    <w:p w14:paraId="6E5FA18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5.4.2根据关于网上开标大厅功能上线使用的通知，本项目开标采用网上开标的形式，投标人无需到开标现场参加开标会议。</w:t>
      </w:r>
    </w:p>
    <w:p w14:paraId="65C3FC9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5.4.3开标过程中，投标人对开标过程或开标结果有疑义的，可登录交易系统在交易系统提出及查看相关答复。</w:t>
      </w:r>
    </w:p>
    <w:p w14:paraId="2ABF5E7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5.4.4具体事宜投标人可登录全国公共资源交易平台（广东省·韶关市）（http://portal.ythpt.sg.gov.cn），在【服务指南】栏目中下载《韶关市公共资源建设工程交易系统-投标人操作指南》。</w:t>
      </w:r>
    </w:p>
    <w:p w14:paraId="0A97DAF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6.评标</w:t>
      </w:r>
    </w:p>
    <w:p w14:paraId="7EB8FAF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6.1评标委员会</w:t>
      </w:r>
    </w:p>
    <w:p w14:paraId="1981CF5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23FD34F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6.1.2评标委员会成员有下列情形之一的，应主动提出回避：</w:t>
      </w:r>
    </w:p>
    <w:p w14:paraId="43E5F68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（1）为负责招标项目监督管理的交通运输主管部门的工作人员；</w:t>
      </w:r>
    </w:p>
    <w:p w14:paraId="6830144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（2）与投标人法定代表人或其委托代理人有近亲属关系；</w:t>
      </w:r>
    </w:p>
    <w:p w14:paraId="1786C33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（3）为投标人的工作人员或退休人员；</w:t>
      </w:r>
    </w:p>
    <w:p w14:paraId="27FB92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（4）与投标人有其他利害关系，可能影响评标活动公正性；</w:t>
      </w:r>
    </w:p>
    <w:p w14:paraId="793BDEC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（5）在与招标投标有关的活动中有过违法违规行为、曾受过行政处罚或刑事处罚；</w:t>
      </w:r>
    </w:p>
    <w:p w14:paraId="08DE280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（6）招标人及其子公司、招标人的上级主管部门或者控股公司、招标代理机构的工作人员或者退休人员不得以专家身份参与本单位招标或者招标代理项目的评标。</w:t>
      </w:r>
    </w:p>
    <w:p w14:paraId="4DB23CC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6.2评标原则</w:t>
      </w:r>
    </w:p>
    <w:p w14:paraId="49D28CE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评标活动遵循公平、公正、科学和择优的原则。</w:t>
      </w:r>
    </w:p>
    <w:p w14:paraId="2D73BE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6.3评标</w:t>
      </w:r>
    </w:p>
    <w:p w14:paraId="4C548D4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6.3.1评标委员会按照第三章“评标办法”规定的方法、评审因素、标准和程序对投标文件进行评审。第三章“评标办法”没有规定的方法、评审因素和标准，不作为评标依据。</w:t>
      </w:r>
    </w:p>
    <w:p w14:paraId="62BCEC6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6.3.2评标完成后，评标委员会应向招标人提交书面评标报告和中标候选人名单。评标委员会推荐中标候选人的人数见投标人须知前附表。</w:t>
      </w:r>
    </w:p>
    <w:p w14:paraId="6530899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7.合同授予</w:t>
      </w:r>
    </w:p>
    <w:p w14:paraId="121A4E5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7.1中标候选人公示</w:t>
      </w:r>
    </w:p>
    <w:p w14:paraId="163CA1E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招标人在收到评标报告之日起3日内，按照投标人须知前附表规定的公示媒介和期限公示中标候选人，公示内容包括：</w:t>
      </w:r>
    </w:p>
    <w:p w14:paraId="2F1BA7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（1）中标候选人排序、名称、投标报价，对工程质量要求、安全目标和工期的相应情况；</w:t>
      </w:r>
    </w:p>
    <w:p w14:paraId="53016CF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（2）中标候选人在投标文件中承诺的项目经理、项目总工、设计负责人姓名、个人业绩、相关证书名称和编号；</w:t>
      </w:r>
    </w:p>
    <w:p w14:paraId="78BE257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（3）中标候选人在投标文件中填报的项目业绩；</w:t>
      </w:r>
    </w:p>
    <w:p w14:paraId="31B0D32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（4）被否决投标的投标人名称、否决依据和原因；</w:t>
      </w:r>
    </w:p>
    <w:p w14:paraId="67A12F3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（5）提出异议的渠道和方式；</w:t>
      </w:r>
    </w:p>
    <w:p w14:paraId="2D9C7B9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（6）投标人须知前附表规定公示的其他内容。</w:t>
      </w:r>
    </w:p>
    <w:p w14:paraId="673D1A7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7.2评标结果异议</w:t>
      </w:r>
    </w:p>
    <w:p w14:paraId="2E2CB77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投标人或其他利害关系人对依法必须进行招标的项目的评标结果有异议的，应在中标候选人公示期间提出。招标人将在收到异议之日起3日内作出答复；作出答复前，将暂停招标投标活动。</w:t>
      </w:r>
    </w:p>
    <w:p w14:paraId="0488576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7.3中标候选人履约能力审查</w:t>
      </w:r>
    </w:p>
    <w:p w14:paraId="7D8EFE0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中标候选人的经营、财务状况发生较大变化或存在违法行为，招标人认为可能影响其履约能力的，将在发出中标通知书前提请原评标委员会按照招标文件规定的标准和方法进行审查确认。</w:t>
      </w:r>
    </w:p>
    <w:p w14:paraId="71B5834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7.4定标方式</w:t>
      </w:r>
    </w:p>
    <w:p w14:paraId="5B792D8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按照投标人须知前附表的规定，招标人或招标人授权的评标委员会依法确定中标人。</w:t>
      </w:r>
    </w:p>
    <w:p w14:paraId="52D56B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7.5中标通知</w:t>
      </w:r>
    </w:p>
    <w:p w14:paraId="6087932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在本章第3.3款规定的投标有效期内，招标人以投标人须知前附表规定的形式向中标人发出中标通知书，同时将中标结果通知未中标的投标人。</w:t>
      </w:r>
    </w:p>
    <w:p w14:paraId="4C246B5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7.6中标结果公告</w:t>
      </w:r>
    </w:p>
    <w:p w14:paraId="2C361F2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招标人在确定中标人之日起3日内，按照投标人须知前附表规定的公告媒介公告中标结果，公告期不得</w:t>
      </w:r>
      <w:r>
        <w:rPr>
          <w:rFonts w:hint="eastAsia" w:asciiTheme="minorEastAsia" w:hAnsiTheme="minorEastAsia" w:eastAsiaTheme="minorEastAsia" w:cstheme="minorEastAsia"/>
          <w:color w:val="000000" w:themeColor="text1"/>
          <w14:textFill>
            <w14:solidFill>
              <w14:schemeClr w14:val="tx1"/>
            </w14:solidFill>
          </w14:textFill>
        </w:rPr>
        <w:t>为</w:t>
      </w:r>
      <w:r>
        <w:rPr>
          <w:rFonts w:hint="eastAsia" w:asciiTheme="minorEastAsia" w:hAnsiTheme="minorEastAsia" w:eastAsiaTheme="minorEastAsia" w:cstheme="minorEastAsia"/>
          <w:color w:val="000000" w:themeColor="text1"/>
          <w:lang w:val="zh-CN"/>
          <w14:textFill>
            <w14:solidFill>
              <w14:schemeClr w14:val="tx1"/>
            </w14:solidFill>
          </w14:textFill>
        </w:rPr>
        <w:t>3</w:t>
      </w:r>
      <w:r>
        <w:rPr>
          <w:rFonts w:hint="eastAsia" w:asciiTheme="minorEastAsia" w:hAnsiTheme="minorEastAsia" w:eastAsiaTheme="minorEastAsia" w:cstheme="minorEastAsia"/>
          <w:color w:val="000000" w:themeColor="text1"/>
          <w14:textFill>
            <w14:solidFill>
              <w14:schemeClr w14:val="tx1"/>
            </w14:solidFill>
          </w14:textFill>
        </w:rPr>
        <w:t>个工作</w:t>
      </w:r>
      <w:r>
        <w:rPr>
          <w:rFonts w:hint="eastAsia" w:asciiTheme="minorEastAsia" w:hAnsiTheme="minorEastAsia" w:eastAsiaTheme="minorEastAsia" w:cstheme="minorEastAsia"/>
          <w:color w:val="000000" w:themeColor="text1"/>
          <w:lang w:val="zh-CN"/>
          <w14:textFill>
            <w14:solidFill>
              <w14:schemeClr w14:val="tx1"/>
            </w14:solidFill>
          </w14:textFill>
        </w:rPr>
        <w:t>日。公告内容包括中标人名称、中标价。</w:t>
      </w:r>
    </w:p>
    <w:p w14:paraId="3356DAE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7.7履约保证金</w:t>
      </w:r>
    </w:p>
    <w:p w14:paraId="261812A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%。联合体中标的，其履约保证金以联合体各方或联合体中牵头人的名义提交。</w:t>
      </w:r>
    </w:p>
    <w:p w14:paraId="048F6E0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采用银行保函时，应由符合投标人须知前附表规定级别的银行开具，所需的费用由中标人承担，中标人应保证银行保函有效。</w:t>
      </w:r>
    </w:p>
    <w:p w14:paraId="0D7BC2B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7.7.2中标人不能按本章第7.7.1项要求提交履约保证金的，视为放弃中标，其投标保证金不予退还，给招标人造成的损失超过投标保证金数额的，中标人应对超过部分予以赔偿。</w:t>
      </w:r>
    </w:p>
    <w:p w14:paraId="5FEA336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7.8签订合同</w:t>
      </w:r>
    </w:p>
    <w:p w14:paraId="36C314D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7.8.1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75026F5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7.8.2发出中标通知书后，招标人无正当理由拒签合同，或在签订合同时向中标人提出附加条件的，招标人向中标人退还投标保证金；给中标人造成损失的，还应赔偿损失。</w:t>
      </w:r>
    </w:p>
    <w:p w14:paraId="797544A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7.8.3签约合同价的确定原则如下：</w:t>
      </w:r>
    </w:p>
    <w:p w14:paraId="22D7866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（1）按照评标办法规定对投标报价进行修正后，若修正后的最终投标报价小于开标时的投标函大写金额报价，则签订合同时以修正后的最终投标报价为准；</w:t>
      </w:r>
    </w:p>
    <w:p w14:paraId="414CA94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按照评标办法规定的投标报价进行修正后，若修正后的最终投标报价大于开标时的投标函大写金额报价，则签订合同时以开标时的投标函大写金额报价为准，同时按比例修正相应子目的单价或合价（清单中的固定费用报价除外）。</w:t>
      </w:r>
    </w:p>
    <w:p w14:paraId="35073D5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7.8.4联合体中标的，联合体各方应共同与招标人签订合同，就中标项目向招标人承担连带责任。</w:t>
      </w:r>
    </w:p>
    <w:p w14:paraId="71CA35E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7.8.5招标人和中标人在签订合同协议书的同时，需按照本招标文件规定的格式和要求签订廉政合同及安全生产合同，明确双方在廉政建设和安全生产方面的权利和义务以及应承担的违约责任。</w:t>
      </w:r>
    </w:p>
    <w:p w14:paraId="758301A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7.8.6合同的标的、质量、履行期限条款和合同的价款、单价、比例条款等主要条款，应当与招标文件、中标人的投标文件的内容一致。</w:t>
      </w:r>
    </w:p>
    <w:p w14:paraId="3DE39E5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8.纪律和监督</w:t>
      </w:r>
    </w:p>
    <w:p w14:paraId="603D4EE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8.1对招标人的纪律要求</w:t>
      </w:r>
    </w:p>
    <w:p w14:paraId="2B081C8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招标人不得泄露招标投标活动中应保密的情况和资料，不得与投标人串通损害国家利益、社会公共利益或他人合法权益。</w:t>
      </w:r>
    </w:p>
    <w:p w14:paraId="713C2F0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8.2对投标人的纪律要求</w:t>
      </w:r>
    </w:p>
    <w:p w14:paraId="2CE414C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投标人不得相互串通投标或与招标人串通投标，不得向招标人或评标委员会成员行贿谋取中标，不得以他人名义投标或以其他方式弄虚作假骗取中标；投标人不得以任何方式干扰、影响评标工作。</w:t>
      </w:r>
    </w:p>
    <w:p w14:paraId="44FDE0D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8.3对评标委员会成员的纪律要求</w:t>
      </w:r>
    </w:p>
    <w:p w14:paraId="5AA7B46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标委员会成员不得收受他人的财务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6EC0CFD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8.4对与评标活动有关的工作人员的纪律要求</w:t>
      </w:r>
    </w:p>
    <w:p w14:paraId="75F392E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与评标活动有关的工作人员不得收受他人的财务或其他好处，不得向他人透露对投标文件的评审和比较、中标候选人的推荐情况以及评标有关的其他情况。在评标活动中，与评标活动有关的工作人员不得擅离职守，影响评标程序正常进行。</w:t>
      </w:r>
    </w:p>
    <w:p w14:paraId="1C57692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8.5投诉</w:t>
      </w:r>
    </w:p>
    <w:p w14:paraId="606AEBA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8.5.1投标人或其他利害关系人认为招标投标活动不符合法律、行政法规规定的，可以自知道或应当知道之日起10日内向有关行政监督部门投诉。对于按法规规定需要先提出异议的投诉，有关行政监督部门在受理投诉时要求投诉人递交提出异议的证明文件，已向有关行政监督部门投诉的，应当一并说明。未按规定提出异议或者未提交已提出异议的证明文件的投诉，有关行政监督部门不予受理。投诉人缺乏事实根据或者法律依据进行投诉的，或者有证据表明投诉人捏造事实、伪造材料的，或者投诉人以非法手段取得证明材料进行投诉的，有关行政监督部门应当予以驳回，并对恶意投诉按照有关规定追究投诉人责任。行政监督部门接到对招标投标活动有效投诉的，应当制止或者要求整改，整改期间可以暂停其招标投标活动。</w:t>
      </w:r>
    </w:p>
    <w:p w14:paraId="00DEDBE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监督部门的联系方式见投标人须知前附表。</w:t>
      </w:r>
    </w:p>
    <w:p w14:paraId="00A7FBC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8.5.2投标人或其他利害关系人对招标文件、开标和评标结果提出投诉的，应按照投标人须知第2.4款、第5.3款和第7.2款的规定先向招标人提出异议。异议答复期间不计算在第8.5.1项规定的期限内。</w:t>
      </w:r>
    </w:p>
    <w:p w14:paraId="4772AB4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9.需要补充的其他内容</w:t>
      </w:r>
    </w:p>
    <w:p w14:paraId="1520B72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9.1自购买招标文件之日起，投标人应保证其提供的联系方式（电话、传真、电子邮件）一直有效，以便及时收到招标人发出的函件(招标文件的澄清、修改等)，并应及时向招标人反馈信息，否则招标人不承担由此引起的一切后果。</w:t>
      </w:r>
    </w:p>
    <w:p w14:paraId="231F899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9.2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0BEF578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9.3如果开标后至中标通知书发出前，第一中标候选人发生投标人须知1.4.4（1）至（7）的情形，则取消其中标资格，招标人按推荐中标候选人排名顺序依次确定中标人，或重新组织招标。</w:t>
      </w:r>
    </w:p>
    <w:p w14:paraId="77FE9E4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9.4招标文件中如无特别说明，业绩里程累计长度均不扣除桥隧等构造物长度。</w:t>
      </w:r>
    </w:p>
    <w:p w14:paraId="7E0BE74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9.5若投标人在递交投标文件期间，出现采取不正当手段妨碍其他投标人投标的过激行为，或出现在开标会现场扰乱招投标市场秩序的行为，招标人有权将投标人此行为上报县级以上交通主管部门，作为不良记录纳入公路建设市场信用信息管理系统。</w:t>
      </w:r>
    </w:p>
    <w:p w14:paraId="29B3AF6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9.6本招标文件中所有“类似工程”均指本招标文件中所有“类似工程”均指公路新建或改建或扩建项目或公路养护项目。在采用新建公路项目完工业绩时，对于同公路等级改、扩建中的新建桥梁或隧道工程业绩也应认可。</w:t>
      </w:r>
    </w:p>
    <w:p w14:paraId="6D5D204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bookmarkStart w:id="13" w:name="_Toc21127"/>
      <w:bookmarkStart w:id="14" w:name="_Toc29544"/>
      <w:bookmarkStart w:id="15" w:name="_Toc22521"/>
      <w:r>
        <w:rPr>
          <w:rFonts w:hint="eastAsia" w:asciiTheme="minorEastAsia" w:hAnsiTheme="minorEastAsia" w:eastAsiaTheme="minorEastAsia" w:cstheme="minorEastAsia"/>
          <w:color w:val="000000" w:themeColor="text1"/>
          <w14:textFill>
            <w14:solidFill>
              <w14:schemeClr w14:val="tx1"/>
            </w14:solidFill>
          </w14:textFill>
        </w:rPr>
        <w:t>10.</w:t>
      </w:r>
      <w:r>
        <w:rPr>
          <w:rFonts w:hint="eastAsia" w:asciiTheme="minorEastAsia" w:hAnsiTheme="minorEastAsia" w:eastAsiaTheme="minorEastAsia" w:cstheme="minorEastAsia"/>
          <w:color w:val="000000" w:themeColor="text1"/>
          <w:lang w:val="zh-CN"/>
          <w14:textFill>
            <w14:solidFill>
              <w14:schemeClr w14:val="tx1"/>
            </w14:solidFill>
          </w14:textFill>
        </w:rPr>
        <w:t>需要补充的其他内容</w:t>
      </w:r>
      <w:bookmarkEnd w:id="13"/>
      <w:bookmarkEnd w:id="14"/>
      <w:bookmarkEnd w:id="15"/>
    </w:p>
    <w:p w14:paraId="28ACAC3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10.1自购买招标文件之日起，投标人应保证其提供的联系方式（电话、传真、电子邮件）一直有效，以便及时收到招标人发出的函件(招标文件的澄清、修改等)，并应及时向招标人反馈信息，否则招标人不承担由此引起的一切后果。</w:t>
      </w:r>
    </w:p>
    <w:p w14:paraId="0357CB92">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10.2信用等级的确定原则：</w:t>
      </w:r>
    </w:p>
    <w:p w14:paraId="5A2950BE">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10.2.1招标文件中的信用等级指的是广东省交通运输厅最新年度的信用评价。如无广东省最新年度信用等级而有上一年度广东省信用等级的，则其原信用等级可延续一年，但在递交资审申请文件(资格后审的为投标文件)时信用等级的使用次数应按上一年度公布的信用评价结果顺延上一年度的使用次数。具体使用次数有关规定如下：</w:t>
      </w:r>
    </w:p>
    <w:p w14:paraId="7E0B6568">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1.对于信用等级为AA级的从业单位:</w:t>
      </w:r>
    </w:p>
    <w:p w14:paraId="163E4590">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仅最新一年度信用等级为AA级的从业单位在参加广东省公路工程建设项目投标活动(以递交资格预审申请文件或资格后审递交投标文件时间为准)时，可申请使用AA级分值8次，用完8次后信用等级分值将按A级分值取定；</w:t>
      </w:r>
    </w:p>
    <w:p w14:paraId="6DFF65AC">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(2)连续最近两个年度信用等级为AA级的单位在参加广东省公路工程投标活动(以递交资格预审申请文件或资格后审递交投标文件时间为准)时，可申请使用AA级分值12次，用完12次后信用等级分值将按A级取定；</w:t>
      </w:r>
    </w:p>
    <w:p w14:paraId="79EC78CF">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2.对于信用等级为A级的从业单位:当年度信用等级A级单位在参加广东省公路工程建设项目招投标活动(以递交资格预审申请文件或资格后审递交投标文件时间为准)时，可申请使用A级分值12次，用完12次后信用等级分值将按B级分值取定。</w:t>
      </w:r>
    </w:p>
    <w:p w14:paraId="7FE38AD1">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3.当年度信用等级为AA、A级的从业单位未承诺使用的信用等级分值的，AA级信用等级企业按A级对待、A级信用等级企业按B级对待。</w:t>
      </w:r>
    </w:p>
    <w:p w14:paraId="57516A3D">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4.若从业企业在信用评价年度信用等级由AA降级为A级时，AA级信用等级已使用次数纳入A级信用等级使用次数合并累计。</w:t>
      </w:r>
    </w:p>
    <w:p w14:paraId="696578CE">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10.2.2信用等级延续1年后仍无信用评价等级的，按照初次进入广东省确定，原则上按B级对待，但下列情况除外：最新年度的全国公路从业单位(施工单位)信用评价结果为C级或D级的，则按最新年度的全国公路从业单位(施工单位)信用评价结果对待；或最新年度的全国公路从业单位(施工单位)信用评价结果未被评为C级或D级的，但在广东省最近年度原评价等级为D级的，则按C级对待。</w:t>
      </w:r>
    </w:p>
    <w:p w14:paraId="74D85E16">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10.2.3AA、A级单位是指使用广东省信用评价等级申请承诺书的单位。提交申请承诺书未使用AA、A时，在评标过程中，AA级信用等级企业按A级对待、A级信用等级企业按B级对待。(注：属于资格预审项目的，以资格预审申请文件的为准。当出现跨年度信用等级时，以投标人资格预审时申请使用信用等级与投标文件递交截止日的信用等级作比较，按“就低原则”认定等级，即降低等级的按低等级认定、升高等级的仍维持资审时的申请等级。)</w:t>
      </w:r>
    </w:p>
    <w:p w14:paraId="2B9E575F">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10.2.4在招标评标中，信用评价等级采用按次、按标段或标类(指资格预审时未明确具体标段的情形)申请使用的原则，即在同一次招标中的多个标段的投标，可自愿对其中部分或全部标段申请使用AA或A级信用等级，无论中标与否，均应根据递交投标(或申请)文件情况按标段计算使用次数(非投标人原因导致招标失败的情况除外)。</w:t>
      </w:r>
    </w:p>
    <w:p w14:paraId="748AA835">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10.2.5招标项目为一个标段类别时，投标人以联合体形式投标的，信用等级以联合体中信用等级较低的为准。</w:t>
      </w:r>
    </w:p>
    <w:p w14:paraId="0663EB26">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10.2.6如招标内容包含了多个标段类别(如机电工程+交通安全设施工程类)，招标项目的资质条件设置不止一个资质时投标人的信用等级认定原则：</w:t>
      </w:r>
    </w:p>
    <w:p w14:paraId="4240C7E1">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方法一(就低不就高模式)：</w:t>
      </w:r>
    </w:p>
    <w:p w14:paraId="4A40C99F">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独立投标的，按各类别招标内容相对应的投标人的信用等级，按就低不就高的原则确定投标人的最终信用等级得分；以联合体形式投标的，联合体成员按联合体协议书中约定承担的专业工程对应相应的信用等级，按就低不就高的原则确定投标人的最终信用等级得分。</w:t>
      </w:r>
    </w:p>
    <w:p w14:paraId="3283AC28">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10.2.7附属区房建项目不属于广东省公路水运工程从业企业信用评价体系的参评范围，故附属区房建项目单独招标时，投标人的信用评价等级视为B级。</w:t>
      </w:r>
    </w:p>
    <w:p w14:paraId="00705ABE">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10.3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或重新组织招标，以此类推。</w:t>
      </w:r>
    </w:p>
    <w:p w14:paraId="7155E730">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10.4如果开标后至中标通知书发出前，中标候选人发生投标人须知1.4.4（1）至（7）的情形及中标候选人信用等级被广东省交通运输厅直接降为D级的情形，则取消其中标资格，招标人按推荐中标候选人排名顺序依次确定中标人，或重新组织招标。</w:t>
      </w:r>
    </w:p>
    <w:p w14:paraId="0793172D">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10.5本招标文件中所有“类似工程”均指新建、改建、扩建、路面改造、路面维修类型中的一种三级或以上等级公路工程。在采用新建的公路项目完工业绩时，对于同公路等级改、扩建中的新建桥梁或隧道工程业绩也应认可。</w:t>
      </w:r>
    </w:p>
    <w:p w14:paraId="30ECC63B">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10.6有关业绩的说明：</w:t>
      </w:r>
    </w:p>
    <w:p w14:paraId="067D97B5">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10.6.1</w:t>
      </w:r>
    </w:p>
    <w:p w14:paraId="1B31BF2A">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a、特大桥及大桥按国家最新颁布的标准进行划分；</w:t>
      </w:r>
    </w:p>
    <w:p w14:paraId="5E7F81E0">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b、完成整座桥梁的半幅或整座桥梁其中的一部分工作内容达到特大桥或大桥对应技术标准的，按相应标标准以座计算；</w:t>
      </w:r>
    </w:p>
    <w:p w14:paraId="5CA6637D">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c、同一投标人的单座桥梁仅能计一次，只完成整个工程部分分部工程不参与计算业绩。</w:t>
      </w:r>
    </w:p>
    <w:p w14:paraId="76438893">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10.6.2</w:t>
      </w:r>
    </w:p>
    <w:p w14:paraId="17DB6B43">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a、特长隧道：单座隧道单洞（即左洞加右洞）总长大于6000m的，或完成单座隧道的一部分且该部分的单洞累计长度大于6000m的，均按1座计；完成单座特长隧道的一部分，该部分单洞累计长度大于3000m且不大于6000m的，按0.5座计，完成N座该类隧道按N×0.5座计；</w:t>
      </w:r>
    </w:p>
    <w:p w14:paraId="57AEA68E">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b、长隧道：单座隧道单洞（即左洞加右洞）总长大于2000米且不大于6000米的，或完成单座隧道的一部分且该部分的单洞累计长度大于2000米且不大于6000米的，均按1座计；</w:t>
      </w:r>
    </w:p>
    <w:p w14:paraId="62387EC9">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c、同一座隧道同时满足条件的，同一投标人只计算一次业绩；特长隧道可计为长隧道。</w:t>
      </w:r>
    </w:p>
    <w:p w14:paraId="2C64BFC2">
      <w:pPr>
        <w:pStyle w:val="48"/>
        <w:snapToGrid w:val="0"/>
        <w:spacing w:line="440" w:lineRule="exact"/>
        <w:ind w:firstLine="420" w:firstLineChars="200"/>
        <w:jc w:val="left"/>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pPr>
      <w:r>
        <w:rPr>
          <w:rFonts w:hint="eastAsia" w:asciiTheme="minorEastAsia" w:hAnsiTheme="minorEastAsia" w:eastAsiaTheme="minorEastAsia" w:cstheme="minorEastAsia"/>
          <w:color w:val="000000" w:themeColor="text1"/>
          <w:kern w:val="2"/>
          <w:sz w:val="21"/>
          <w:lang w:val="zh-CN"/>
          <w14:textFill>
            <w14:solidFill>
              <w14:schemeClr w14:val="tx1"/>
            </w14:solidFill>
          </w14:textFill>
        </w:rPr>
        <w:t>10.7招标文件中如无特别说明，业绩里程累计长度均不扣除桥隧等构造物长度。</w:t>
      </w:r>
    </w:p>
    <w:p w14:paraId="301D4E0B">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6F47CA4B">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30289855">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6" w:name="_Toc19478"/>
      <w:bookmarkStart w:id="17" w:name="_Toc8014"/>
      <w:bookmarkStart w:id="18" w:name="_Toc32388"/>
      <w:r>
        <w:rPr>
          <w:rFonts w:hint="eastAsia" w:asciiTheme="minorEastAsia" w:hAnsiTheme="minorEastAsia" w:eastAsiaTheme="minorEastAsia" w:cstheme="minorEastAsia"/>
          <w:color w:val="000000" w:themeColor="text1"/>
          <w:sz w:val="28"/>
          <w:szCs w:val="28"/>
          <w14:textFill>
            <w14:solidFill>
              <w14:schemeClr w14:val="tx1"/>
            </w14:solidFill>
          </w14:textFill>
        </w:rPr>
        <w:t>附件一：开标记录表</w:t>
      </w:r>
      <w:bookmarkEnd w:id="16"/>
      <w:bookmarkEnd w:id="17"/>
      <w:bookmarkEnd w:id="18"/>
      <w:r>
        <w:rPr>
          <w:rFonts w:hint="eastAsia" w:asciiTheme="minorEastAsia" w:hAnsiTheme="minorEastAsia" w:eastAsiaTheme="minorEastAsia" w:cstheme="minorEastAsia"/>
          <w:color w:val="000000" w:themeColor="text1"/>
          <w:sz w:val="28"/>
          <w:szCs w:val="28"/>
          <w14:textFill>
            <w14:solidFill>
              <w14:schemeClr w14:val="tx1"/>
            </w14:solidFill>
          </w14:textFill>
        </w:rPr>
        <w:t>（内容根据以电子系统生成为准）</w:t>
      </w:r>
    </w:p>
    <w:p w14:paraId="2068BCBD">
      <w:pPr>
        <w:pStyle w:val="47"/>
        <w:spacing w:line="360" w:lineRule="auto"/>
        <w:ind w:firstLine="0" w:firstLineChars="0"/>
        <w:jc w:val="center"/>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u w:val="single"/>
          <w14:textFill>
            <w14:solidFill>
              <w14:schemeClr w14:val="tx1"/>
            </w14:solidFill>
          </w14:textFill>
        </w:rPr>
        <w:t>（项目名称）第</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一个信封（商务及技术文件）</w:t>
      </w:r>
    </w:p>
    <w:p w14:paraId="6D1D598D">
      <w:pPr>
        <w:pStyle w:val="47"/>
        <w:spacing w:line="360" w:lineRule="auto"/>
        <w:ind w:firstLine="602"/>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14:textFill>
            <w14:solidFill>
              <w14:schemeClr w14:val="tx1"/>
            </w14:solidFill>
          </w14:textFill>
        </w:rPr>
        <w:t>开标记录表</w:t>
      </w:r>
    </w:p>
    <w:p w14:paraId="1A016D96">
      <w:pPr>
        <w:pStyle w:val="47"/>
        <w:spacing w:line="360" w:lineRule="auto"/>
        <w:ind w:firstLine="0" w:firstLineChars="0"/>
        <w:jc w:val="righ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开标时间：年＿月＿日＿时＿分</w:t>
      </w:r>
    </w:p>
    <w:tbl>
      <w:tblPr>
        <w:tblStyle w:val="21"/>
        <w:tblpPr w:leftFromText="180" w:rightFromText="180" w:vertAnchor="text" w:tblpXSpec="center" w:tblpY="1"/>
        <w:tblOverlap w:val="never"/>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39"/>
        <w:gridCol w:w="1641"/>
        <w:gridCol w:w="1971"/>
        <w:gridCol w:w="986"/>
        <w:gridCol w:w="841"/>
        <w:gridCol w:w="1241"/>
        <w:gridCol w:w="1241"/>
      </w:tblGrid>
      <w:tr w14:paraId="49D7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43D5D49B">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序号</w:t>
            </w:r>
          </w:p>
        </w:tc>
        <w:tc>
          <w:tcPr>
            <w:tcW w:w="1439" w:type="dxa"/>
            <w:tcBorders>
              <w:top w:val="single" w:color="auto" w:sz="4" w:space="0"/>
              <w:left w:val="single" w:color="auto" w:sz="4" w:space="0"/>
              <w:bottom w:val="single" w:color="auto" w:sz="4" w:space="0"/>
              <w:right w:val="single" w:color="auto" w:sz="4" w:space="0"/>
            </w:tcBorders>
            <w:vAlign w:val="center"/>
          </w:tcPr>
          <w:p w14:paraId="7D4A123A">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w:t>
            </w:r>
          </w:p>
        </w:tc>
        <w:tc>
          <w:tcPr>
            <w:tcW w:w="1641" w:type="dxa"/>
            <w:tcBorders>
              <w:top w:val="single" w:color="auto" w:sz="4" w:space="0"/>
              <w:left w:val="single" w:color="auto" w:sz="4" w:space="0"/>
              <w:bottom w:val="single" w:color="auto" w:sz="4" w:space="0"/>
              <w:right w:val="single" w:color="auto" w:sz="4" w:space="0"/>
            </w:tcBorders>
            <w:vAlign w:val="center"/>
          </w:tcPr>
          <w:p w14:paraId="1DAA25B2">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密封情况</w:t>
            </w:r>
          </w:p>
        </w:tc>
        <w:tc>
          <w:tcPr>
            <w:tcW w:w="1971" w:type="dxa"/>
            <w:tcBorders>
              <w:top w:val="single" w:color="auto" w:sz="4" w:space="0"/>
              <w:left w:val="single" w:color="auto" w:sz="4" w:space="0"/>
              <w:bottom w:val="single" w:color="auto" w:sz="4" w:space="0"/>
              <w:right w:val="single" w:color="auto" w:sz="4" w:space="0"/>
            </w:tcBorders>
            <w:vAlign w:val="center"/>
          </w:tcPr>
          <w:p w14:paraId="2374E36D">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投标保证金</w:t>
            </w:r>
          </w:p>
          <w:p w14:paraId="56458432">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递交情况</w:t>
            </w:r>
          </w:p>
        </w:tc>
        <w:tc>
          <w:tcPr>
            <w:tcW w:w="986" w:type="dxa"/>
            <w:tcBorders>
              <w:top w:val="single" w:color="auto" w:sz="4" w:space="0"/>
              <w:left w:val="single" w:color="auto" w:sz="4" w:space="0"/>
              <w:bottom w:val="single" w:color="auto" w:sz="4" w:space="0"/>
              <w:right w:val="single" w:color="auto" w:sz="4" w:space="0"/>
            </w:tcBorders>
            <w:vAlign w:val="center"/>
          </w:tcPr>
          <w:p w14:paraId="43ED4376">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质量</w:t>
            </w:r>
          </w:p>
          <w:p w14:paraId="0041E2C8">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目标</w:t>
            </w:r>
          </w:p>
        </w:tc>
        <w:tc>
          <w:tcPr>
            <w:tcW w:w="841" w:type="dxa"/>
            <w:tcBorders>
              <w:top w:val="single" w:color="auto" w:sz="4" w:space="0"/>
              <w:left w:val="single" w:color="auto" w:sz="4" w:space="0"/>
              <w:bottom w:val="single" w:color="auto" w:sz="4" w:space="0"/>
              <w:right w:val="single" w:color="auto" w:sz="4" w:space="0"/>
            </w:tcBorders>
            <w:vAlign w:val="center"/>
          </w:tcPr>
          <w:p w14:paraId="7AA5CF1F">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工期</w:t>
            </w:r>
          </w:p>
        </w:tc>
        <w:tc>
          <w:tcPr>
            <w:tcW w:w="1241" w:type="dxa"/>
            <w:tcBorders>
              <w:top w:val="single" w:color="auto" w:sz="4" w:space="0"/>
              <w:left w:val="single" w:color="auto" w:sz="4" w:space="0"/>
              <w:bottom w:val="single" w:color="auto" w:sz="4" w:space="0"/>
              <w:right w:val="single" w:color="auto" w:sz="4" w:space="0"/>
            </w:tcBorders>
            <w:vAlign w:val="center"/>
          </w:tcPr>
          <w:p w14:paraId="4607C881">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备注</w:t>
            </w:r>
          </w:p>
        </w:tc>
        <w:tc>
          <w:tcPr>
            <w:tcW w:w="1241" w:type="dxa"/>
            <w:tcBorders>
              <w:top w:val="single" w:color="auto" w:sz="4" w:space="0"/>
              <w:left w:val="single" w:color="auto" w:sz="4" w:space="0"/>
              <w:bottom w:val="single" w:color="auto" w:sz="4" w:space="0"/>
              <w:right w:val="single" w:color="auto" w:sz="4" w:space="0"/>
            </w:tcBorders>
          </w:tcPr>
          <w:p w14:paraId="33A3E8D6">
            <w:pPr>
              <w:pStyle w:val="34"/>
              <w:rPr>
                <w:rFonts w:hint="eastAsia" w:asciiTheme="minorEastAsia" w:hAnsiTheme="minorEastAsia" w:eastAsiaTheme="minorEastAsia" w:cstheme="minorEastAsia"/>
                <w:color w:val="000000" w:themeColor="text1"/>
                <w:sz w:val="20"/>
                <w14:textFill>
                  <w14:solidFill>
                    <w14:schemeClr w14:val="tx1"/>
                  </w14:solidFill>
                </w14:textFill>
              </w:rPr>
            </w:pPr>
          </w:p>
          <w:p w14:paraId="322829C4">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投标人代表签名</w:t>
            </w:r>
          </w:p>
        </w:tc>
      </w:tr>
      <w:tr w14:paraId="2C48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5C9CDE2F">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39" w:type="dxa"/>
            <w:tcBorders>
              <w:top w:val="single" w:color="auto" w:sz="4" w:space="0"/>
              <w:left w:val="single" w:color="auto" w:sz="4" w:space="0"/>
              <w:bottom w:val="single" w:color="auto" w:sz="4" w:space="0"/>
              <w:right w:val="single" w:color="auto" w:sz="4" w:space="0"/>
            </w:tcBorders>
            <w:vAlign w:val="center"/>
          </w:tcPr>
          <w:p w14:paraId="09049AF4">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14:paraId="10B92902">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971" w:type="dxa"/>
            <w:tcBorders>
              <w:top w:val="single" w:color="auto" w:sz="4" w:space="0"/>
              <w:left w:val="single" w:color="auto" w:sz="4" w:space="0"/>
              <w:bottom w:val="single" w:color="auto" w:sz="4" w:space="0"/>
              <w:right w:val="single" w:color="auto" w:sz="4" w:space="0"/>
            </w:tcBorders>
            <w:vAlign w:val="center"/>
          </w:tcPr>
          <w:p w14:paraId="2A66E534">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986" w:type="dxa"/>
            <w:tcBorders>
              <w:top w:val="single" w:color="auto" w:sz="4" w:space="0"/>
              <w:left w:val="single" w:color="auto" w:sz="4" w:space="0"/>
              <w:bottom w:val="single" w:color="auto" w:sz="4" w:space="0"/>
              <w:right w:val="single" w:color="auto" w:sz="4" w:space="0"/>
            </w:tcBorders>
            <w:vAlign w:val="center"/>
          </w:tcPr>
          <w:p w14:paraId="4873CD90">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41" w:type="dxa"/>
            <w:tcBorders>
              <w:top w:val="single" w:color="auto" w:sz="4" w:space="0"/>
              <w:left w:val="single" w:color="auto" w:sz="4" w:space="0"/>
              <w:bottom w:val="single" w:color="auto" w:sz="4" w:space="0"/>
              <w:right w:val="single" w:color="auto" w:sz="4" w:space="0"/>
            </w:tcBorders>
            <w:vAlign w:val="center"/>
          </w:tcPr>
          <w:p w14:paraId="1DA1E6B4">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671C559D">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450D5A2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117F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E1DAA52">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39" w:type="dxa"/>
            <w:tcBorders>
              <w:top w:val="single" w:color="auto" w:sz="4" w:space="0"/>
              <w:left w:val="single" w:color="auto" w:sz="4" w:space="0"/>
              <w:bottom w:val="single" w:color="auto" w:sz="4" w:space="0"/>
              <w:right w:val="single" w:color="auto" w:sz="4" w:space="0"/>
            </w:tcBorders>
            <w:vAlign w:val="center"/>
          </w:tcPr>
          <w:p w14:paraId="031C06AD">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14:paraId="6538CA20">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971" w:type="dxa"/>
            <w:tcBorders>
              <w:top w:val="single" w:color="auto" w:sz="4" w:space="0"/>
              <w:left w:val="single" w:color="auto" w:sz="4" w:space="0"/>
              <w:bottom w:val="single" w:color="auto" w:sz="4" w:space="0"/>
              <w:right w:val="single" w:color="auto" w:sz="4" w:space="0"/>
            </w:tcBorders>
            <w:vAlign w:val="center"/>
          </w:tcPr>
          <w:p w14:paraId="4EAF1F11">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986" w:type="dxa"/>
            <w:tcBorders>
              <w:top w:val="single" w:color="auto" w:sz="4" w:space="0"/>
              <w:left w:val="single" w:color="auto" w:sz="4" w:space="0"/>
              <w:bottom w:val="single" w:color="auto" w:sz="4" w:space="0"/>
              <w:right w:val="single" w:color="auto" w:sz="4" w:space="0"/>
            </w:tcBorders>
            <w:vAlign w:val="center"/>
          </w:tcPr>
          <w:p w14:paraId="2F47C02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41" w:type="dxa"/>
            <w:tcBorders>
              <w:top w:val="single" w:color="auto" w:sz="4" w:space="0"/>
              <w:left w:val="single" w:color="auto" w:sz="4" w:space="0"/>
              <w:bottom w:val="single" w:color="auto" w:sz="4" w:space="0"/>
              <w:right w:val="single" w:color="auto" w:sz="4" w:space="0"/>
            </w:tcBorders>
            <w:vAlign w:val="center"/>
          </w:tcPr>
          <w:p w14:paraId="6EA40829">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25DA053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3807777C">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4F0E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785F394">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39" w:type="dxa"/>
            <w:tcBorders>
              <w:top w:val="single" w:color="auto" w:sz="4" w:space="0"/>
              <w:left w:val="single" w:color="auto" w:sz="4" w:space="0"/>
              <w:bottom w:val="single" w:color="auto" w:sz="4" w:space="0"/>
              <w:right w:val="single" w:color="auto" w:sz="4" w:space="0"/>
            </w:tcBorders>
            <w:vAlign w:val="center"/>
          </w:tcPr>
          <w:p w14:paraId="18DE59C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14:paraId="2526AEB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971" w:type="dxa"/>
            <w:tcBorders>
              <w:top w:val="single" w:color="auto" w:sz="4" w:space="0"/>
              <w:left w:val="single" w:color="auto" w:sz="4" w:space="0"/>
              <w:bottom w:val="single" w:color="auto" w:sz="4" w:space="0"/>
              <w:right w:val="single" w:color="auto" w:sz="4" w:space="0"/>
            </w:tcBorders>
            <w:vAlign w:val="center"/>
          </w:tcPr>
          <w:p w14:paraId="58095548">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986" w:type="dxa"/>
            <w:tcBorders>
              <w:top w:val="single" w:color="auto" w:sz="4" w:space="0"/>
              <w:left w:val="single" w:color="auto" w:sz="4" w:space="0"/>
              <w:bottom w:val="single" w:color="auto" w:sz="4" w:space="0"/>
              <w:right w:val="single" w:color="auto" w:sz="4" w:space="0"/>
            </w:tcBorders>
            <w:vAlign w:val="center"/>
          </w:tcPr>
          <w:p w14:paraId="79198AD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41" w:type="dxa"/>
            <w:tcBorders>
              <w:top w:val="single" w:color="auto" w:sz="4" w:space="0"/>
              <w:left w:val="single" w:color="auto" w:sz="4" w:space="0"/>
              <w:bottom w:val="single" w:color="auto" w:sz="4" w:space="0"/>
              <w:right w:val="single" w:color="auto" w:sz="4" w:space="0"/>
            </w:tcBorders>
            <w:vAlign w:val="center"/>
          </w:tcPr>
          <w:p w14:paraId="63F03238">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10C37F90">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37017C6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09C0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4" w:type="dxa"/>
            <w:tcBorders>
              <w:top w:val="single" w:color="auto" w:sz="4" w:space="0"/>
              <w:left w:val="single" w:color="auto" w:sz="4" w:space="0"/>
              <w:bottom w:val="single" w:color="auto" w:sz="4" w:space="0"/>
              <w:right w:val="single" w:color="auto" w:sz="4" w:space="0"/>
            </w:tcBorders>
            <w:vAlign w:val="center"/>
          </w:tcPr>
          <w:p w14:paraId="6B21BBC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39" w:type="dxa"/>
            <w:tcBorders>
              <w:top w:val="single" w:color="auto" w:sz="4" w:space="0"/>
              <w:left w:val="single" w:color="auto" w:sz="4" w:space="0"/>
              <w:bottom w:val="single" w:color="auto" w:sz="4" w:space="0"/>
              <w:right w:val="single" w:color="auto" w:sz="4" w:space="0"/>
            </w:tcBorders>
            <w:vAlign w:val="center"/>
          </w:tcPr>
          <w:p w14:paraId="082DC133">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641" w:type="dxa"/>
            <w:tcBorders>
              <w:top w:val="single" w:color="auto" w:sz="4" w:space="0"/>
              <w:left w:val="single" w:color="auto" w:sz="4" w:space="0"/>
              <w:bottom w:val="single" w:color="auto" w:sz="4" w:space="0"/>
              <w:right w:val="single" w:color="auto" w:sz="4" w:space="0"/>
            </w:tcBorders>
            <w:vAlign w:val="center"/>
          </w:tcPr>
          <w:p w14:paraId="5E59776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971" w:type="dxa"/>
            <w:tcBorders>
              <w:top w:val="single" w:color="auto" w:sz="4" w:space="0"/>
              <w:left w:val="single" w:color="auto" w:sz="4" w:space="0"/>
              <w:bottom w:val="single" w:color="auto" w:sz="4" w:space="0"/>
              <w:right w:val="single" w:color="auto" w:sz="4" w:space="0"/>
            </w:tcBorders>
            <w:vAlign w:val="center"/>
          </w:tcPr>
          <w:p w14:paraId="294674E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986" w:type="dxa"/>
            <w:tcBorders>
              <w:top w:val="single" w:color="auto" w:sz="4" w:space="0"/>
              <w:left w:val="single" w:color="auto" w:sz="4" w:space="0"/>
              <w:bottom w:val="single" w:color="auto" w:sz="4" w:space="0"/>
              <w:right w:val="single" w:color="auto" w:sz="4" w:space="0"/>
            </w:tcBorders>
            <w:vAlign w:val="center"/>
          </w:tcPr>
          <w:p w14:paraId="0EFF642A">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41" w:type="dxa"/>
            <w:tcBorders>
              <w:top w:val="single" w:color="auto" w:sz="4" w:space="0"/>
              <w:left w:val="single" w:color="auto" w:sz="4" w:space="0"/>
              <w:bottom w:val="single" w:color="auto" w:sz="4" w:space="0"/>
              <w:right w:val="single" w:color="auto" w:sz="4" w:space="0"/>
            </w:tcBorders>
            <w:vAlign w:val="center"/>
          </w:tcPr>
          <w:p w14:paraId="76B2531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322B2753">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241" w:type="dxa"/>
            <w:tcBorders>
              <w:top w:val="single" w:color="auto" w:sz="4" w:space="0"/>
              <w:left w:val="single" w:color="auto" w:sz="4" w:space="0"/>
              <w:bottom w:val="single" w:color="auto" w:sz="4" w:space="0"/>
              <w:right w:val="single" w:color="auto" w:sz="4" w:space="0"/>
            </w:tcBorders>
            <w:vAlign w:val="center"/>
          </w:tcPr>
          <w:p w14:paraId="3C906003">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bl>
    <w:p w14:paraId="2C1E1CEB">
      <w:pPr>
        <w:pStyle w:val="47"/>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招标人代表：记录人：</w:t>
      </w:r>
    </w:p>
    <w:p w14:paraId="1A483BCA">
      <w:pPr>
        <w:pStyle w:val="47"/>
        <w:spacing w:line="360" w:lineRule="auto"/>
        <w:jc w:val="righ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年</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月</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日</w:t>
      </w:r>
    </w:p>
    <w:p w14:paraId="602A74BF">
      <w:pPr>
        <w:pStyle w:val="47"/>
        <w:spacing w:line="360" w:lineRule="auto"/>
        <w:ind w:firstLine="562"/>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u w:val="single"/>
          <w14:textFill>
            <w14:solidFill>
              <w14:schemeClr w14:val="tx1"/>
            </w14:solidFill>
          </w14:textFill>
        </w:rPr>
        <w:t>（项目名称）</w:t>
      </w:r>
      <w:r>
        <w:rPr>
          <w:rFonts w:hint="eastAsia" w:asciiTheme="minorEastAsia" w:hAnsiTheme="minorEastAsia" w:eastAsiaTheme="minorEastAsia" w:cstheme="minorEastAsia"/>
          <w:b/>
          <w:bCs/>
          <w:color w:val="000000" w:themeColor="text1"/>
          <w:sz w:val="30"/>
          <w:szCs w:val="30"/>
          <w14:textFill>
            <w14:solidFill>
              <w14:schemeClr w14:val="tx1"/>
            </w14:solidFill>
          </w14:textFill>
        </w:rPr>
        <w:t>第二个信封（报价文件）</w:t>
      </w:r>
    </w:p>
    <w:p w14:paraId="57CD9E59">
      <w:pPr>
        <w:pStyle w:val="47"/>
        <w:spacing w:line="360" w:lineRule="auto"/>
        <w:ind w:firstLine="602"/>
        <w:jc w:val="center"/>
        <w:rPr>
          <w:rFonts w:hint="eastAsia"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u w:val="single"/>
          <w14:textFill>
            <w14:solidFill>
              <w14:schemeClr w14:val="tx1"/>
            </w14:solidFill>
          </w14:textFill>
        </w:rPr>
        <w:t>开标记录表</w:t>
      </w:r>
    </w:p>
    <w:p w14:paraId="0640A9CE">
      <w:pPr>
        <w:pStyle w:val="47"/>
        <w:spacing w:line="360" w:lineRule="auto"/>
        <w:ind w:firstLine="0" w:firstLineChars="0"/>
        <w:jc w:val="righ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开标时间：年＿月＿日＿时＿分</w:t>
      </w:r>
    </w:p>
    <w:tbl>
      <w:tblPr>
        <w:tblStyle w:val="21"/>
        <w:tblpPr w:leftFromText="180" w:rightFromText="180" w:vertAnchor="text" w:tblpXSpec="center" w:tblpY="1"/>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22"/>
        <w:gridCol w:w="1800"/>
        <w:gridCol w:w="2155"/>
        <w:gridCol w:w="1796"/>
        <w:gridCol w:w="803"/>
        <w:gridCol w:w="1193"/>
      </w:tblGrid>
      <w:tr w14:paraId="0A6A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9BF05C5">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序号</w:t>
            </w:r>
          </w:p>
        </w:tc>
        <w:tc>
          <w:tcPr>
            <w:tcW w:w="1422" w:type="dxa"/>
            <w:tcBorders>
              <w:top w:val="single" w:color="auto" w:sz="4" w:space="0"/>
              <w:left w:val="single" w:color="auto" w:sz="4" w:space="0"/>
              <w:bottom w:val="single" w:color="auto" w:sz="4" w:space="0"/>
              <w:right w:val="single" w:color="auto" w:sz="4" w:space="0"/>
            </w:tcBorders>
            <w:vAlign w:val="center"/>
          </w:tcPr>
          <w:p w14:paraId="304D50C7">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w:t>
            </w:r>
          </w:p>
        </w:tc>
        <w:tc>
          <w:tcPr>
            <w:tcW w:w="1800" w:type="dxa"/>
            <w:tcBorders>
              <w:top w:val="single" w:color="auto" w:sz="4" w:space="0"/>
              <w:left w:val="single" w:color="auto" w:sz="4" w:space="0"/>
              <w:bottom w:val="single" w:color="auto" w:sz="4" w:space="0"/>
              <w:right w:val="single" w:color="auto" w:sz="4" w:space="0"/>
            </w:tcBorders>
            <w:vAlign w:val="center"/>
          </w:tcPr>
          <w:p w14:paraId="21209FA9">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密封情况</w:t>
            </w:r>
          </w:p>
        </w:tc>
        <w:tc>
          <w:tcPr>
            <w:tcW w:w="2155" w:type="dxa"/>
            <w:tcBorders>
              <w:top w:val="single" w:color="auto" w:sz="4" w:space="0"/>
              <w:left w:val="single" w:color="auto" w:sz="4" w:space="0"/>
              <w:bottom w:val="single" w:color="auto" w:sz="4" w:space="0"/>
              <w:right w:val="single" w:color="auto" w:sz="4" w:space="0"/>
            </w:tcBorders>
            <w:vAlign w:val="center"/>
          </w:tcPr>
          <w:p w14:paraId="7B99E72A">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投标报价（元）</w:t>
            </w:r>
          </w:p>
        </w:tc>
        <w:tc>
          <w:tcPr>
            <w:tcW w:w="1796" w:type="dxa"/>
            <w:tcBorders>
              <w:top w:val="single" w:color="auto" w:sz="4" w:space="0"/>
              <w:left w:val="single" w:color="auto" w:sz="4" w:space="0"/>
              <w:bottom w:val="single" w:color="auto" w:sz="4" w:space="0"/>
              <w:right w:val="single" w:color="auto" w:sz="4" w:space="0"/>
            </w:tcBorders>
            <w:vAlign w:val="center"/>
          </w:tcPr>
          <w:p w14:paraId="5A462F1E">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是否超过最高投标限价</w:t>
            </w:r>
          </w:p>
        </w:tc>
        <w:tc>
          <w:tcPr>
            <w:tcW w:w="803" w:type="dxa"/>
            <w:tcBorders>
              <w:top w:val="single" w:color="auto" w:sz="4" w:space="0"/>
              <w:left w:val="single" w:color="auto" w:sz="4" w:space="0"/>
              <w:bottom w:val="single" w:color="auto" w:sz="4" w:space="0"/>
              <w:right w:val="single" w:color="auto" w:sz="4" w:space="0"/>
            </w:tcBorders>
            <w:vAlign w:val="center"/>
          </w:tcPr>
          <w:p w14:paraId="518A6B4A">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备注</w:t>
            </w:r>
          </w:p>
        </w:tc>
        <w:tc>
          <w:tcPr>
            <w:tcW w:w="1193" w:type="dxa"/>
            <w:tcBorders>
              <w:top w:val="single" w:color="auto" w:sz="4" w:space="0"/>
              <w:left w:val="single" w:color="auto" w:sz="4" w:space="0"/>
              <w:bottom w:val="single" w:color="auto" w:sz="4" w:space="0"/>
              <w:right w:val="single" w:color="auto" w:sz="4" w:space="0"/>
            </w:tcBorders>
            <w:vAlign w:val="center"/>
          </w:tcPr>
          <w:p w14:paraId="4642C41C">
            <w:pPr>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投标人代表签名</w:t>
            </w:r>
          </w:p>
        </w:tc>
      </w:tr>
      <w:tr w14:paraId="5AB1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70A1D14">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22" w:type="dxa"/>
            <w:tcBorders>
              <w:top w:val="single" w:color="auto" w:sz="4" w:space="0"/>
              <w:left w:val="single" w:color="auto" w:sz="4" w:space="0"/>
              <w:bottom w:val="single" w:color="auto" w:sz="4" w:space="0"/>
              <w:right w:val="single" w:color="auto" w:sz="4" w:space="0"/>
            </w:tcBorders>
            <w:vAlign w:val="center"/>
          </w:tcPr>
          <w:p w14:paraId="4A0A42C9">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06B0ED8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2155" w:type="dxa"/>
            <w:tcBorders>
              <w:top w:val="single" w:color="auto" w:sz="4" w:space="0"/>
              <w:left w:val="single" w:color="auto" w:sz="4" w:space="0"/>
              <w:bottom w:val="single" w:color="auto" w:sz="4" w:space="0"/>
              <w:right w:val="single" w:color="auto" w:sz="4" w:space="0"/>
            </w:tcBorders>
            <w:vAlign w:val="center"/>
          </w:tcPr>
          <w:p w14:paraId="4C959CC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796" w:type="dxa"/>
            <w:tcBorders>
              <w:top w:val="single" w:color="auto" w:sz="4" w:space="0"/>
              <w:left w:val="single" w:color="auto" w:sz="4" w:space="0"/>
              <w:bottom w:val="single" w:color="auto" w:sz="4" w:space="0"/>
              <w:right w:val="single" w:color="auto" w:sz="4" w:space="0"/>
            </w:tcBorders>
            <w:vAlign w:val="center"/>
          </w:tcPr>
          <w:p w14:paraId="22AC4960">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03" w:type="dxa"/>
            <w:tcBorders>
              <w:top w:val="single" w:color="auto" w:sz="4" w:space="0"/>
              <w:left w:val="single" w:color="auto" w:sz="4" w:space="0"/>
              <w:bottom w:val="single" w:color="auto" w:sz="4" w:space="0"/>
              <w:right w:val="single" w:color="auto" w:sz="4" w:space="0"/>
            </w:tcBorders>
            <w:vAlign w:val="center"/>
          </w:tcPr>
          <w:p w14:paraId="46879B80">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193" w:type="dxa"/>
            <w:tcBorders>
              <w:top w:val="single" w:color="auto" w:sz="4" w:space="0"/>
              <w:left w:val="single" w:color="auto" w:sz="4" w:space="0"/>
              <w:bottom w:val="single" w:color="auto" w:sz="4" w:space="0"/>
              <w:right w:val="single" w:color="auto" w:sz="4" w:space="0"/>
            </w:tcBorders>
            <w:vAlign w:val="center"/>
          </w:tcPr>
          <w:p w14:paraId="5B655D1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2CF5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1F834C3">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22" w:type="dxa"/>
            <w:tcBorders>
              <w:top w:val="single" w:color="auto" w:sz="4" w:space="0"/>
              <w:left w:val="single" w:color="auto" w:sz="4" w:space="0"/>
              <w:bottom w:val="single" w:color="auto" w:sz="4" w:space="0"/>
              <w:right w:val="single" w:color="auto" w:sz="4" w:space="0"/>
            </w:tcBorders>
            <w:vAlign w:val="center"/>
          </w:tcPr>
          <w:p w14:paraId="5A0D07E9">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40F5653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2155" w:type="dxa"/>
            <w:tcBorders>
              <w:top w:val="single" w:color="auto" w:sz="4" w:space="0"/>
              <w:left w:val="single" w:color="auto" w:sz="4" w:space="0"/>
              <w:bottom w:val="single" w:color="auto" w:sz="4" w:space="0"/>
              <w:right w:val="single" w:color="auto" w:sz="4" w:space="0"/>
            </w:tcBorders>
            <w:vAlign w:val="center"/>
          </w:tcPr>
          <w:p w14:paraId="2138B43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796" w:type="dxa"/>
            <w:tcBorders>
              <w:top w:val="single" w:color="auto" w:sz="4" w:space="0"/>
              <w:left w:val="single" w:color="auto" w:sz="4" w:space="0"/>
              <w:bottom w:val="single" w:color="auto" w:sz="4" w:space="0"/>
              <w:right w:val="single" w:color="auto" w:sz="4" w:space="0"/>
            </w:tcBorders>
            <w:vAlign w:val="center"/>
          </w:tcPr>
          <w:p w14:paraId="1766758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03" w:type="dxa"/>
            <w:tcBorders>
              <w:top w:val="single" w:color="auto" w:sz="4" w:space="0"/>
              <w:left w:val="single" w:color="auto" w:sz="4" w:space="0"/>
              <w:bottom w:val="single" w:color="auto" w:sz="4" w:space="0"/>
              <w:right w:val="single" w:color="auto" w:sz="4" w:space="0"/>
            </w:tcBorders>
            <w:vAlign w:val="center"/>
          </w:tcPr>
          <w:p w14:paraId="50B783D3">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193" w:type="dxa"/>
            <w:tcBorders>
              <w:top w:val="single" w:color="auto" w:sz="4" w:space="0"/>
              <w:left w:val="single" w:color="auto" w:sz="4" w:space="0"/>
              <w:bottom w:val="single" w:color="auto" w:sz="4" w:space="0"/>
              <w:right w:val="single" w:color="auto" w:sz="4" w:space="0"/>
            </w:tcBorders>
            <w:vAlign w:val="center"/>
          </w:tcPr>
          <w:p w14:paraId="2B490FF1">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1E7F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D4A3825">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22" w:type="dxa"/>
            <w:tcBorders>
              <w:top w:val="single" w:color="auto" w:sz="4" w:space="0"/>
              <w:left w:val="single" w:color="auto" w:sz="4" w:space="0"/>
              <w:bottom w:val="single" w:color="auto" w:sz="4" w:space="0"/>
              <w:right w:val="single" w:color="auto" w:sz="4" w:space="0"/>
            </w:tcBorders>
            <w:vAlign w:val="center"/>
          </w:tcPr>
          <w:p w14:paraId="0358DA48">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02BAB2C8">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2155" w:type="dxa"/>
            <w:tcBorders>
              <w:top w:val="single" w:color="auto" w:sz="4" w:space="0"/>
              <w:left w:val="single" w:color="auto" w:sz="4" w:space="0"/>
              <w:bottom w:val="single" w:color="auto" w:sz="4" w:space="0"/>
              <w:right w:val="single" w:color="auto" w:sz="4" w:space="0"/>
            </w:tcBorders>
            <w:vAlign w:val="center"/>
          </w:tcPr>
          <w:p w14:paraId="4F696617">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796" w:type="dxa"/>
            <w:tcBorders>
              <w:top w:val="single" w:color="auto" w:sz="4" w:space="0"/>
              <w:left w:val="single" w:color="auto" w:sz="4" w:space="0"/>
              <w:bottom w:val="single" w:color="auto" w:sz="4" w:space="0"/>
              <w:right w:val="single" w:color="auto" w:sz="4" w:space="0"/>
            </w:tcBorders>
            <w:vAlign w:val="center"/>
          </w:tcPr>
          <w:p w14:paraId="197E6C7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03" w:type="dxa"/>
            <w:tcBorders>
              <w:top w:val="single" w:color="auto" w:sz="4" w:space="0"/>
              <w:left w:val="single" w:color="auto" w:sz="4" w:space="0"/>
              <w:bottom w:val="single" w:color="auto" w:sz="4" w:space="0"/>
              <w:right w:val="single" w:color="auto" w:sz="4" w:space="0"/>
            </w:tcBorders>
            <w:vAlign w:val="center"/>
          </w:tcPr>
          <w:p w14:paraId="22147949">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193" w:type="dxa"/>
            <w:tcBorders>
              <w:top w:val="single" w:color="auto" w:sz="4" w:space="0"/>
              <w:left w:val="single" w:color="auto" w:sz="4" w:space="0"/>
              <w:bottom w:val="single" w:color="auto" w:sz="4" w:space="0"/>
              <w:right w:val="single" w:color="auto" w:sz="4" w:space="0"/>
            </w:tcBorders>
            <w:vAlign w:val="center"/>
          </w:tcPr>
          <w:p w14:paraId="067DADC1">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5252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BD783CE">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422" w:type="dxa"/>
            <w:tcBorders>
              <w:top w:val="single" w:color="auto" w:sz="4" w:space="0"/>
              <w:left w:val="single" w:color="auto" w:sz="4" w:space="0"/>
              <w:bottom w:val="single" w:color="auto" w:sz="4" w:space="0"/>
              <w:right w:val="single" w:color="auto" w:sz="4" w:space="0"/>
            </w:tcBorders>
            <w:vAlign w:val="center"/>
          </w:tcPr>
          <w:p w14:paraId="35E838BF">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28D5D918">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2155" w:type="dxa"/>
            <w:tcBorders>
              <w:top w:val="single" w:color="auto" w:sz="4" w:space="0"/>
              <w:left w:val="single" w:color="auto" w:sz="4" w:space="0"/>
              <w:bottom w:val="single" w:color="auto" w:sz="4" w:space="0"/>
              <w:right w:val="single" w:color="auto" w:sz="4" w:space="0"/>
            </w:tcBorders>
            <w:vAlign w:val="center"/>
          </w:tcPr>
          <w:p w14:paraId="2EF6422A">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796" w:type="dxa"/>
            <w:tcBorders>
              <w:top w:val="single" w:color="auto" w:sz="4" w:space="0"/>
              <w:left w:val="single" w:color="auto" w:sz="4" w:space="0"/>
              <w:bottom w:val="single" w:color="auto" w:sz="4" w:space="0"/>
              <w:right w:val="single" w:color="auto" w:sz="4" w:space="0"/>
            </w:tcBorders>
            <w:vAlign w:val="center"/>
          </w:tcPr>
          <w:p w14:paraId="385513EF">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803" w:type="dxa"/>
            <w:tcBorders>
              <w:top w:val="single" w:color="auto" w:sz="4" w:space="0"/>
              <w:left w:val="single" w:color="auto" w:sz="4" w:space="0"/>
              <w:bottom w:val="single" w:color="auto" w:sz="4" w:space="0"/>
              <w:right w:val="single" w:color="auto" w:sz="4" w:space="0"/>
            </w:tcBorders>
            <w:vAlign w:val="center"/>
          </w:tcPr>
          <w:p w14:paraId="32EA8706">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c>
          <w:tcPr>
            <w:tcW w:w="1193" w:type="dxa"/>
            <w:tcBorders>
              <w:top w:val="single" w:color="auto" w:sz="4" w:space="0"/>
              <w:left w:val="single" w:color="auto" w:sz="4" w:space="0"/>
              <w:bottom w:val="single" w:color="auto" w:sz="4" w:space="0"/>
              <w:right w:val="single" w:color="auto" w:sz="4" w:space="0"/>
            </w:tcBorders>
            <w:vAlign w:val="center"/>
          </w:tcPr>
          <w:p w14:paraId="6A4ACACB">
            <w:pPr>
              <w:pStyle w:val="47"/>
              <w:spacing w:line="360" w:lineRule="auto"/>
              <w:ind w:firstLine="0" w:firstLineChars="0"/>
              <w:jc w:val="center"/>
              <w:rPr>
                <w:rFonts w:hint="eastAsia" w:asciiTheme="minorEastAsia" w:hAnsiTheme="minorEastAsia" w:eastAsiaTheme="minorEastAsia" w:cstheme="minorEastAsia"/>
                <w:color w:val="000000" w:themeColor="text1"/>
                <w14:textFill>
                  <w14:solidFill>
                    <w14:schemeClr w14:val="tx1"/>
                  </w14:solidFill>
                </w14:textFill>
              </w:rPr>
            </w:pPr>
          </w:p>
        </w:tc>
      </w:tr>
      <w:tr w14:paraId="4650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12" w:type="dxa"/>
            <w:gridSpan w:val="3"/>
            <w:tcBorders>
              <w:top w:val="single" w:color="auto" w:sz="4" w:space="0"/>
              <w:left w:val="single" w:color="auto" w:sz="4" w:space="0"/>
              <w:bottom w:val="single" w:color="auto" w:sz="4" w:space="0"/>
              <w:right w:val="single" w:color="auto" w:sz="4" w:space="0"/>
            </w:tcBorders>
            <w:vAlign w:val="center"/>
          </w:tcPr>
          <w:p w14:paraId="49586721">
            <w:pPr>
              <w:pStyle w:val="47"/>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招标人编制的最高投标限价（如有）</w:t>
            </w:r>
          </w:p>
        </w:tc>
        <w:tc>
          <w:tcPr>
            <w:tcW w:w="5947" w:type="dxa"/>
            <w:gridSpan w:val="4"/>
            <w:tcBorders>
              <w:top w:val="single" w:color="auto" w:sz="4" w:space="0"/>
              <w:left w:val="single" w:color="auto" w:sz="4" w:space="0"/>
              <w:bottom w:val="single" w:color="auto" w:sz="4" w:space="0"/>
              <w:right w:val="single" w:color="auto" w:sz="4" w:space="0"/>
            </w:tcBorders>
            <w:vAlign w:val="center"/>
          </w:tcPr>
          <w:p w14:paraId="5F792A17">
            <w:pPr>
              <w:pStyle w:val="47"/>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p>
        </w:tc>
      </w:tr>
    </w:tbl>
    <w:p w14:paraId="1AE4CBEB">
      <w:pPr>
        <w:pStyle w:val="47"/>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pPr>
      <w:bookmarkStart w:id="19" w:name="_Toc1011"/>
      <w:bookmarkStart w:id="20" w:name="_Toc19245"/>
      <w:bookmarkStart w:id="21" w:name="_Toc27808"/>
      <w:r>
        <w:rPr>
          <w:rFonts w:hint="eastAsia" w:asciiTheme="minorEastAsia" w:hAnsiTheme="minorEastAsia" w:eastAsiaTheme="minorEastAsia" w:cstheme="minorEastAsia"/>
          <w:color w:val="000000" w:themeColor="text1"/>
          <w14:textFill>
            <w14:solidFill>
              <w14:schemeClr w14:val="tx1"/>
            </w14:solidFill>
          </w14:textFill>
        </w:rPr>
        <w:t>招标人代表：记录人：</w:t>
      </w:r>
    </w:p>
    <w:p w14:paraId="566FAB45">
      <w:pPr>
        <w:pStyle w:val="47"/>
        <w:spacing w:line="360" w:lineRule="auto"/>
        <w:jc w:val="righ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年</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月</w:t>
      </w:r>
      <w:r>
        <w:rPr>
          <w:rFonts w:hint="eastAsia" w:asciiTheme="minorEastAsia" w:hAnsi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日</w:t>
      </w:r>
    </w:p>
    <w:p w14:paraId="150A590D">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附件二：问题澄清通知</w:t>
      </w:r>
      <w:bookmarkEnd w:id="19"/>
      <w:bookmarkEnd w:id="20"/>
      <w:bookmarkEnd w:id="21"/>
    </w:p>
    <w:p w14:paraId="4906F92D">
      <w:pPr>
        <w:pStyle w:val="47"/>
        <w:spacing w:line="360" w:lineRule="auto"/>
        <w:ind w:firstLine="560"/>
        <w:jc w:val="center"/>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问题澄清通知</w:t>
      </w:r>
    </w:p>
    <w:p w14:paraId="2B9208B1">
      <w:pPr>
        <w:pStyle w:val="47"/>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（编号：）</w:t>
      </w:r>
    </w:p>
    <w:p w14:paraId="1C6443DF">
      <w:pPr>
        <w:pStyle w:val="51"/>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（投标人名称）：</w:t>
      </w:r>
    </w:p>
    <w:p w14:paraId="4D8C861F">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u w:val="single"/>
          <w14:textFill>
            <w14:solidFill>
              <w14:schemeClr w14:val="tx1"/>
            </w14:solidFill>
          </w14:textFill>
        </w:rPr>
        <w:t>（项目名称）</w:t>
      </w:r>
      <w:r>
        <w:rPr>
          <w:rFonts w:hint="eastAsia" w:asciiTheme="minorEastAsia" w:hAnsiTheme="minorEastAsia" w:eastAsiaTheme="minorEastAsia" w:cstheme="minorEastAsia"/>
          <w:color w:val="000000" w:themeColor="text1"/>
          <w14:textFill>
            <w14:solidFill>
              <w14:schemeClr w14:val="tx1"/>
            </w14:solidFill>
          </w14:textFill>
        </w:rPr>
        <w:t>招标的评标委员会，对你方的投标文件进行了仔细的审查，现需你方对下列问题以书面形式予以澄清或说明：</w:t>
      </w:r>
    </w:p>
    <w:p w14:paraId="23023160">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w:t>
      </w:r>
    </w:p>
    <w:p w14:paraId="262CE8BF">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p>
    <w:p w14:paraId="23E9BC0F">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p>
    <w:p w14:paraId="58E048AA">
      <w:pPr>
        <w:pStyle w:val="47"/>
        <w:spacing w:line="360" w:lineRule="auto"/>
        <w:rPr>
          <w:rFonts w:hint="eastAsia" w:asciiTheme="minorEastAsia" w:hAnsiTheme="minorEastAsia" w:eastAsiaTheme="minorEastAsia" w:cstheme="minorEastAsia"/>
          <w:color w:val="000000" w:themeColor="text1"/>
          <w:u w:val="single"/>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请将上述问题的澄清或说明于年月日时前递交至（详细地址）或传真至（传真号码）或通过下载招标文件的电子招标交易平台上传</w:t>
      </w:r>
      <w:r>
        <w:rPr>
          <w:rFonts w:hint="eastAsia" w:asciiTheme="minorEastAsia" w:hAnsiTheme="minorEastAsia" w:eastAsiaTheme="minorEastAsia" w:cstheme="minorEastAsia"/>
          <w:color w:val="000000" w:themeColor="text1"/>
          <w:spacing w:val="-108"/>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采用传真方式的，应在年月日时分前将原件递交至</w:t>
      </w:r>
      <w:r>
        <w:rPr>
          <w:rFonts w:hint="eastAsia" w:asciiTheme="minorEastAsia" w:hAnsiTheme="minorEastAsia" w:eastAsiaTheme="minorEastAsia" w:cstheme="minorEastAsia"/>
          <w:color w:val="000000" w:themeColor="text1"/>
          <w:u w:val="single"/>
          <w14:textFill>
            <w14:solidFill>
              <w14:schemeClr w14:val="tx1"/>
            </w14:solidFill>
          </w14:textFill>
        </w:rPr>
        <w:t>（详细地址）。</w:t>
      </w:r>
    </w:p>
    <w:p w14:paraId="2F508AF5">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p>
    <w:p w14:paraId="3FEFB3BE">
      <w:pPr>
        <w:pStyle w:val="51"/>
        <w:spacing w:line="360" w:lineRule="auto"/>
        <w:jc w:val="right"/>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评标委员会授权的招标人或招标代理机构：</w:t>
      </w:r>
      <w:r>
        <w:rPr>
          <w:rFonts w:hint="eastAsia" w:asciiTheme="minorEastAsia" w:hAnsiTheme="minorEastAsia" w:eastAsiaTheme="minorEastAsia" w:cstheme="minorEastAsia"/>
          <w:color w:val="000000" w:themeColor="text1"/>
          <w14:textFill>
            <w14:solidFill>
              <w14:schemeClr w14:val="tx1"/>
            </w14:solidFill>
          </w14:textFill>
        </w:rPr>
        <w:tab/>
      </w:r>
      <w:r>
        <w:rPr>
          <w:rFonts w:hint="eastAsia" w:asciiTheme="minorEastAsia" w:hAnsiTheme="minorEastAsia" w:eastAsiaTheme="minorEastAsia" w:cstheme="minorEastAsia"/>
          <w:color w:val="000000" w:themeColor="text1"/>
          <w14:textFill>
            <w14:solidFill>
              <w14:schemeClr w14:val="tx1"/>
            </w14:solidFill>
          </w14:textFill>
        </w:rPr>
        <w:t>（签字或盖单位章）</w:t>
      </w:r>
    </w:p>
    <w:p w14:paraId="69CF5896">
      <w:pPr>
        <w:pStyle w:val="51"/>
        <w:spacing w:line="360" w:lineRule="auto"/>
        <w:ind w:left="4536" w:leftChars="2160" w:firstLine="1200" w:firstLineChars="5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年月日</w:t>
      </w:r>
    </w:p>
    <w:p w14:paraId="52866728">
      <w:pPr>
        <w:pStyle w:val="51"/>
        <w:ind w:left="4536" w:leftChars="2160" w:firstLine="1200" w:firstLineChars="500"/>
        <w:rPr>
          <w:rFonts w:hint="eastAsia" w:asciiTheme="minorEastAsia" w:hAnsiTheme="minorEastAsia" w:eastAsiaTheme="minorEastAsia" w:cstheme="minorEastAsia"/>
          <w:color w:val="000000" w:themeColor="text1"/>
          <w14:textFill>
            <w14:solidFill>
              <w14:schemeClr w14:val="tx1"/>
            </w14:solidFill>
          </w14:textFill>
        </w:rPr>
      </w:pPr>
    </w:p>
    <w:p w14:paraId="09303C41">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14:textFill>
            <w14:solidFill>
              <w14:schemeClr w14:val="tx1"/>
            </w14:solidFill>
          </w14:textFill>
        </w:rPr>
      </w:pPr>
      <w:bookmarkStart w:id="22" w:name="_Toc11846"/>
      <w:bookmarkStart w:id="23" w:name="_Toc18559"/>
      <w:bookmarkStart w:id="24" w:name="_Toc20337"/>
      <w:r>
        <w:rPr>
          <w:rFonts w:hint="eastAsia" w:asciiTheme="minorEastAsia" w:hAnsiTheme="minorEastAsia" w:eastAsiaTheme="minorEastAsia" w:cstheme="minorEastAsia"/>
          <w:color w:val="000000" w:themeColor="text1"/>
          <w14:textFill>
            <w14:solidFill>
              <w14:schemeClr w14:val="tx1"/>
            </w14:solidFill>
          </w14:textFill>
        </w:rPr>
        <w:t>附件三：问题的澄清</w:t>
      </w:r>
      <w:bookmarkEnd w:id="22"/>
      <w:bookmarkEnd w:id="23"/>
      <w:bookmarkEnd w:id="24"/>
    </w:p>
    <w:p w14:paraId="1A845179">
      <w:pPr>
        <w:pStyle w:val="47"/>
        <w:spacing w:line="360" w:lineRule="auto"/>
        <w:ind w:firstLine="60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问题的澄清</w:t>
      </w:r>
    </w:p>
    <w:p w14:paraId="613649D9">
      <w:pPr>
        <w:pStyle w:val="47"/>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（编号：）</w:t>
      </w:r>
    </w:p>
    <w:p w14:paraId="7ABC0131">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u w:val="single"/>
          <w14:textFill>
            <w14:solidFill>
              <w14:schemeClr w14:val="tx1"/>
            </w14:solidFill>
          </w14:textFill>
        </w:rPr>
        <w:t>（项目名称）</w:t>
      </w:r>
      <w:r>
        <w:rPr>
          <w:rFonts w:hint="eastAsia" w:asciiTheme="minorEastAsia" w:hAnsiTheme="minorEastAsia" w:eastAsiaTheme="minorEastAsia" w:cstheme="minorEastAsia"/>
          <w:color w:val="000000" w:themeColor="text1"/>
          <w14:textFill>
            <w14:solidFill>
              <w14:schemeClr w14:val="tx1"/>
            </w14:solidFill>
          </w14:textFill>
        </w:rPr>
        <w:t>招标评标委员会：</w:t>
      </w:r>
    </w:p>
    <w:p w14:paraId="19869C34">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问题澄清通知（编号：）已收悉，现澄清、说明如下：</w:t>
      </w:r>
    </w:p>
    <w:p w14:paraId="5C2343D7">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w:t>
      </w:r>
    </w:p>
    <w:p w14:paraId="4FEE7DD9">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p>
    <w:p w14:paraId="0B5ED982">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w:t>
      </w:r>
    </w:p>
    <w:p w14:paraId="50CB0460">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上述问题澄清或说明，不改变我方投标文件的实质性内容，构成我方投标文件的组成部分。</w:t>
      </w:r>
    </w:p>
    <w:p w14:paraId="1773C0E7">
      <w:pPr>
        <w:pStyle w:val="47"/>
        <w:spacing w:line="360" w:lineRule="auto"/>
        <w:ind w:left="4536" w:leftChars="2160"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投标人：（盖单位章）</w:t>
      </w:r>
    </w:p>
    <w:p w14:paraId="4EBC1238">
      <w:pPr>
        <w:pStyle w:val="47"/>
        <w:spacing w:line="360" w:lineRule="auto"/>
        <w:ind w:left="4536" w:leftChars="2160"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法定代表人或其委托代理人：（签字）</w:t>
      </w:r>
    </w:p>
    <w:p w14:paraId="2013BFF1">
      <w:pPr>
        <w:pStyle w:val="47"/>
        <w:spacing w:line="360" w:lineRule="auto"/>
        <w:ind w:left="4536" w:leftChars="2160" w:firstLine="1440" w:firstLineChars="6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年月日</w:t>
      </w:r>
    </w:p>
    <w:p w14:paraId="30B752F9">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14:textFill>
            <w14:solidFill>
              <w14:schemeClr w14:val="tx1"/>
            </w14:solidFill>
          </w14:textFill>
        </w:rPr>
      </w:pPr>
      <w:bookmarkStart w:id="25" w:name="_Toc10043"/>
      <w:bookmarkStart w:id="26" w:name="_Toc19958"/>
      <w:bookmarkStart w:id="27" w:name="_Toc3323"/>
      <w:r>
        <w:rPr>
          <w:rFonts w:hint="eastAsia" w:asciiTheme="minorEastAsia" w:hAnsiTheme="minorEastAsia" w:eastAsiaTheme="minorEastAsia" w:cstheme="minorEastAsia"/>
          <w:color w:val="000000" w:themeColor="text1"/>
          <w14:textFill>
            <w14:solidFill>
              <w14:schemeClr w14:val="tx1"/>
            </w14:solidFill>
          </w14:textFill>
        </w:rPr>
        <w:t>附件四：中标通知书</w:t>
      </w:r>
      <w:bookmarkEnd w:id="25"/>
      <w:bookmarkEnd w:id="26"/>
      <w:bookmarkEnd w:id="27"/>
    </w:p>
    <w:p w14:paraId="03F6ECCF">
      <w:pPr>
        <w:pStyle w:val="47"/>
        <w:spacing w:line="360" w:lineRule="auto"/>
        <w:ind w:firstLine="600"/>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中标通知书</w:t>
      </w:r>
    </w:p>
    <w:p w14:paraId="32E76637">
      <w:pPr>
        <w:pStyle w:val="47"/>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u w:val="single"/>
          <w14:textFill>
            <w14:solidFill>
              <w14:schemeClr w14:val="tx1"/>
            </w14:solidFill>
          </w14:textFill>
        </w:rPr>
        <w:t>韶关市公共资源交易中心</w:t>
      </w:r>
      <w:r>
        <w:rPr>
          <w:rFonts w:hint="eastAsia" w:asciiTheme="minorEastAsia" w:hAnsiTheme="minorEastAsia" w:eastAsiaTheme="minorEastAsia" w:cstheme="minorEastAsia"/>
          <w:color w:val="000000" w:themeColor="text1"/>
          <w14:textFill>
            <w14:solidFill>
              <w14:schemeClr w14:val="tx1"/>
            </w14:solidFill>
          </w14:textFill>
        </w:rPr>
        <w:t>提供的中标通知书格式）</w:t>
      </w:r>
    </w:p>
    <w:p w14:paraId="72491B7A">
      <w:pPr>
        <w:pStyle w:val="51"/>
        <w:spacing w:line="360" w:lineRule="auto"/>
        <w:ind w:left="4536" w:leftChars="2160" w:firstLine="1200" w:firstLineChars="500"/>
        <w:rPr>
          <w:rFonts w:hint="eastAsia" w:asciiTheme="minorEastAsia" w:hAnsiTheme="minorEastAsia" w:eastAsiaTheme="minorEastAsia" w:cstheme="minorEastAsia"/>
          <w:color w:val="000000" w:themeColor="text1"/>
          <w14:textFill>
            <w14:solidFill>
              <w14:schemeClr w14:val="tx1"/>
            </w14:solidFill>
          </w14:textFill>
        </w:rPr>
      </w:pPr>
    </w:p>
    <w:p w14:paraId="79B00CCE">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14:textFill>
            <w14:solidFill>
              <w14:schemeClr w14:val="tx1"/>
            </w14:solidFill>
          </w14:textFill>
        </w:rPr>
      </w:pPr>
      <w:bookmarkStart w:id="28" w:name="_Toc5936"/>
      <w:bookmarkStart w:id="29" w:name="_Toc23714"/>
      <w:bookmarkStart w:id="30" w:name="_Toc30346"/>
      <w:r>
        <w:rPr>
          <w:rFonts w:hint="eastAsia" w:asciiTheme="minorEastAsia" w:hAnsiTheme="minorEastAsia" w:eastAsiaTheme="minorEastAsia" w:cstheme="minorEastAsia"/>
          <w:color w:val="000000" w:themeColor="text1"/>
          <w14:textFill>
            <w14:solidFill>
              <w14:schemeClr w14:val="tx1"/>
            </w14:solidFill>
          </w14:textFill>
        </w:rPr>
        <w:t>附件五：中标结果通知书</w:t>
      </w:r>
      <w:bookmarkEnd w:id="28"/>
      <w:bookmarkEnd w:id="29"/>
      <w:bookmarkEnd w:id="30"/>
    </w:p>
    <w:p w14:paraId="71E833D8">
      <w:pPr>
        <w:pStyle w:val="47"/>
        <w:spacing w:line="360" w:lineRule="auto"/>
        <w:ind w:firstLine="60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中标结果通知书</w:t>
      </w:r>
    </w:p>
    <w:p w14:paraId="7419CCCB">
      <w:pPr>
        <w:pStyle w:val="47"/>
        <w:spacing w:line="360" w:lineRule="auto"/>
        <w:ind w:firstLine="60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p>
    <w:p w14:paraId="1CD2742B">
      <w:pPr>
        <w:pStyle w:val="47"/>
        <w:spacing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u w:val="single"/>
          <w14:textFill>
            <w14:solidFill>
              <w14:schemeClr w14:val="tx1"/>
            </w14:solidFill>
          </w14:textFill>
        </w:rPr>
        <w:t>韶关市公共资源交易中心</w:t>
      </w:r>
      <w:r>
        <w:rPr>
          <w:rFonts w:hint="eastAsia" w:asciiTheme="minorEastAsia" w:hAnsiTheme="minorEastAsia" w:eastAsiaTheme="minorEastAsia" w:cstheme="minorEastAsia"/>
          <w:color w:val="000000" w:themeColor="text1"/>
          <w14:textFill>
            <w14:solidFill>
              <w14:schemeClr w14:val="tx1"/>
            </w14:solidFill>
          </w14:textFill>
        </w:rPr>
        <w:t>提供的中标结果通知书格式）</w:t>
      </w:r>
    </w:p>
    <w:p w14:paraId="50BF692A">
      <w:pPr>
        <w:pStyle w:val="47"/>
        <w:spacing w:line="360" w:lineRule="auto"/>
        <w:ind w:left="4536" w:leftChars="2160" w:firstLine="960" w:firstLineChars="400"/>
        <w:rPr>
          <w:rFonts w:hint="eastAsia" w:asciiTheme="minorEastAsia" w:hAnsiTheme="minorEastAsia" w:eastAsiaTheme="minorEastAsia" w:cstheme="minorEastAsia"/>
          <w:color w:val="000000" w:themeColor="text1"/>
          <w14:textFill>
            <w14:solidFill>
              <w14:schemeClr w14:val="tx1"/>
            </w14:solidFill>
          </w14:textFill>
        </w:rPr>
      </w:pPr>
    </w:p>
    <w:p w14:paraId="5A325E67">
      <w:pPr>
        <w:pStyle w:val="47"/>
        <w:spacing w:line="360" w:lineRule="auto"/>
        <w:ind w:left="4536" w:leftChars="2160" w:firstLine="960" w:firstLineChars="400"/>
        <w:rPr>
          <w:rFonts w:hint="eastAsia" w:asciiTheme="minorEastAsia" w:hAnsiTheme="minorEastAsia" w:eastAsiaTheme="minorEastAsia" w:cstheme="minorEastAsia"/>
          <w:color w:val="000000" w:themeColor="text1"/>
          <w14:textFill>
            <w14:solidFill>
              <w14:schemeClr w14:val="tx1"/>
            </w14:solidFill>
          </w14:textFill>
        </w:rPr>
      </w:pPr>
    </w:p>
    <w:p w14:paraId="595C6FB5">
      <w:pPr>
        <w:pStyle w:val="47"/>
        <w:spacing w:line="360" w:lineRule="auto"/>
        <w:ind w:left="4536" w:leftChars="2160" w:firstLine="960" w:firstLineChars="400"/>
        <w:rPr>
          <w:rFonts w:hint="eastAsia" w:asciiTheme="minorEastAsia" w:hAnsiTheme="minorEastAsia" w:eastAsiaTheme="minorEastAsia" w:cstheme="minorEastAsia"/>
          <w:color w:val="000000" w:themeColor="text1"/>
          <w14:textFill>
            <w14:solidFill>
              <w14:schemeClr w14:val="tx1"/>
            </w14:solidFill>
          </w14:textFill>
        </w:rPr>
      </w:pPr>
    </w:p>
    <w:p w14:paraId="4A3647DF">
      <w:pPr>
        <w:pStyle w:val="50"/>
        <w:numPr>
          <w:ilvl w:val="1"/>
          <w:numId w:val="0"/>
        </w:numPr>
        <w:spacing w:before="156" w:line="360" w:lineRule="auto"/>
        <w:outlineLvl w:val="2"/>
        <w:rPr>
          <w:rFonts w:hint="eastAsia" w:asciiTheme="minorEastAsia" w:hAnsiTheme="minorEastAsia" w:eastAsiaTheme="minorEastAsia" w:cstheme="minorEastAsia"/>
          <w:color w:val="000000" w:themeColor="text1"/>
          <w14:textFill>
            <w14:solidFill>
              <w14:schemeClr w14:val="tx1"/>
            </w14:solidFill>
          </w14:textFill>
        </w:rPr>
      </w:pPr>
      <w:bookmarkStart w:id="31" w:name="_Toc19033"/>
      <w:bookmarkStart w:id="32" w:name="_Toc14151"/>
      <w:bookmarkStart w:id="33" w:name="_Toc13801"/>
      <w:r>
        <w:rPr>
          <w:rFonts w:hint="eastAsia" w:asciiTheme="minorEastAsia" w:hAnsiTheme="minorEastAsia" w:eastAsiaTheme="minorEastAsia" w:cstheme="minorEastAsia"/>
          <w:color w:val="000000" w:themeColor="text1"/>
          <w14:textFill>
            <w14:solidFill>
              <w14:schemeClr w14:val="tx1"/>
            </w14:solidFill>
          </w14:textFill>
        </w:rPr>
        <w:t>附表六：确认通知</w:t>
      </w:r>
      <w:bookmarkEnd w:id="31"/>
      <w:bookmarkEnd w:id="32"/>
      <w:bookmarkEnd w:id="33"/>
    </w:p>
    <w:p w14:paraId="1F701D0A">
      <w:pPr>
        <w:pStyle w:val="47"/>
        <w:spacing w:line="360" w:lineRule="auto"/>
        <w:ind w:firstLine="600"/>
        <w:jc w:val="center"/>
        <w:rPr>
          <w:rFonts w:hint="eastAsia" w:asciiTheme="minorEastAsia" w:hAnsiTheme="minorEastAsia" w:eastAsiaTheme="minorEastAsia" w:cstheme="minorEastAsia"/>
          <w:color w:val="000000" w:themeColor="text1"/>
          <w:sz w:val="30"/>
          <w:szCs w:val="30"/>
          <w14:textFill>
            <w14:solidFill>
              <w14:schemeClr w14:val="tx1"/>
            </w14:solidFill>
          </w14:textFill>
        </w:rPr>
      </w:pPr>
      <w:r>
        <w:rPr>
          <w:rFonts w:hint="eastAsia" w:asciiTheme="minorEastAsia" w:hAnsiTheme="minorEastAsia" w:eastAsiaTheme="minorEastAsia" w:cstheme="minorEastAsia"/>
          <w:color w:val="000000" w:themeColor="text1"/>
          <w:sz w:val="30"/>
          <w:szCs w:val="30"/>
          <w14:textFill>
            <w14:solidFill>
              <w14:schemeClr w14:val="tx1"/>
            </w14:solidFill>
          </w14:textFill>
        </w:rPr>
        <w:t>确认通知</w:t>
      </w:r>
    </w:p>
    <w:p w14:paraId="2B16D91B">
      <w:pPr>
        <w:pStyle w:val="51"/>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u w:val="single"/>
          <w14:textFill>
            <w14:solidFill>
              <w14:schemeClr w14:val="tx1"/>
            </w14:solidFill>
          </w14:textFill>
        </w:rPr>
        <w:t>（招标人名称）</w:t>
      </w:r>
      <w:r>
        <w:rPr>
          <w:rFonts w:hint="eastAsia" w:asciiTheme="minorEastAsia" w:hAnsiTheme="minorEastAsia" w:eastAsiaTheme="minorEastAsia" w:cstheme="minorEastAsia"/>
          <w:color w:val="000000" w:themeColor="text1"/>
          <w14:textFill>
            <w14:solidFill>
              <w14:schemeClr w14:val="tx1"/>
            </w14:solidFill>
          </w14:textFill>
        </w:rPr>
        <w:t>：</w:t>
      </w:r>
    </w:p>
    <w:p w14:paraId="2693BDCC">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我方与年月日发出的</w:t>
      </w:r>
      <w:r>
        <w:rPr>
          <w:rFonts w:hint="eastAsia" w:asciiTheme="minorEastAsia" w:hAnsiTheme="minorEastAsia" w:eastAsiaTheme="minorEastAsia" w:cstheme="minorEastAsia"/>
          <w:color w:val="000000" w:themeColor="text1"/>
          <w:u w:val="single"/>
          <w14:textFill>
            <w14:solidFill>
              <w14:schemeClr w14:val="tx1"/>
            </w14:solidFill>
          </w14:textFill>
        </w:rPr>
        <w:t>（项目名称）</w:t>
      </w:r>
      <w:r>
        <w:rPr>
          <w:rFonts w:hint="eastAsia" w:asciiTheme="minorEastAsia" w:hAnsiTheme="minorEastAsia" w:eastAsiaTheme="minorEastAsia" w:cstheme="minorEastAsia"/>
          <w:color w:val="000000" w:themeColor="text1"/>
          <w14:textFill>
            <w14:solidFill>
              <w14:schemeClr w14:val="tx1"/>
            </w14:solidFill>
          </w14:textFill>
        </w:rPr>
        <w:t>招标关于招标文件澄清/修改的通知（第号补遗书，正文共页），我方已于年月日收到。</w:t>
      </w:r>
    </w:p>
    <w:p w14:paraId="0CE4FE8C">
      <w:pPr>
        <w:pStyle w:val="47"/>
        <w:spacing w:line="360" w:lineRule="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特此确认。</w:t>
      </w:r>
    </w:p>
    <w:p w14:paraId="4806069E">
      <w:pPr>
        <w:pStyle w:val="47"/>
        <w:spacing w:line="360" w:lineRule="auto"/>
        <w:ind w:left="4536" w:leftChars="2160" w:firstLine="0" w:firstLineChars="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投标人：（盖单位章）</w:t>
      </w:r>
    </w:p>
    <w:p w14:paraId="2A38B95C">
      <w:pPr>
        <w:pStyle w:val="47"/>
        <w:spacing w:line="360" w:lineRule="auto"/>
        <w:ind w:left="4536" w:leftChars="2160" w:firstLine="960" w:firstLineChars="4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年月日</w:t>
      </w:r>
    </w:p>
    <w:p w14:paraId="01CD3F96">
      <w:pPr>
        <w:pStyle w:val="47"/>
        <w:spacing w:line="360" w:lineRule="auto"/>
        <w:ind w:firstLine="0" w:firstLineChars="0"/>
        <w:rPr>
          <w:rFonts w:hint="eastAsia" w:asciiTheme="minorEastAsia" w:hAnsiTheme="minorEastAsia" w:eastAsiaTheme="minorEastAsia" w:cstheme="minorEastAsia"/>
          <w:color w:val="000000" w:themeColor="text1"/>
          <w14:textFill>
            <w14:solidFill>
              <w14:schemeClr w14:val="tx1"/>
            </w14:solidFill>
          </w14:textFill>
        </w:rPr>
        <w:sectPr>
          <w:pgSz w:w="11906" w:h="16838"/>
          <w:pgMar w:top="1440" w:right="1080" w:bottom="1440" w:left="1080" w:header="851" w:footer="992" w:gutter="0"/>
          <w:pgNumType w:fmt="numberInDash"/>
          <w:cols w:space="720" w:num="1"/>
          <w:docGrid w:type="lines" w:linePitch="312" w:charSpace="0"/>
        </w:sectPr>
      </w:pPr>
    </w:p>
    <w:p w14:paraId="4F68E8DD">
      <w:pPr>
        <w:pStyle w:val="2"/>
        <w:numPr>
          <w:ilvl w:val="0"/>
          <w:numId w:val="0"/>
        </w:numPr>
        <w:tabs>
          <w:tab w:val="left" w:pos="0"/>
        </w:tabs>
        <w:snapToGrid w:val="0"/>
        <w:spacing w:before="120" w:after="0" w:line="360" w:lineRule="auto"/>
        <w:ind w:leftChars="0"/>
        <w:jc w:val="center"/>
        <w:rPr>
          <w:rFonts w:hint="eastAsia" w:asciiTheme="minorEastAsia" w:hAnsiTheme="minorEastAsia" w:eastAsiaTheme="minorEastAsia" w:cstheme="minorEastAsia"/>
          <w:color w:val="000000" w:themeColor="text1"/>
          <w:sz w:val="32"/>
          <w:szCs w:val="32"/>
          <w:highlight w:val="none"/>
          <w:lang w:val="zh-CN"/>
          <w14:textFill>
            <w14:solidFill>
              <w14:schemeClr w14:val="tx1"/>
            </w14:solidFill>
          </w14:textFill>
        </w:rPr>
      </w:pPr>
      <w:bookmarkStart w:id="34" w:name="_Toc15164"/>
      <w:r>
        <w:rPr>
          <w:rFonts w:hint="eastAsia" w:asciiTheme="minorEastAsia" w:hAnsiTheme="minorEastAsia" w:eastAsiaTheme="minorEastAsia" w:cstheme="minorEastAsia"/>
          <w:color w:val="000000" w:themeColor="text1"/>
          <w:sz w:val="32"/>
          <w:szCs w:val="32"/>
          <w:highlight w:val="none"/>
          <w:lang w:val="zh-CN"/>
          <w14:textFill>
            <w14:solidFill>
              <w14:schemeClr w14:val="tx1"/>
            </w14:solidFill>
          </w14:textFill>
        </w:rPr>
        <w:t>第三章</w:t>
      </w:r>
      <w:r>
        <w:rPr>
          <w:rFonts w:hint="eastAsia" w:asciiTheme="minorEastAsia" w:hAnsiTheme="minorEastAsia" w:eastAsiaTheme="minorEastAsia" w:cstheme="minorEastAsia"/>
          <w:color w:val="000000" w:themeColor="text1"/>
          <w:sz w:val="32"/>
          <w:szCs w:val="32"/>
          <w:highlight w:val="none"/>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highlight w:val="none"/>
          <w:lang w:val="zh-CN"/>
          <w14:textFill>
            <w14:solidFill>
              <w14:schemeClr w14:val="tx1"/>
            </w14:solidFill>
          </w14:textFill>
        </w:rPr>
        <w:t>评标办法（</w:t>
      </w:r>
      <w:r>
        <w:rPr>
          <w:rFonts w:hint="eastAsia" w:asciiTheme="minorEastAsia" w:hAnsiTheme="minorEastAsia" w:eastAsiaTheme="minorEastAsia" w:cstheme="minorEastAsia"/>
          <w:color w:val="000000" w:themeColor="text1"/>
          <w:sz w:val="32"/>
          <w:szCs w:val="32"/>
          <w:highlight w:val="none"/>
          <w:lang w:val="en-US" w:eastAsia="zh-CN"/>
          <w14:textFill>
            <w14:solidFill>
              <w14:schemeClr w14:val="tx1"/>
            </w14:solidFill>
          </w14:textFill>
        </w:rPr>
        <w:t>双信封的</w:t>
      </w:r>
      <w:r>
        <w:rPr>
          <w:rFonts w:hint="eastAsia" w:asciiTheme="minorEastAsia" w:hAnsiTheme="minorEastAsia" w:eastAsiaTheme="minorEastAsia" w:cstheme="minorEastAsia"/>
          <w:color w:val="000000" w:themeColor="text1"/>
          <w:sz w:val="32"/>
          <w:szCs w:val="32"/>
          <w:highlight w:val="none"/>
          <w:lang w:val="zh-CN"/>
          <w14:textFill>
            <w14:solidFill>
              <w14:schemeClr w14:val="tx1"/>
            </w14:solidFill>
          </w14:textFill>
        </w:rPr>
        <w:t>综合评分法）</w:t>
      </w:r>
      <w:bookmarkEnd w:id="34"/>
    </w:p>
    <w:p w14:paraId="431DC252">
      <w:pPr>
        <w:pStyle w:val="4"/>
        <w:spacing w:before="0" w:after="0" w:line="360" w:lineRule="auto"/>
        <w:jc w:val="center"/>
        <w:rPr>
          <w:rFonts w:hint="eastAsia" w:asciiTheme="minorEastAsia" w:hAnsiTheme="minorEastAsia" w:eastAsiaTheme="minorEastAsia" w:cstheme="minorEastAsia"/>
          <w:color w:val="000000" w:themeColor="text1"/>
          <w:lang w:val="zh-CN"/>
          <w14:textFill>
            <w14:solidFill>
              <w14:schemeClr w14:val="tx1"/>
            </w14:solidFill>
          </w14:textFill>
        </w:rPr>
      </w:pPr>
      <w:bookmarkStart w:id="35" w:name="_Toc11662"/>
      <w:bookmarkStart w:id="36" w:name="_Toc8053"/>
      <w:r>
        <w:rPr>
          <w:rStyle w:val="33"/>
          <w:rFonts w:hint="eastAsia" w:asciiTheme="minorEastAsia" w:hAnsiTheme="minorEastAsia" w:eastAsiaTheme="minorEastAsia" w:cstheme="minorEastAsia"/>
          <w:b/>
          <w:color w:val="000000" w:themeColor="text1"/>
          <w14:textFill>
            <w14:solidFill>
              <w14:schemeClr w14:val="tx1"/>
            </w14:solidFill>
          </w14:textFill>
        </w:rPr>
        <w:t>评标办法前附表</w:t>
      </w:r>
      <w:bookmarkEnd w:id="35"/>
      <w:bookmarkEnd w:id="36"/>
    </w:p>
    <w:tbl>
      <w:tblPr>
        <w:tblStyle w:val="22"/>
        <w:tblW w:w="10516"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116"/>
        <w:gridCol w:w="523"/>
        <w:gridCol w:w="625"/>
        <w:gridCol w:w="1463"/>
        <w:gridCol w:w="821"/>
        <w:gridCol w:w="5116"/>
      </w:tblGrid>
      <w:tr w14:paraId="2D5D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1" w:type="dxa"/>
            <w:gridSpan w:val="3"/>
            <w:vAlign w:val="center"/>
          </w:tcPr>
          <w:p w14:paraId="7E7675EE">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条款号</w:t>
            </w:r>
          </w:p>
        </w:tc>
        <w:tc>
          <w:tcPr>
            <w:tcW w:w="8025" w:type="dxa"/>
            <w:gridSpan w:val="4"/>
            <w:vAlign w:val="center"/>
          </w:tcPr>
          <w:p w14:paraId="04349925">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评审因素与标准</w:t>
            </w:r>
          </w:p>
        </w:tc>
      </w:tr>
      <w:tr w14:paraId="19ED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852" w:type="dxa"/>
            <w:vAlign w:val="center"/>
          </w:tcPr>
          <w:p w14:paraId="25EA72DA">
            <w:pPr>
              <w:pStyle w:val="34"/>
              <w:keepNext w:val="0"/>
              <w:keepLines w:val="0"/>
              <w:pageBreakBefore w:val="0"/>
              <w:wordWrap/>
              <w:topLinePunct w:val="0"/>
              <w:bidi w:val="0"/>
              <w:adjustRightInd w:val="0"/>
              <w:snapToGrid w:val="0"/>
              <w:spacing w:before="142" w:line="440" w:lineRule="exact"/>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w:t>
            </w:r>
          </w:p>
        </w:tc>
        <w:tc>
          <w:tcPr>
            <w:tcW w:w="1639" w:type="dxa"/>
            <w:gridSpan w:val="2"/>
            <w:vAlign w:val="center"/>
          </w:tcPr>
          <w:p w14:paraId="76D0D47B">
            <w:pPr>
              <w:pStyle w:val="34"/>
              <w:keepNext w:val="0"/>
              <w:keepLines w:val="0"/>
              <w:pageBreakBefore w:val="0"/>
              <w:tabs>
                <w:tab w:val="left" w:pos="804"/>
              </w:tabs>
              <w:wordWrap/>
              <w:overflowPunct w:val="0"/>
              <w:topLinePunct w:val="0"/>
              <w:autoSpaceDE/>
              <w:autoSpaceDN/>
              <w:bidi w:val="0"/>
              <w:adjustRightInd w:val="0"/>
              <w:snapToGrid w:val="0"/>
              <w:spacing w:line="440" w:lineRule="exact"/>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pacing w:val="-1"/>
                <w:szCs w:val="24"/>
                <w14:textFill>
                  <w14:solidFill>
                    <w14:schemeClr w14:val="tx1"/>
                  </w14:solidFill>
                </w14:textFill>
              </w:rPr>
              <w:t>评标方法</w:t>
            </w:r>
          </w:p>
        </w:tc>
        <w:tc>
          <w:tcPr>
            <w:tcW w:w="8025" w:type="dxa"/>
            <w:gridSpan w:val="4"/>
          </w:tcPr>
          <w:p w14:paraId="3FAC5A2F">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综合评分相等时，评标委员会依次按照以下优先顺序推荐中标候选人或确定中标人：</w:t>
            </w:r>
          </w:p>
          <w:p w14:paraId="1BAAC603">
            <w:pPr>
              <w:pStyle w:val="34"/>
              <w:keepNext w:val="0"/>
              <w:keepLines w:val="0"/>
              <w:pageBreakBefore w:val="0"/>
              <w:tabs>
                <w:tab w:val="left" w:pos="804"/>
              </w:tabs>
              <w:wordWrap/>
              <w:overflowPunct w:val="0"/>
              <w:topLinePunct w:val="0"/>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（1）评标价低的优先；</w:t>
            </w:r>
          </w:p>
          <w:p w14:paraId="64E449F8">
            <w:pPr>
              <w:pStyle w:val="34"/>
              <w:keepNext w:val="0"/>
              <w:keepLines w:val="0"/>
              <w:pageBreakBefore w:val="0"/>
              <w:tabs>
                <w:tab w:val="left" w:pos="804"/>
              </w:tabs>
              <w:wordWrap/>
              <w:overflowPunct w:val="0"/>
              <w:topLinePunct w:val="0"/>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（2）以投标人企业最新年度净资产较高的优先（联合体投标的，指联合体中施工单位）；</w:t>
            </w:r>
          </w:p>
          <w:p w14:paraId="5492FFA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（3）评标委员会视投标人情况综合比较，投票确定其名次。</w:t>
            </w:r>
          </w:p>
        </w:tc>
      </w:tr>
      <w:tr w14:paraId="0357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52" w:type="dxa"/>
            <w:vAlign w:val="center"/>
          </w:tcPr>
          <w:p w14:paraId="3DC1A23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2.1.1</w:t>
            </w:r>
          </w:p>
          <w:p w14:paraId="4C31FE9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2.1.3</w:t>
            </w:r>
          </w:p>
        </w:tc>
        <w:tc>
          <w:tcPr>
            <w:tcW w:w="1639" w:type="dxa"/>
            <w:gridSpan w:val="2"/>
            <w:vAlign w:val="center"/>
          </w:tcPr>
          <w:p w14:paraId="62DDB693">
            <w:pPr>
              <w:pStyle w:val="34"/>
              <w:keepNext w:val="0"/>
              <w:keepLines w:val="0"/>
              <w:pageBreakBefore w:val="0"/>
              <w:tabs>
                <w:tab w:val="left" w:pos="804"/>
              </w:tabs>
              <w:wordWrap/>
              <w:overflowPunct w:val="0"/>
              <w:topLinePunct w:val="0"/>
              <w:autoSpaceDE/>
              <w:autoSpaceDN/>
              <w:bidi w:val="0"/>
              <w:adjustRightInd w:val="0"/>
              <w:snapToGrid w:val="0"/>
              <w:spacing w:line="440" w:lineRule="exact"/>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pacing w:val="-1"/>
                <w:szCs w:val="24"/>
                <w14:textFill>
                  <w14:solidFill>
                    <w14:schemeClr w14:val="tx1"/>
                  </w14:solidFill>
                </w14:textFill>
              </w:rPr>
              <w:t>形式评审与响应性评审标准</w:t>
            </w:r>
          </w:p>
        </w:tc>
        <w:tc>
          <w:tcPr>
            <w:tcW w:w="8025" w:type="dxa"/>
            <w:gridSpan w:val="4"/>
          </w:tcPr>
          <w:p w14:paraId="6FD5FA4C">
            <w:pPr>
              <w:pStyle w:val="34"/>
              <w:keepNext w:val="0"/>
              <w:keepLines w:val="0"/>
              <w:pageBreakBefore w:val="0"/>
              <w:tabs>
                <w:tab w:val="left" w:pos="804"/>
              </w:tabs>
              <w:wordWrap/>
              <w:overflowPunct w:val="0"/>
              <w:topLinePunct w:val="0"/>
              <w:autoSpaceDE/>
              <w:autoSpaceDN/>
              <w:bidi w:val="0"/>
              <w:adjustRightInd w:val="0"/>
              <w:snapToGrid w:val="0"/>
              <w:spacing w:line="440" w:lineRule="exact"/>
              <w:jc w:val="both"/>
              <w:rPr>
                <w:rFonts w:hint="eastAsia" w:asciiTheme="minorEastAsia" w:hAnsiTheme="minorEastAsia" w:eastAsiaTheme="minorEastAsia" w:cstheme="minorEastAsia"/>
                <w:b/>
                <w:bCs/>
                <w:color w:val="000000" w:themeColor="text1"/>
                <w:spacing w:val="-1"/>
                <w:szCs w:val="24"/>
                <w14:textFill>
                  <w14:solidFill>
                    <w14:schemeClr w14:val="tx1"/>
                  </w14:solidFill>
                </w14:textFill>
              </w:rPr>
            </w:pPr>
            <w:r>
              <w:rPr>
                <w:rFonts w:hint="eastAsia" w:asciiTheme="minorEastAsia" w:hAnsiTheme="minorEastAsia" w:eastAsiaTheme="minorEastAsia" w:cstheme="minorEastAsia"/>
                <w:b/>
                <w:bCs/>
                <w:color w:val="000000" w:themeColor="text1"/>
                <w:spacing w:val="-1"/>
                <w:szCs w:val="24"/>
                <w14:textFill>
                  <w14:solidFill>
                    <w14:schemeClr w14:val="tx1"/>
                  </w14:solidFill>
                </w14:textFill>
              </w:rPr>
              <w:t>第一个信封（商务及技术文件）评审标准：</w:t>
            </w:r>
          </w:p>
          <w:p w14:paraId="0DDAADFE">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（1）投标文件按照招标文件规定的格式、内容填写，字迹清晰可辨：</w:t>
            </w:r>
          </w:p>
          <w:p w14:paraId="3DDD4B6B">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a.投标函按招标文件规定填报了项目名称、标段号（如有)、补遗书编号（如有)、工期、工程质量要求及安全目标；</w:t>
            </w:r>
          </w:p>
          <w:p w14:paraId="125312A2">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b.投标函附录的所有数据均符合招标文件规定；</w:t>
            </w:r>
          </w:p>
          <w:p w14:paraId="3A075143">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c.投标文件组成齐全完整，内容均按规定填写。</w:t>
            </w:r>
          </w:p>
          <w:p w14:paraId="42F3AA6E">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（2）投标文件上法定代表人或其委托代理人的签字、投标人的单位章盖章齐全，符合招标文件规定。</w:t>
            </w:r>
          </w:p>
          <w:p w14:paraId="5796D178">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（3）投标人按照招标文件的规定提供了投标保证金：</w:t>
            </w:r>
          </w:p>
          <w:p w14:paraId="4D05E5DC">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a.投标保证金金额符合招标文件规定的金额，且投标保证金有效期不少于投标有效期；</w:t>
            </w:r>
          </w:p>
          <w:p w14:paraId="63C1B8C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b.若投标保证金采用现金或支票形式提交，投标人应在投标人须知3.4.1款规定的时间，将投标保证金由投标人的基本账户转入招标人指定账户；</w:t>
            </w:r>
          </w:p>
          <w:p w14:paraId="397A6D26">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c.若投标保证金采用银行保函或投标人须知前附表3.4.1项规定的其他形式提交，应满足招标文件要求。</w:t>
            </w:r>
          </w:p>
          <w:p w14:paraId="514FDDF7">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（4）投标人法定代表人授权委托代理人签署投标文件的，须提交授权委托书，且授权人和被授权人均在授权委托书上签名，未使用印章、签名章或其他电子制版签名代替。</w:t>
            </w:r>
          </w:p>
          <w:p w14:paraId="653AFF14">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（5）投标人法定代表人亲自签署投标文件的，提供了法定代表人身份证明，且法定代表人在法定代表人身份证明上签名，未使用印章、签名章或其他电子制版签名代替。</w:t>
            </w:r>
          </w:p>
          <w:p w14:paraId="5EB32154">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lang w:val="en-US"/>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6）投标人以联合体形式投标时，联合体满足招标文件的要求：</w:t>
            </w:r>
          </w:p>
          <w:p w14:paraId="7CE11157">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lang w:val="en-US"/>
                <w14:textFill>
                  <w14:solidFill>
                    <w14:schemeClr w14:val="tx1"/>
                  </w14:solidFill>
                </w14:textFill>
              </w:rPr>
            </w:pPr>
            <w:r>
              <w:rPr>
                <w:rFonts w:hint="eastAsia" w:asciiTheme="minorEastAsia" w:hAnsiTheme="minorEastAsia" w:eastAsiaTheme="minorEastAsia" w:cstheme="minorEastAsia"/>
                <w:color w:val="000000" w:themeColor="text1"/>
                <w:szCs w:val="24"/>
                <w:lang w:val="en-US"/>
                <w14:textFill>
                  <w14:solidFill>
                    <w14:schemeClr w14:val="tx1"/>
                  </w14:solidFill>
                </w14:textFill>
              </w:rPr>
              <w:t>a.未进行资格预审的，投标人按照招标文件提供的格式签订了联合体协议书，明确各方承担连带责任，并明确了联合体牵头人。</w:t>
            </w:r>
          </w:p>
          <w:p w14:paraId="13A29418">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7</w:t>
            </w:r>
            <w:r>
              <w:rPr>
                <w:rFonts w:hint="eastAsia" w:asciiTheme="minorEastAsia" w:hAnsiTheme="minorEastAsia" w:eastAsiaTheme="minorEastAsia" w:cstheme="minorEastAsia"/>
                <w:color w:val="000000" w:themeColor="text1"/>
                <w:szCs w:val="24"/>
                <w14:textFill>
                  <w14:solidFill>
                    <w14:schemeClr w14:val="tx1"/>
                  </w14:solidFill>
                </w14:textFill>
              </w:rPr>
              <w:t>）投标人如有分包计划，符合招标文件第二章“投标人须知”第1.11款规定，且按招标文件第七章“投标文件格式”的要求填写了“拟分包项目情况表”。</w:t>
            </w:r>
          </w:p>
          <w:p w14:paraId="430D1FF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8</w:t>
            </w:r>
            <w:r>
              <w:rPr>
                <w:rFonts w:hint="eastAsia" w:asciiTheme="minorEastAsia" w:hAnsiTheme="minorEastAsia" w:eastAsiaTheme="minorEastAsia" w:cstheme="minorEastAsia"/>
                <w:color w:val="000000" w:themeColor="text1"/>
                <w:szCs w:val="24"/>
                <w14:textFill>
                  <w14:solidFill>
                    <w14:schemeClr w14:val="tx1"/>
                  </w14:solidFill>
                </w14:textFill>
              </w:rPr>
              <w:t>）同一投标人未提交两个以上不同的投标文件，但招标文件要求提交备选投标的除外。</w:t>
            </w:r>
          </w:p>
          <w:p w14:paraId="2C0379B0">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9</w:t>
            </w:r>
            <w:r>
              <w:rPr>
                <w:rFonts w:hint="eastAsia" w:asciiTheme="minorEastAsia" w:hAnsiTheme="minorEastAsia" w:eastAsiaTheme="minorEastAsia" w:cstheme="minorEastAsia"/>
                <w:color w:val="000000" w:themeColor="text1"/>
                <w:szCs w:val="24"/>
                <w14:textFill>
                  <w14:solidFill>
                    <w14:schemeClr w14:val="tx1"/>
                  </w14:solidFill>
                </w14:textFill>
              </w:rPr>
              <w:t>）投标文件中未出现有关投标报价的内容。</w:t>
            </w:r>
          </w:p>
          <w:p w14:paraId="2FAE401D">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）投标文件载明的招标项目完成期限未超过招标文件规定的时限。</w:t>
            </w:r>
          </w:p>
          <w:p w14:paraId="6C589672">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w:t>
            </w:r>
            <w:r>
              <w:rPr>
                <w:rFonts w:hint="eastAsia" w:asciiTheme="minorEastAsia" w:hAnsiTheme="minorEastAsia" w:eastAsiaTheme="minorEastAsia" w:cstheme="minorEastAsia"/>
                <w:color w:val="000000" w:themeColor="text1"/>
                <w:szCs w:val="24"/>
                <w:lang w:val="en-US"/>
                <w14:textFill>
                  <w14:solidFill>
                    <w14:schemeClr w14:val="tx1"/>
                  </w14:solidFill>
                </w14:textFill>
              </w:rPr>
              <w:t>1</w:t>
            </w:r>
            <w:r>
              <w:rPr>
                <w:rFonts w:hint="eastAsia" w:asciiTheme="minorEastAsia" w:hAnsiTheme="minorEastAsia" w:eastAsiaTheme="minorEastAsia" w:cstheme="minorEastAsia"/>
                <w:color w:val="000000" w:themeColor="text1"/>
                <w:szCs w:val="24"/>
                <w14:textFill>
                  <w14:solidFill>
                    <w14:schemeClr w14:val="tx1"/>
                  </w14:solidFill>
                </w14:textFill>
              </w:rPr>
              <w:t>）投标文件对招标文件的实质性要求和条件作出响应。</w:t>
            </w:r>
          </w:p>
          <w:p w14:paraId="7BDDAA1D">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w:t>
            </w:r>
            <w:r>
              <w:rPr>
                <w:rFonts w:hint="eastAsia" w:asciiTheme="minorEastAsia" w:hAnsiTheme="minorEastAsia" w:eastAsiaTheme="minorEastAsia" w:cstheme="minorEastAsia"/>
                <w:color w:val="000000" w:themeColor="text1"/>
                <w:szCs w:val="24"/>
                <w:lang w:val="en-US"/>
                <w14:textFill>
                  <w14:solidFill>
                    <w14:schemeClr w14:val="tx1"/>
                  </w14:solidFill>
                </w14:textFill>
              </w:rPr>
              <w:t>2</w:t>
            </w:r>
            <w:r>
              <w:rPr>
                <w:rFonts w:hint="eastAsia" w:asciiTheme="minorEastAsia" w:hAnsiTheme="minorEastAsia" w:eastAsiaTheme="minorEastAsia" w:cstheme="minorEastAsia"/>
                <w:color w:val="000000" w:themeColor="text1"/>
                <w:szCs w:val="24"/>
                <w14:textFill>
                  <w14:solidFill>
                    <w14:schemeClr w14:val="tx1"/>
                  </w14:solidFill>
                </w14:textFill>
              </w:rPr>
              <w:t>）权利义务符合招标文件规定：</w:t>
            </w:r>
          </w:p>
          <w:p w14:paraId="06AC124C">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a.投标人应接受招标文件规定的风险划分原则，未提出新的风险划分办法；</w:t>
            </w:r>
          </w:p>
          <w:p w14:paraId="772D7013">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b.投标人未增加发包人的责任范围，或减少投标人义务；</w:t>
            </w:r>
          </w:p>
          <w:p w14:paraId="55B6D18B">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c.投标人未提出不同的工程验收、计量、支付办法；</w:t>
            </w:r>
          </w:p>
          <w:p w14:paraId="5253F336">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d.投标人对合同纠纷、事故处理办法未提出异议；</w:t>
            </w:r>
          </w:p>
          <w:p w14:paraId="5C539D4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e.投标人在投标活动中无欺诈行为；</w:t>
            </w:r>
          </w:p>
          <w:p w14:paraId="63630F7F">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f.投标人未对合同条款有重要保留。</w:t>
            </w:r>
          </w:p>
          <w:p w14:paraId="67E1857A">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13）</w:t>
            </w:r>
            <w:r>
              <w:rPr>
                <w:rFonts w:hint="eastAsia" w:asciiTheme="minorEastAsia" w:hAnsiTheme="minorEastAsia" w:eastAsiaTheme="minorEastAsia" w:cstheme="minorEastAsia"/>
                <w:color w:val="000000" w:themeColor="text1"/>
                <w:szCs w:val="24"/>
                <w14:textFill>
                  <w14:solidFill>
                    <w14:schemeClr w14:val="tx1"/>
                  </w14:solidFill>
                </w14:textFill>
              </w:rPr>
              <w:t>投标文件未附有招标人不能接受的条件。</w:t>
            </w:r>
          </w:p>
          <w:p w14:paraId="635150B5">
            <w:pPr>
              <w:pStyle w:val="34"/>
              <w:keepNext w:val="0"/>
              <w:keepLines w:val="0"/>
              <w:pageBreakBefore w:val="0"/>
              <w:tabs>
                <w:tab w:val="left" w:pos="804"/>
              </w:tabs>
              <w:wordWrap/>
              <w:overflowPunct w:val="0"/>
              <w:topLinePunct w:val="0"/>
              <w:autoSpaceDE/>
              <w:autoSpaceDN/>
              <w:bidi w:val="0"/>
              <w:adjustRightInd w:val="0"/>
              <w:snapToGrid w:val="0"/>
              <w:spacing w:line="440" w:lineRule="exact"/>
              <w:jc w:val="both"/>
              <w:rPr>
                <w:rFonts w:hint="eastAsia" w:asciiTheme="minorEastAsia" w:hAnsiTheme="minorEastAsia" w:eastAsiaTheme="minorEastAsia" w:cstheme="minorEastAsia"/>
                <w:b/>
                <w:bCs/>
                <w:color w:val="000000" w:themeColor="text1"/>
                <w:szCs w:val="24"/>
                <w14:textFill>
                  <w14:solidFill>
                    <w14:schemeClr w14:val="tx1"/>
                  </w14:solidFill>
                </w14:textFill>
              </w:rPr>
            </w:pPr>
            <w:r>
              <w:rPr>
                <w:rFonts w:hint="eastAsia" w:asciiTheme="minorEastAsia" w:hAnsiTheme="minorEastAsia" w:eastAsiaTheme="minorEastAsia" w:cstheme="minorEastAsia"/>
                <w:b/>
                <w:bCs/>
                <w:color w:val="000000" w:themeColor="text1"/>
                <w:szCs w:val="24"/>
                <w14:textFill>
                  <w14:solidFill>
                    <w14:schemeClr w14:val="tx1"/>
                  </w14:solidFill>
                </w14:textFill>
              </w:rPr>
              <w:t>第二个信封（报价文件）评审标准：</w:t>
            </w:r>
          </w:p>
          <w:p w14:paraId="2A149D98">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（1）投标文件按照招标文件规定的格式、内容填写，字迹清晰可辨：</w:t>
            </w:r>
          </w:p>
          <w:p w14:paraId="1A730785">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a.投标函按招标文件规定填报了项目名称、标段号（</w:t>
            </w:r>
            <w:r>
              <w:rPr>
                <w:rFonts w:hint="eastAsia" w:asciiTheme="minorEastAsia" w:hAnsiTheme="minorEastAsia" w:eastAsiaTheme="minorEastAsia" w:cstheme="minorEastAsia"/>
                <w:color w:val="000000" w:themeColor="text1"/>
                <w:szCs w:val="24"/>
                <w:lang w:val="en-US"/>
                <w14:textFill>
                  <w14:solidFill>
                    <w14:schemeClr w14:val="tx1"/>
                  </w14:solidFill>
                </w14:textFill>
              </w:rPr>
              <w:t>如有）</w:t>
            </w:r>
            <w:r>
              <w:rPr>
                <w:rFonts w:hint="eastAsia" w:asciiTheme="minorEastAsia" w:hAnsiTheme="minorEastAsia" w:eastAsiaTheme="minorEastAsia" w:cstheme="minorEastAsia"/>
                <w:color w:val="000000" w:themeColor="text1"/>
                <w:szCs w:val="24"/>
                <w14:textFill>
                  <w14:solidFill>
                    <w14:schemeClr w14:val="tx1"/>
                  </w14:solidFill>
                </w14:textFill>
              </w:rPr>
              <w:t>、补遗书编号（如有)、投标总报价（包括大写金额和小写金额)；</w:t>
            </w:r>
          </w:p>
          <w:p w14:paraId="5025FAAC">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b.已标价</w:t>
            </w:r>
            <w:r>
              <w:rPr>
                <w:rFonts w:hint="eastAsia" w:asciiTheme="minorEastAsia" w:hAnsiTheme="minorEastAsia" w:eastAsiaTheme="minorEastAsia" w:cstheme="minorEastAsia"/>
                <w:color w:val="000000" w:themeColor="text1"/>
                <w:szCs w:val="24"/>
                <w:lang w:val="en-US"/>
                <w14:textFill>
                  <w14:solidFill>
                    <w14:schemeClr w14:val="tx1"/>
                  </w14:solidFill>
                </w14:textFill>
              </w:rPr>
              <w:t>报价清单说</w:t>
            </w:r>
            <w:r>
              <w:rPr>
                <w:rFonts w:hint="eastAsia" w:asciiTheme="minorEastAsia" w:hAnsiTheme="minorEastAsia" w:eastAsiaTheme="minorEastAsia" w:cstheme="minorEastAsia"/>
                <w:color w:val="000000" w:themeColor="text1"/>
                <w:szCs w:val="24"/>
                <w14:textFill>
                  <w14:solidFill>
                    <w14:schemeClr w14:val="tx1"/>
                  </w14:solidFill>
                </w14:textFill>
              </w:rPr>
              <w:t>明文字与招标文件规定一致，未进行实质性修改和删减；</w:t>
            </w:r>
          </w:p>
          <w:p w14:paraId="46DAE4AA">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c.投标文件组成齐全完整，内容均按规定填写</w:t>
            </w:r>
          </w:p>
          <w:p w14:paraId="07E2006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（2）投标文件上法定代表人或其委托代理人的签字、投标人的单位章盖章齐全，符合招标文件规定。</w:t>
            </w:r>
          </w:p>
          <w:p w14:paraId="7081D184">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（3）投标报价未超过招标文件设定的最高投标限价（如有)。</w:t>
            </w:r>
          </w:p>
          <w:p w14:paraId="6A1FFC3E">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（4）投标总报价的大写金额能够确定具体数值。</w:t>
            </w:r>
          </w:p>
          <w:p w14:paraId="7ECEF8F7">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（5）同一投标人未提交两个以上不同的投标报价，但招标文件要求提交备选投标的除外。</w:t>
            </w:r>
          </w:p>
          <w:p w14:paraId="0A959795">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（6）投标文件对招标文件的实质性要求和条件作出响应。</w:t>
            </w:r>
          </w:p>
          <w:p w14:paraId="4AA6E331">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7</w:t>
            </w:r>
            <w:r>
              <w:rPr>
                <w:rFonts w:hint="eastAsia" w:asciiTheme="minorEastAsia" w:hAnsiTheme="minorEastAsia" w:eastAsiaTheme="minorEastAsia" w:cstheme="minorEastAsia"/>
                <w:color w:val="000000" w:themeColor="text1"/>
                <w:szCs w:val="24"/>
                <w14:textFill>
                  <w14:solidFill>
                    <w14:schemeClr w14:val="tx1"/>
                  </w14:solidFill>
                </w14:textFill>
              </w:rPr>
              <w:t>）投标文件未附有招标人不能接受的条件。</w:t>
            </w:r>
          </w:p>
        </w:tc>
      </w:tr>
      <w:tr w14:paraId="1F98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52" w:type="dxa"/>
            <w:vAlign w:val="center"/>
          </w:tcPr>
          <w:p w14:paraId="2AEBEE7E">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2.1.2</w:t>
            </w:r>
          </w:p>
        </w:tc>
        <w:tc>
          <w:tcPr>
            <w:tcW w:w="1639" w:type="dxa"/>
            <w:gridSpan w:val="2"/>
            <w:vAlign w:val="center"/>
          </w:tcPr>
          <w:p w14:paraId="0DF163EB">
            <w:pPr>
              <w:pStyle w:val="34"/>
              <w:keepNext w:val="0"/>
              <w:keepLines w:val="0"/>
              <w:pageBreakBefore w:val="0"/>
              <w:wordWrap/>
              <w:overflowPunct w:val="0"/>
              <w:topLinePunct w:val="0"/>
              <w:autoSpaceDE/>
              <w:autoSpaceDN/>
              <w:bidi w:val="0"/>
              <w:adjustRightInd w:val="0"/>
              <w:snapToGrid w:val="0"/>
              <w:spacing w:line="440" w:lineRule="exact"/>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资格评审</w:t>
            </w:r>
          </w:p>
          <w:p w14:paraId="0167695E">
            <w:pPr>
              <w:pStyle w:val="34"/>
              <w:keepNext w:val="0"/>
              <w:keepLines w:val="0"/>
              <w:pageBreakBefore w:val="0"/>
              <w:wordWrap/>
              <w:overflowPunct w:val="0"/>
              <w:topLinePunct w:val="0"/>
              <w:autoSpaceDE/>
              <w:autoSpaceDN/>
              <w:bidi w:val="0"/>
              <w:adjustRightInd w:val="0"/>
              <w:snapToGrid w:val="0"/>
              <w:spacing w:line="440" w:lineRule="exact"/>
              <w:jc w:val="center"/>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标准</w:t>
            </w:r>
          </w:p>
        </w:tc>
        <w:tc>
          <w:tcPr>
            <w:tcW w:w="8025" w:type="dxa"/>
            <w:gridSpan w:val="4"/>
          </w:tcPr>
          <w:p w14:paraId="7A94F06E">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1）投标人具备有效的营业执照、资质证书、安全生产许可证和基本账户开户许可证（如企业所在地已取消企业银行账户许可而无法提供开户许可证的，则需附上开户银行出具的“基本存款账户信息”或“人民银行账户管理系统查询的基本账户信息截图”）；</w:t>
            </w:r>
          </w:p>
          <w:p w14:paraId="10870E73">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（2）投标人的资质等级符合招标文件规定。</w:t>
            </w:r>
          </w:p>
          <w:p w14:paraId="71E29887">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（3）投标人的财务状况应符合招标文件规定。</w:t>
            </w:r>
          </w:p>
          <w:p w14:paraId="357BFEBD">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（4）投标人的类似项目业绩符合招标文件规定。</w:t>
            </w:r>
          </w:p>
          <w:p w14:paraId="72B33D5F">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（5）投标人的信誉符合招标文件规定。</w:t>
            </w:r>
          </w:p>
          <w:p w14:paraId="5A3F22AF">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（6）投标人的</w:t>
            </w:r>
            <w:r>
              <w:rPr>
                <w:rFonts w:hint="eastAsia" w:asciiTheme="minorEastAsia" w:hAnsiTheme="minorEastAsia" w:eastAsiaTheme="minorEastAsia" w:cstheme="minorEastAsia"/>
                <w:color w:val="000000" w:themeColor="text1"/>
                <w:szCs w:val="24"/>
                <w:lang w:val="en-US"/>
                <w14:textFill>
                  <w14:solidFill>
                    <w14:schemeClr w14:val="tx1"/>
                  </w14:solidFill>
                </w14:textFill>
              </w:rPr>
              <w:t>项目总负责人、</w:t>
            </w:r>
            <w:r>
              <w:rPr>
                <w:rFonts w:hint="eastAsia" w:asciiTheme="minorEastAsia" w:hAnsiTheme="minorEastAsia" w:eastAsiaTheme="minorEastAsia" w:cstheme="minorEastAsia"/>
                <w:color w:val="000000" w:themeColor="text1"/>
                <w:szCs w:val="24"/>
                <w14:textFill>
                  <w14:solidFill>
                    <w14:schemeClr w14:val="tx1"/>
                  </w14:solidFill>
                </w14:textFill>
              </w:rPr>
              <w:t>项目经理、项目总工、</w:t>
            </w:r>
            <w:r>
              <w:rPr>
                <w:rFonts w:hint="eastAsia" w:asciiTheme="minorEastAsia" w:hAnsiTheme="minorEastAsia" w:eastAsiaTheme="minorEastAsia" w:cstheme="minorEastAsia"/>
                <w:color w:val="000000" w:themeColor="text1"/>
                <w:szCs w:val="24"/>
                <w:lang w:val="en-US"/>
                <w14:textFill>
                  <w14:solidFill>
                    <w14:schemeClr w14:val="tx1"/>
                  </w14:solidFill>
                </w14:textFill>
              </w:rPr>
              <w:t>设计负责人和</w:t>
            </w:r>
            <w:r>
              <w:rPr>
                <w:rFonts w:hint="eastAsia" w:asciiTheme="minorEastAsia" w:hAnsiTheme="minorEastAsia" w:eastAsiaTheme="minorEastAsia" w:cstheme="minorEastAsia"/>
                <w:color w:val="000000" w:themeColor="text1"/>
                <w:szCs w:val="24"/>
                <w14:textFill>
                  <w14:solidFill>
                    <w14:schemeClr w14:val="tx1"/>
                  </w14:solidFill>
                </w14:textFill>
              </w:rPr>
              <w:t>资格、在岗情况符合招标文件规定。</w:t>
            </w:r>
          </w:p>
          <w:p w14:paraId="261429D5">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（7）投标人的其他要求符合招标文件规定。</w:t>
            </w:r>
          </w:p>
          <w:p w14:paraId="01976D9C">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（8）投标人不存在第二章“投标人须知”第1.4.3项或第1.4.4项规定的任何一种情形。</w:t>
            </w:r>
          </w:p>
          <w:p w14:paraId="520C1CDA">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（9）投标人符合第二章“投标人须知”第1.4.5项规定。</w:t>
            </w:r>
          </w:p>
          <w:p w14:paraId="45981485">
            <w:pPr>
              <w:pStyle w:val="34"/>
              <w:keepNext w:val="0"/>
              <w:keepLines w:val="0"/>
              <w:pageBreakBefore w:val="0"/>
              <w:tabs>
                <w:tab w:val="left" w:pos="804"/>
              </w:tabs>
              <w:wordWrap/>
              <w:overflowPunct w:val="0"/>
              <w:topLinePunct w:val="0"/>
              <w:autoSpaceDE/>
              <w:autoSpaceDN/>
              <w:bidi w:val="0"/>
              <w:adjustRightInd w:val="0"/>
              <w:snapToGrid w:val="0"/>
              <w:spacing w:line="440" w:lineRule="exact"/>
              <w:ind w:firstLine="480" w:firstLineChars="200"/>
              <w:jc w:val="both"/>
              <w:rPr>
                <w:rFonts w:hint="eastAsia" w:asciiTheme="minorEastAsia" w:hAnsiTheme="minorEastAsia" w:eastAsiaTheme="minorEastAsia" w:cstheme="minorEastAsia"/>
                <w:color w:val="000000" w:themeColor="text1"/>
                <w:szCs w:val="24"/>
                <w14:textFill>
                  <w14:solidFill>
                    <w14:schemeClr w14:val="tx1"/>
                  </w14:solidFill>
                </w14:textFill>
              </w:rPr>
            </w:pPr>
            <w:r>
              <w:rPr>
                <w:rFonts w:hint="eastAsia" w:asciiTheme="minorEastAsia" w:hAnsiTheme="minorEastAsia" w:eastAsiaTheme="minorEastAsia" w:cstheme="minorEastAsia"/>
                <w:color w:val="000000" w:themeColor="text1"/>
                <w:szCs w:val="24"/>
                <w14:textFill>
                  <w14:solidFill>
                    <w14:schemeClr w14:val="tx1"/>
                  </w14:solidFill>
                </w14:textFill>
              </w:rPr>
              <w:t>（</w:t>
            </w:r>
            <w:r>
              <w:rPr>
                <w:rFonts w:hint="eastAsia" w:asciiTheme="minorEastAsia" w:hAnsiTheme="minorEastAsia" w:eastAsiaTheme="minorEastAsia" w:cstheme="minorEastAsia"/>
                <w:color w:val="000000" w:themeColor="text1"/>
                <w:szCs w:val="24"/>
                <w:lang w:val="en-US"/>
                <w14:textFill>
                  <w14:solidFill>
                    <w14:schemeClr w14:val="tx1"/>
                  </w14:solidFill>
                </w14:textFill>
              </w:rPr>
              <w:t>10）</w:t>
            </w:r>
            <w:r>
              <w:rPr>
                <w:rFonts w:hint="eastAsia" w:asciiTheme="minorEastAsia" w:hAnsiTheme="minorEastAsia" w:eastAsiaTheme="minorEastAsia" w:cstheme="minorEastAsia"/>
                <w:color w:val="000000" w:themeColor="text1"/>
                <w:szCs w:val="24"/>
                <w14:textFill>
                  <w14:solidFill>
                    <w14:schemeClr w14:val="tx1"/>
                  </w14:solidFill>
                </w14:textFill>
              </w:rPr>
              <w:t>以联合体形式参与投标的，联合体各方均未再以自己名义单独或参加其他联合体在同一项目包中投标；独立参与投标的，投标人未同时参加联合体在同一项目包中投标。</w:t>
            </w:r>
          </w:p>
        </w:tc>
      </w:tr>
      <w:tr w14:paraId="3B42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52" w:type="dxa"/>
            <w:vAlign w:val="center"/>
          </w:tcPr>
          <w:p w14:paraId="6F3180DD">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2.2.1</w:t>
            </w:r>
          </w:p>
        </w:tc>
        <w:tc>
          <w:tcPr>
            <w:tcW w:w="1639" w:type="dxa"/>
            <w:gridSpan w:val="2"/>
            <w:vAlign w:val="center"/>
          </w:tcPr>
          <w:p w14:paraId="77A7C963">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分值构成</w:t>
            </w:r>
          </w:p>
          <w:p w14:paraId="397D0A5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(总分</w:t>
            </w:r>
            <w:r>
              <w:rPr>
                <w:rFonts w:hint="eastAsia" w:asciiTheme="minorEastAsia" w:hAnsiTheme="minorEastAsia" w:eastAsiaTheme="minorEastAsia" w:cstheme="minorEastAsia"/>
                <w:color w:val="000000" w:themeColor="text1"/>
                <w:sz w:val="24"/>
                <w:u w:val="single"/>
                <w14:textFill>
                  <w14:solidFill>
                    <w14:schemeClr w14:val="tx1"/>
                  </w14:solidFill>
                </w14:textFill>
              </w:rPr>
              <w:t>100</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c>
          <w:tcPr>
            <w:tcW w:w="8025" w:type="dxa"/>
            <w:gridSpan w:val="4"/>
          </w:tcPr>
          <w:p w14:paraId="09450A6F">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1.总承包方案（A）：</w:t>
            </w:r>
            <w:r>
              <w:rPr>
                <w:rFonts w:hint="eastAsia" w:asciiTheme="minorEastAsia" w:hAnsiTheme="minorEastAsia" w:cstheme="minorEastAsia"/>
                <w:b/>
                <w:bCs/>
                <w:color w:val="000000" w:themeColor="text1"/>
                <w:sz w:val="24"/>
                <w:highlight w:val="none"/>
                <w:u w:val="single"/>
                <w:lang w:val="en-US" w:eastAsia="zh-CN"/>
                <w14:textFill>
                  <w14:solidFill>
                    <w14:schemeClr w14:val="tx1"/>
                  </w14:solidFill>
                </w14:textFill>
              </w:rPr>
              <w:t>10</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分，其中：</w:t>
            </w:r>
          </w:p>
          <w:p w14:paraId="1FD9406B">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2.项目管理机构（B）：</w:t>
            </w:r>
            <w:r>
              <w:rPr>
                <w:rFonts w:hint="eastAsia" w:asciiTheme="minorEastAsia" w:hAnsiTheme="minorEastAsia" w:cstheme="minorEastAsia"/>
                <w:b/>
                <w:bCs/>
                <w:color w:val="000000" w:themeColor="text1"/>
                <w:sz w:val="24"/>
                <w:highlight w:val="none"/>
                <w:u w:val="single"/>
                <w:lang w:val="en-US" w:eastAsia="zh-CN"/>
                <w14:textFill>
                  <w14:solidFill>
                    <w14:schemeClr w14:val="tx1"/>
                  </w14:solidFill>
                </w14:textFill>
              </w:rPr>
              <w:t>5</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w:t>
            </w:r>
          </w:p>
          <w:p w14:paraId="6361D4DC">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3.投标报价（C）：</w:t>
            </w:r>
            <w:r>
              <w:rPr>
                <w:rFonts w:hint="eastAsia" w:asciiTheme="minorEastAsia" w:hAnsiTheme="minorEastAsia" w:cstheme="minorEastAsia"/>
                <w:b/>
                <w:bCs/>
                <w:color w:val="000000" w:themeColor="text1"/>
                <w:sz w:val="24"/>
                <w:highlight w:val="none"/>
                <w:u w:val="single"/>
                <w:lang w:val="en-US" w:eastAsia="zh-CN"/>
                <w14:textFill>
                  <w14:solidFill>
                    <w14:schemeClr w14:val="tx1"/>
                  </w14:solidFill>
                </w14:textFill>
              </w:rPr>
              <w:t>60</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w:t>
            </w:r>
          </w:p>
          <w:p w14:paraId="4EEE4D6E">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4.其他因素(D)：</w:t>
            </w:r>
            <w:r>
              <w:rPr>
                <w:rFonts w:hint="eastAsia" w:asciiTheme="minorEastAsia" w:hAnsiTheme="minorEastAsia" w:cstheme="minorEastAsia"/>
                <w:b/>
                <w:bCs/>
                <w:color w:val="000000" w:themeColor="text1"/>
                <w:sz w:val="24"/>
                <w:highlight w:val="none"/>
                <w:u w:val="single"/>
                <w:lang w:val="en-US" w:eastAsia="zh-CN"/>
                <w14:textFill>
                  <w14:solidFill>
                    <w14:schemeClr w14:val="tx1"/>
                  </w14:solidFill>
                </w14:textFill>
              </w:rPr>
              <w:t>25</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分，其中：</w:t>
            </w:r>
          </w:p>
          <w:p w14:paraId="53B07905">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①技术能力：</w:t>
            </w:r>
            <w:r>
              <w:rPr>
                <w:rFonts w:hint="eastAsia" w:asciiTheme="minorEastAsia" w:hAnsiTheme="minorEastAsia" w:cstheme="minorEastAsia"/>
                <w:color w:val="000000" w:themeColor="text1"/>
                <w:sz w:val="24"/>
                <w:highlight w:val="none"/>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3034AFD5">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②财务能力：</w:t>
            </w:r>
            <w:r>
              <w:rPr>
                <w:rFonts w:hint="eastAsia" w:asciiTheme="minorEastAsia" w:hAnsiTheme="minorEastAsia" w:cstheme="minorEastAsia"/>
                <w:color w:val="000000" w:themeColor="text1"/>
                <w:sz w:val="24"/>
                <w:highlight w:val="none"/>
                <w:u w:val="singl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3B221C80">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③业绩：</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45F49B3B">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yellow"/>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④履约信誉：</w:t>
            </w:r>
            <w:r>
              <w:rPr>
                <w:rFonts w:hint="eastAsia" w:asciiTheme="minorEastAsia" w:hAnsiTheme="minorEastAsia" w:eastAsiaTheme="minorEastAsia" w:cstheme="minorEastAsia"/>
                <w:color w:val="000000" w:themeColor="text1"/>
                <w:sz w:val="24"/>
                <w:highlight w:val="none"/>
                <w:u w:val="single"/>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r>
      <w:tr w14:paraId="17EC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8" w:hRule="atLeast"/>
        </w:trPr>
        <w:tc>
          <w:tcPr>
            <w:tcW w:w="852" w:type="dxa"/>
            <w:vAlign w:val="center"/>
          </w:tcPr>
          <w:p w14:paraId="17550A76">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2.2.2</w:t>
            </w:r>
          </w:p>
        </w:tc>
        <w:tc>
          <w:tcPr>
            <w:tcW w:w="1639" w:type="dxa"/>
            <w:gridSpan w:val="2"/>
            <w:vAlign w:val="center"/>
          </w:tcPr>
          <w:p w14:paraId="3EA1B68A">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评标基准价计算方法</w:t>
            </w:r>
          </w:p>
        </w:tc>
        <w:tc>
          <w:tcPr>
            <w:tcW w:w="8025" w:type="dxa"/>
            <w:gridSpan w:val="4"/>
            <w:vAlign w:val="center"/>
          </w:tcPr>
          <w:p w14:paraId="558DF661">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评标基准价的计算：</w:t>
            </w:r>
          </w:p>
          <w:p w14:paraId="3A545FF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（1）评标价的确定：</w:t>
            </w:r>
          </w:p>
          <w:p w14:paraId="4F517100">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评标价＝投标函文字报价</w:t>
            </w:r>
          </w:p>
          <w:p w14:paraId="46F2C5C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（2）评标价平均值的计算：</w:t>
            </w:r>
          </w:p>
          <w:p w14:paraId="62A2C00E">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①除按第二章“投标人须知”第 5.2.4 项规定开标现场被宣布为不进入评标基准价计算的投标报价之外，所有投标人的评标价去掉一个最高值和一个最低值后的算术平均值即为评标价平均值（如果参加评标价平均值计算的有效投标人少于等于 5 家时，则计算评标价平均值时不去掉最高值和最低值）。</w:t>
            </w:r>
          </w:p>
          <w:p w14:paraId="2B81F1E0">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②参与评标价平均值计算的评标价的范围：</w:t>
            </w:r>
            <w:r>
              <w:rPr>
                <w:rFonts w:hint="eastAsia" w:asciiTheme="minorEastAsia" w:hAnsiTheme="minorEastAsia" w:cstheme="minorEastAsia"/>
                <w:color w:val="000000" w:themeColor="text1"/>
                <w:sz w:val="24"/>
                <w:highlight w:val="none"/>
                <w:lang w:eastAsia="zh-CN"/>
                <w14:textFill>
                  <w14:solidFill>
                    <w14:schemeClr w14:val="tx1"/>
                  </w14:solidFill>
                </w14:textFill>
              </w:rPr>
              <w:t>最高投标限价的95%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≤参与评标价平均值计算的评标价≤最高投标限价的100%；（注：小于</w:t>
            </w:r>
            <w:r>
              <w:rPr>
                <w:rFonts w:hint="eastAsia" w:asciiTheme="minorEastAsia" w:hAnsiTheme="minorEastAsia" w:cstheme="minorEastAsia"/>
                <w:color w:val="000000" w:themeColor="text1"/>
                <w:sz w:val="24"/>
                <w:highlight w:val="none"/>
                <w:lang w:eastAsia="zh-CN"/>
                <w14:textFill>
                  <w14:solidFill>
                    <w14:schemeClr w14:val="tx1"/>
                  </w14:solidFill>
                </w14:textFill>
              </w:rPr>
              <w:t>最高投标限价的95%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的评标价不参与评标价平均值的计算，但仍参与评标价的得分计算。）</w:t>
            </w:r>
          </w:p>
          <w:p w14:paraId="25449C2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③若投标人的评标价均小于</w:t>
            </w:r>
            <w:r>
              <w:rPr>
                <w:rFonts w:hint="eastAsia" w:asciiTheme="minorEastAsia" w:hAnsiTheme="minorEastAsia" w:cstheme="minorEastAsia"/>
                <w:color w:val="000000" w:themeColor="text1"/>
                <w:sz w:val="24"/>
                <w:highlight w:val="none"/>
                <w:lang w:eastAsia="zh-CN"/>
                <w14:textFill>
                  <w14:solidFill>
                    <w14:schemeClr w14:val="tx1"/>
                  </w14:solidFill>
                </w14:textFill>
              </w:rPr>
              <w:t>最高投标限价的95%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 xml:space="preserve">时，则以最高投标限价的 </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95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%为评标价平均值。评标委员会可对小于最高投标限价</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95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评标价启动澄清程序，要求投标人作出书面说明并提供相关证明材料，若投标人不能合理说明或者不能提供相关证明资料的，评标委员会认定该投标人以低于成本报价竞标，否决其投标。当所有投标人的投标因此种情况被否决；或当因此种情况被否决部分投标人后，有效投标人不足三家，评标委员会认为竞争不足的情况出现时，评标委员会可以否决全部投标。未否决全部投标的，评标委员会应当在评标报告中阐明理由并推荐中标候选人。</w:t>
            </w:r>
          </w:p>
          <w:p w14:paraId="6D3AF79A">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即使某投标文件第二个信封未通过形式评审与响应性评审，如其评标价处于参与评标价平均值计算的评标价的范围内，其评标价仍应参与有效评标价平均值的计算</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p>
          <w:p w14:paraId="4CA90ADE">
            <w:pPr>
              <w:keepNext w:val="0"/>
              <w:keepLines w:val="0"/>
              <w:pageBreakBefore w:val="0"/>
              <w:numPr>
                <w:ilvl w:val="0"/>
                <w:numId w:val="4"/>
              </w:numPr>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评标基准价的确定</w:t>
            </w:r>
          </w:p>
          <w:p w14:paraId="65E4A705">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将评标价平均值直接作为评标基准价。</w:t>
            </w:r>
          </w:p>
          <w:p w14:paraId="2134E0FA">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注：评标价平均值、最高评标限价、评标基准价的计算均四舍五入至个位整数元。</w:t>
            </w:r>
          </w:p>
        </w:tc>
      </w:tr>
      <w:tr w14:paraId="64A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trPr>
        <w:tc>
          <w:tcPr>
            <w:tcW w:w="852" w:type="dxa"/>
            <w:vAlign w:val="center"/>
          </w:tcPr>
          <w:p w14:paraId="3358943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2.2.3</w:t>
            </w:r>
          </w:p>
        </w:tc>
        <w:tc>
          <w:tcPr>
            <w:tcW w:w="1639" w:type="dxa"/>
            <w:gridSpan w:val="2"/>
            <w:vAlign w:val="center"/>
          </w:tcPr>
          <w:p w14:paraId="78B91A5E">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评标价的偏差率计算公式</w:t>
            </w:r>
          </w:p>
        </w:tc>
        <w:tc>
          <w:tcPr>
            <w:tcW w:w="8025" w:type="dxa"/>
            <w:gridSpan w:val="4"/>
            <w:vAlign w:val="center"/>
          </w:tcPr>
          <w:p w14:paraId="2ECAAB4F">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偏差率=100%×（投标人评标价－评标基准价）/评标基准价</w:t>
            </w:r>
          </w:p>
        </w:tc>
      </w:tr>
      <w:tr w14:paraId="332E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52" w:type="dxa"/>
            <w:vAlign w:val="center"/>
          </w:tcPr>
          <w:p w14:paraId="650B95F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条款号</w:t>
            </w:r>
          </w:p>
        </w:tc>
        <w:tc>
          <w:tcPr>
            <w:tcW w:w="1116" w:type="dxa"/>
            <w:vAlign w:val="center"/>
          </w:tcPr>
          <w:p w14:paraId="70059896">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评分</w:t>
            </w:r>
          </w:p>
          <w:p w14:paraId="73AFD4F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因素</w:t>
            </w:r>
          </w:p>
        </w:tc>
        <w:tc>
          <w:tcPr>
            <w:tcW w:w="1148" w:type="dxa"/>
            <w:gridSpan w:val="2"/>
            <w:vAlign w:val="center"/>
          </w:tcPr>
          <w:p w14:paraId="6617BD86">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评分因素权重分值</w:t>
            </w:r>
          </w:p>
        </w:tc>
        <w:tc>
          <w:tcPr>
            <w:tcW w:w="1463" w:type="dxa"/>
            <w:vAlign w:val="center"/>
          </w:tcPr>
          <w:p w14:paraId="23503C7D">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各评分因素细分项</w:t>
            </w:r>
          </w:p>
        </w:tc>
        <w:tc>
          <w:tcPr>
            <w:tcW w:w="821" w:type="dxa"/>
            <w:vAlign w:val="center"/>
          </w:tcPr>
          <w:p w14:paraId="79F1668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分值</w:t>
            </w:r>
          </w:p>
        </w:tc>
        <w:tc>
          <w:tcPr>
            <w:tcW w:w="5116" w:type="dxa"/>
            <w:vAlign w:val="center"/>
          </w:tcPr>
          <w:p w14:paraId="331A0A7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评分标准</w:t>
            </w:r>
          </w:p>
        </w:tc>
      </w:tr>
      <w:tr w14:paraId="6F91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trPr>
        <w:tc>
          <w:tcPr>
            <w:tcW w:w="852" w:type="dxa"/>
            <w:vMerge w:val="restart"/>
            <w:vAlign w:val="center"/>
          </w:tcPr>
          <w:p w14:paraId="232B800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2.2.4（1）</w:t>
            </w:r>
          </w:p>
        </w:tc>
        <w:tc>
          <w:tcPr>
            <w:tcW w:w="1116" w:type="dxa"/>
            <w:vMerge w:val="restart"/>
            <w:vAlign w:val="center"/>
          </w:tcPr>
          <w:p w14:paraId="22F6173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（A）</w:t>
            </w:r>
          </w:p>
          <w:p w14:paraId="46502245">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总承包方案</w:t>
            </w:r>
          </w:p>
          <w:p w14:paraId="6F2BDBE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52EAE6D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p>
        </w:tc>
        <w:tc>
          <w:tcPr>
            <w:tcW w:w="1148" w:type="dxa"/>
            <w:gridSpan w:val="2"/>
            <w:vMerge w:val="restart"/>
            <w:vAlign w:val="center"/>
          </w:tcPr>
          <w:p w14:paraId="5FB01DE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总体实</w:t>
            </w:r>
          </w:p>
          <w:p w14:paraId="211445A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施方案</w:t>
            </w:r>
          </w:p>
          <w:p w14:paraId="649E194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1463" w:type="dxa"/>
            <w:vAlign w:val="center"/>
          </w:tcPr>
          <w:p w14:paraId="1F1782A2">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对总承包项目的总体理解和思路</w:t>
            </w:r>
          </w:p>
        </w:tc>
        <w:tc>
          <w:tcPr>
            <w:tcW w:w="821" w:type="dxa"/>
            <w:vAlign w:val="center"/>
          </w:tcPr>
          <w:p w14:paraId="32C8D51E">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c>
          <w:tcPr>
            <w:tcW w:w="5116" w:type="dxa"/>
            <w:vAlign w:val="center"/>
          </w:tcPr>
          <w:p w14:paraId="01F657CA">
            <w:pPr>
              <w:keepNext w:val="0"/>
              <w:keepLines w:val="0"/>
              <w:pageBreakBefore w:val="0"/>
              <w:wordWrap/>
              <w:topLinePunct w:val="0"/>
              <w:bidi w:val="0"/>
              <w:adjustRightInd w:val="0"/>
              <w:snapToGrid w:val="0"/>
              <w:spacing w:before="30" w:line="440" w:lineRule="exact"/>
              <w:ind w:right="106"/>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①对总承包项目的工作范围和任务描述很准确,总体思路很清晰、切实可行程度很高，得 </w:t>
            </w:r>
            <w:r>
              <w:rPr>
                <w:rFonts w:hint="eastAsia" w:asciiTheme="minorEastAsia" w:hAnsiTheme="minorEastAsia" w:cstheme="minorEastAsia"/>
                <w:color w:val="000000" w:themeColor="text1"/>
                <w:sz w:val="24"/>
                <w:lang w:val="en-US" w:eastAsia="zh-CN"/>
                <w14:textFill>
                  <w14:solidFill>
                    <w14:schemeClr w14:val="tx1"/>
                  </w14:solidFill>
                </w14:textFill>
              </w:rPr>
              <w:t>0.9</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.0分（满分分值的90%~100%）；</w:t>
            </w:r>
          </w:p>
          <w:p w14:paraId="07F1E4AD">
            <w:pPr>
              <w:keepNext w:val="0"/>
              <w:keepLines w:val="0"/>
              <w:pageBreakBefore w:val="0"/>
              <w:wordWrap/>
              <w:topLinePunct w:val="0"/>
              <w:bidi w:val="0"/>
              <w:adjustRightInd w:val="0"/>
              <w:snapToGrid w:val="0"/>
              <w:spacing w:before="30" w:line="440" w:lineRule="exact"/>
              <w:ind w:right="106"/>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②对总承包项目的工作范围和任务描述较为准确,总体思路较为清晰，基本可行得</w:t>
            </w:r>
            <w:r>
              <w:rPr>
                <w:rFonts w:hint="eastAsia" w:asciiTheme="minorEastAsia" w:hAnsiTheme="minorEastAsia" w:cstheme="minorEastAsia"/>
                <w:color w:val="000000" w:themeColor="text1"/>
                <w:sz w:val="24"/>
                <w:lang w:val="en-US" w:eastAsia="zh-CN"/>
                <w14:textFill>
                  <w14:solidFill>
                    <w14:schemeClr w14:val="tx1"/>
                  </w14:solidFill>
                </w14:textFill>
              </w:rPr>
              <w:t>0.8</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0.9</w:t>
            </w:r>
            <w:r>
              <w:rPr>
                <w:rFonts w:hint="eastAsia" w:asciiTheme="minorEastAsia" w:hAnsiTheme="minorEastAsia" w:eastAsiaTheme="minorEastAsia" w:cstheme="minorEastAsia"/>
                <w:color w:val="000000" w:themeColor="text1"/>
                <w:sz w:val="24"/>
                <w14:textFill>
                  <w14:solidFill>
                    <w14:schemeClr w14:val="tx1"/>
                  </w14:solidFill>
                </w14:textFill>
              </w:rPr>
              <w:t xml:space="preserve">分（满分分值的80%~90%）； </w:t>
            </w:r>
          </w:p>
          <w:p w14:paraId="40ADBE8F">
            <w:pPr>
              <w:keepNext w:val="0"/>
              <w:keepLines w:val="0"/>
              <w:pageBreakBefore w:val="0"/>
              <w:wordWrap/>
              <w:topLinePunct w:val="0"/>
              <w:bidi w:val="0"/>
              <w:adjustRightInd w:val="0"/>
              <w:snapToGrid w:val="0"/>
              <w:spacing w:before="30" w:line="440" w:lineRule="exact"/>
              <w:ind w:right="106"/>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 起评分</w:t>
            </w:r>
            <w:r>
              <w:rPr>
                <w:rFonts w:hint="eastAsia" w:asciiTheme="minorEastAsia" w:hAnsiTheme="minorEastAsia" w:cstheme="minorEastAsia"/>
                <w:color w:val="000000" w:themeColor="text1"/>
                <w:sz w:val="24"/>
                <w:lang w:val="en-US" w:eastAsia="zh-CN"/>
                <w14:textFill>
                  <w14:solidFill>
                    <w14:schemeClr w14:val="tx1"/>
                  </w14:solidFill>
                </w14:textFill>
              </w:rPr>
              <w:t>0.8</w:t>
            </w:r>
            <w:r>
              <w:rPr>
                <w:rFonts w:hint="eastAsia" w:asciiTheme="minorEastAsia" w:hAnsiTheme="minorEastAsia" w:eastAsiaTheme="minorEastAsia" w:cstheme="minorEastAsia"/>
                <w:color w:val="000000" w:themeColor="text1"/>
                <w:sz w:val="24"/>
                <w14:textFill>
                  <w14:solidFill>
                    <w14:schemeClr w14:val="tx1"/>
                  </w14:solidFill>
                </w14:textFill>
              </w:rPr>
              <w:t>分。（满分分值的80%）</w:t>
            </w:r>
          </w:p>
        </w:tc>
      </w:tr>
      <w:tr w14:paraId="2E91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trPr>
        <w:tc>
          <w:tcPr>
            <w:tcW w:w="852" w:type="dxa"/>
            <w:vMerge w:val="continue"/>
            <w:vAlign w:val="center"/>
          </w:tcPr>
          <w:p w14:paraId="0CAD4BE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78BD5F9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35484C6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vAlign w:val="center"/>
          </w:tcPr>
          <w:p w14:paraId="4705A0D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项目管理</w:t>
            </w:r>
          </w:p>
          <w:p w14:paraId="3132343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方案</w:t>
            </w:r>
          </w:p>
        </w:tc>
        <w:tc>
          <w:tcPr>
            <w:tcW w:w="821" w:type="dxa"/>
            <w:vAlign w:val="center"/>
          </w:tcPr>
          <w:p w14:paraId="32E2C8D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vAlign w:val="center"/>
          </w:tcPr>
          <w:p w14:paraId="2FC8A6BF">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①对总承包项目的管理体系、保证措施及对项目的重点、难点分析的合理性、可实施性和分析描述很准确 ，得0.9-1.0分（满分分值90%~100%）；</w:t>
            </w:r>
          </w:p>
          <w:p w14:paraId="67EA5329">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②对总承包项目的管理体系、保证措施及对项目的重点、难点分析的合理性、可实施性和分析描述较为 准确，得 0.8-0.9分（满分分值80%~90%）；</w:t>
            </w:r>
          </w:p>
          <w:p w14:paraId="0B85BAD3">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 起评分0.8分（满分分值的80%）。</w:t>
            </w:r>
          </w:p>
        </w:tc>
      </w:tr>
      <w:tr w14:paraId="6728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852" w:type="dxa"/>
            <w:vMerge w:val="continue"/>
            <w:vAlign w:val="center"/>
          </w:tcPr>
          <w:p w14:paraId="05F35C8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0351A3A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548FDD88">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tcPr>
          <w:p w14:paraId="7DF0E5AD">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01179D13">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659BC53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039D437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参与农村公路施工和养护管理方案</w:t>
            </w:r>
          </w:p>
        </w:tc>
        <w:tc>
          <w:tcPr>
            <w:tcW w:w="821" w:type="dxa"/>
          </w:tcPr>
          <w:p w14:paraId="196EF1C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3A95290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178E3036">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60997FB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0F2D87C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tcPr>
          <w:p w14:paraId="451A96F8">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（1）对以工代赈和吸纳沿线养护道班、乡村工匠参与农村公路施工和养护管理方案描述准确程度和总体思路很清晰、切实可行程度很高， 得0.9-1.0分（满分分值的90%~100%）；</w:t>
            </w:r>
          </w:p>
          <w:p w14:paraId="5F41FE16">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（2）对以工代赈和吸纳沿线养护道班、乡村工匠参与农村公路施工和养护管理方案描述准确程度和总体思路较为清晰、基本可行，得 0.8-0.9分（满分分值的80%~90%）；</w:t>
            </w:r>
          </w:p>
          <w:p w14:paraId="3E0440B0">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（3）一般但不被评定为不响应的, 起评分0.8分（满分分值的80%）。</w:t>
            </w:r>
          </w:p>
        </w:tc>
      </w:tr>
      <w:tr w14:paraId="1DDE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852" w:type="dxa"/>
            <w:vMerge w:val="continue"/>
            <w:vAlign w:val="center"/>
          </w:tcPr>
          <w:p w14:paraId="44A515F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20FEEBA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restart"/>
            <w:vAlign w:val="center"/>
          </w:tcPr>
          <w:p w14:paraId="3E00FB1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03BA7B6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394CB90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5DB9C7B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556F1D2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73607B2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p w14:paraId="2C31C8BA">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勘察设</w:t>
            </w:r>
          </w:p>
          <w:p w14:paraId="733C337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计方案</w:t>
            </w:r>
          </w:p>
          <w:p w14:paraId="0F37EB9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c>
          <w:tcPr>
            <w:tcW w:w="1463" w:type="dxa"/>
            <w:shd w:val="clear" w:color="auto" w:fill="auto"/>
            <w:vAlign w:val="center"/>
          </w:tcPr>
          <w:p w14:paraId="47E980C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对招标项目勘察设计的理解和总体设计思路</w:t>
            </w:r>
          </w:p>
        </w:tc>
        <w:tc>
          <w:tcPr>
            <w:tcW w:w="821" w:type="dxa"/>
            <w:shd w:val="clear" w:color="auto" w:fill="auto"/>
            <w:vAlign w:val="center"/>
          </w:tcPr>
          <w:p w14:paraId="231CF155">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shd w:val="clear" w:color="auto" w:fill="auto"/>
            <w:vAlign w:val="center"/>
          </w:tcPr>
          <w:p w14:paraId="704E4340">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①对勘察设计工作范围和任务描述准确程度和总体设计思路很清晰、切实可行程度很高，得0.9-1.0分（满分分值的90%~100%）；</w:t>
            </w:r>
          </w:p>
          <w:p w14:paraId="6F2AEAA6">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②对勘察设计工作范围和任务描述准确程度和总体设计思路较为清晰、基本可行，0.8-0.9分（满分分值的80%~92%）；</w:t>
            </w:r>
          </w:p>
          <w:p w14:paraId="43A78DEC">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③一般但不被评定为不响应的,起评分0.8分（满分分值的80%）。</w:t>
            </w:r>
          </w:p>
        </w:tc>
      </w:tr>
      <w:tr w14:paraId="554C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52" w:type="dxa"/>
            <w:vMerge w:val="continue"/>
          </w:tcPr>
          <w:p w14:paraId="5E3EB8BE">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10B39BE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3146008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vAlign w:val="center"/>
          </w:tcPr>
          <w:p w14:paraId="5138E30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招标项目勘察设计的特点、关键技术问题的认识及其对策 措施</w:t>
            </w:r>
          </w:p>
        </w:tc>
        <w:tc>
          <w:tcPr>
            <w:tcW w:w="821" w:type="dxa"/>
            <w:vAlign w:val="center"/>
          </w:tcPr>
          <w:p w14:paraId="0F228A3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vAlign w:val="center"/>
          </w:tcPr>
          <w:p w14:paraId="7FD69D11">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①对项目特点、关键技术问题的把握程度和初步设计、施工图设计应着重解决的技术问题所提出处理 措施的可行性程度很高，得0.9-1.0分（满分分值的 90%~100%）；</w:t>
            </w:r>
          </w:p>
          <w:p w14:paraId="64701968">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②对项目特点、关键技术问题的把握程度和初步设计、施工图设计 应着重解决的技术问题所提出处理 措施的可行性程度较高，得0.8-0.9分（满分分值的 80%~90%）；</w:t>
            </w:r>
          </w:p>
          <w:p w14:paraId="38F49202">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 起评分0.8分（满分分值的80%）。</w:t>
            </w:r>
          </w:p>
        </w:tc>
      </w:tr>
      <w:tr w14:paraId="7430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52" w:type="dxa"/>
            <w:vMerge w:val="continue"/>
          </w:tcPr>
          <w:p w14:paraId="49302C5F">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72D91DC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23EA241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shd w:val="clear" w:color="auto" w:fill="auto"/>
            <w:vAlign w:val="center"/>
          </w:tcPr>
          <w:p w14:paraId="0088538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勘察设计工作量及计划安排</w:t>
            </w:r>
          </w:p>
        </w:tc>
        <w:tc>
          <w:tcPr>
            <w:tcW w:w="821" w:type="dxa"/>
            <w:shd w:val="clear" w:color="auto" w:fill="auto"/>
            <w:vAlign w:val="center"/>
          </w:tcPr>
          <w:p w14:paraId="6CB2241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shd w:val="clear" w:color="auto" w:fill="auto"/>
            <w:vAlign w:val="center"/>
          </w:tcPr>
          <w:p w14:paraId="0855195A">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①工作计划实施、安排的合理性很高，得0.9-1.0分（满 分 分 值 的 90%~100%）；</w:t>
            </w:r>
          </w:p>
          <w:p w14:paraId="2D0230B3">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②工作计划实施、安排的合理性较高，得0.8-0.9 分（满 分 分 值 的 80%~90%）；</w:t>
            </w:r>
          </w:p>
          <w:p w14:paraId="07EA7E98">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 起评分0.8    分（满分分值的80%）。</w:t>
            </w:r>
          </w:p>
        </w:tc>
      </w:tr>
      <w:tr w14:paraId="0DCA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852" w:type="dxa"/>
            <w:vMerge w:val="continue"/>
          </w:tcPr>
          <w:p w14:paraId="7450BA0E">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53861F53">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06327BB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shd w:val="clear" w:color="auto" w:fill="auto"/>
            <w:vAlign w:val="center"/>
          </w:tcPr>
          <w:p w14:paraId="3AFE044F">
            <w:pPr>
              <w:keepNext w:val="0"/>
              <w:keepLines w:val="0"/>
              <w:pageBreakBefore w:val="0"/>
              <w:wordWrap/>
              <w:topLinePunct w:val="0"/>
              <w:bidi w:val="0"/>
              <w:adjustRightInd w:val="0"/>
              <w:snapToGrid w:val="0"/>
              <w:spacing w:before="68"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勘察设计的质量保证措施</w:t>
            </w:r>
            <w:r>
              <w:rPr>
                <w:rFonts w:hint="eastAsia" w:asciiTheme="minorEastAsia" w:hAnsiTheme="minorEastAsia" w:cstheme="minorEastAsia"/>
                <w:color w:val="000000" w:themeColor="text1"/>
                <w:spacing w:val="-2"/>
                <w:sz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2"/>
                <w:sz w:val="24"/>
                <w14:textFill>
                  <w14:solidFill>
                    <w14:schemeClr w14:val="tx1"/>
                  </w14:solidFill>
                </w14:textFill>
              </w:rPr>
              <w:t>进度保证措施</w:t>
            </w:r>
            <w:r>
              <w:rPr>
                <w:rFonts w:hint="eastAsia" w:asciiTheme="minorEastAsia" w:hAnsiTheme="minorEastAsia" w:cstheme="minorEastAsia"/>
                <w:color w:val="000000" w:themeColor="text1"/>
                <w:spacing w:val="-2"/>
                <w:sz w:val="24"/>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pacing w:val="-2"/>
                <w:sz w:val="24"/>
                <w14:textFill>
                  <w14:solidFill>
                    <w14:schemeClr w14:val="tx1"/>
                  </w14:solidFill>
                </w14:textFill>
              </w:rPr>
              <w:t>后续服务</w:t>
            </w:r>
            <w:r>
              <w:rPr>
                <w:rFonts w:hint="eastAsia" w:asciiTheme="minorEastAsia" w:hAnsiTheme="minorEastAsia" w:cstheme="minorEastAsia"/>
                <w:color w:val="000000" w:themeColor="text1"/>
                <w:spacing w:val="-2"/>
                <w:sz w:val="24"/>
                <w:lang w:val="en-US" w:eastAsia="zh-CN"/>
                <w14:textFill>
                  <w14:solidFill>
                    <w14:schemeClr w14:val="tx1"/>
                  </w14:solidFill>
                </w14:textFill>
              </w:rPr>
              <w:t>人员</w:t>
            </w:r>
            <w:r>
              <w:rPr>
                <w:rFonts w:hint="eastAsia" w:asciiTheme="minorEastAsia" w:hAnsiTheme="minorEastAsia" w:eastAsiaTheme="minorEastAsia" w:cstheme="minorEastAsia"/>
                <w:color w:val="000000" w:themeColor="text1"/>
                <w:spacing w:val="-2"/>
                <w:sz w:val="24"/>
                <w14:textFill>
                  <w14:solidFill>
                    <w14:schemeClr w14:val="tx1"/>
                  </w14:solidFill>
                </w14:textFill>
              </w:rPr>
              <w:t>的安排及保证措施</w:t>
            </w:r>
          </w:p>
          <w:p w14:paraId="6576E407">
            <w:pPr>
              <w:keepNext w:val="0"/>
              <w:keepLines w:val="0"/>
              <w:pageBreakBefore w:val="0"/>
              <w:wordWrap/>
              <w:topLinePunct w:val="0"/>
              <w:bidi w:val="0"/>
              <w:adjustRightInd w:val="0"/>
              <w:snapToGrid w:val="0"/>
              <w:spacing w:before="68"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tc>
        <w:tc>
          <w:tcPr>
            <w:tcW w:w="821" w:type="dxa"/>
            <w:shd w:val="clear" w:color="auto" w:fill="auto"/>
            <w:vAlign w:val="center"/>
          </w:tcPr>
          <w:p w14:paraId="7713D885">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1分</w:t>
            </w:r>
          </w:p>
        </w:tc>
        <w:tc>
          <w:tcPr>
            <w:tcW w:w="5116" w:type="dxa"/>
            <w:shd w:val="clear" w:color="auto" w:fill="auto"/>
          </w:tcPr>
          <w:p w14:paraId="4D4877E5">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①进度和质量保证措施</w:t>
            </w:r>
            <w:r>
              <w:rPr>
                <w:rFonts w:hint="eastAsia" w:asciiTheme="minorEastAsia" w:hAnsiTheme="minorEastAsia" w:cstheme="minorEastAsia"/>
                <w:color w:val="000000" w:themeColor="text1"/>
                <w:sz w:val="24"/>
                <w:lang w:eastAsia="zh-CN"/>
                <w14:textFill>
                  <w14:solidFill>
                    <w14:schemeClr w14:val="tx1"/>
                  </w14:solidFill>
                </w14:textFill>
              </w:rPr>
              <w:t>、后续服务安排及保证措施</w:t>
            </w:r>
            <w:r>
              <w:rPr>
                <w:rFonts w:hint="eastAsia" w:asciiTheme="minorEastAsia" w:hAnsiTheme="minorEastAsia" w:eastAsiaTheme="minorEastAsia" w:cstheme="minorEastAsia"/>
                <w:color w:val="000000" w:themeColor="text1"/>
                <w:sz w:val="24"/>
                <w14:textFill>
                  <w14:solidFill>
                    <w14:schemeClr w14:val="tx1"/>
                  </w14:solidFill>
                </w14:textFill>
              </w:rPr>
              <w:t>的可实施性</w:t>
            </w:r>
            <w:r>
              <w:rPr>
                <w:rFonts w:hint="eastAsia" w:asciiTheme="minorEastAsia" w:hAnsiTheme="minorEastAsia" w:cstheme="minorEastAsia"/>
                <w:color w:val="000000" w:themeColor="text1"/>
                <w:sz w:val="24"/>
                <w:lang w:val="en-US" w:eastAsia="zh-CN"/>
                <w14:textFill>
                  <w14:solidFill>
                    <w14:schemeClr w14:val="tx1"/>
                  </w14:solidFill>
                </w14:textFill>
              </w:rPr>
              <w:t>很强且后续服务人员完善程度高的，得</w:t>
            </w:r>
            <w:r>
              <w:rPr>
                <w:rFonts w:hint="eastAsia" w:asciiTheme="minorEastAsia" w:hAnsiTheme="minorEastAsia" w:eastAsiaTheme="minorEastAsia" w:cstheme="minorEastAsia"/>
                <w:color w:val="000000" w:themeColor="text1"/>
                <w:sz w:val="24"/>
                <w14:textFill>
                  <w14:solidFill>
                    <w14:schemeClr w14:val="tx1"/>
                  </w14:solidFill>
                </w14:textFill>
              </w:rPr>
              <w:t>0.9-1.0分（满 分 分 值 的 90%~100%）；</w:t>
            </w:r>
          </w:p>
          <w:p w14:paraId="49133747">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②进度和质量保证措施</w:t>
            </w:r>
            <w:r>
              <w:rPr>
                <w:rFonts w:hint="eastAsia" w:asciiTheme="minorEastAsia" w:hAnsiTheme="minorEastAsia" w:cstheme="minorEastAsia"/>
                <w:color w:val="000000" w:themeColor="text1"/>
                <w:sz w:val="24"/>
                <w:lang w:eastAsia="zh-CN"/>
                <w14:textFill>
                  <w14:solidFill>
                    <w14:schemeClr w14:val="tx1"/>
                  </w14:solidFill>
                </w14:textFill>
              </w:rPr>
              <w:t>、后续服务安排及保证措施</w:t>
            </w:r>
            <w:r>
              <w:rPr>
                <w:rFonts w:hint="eastAsia" w:asciiTheme="minorEastAsia" w:hAnsiTheme="minorEastAsia" w:eastAsiaTheme="minorEastAsia" w:cstheme="minorEastAsia"/>
                <w:color w:val="000000" w:themeColor="text1"/>
                <w:sz w:val="24"/>
                <w14:textFill>
                  <w14:solidFill>
                    <w14:schemeClr w14:val="tx1"/>
                  </w14:solidFill>
                </w14:textFill>
              </w:rPr>
              <w:t>的可实施性</w:t>
            </w:r>
            <w:r>
              <w:rPr>
                <w:rFonts w:hint="eastAsia" w:asciiTheme="minorEastAsia" w:hAnsiTheme="minorEastAsia" w:cstheme="minorEastAsia"/>
                <w:color w:val="000000" w:themeColor="text1"/>
                <w:sz w:val="24"/>
                <w:lang w:val="en-US" w:eastAsia="zh-CN"/>
                <w14:textFill>
                  <w14:solidFill>
                    <w14:schemeClr w14:val="tx1"/>
                  </w14:solidFill>
                </w14:textFill>
              </w:rPr>
              <w:t>较强且后续服务人员完善程度较高的，得</w:t>
            </w:r>
            <w:r>
              <w:rPr>
                <w:rFonts w:hint="eastAsia" w:asciiTheme="minorEastAsia" w:hAnsiTheme="minorEastAsia" w:eastAsiaTheme="minorEastAsia" w:cstheme="minorEastAsia"/>
                <w:color w:val="000000" w:themeColor="text1"/>
                <w:sz w:val="24"/>
                <w14:textFill>
                  <w14:solidFill>
                    <w14:schemeClr w14:val="tx1"/>
                  </w14:solidFill>
                </w14:textFill>
              </w:rPr>
              <w:t>0.</w:t>
            </w:r>
            <w:r>
              <w:rPr>
                <w:rFonts w:hint="eastAsia" w:asciiTheme="minorEastAsia" w:hAnsiTheme="minorEastAsia" w:cstheme="minorEastAsia"/>
                <w:color w:val="000000" w:themeColor="text1"/>
                <w:sz w:val="24"/>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0.9</w:t>
            </w:r>
            <w:r>
              <w:rPr>
                <w:rFonts w:hint="eastAsia" w:asciiTheme="minorEastAsia" w:hAnsiTheme="minorEastAsia" w:eastAsiaTheme="minorEastAsia" w:cstheme="minorEastAsia"/>
                <w:color w:val="000000" w:themeColor="text1"/>
                <w:sz w:val="24"/>
                <w14:textFill>
                  <w14:solidFill>
                    <w14:schemeClr w14:val="tx1"/>
                  </w14:solidFill>
                </w14:textFill>
              </w:rPr>
              <w:t xml:space="preserve">分（满 分 分 值 的 </w:t>
            </w:r>
            <w:r>
              <w:rPr>
                <w:rFonts w:hint="eastAsia" w:asciiTheme="minorEastAsia" w:hAnsiTheme="minorEastAsia" w:cstheme="minorEastAsia"/>
                <w:color w:val="000000" w:themeColor="text1"/>
                <w:sz w:val="24"/>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4"/>
                <w14:textFill>
                  <w14:solidFill>
                    <w14:schemeClr w14:val="tx1"/>
                  </w14:solidFill>
                </w14:textFill>
              </w:rPr>
              <w:t>0%~</w:t>
            </w:r>
            <w:r>
              <w:rPr>
                <w:rFonts w:hint="eastAsia" w:asciiTheme="minorEastAsia" w:hAnsiTheme="minorEastAsia" w:cstheme="minorEastAsia"/>
                <w:color w:val="000000" w:themeColor="text1"/>
                <w:sz w:val="24"/>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14:textFill>
                  <w14:solidFill>
                    <w14:schemeClr w14:val="tx1"/>
                  </w14:solidFill>
                </w14:textFill>
              </w:rPr>
              <w:t>0%）；</w:t>
            </w:r>
          </w:p>
          <w:p w14:paraId="11D6DC7B">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③一般但不被评定为不响应的，得0.8分。</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满分分值的80%。</w:t>
            </w:r>
          </w:p>
        </w:tc>
      </w:tr>
      <w:tr w14:paraId="4B83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3" w:hRule="atLeast"/>
        </w:trPr>
        <w:tc>
          <w:tcPr>
            <w:tcW w:w="852" w:type="dxa"/>
            <w:vMerge w:val="continue"/>
          </w:tcPr>
          <w:p w14:paraId="5555D621">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4816745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restart"/>
            <w:tcBorders>
              <w:top w:val="single" w:color="000000" w:sz="8" w:space="0"/>
            </w:tcBorders>
            <w:vAlign w:val="center"/>
          </w:tcPr>
          <w:p w14:paraId="6D99F9F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施工组织设计方案</w:t>
            </w:r>
          </w:p>
          <w:p w14:paraId="4CD08F71">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（3分）</w:t>
            </w:r>
          </w:p>
        </w:tc>
        <w:tc>
          <w:tcPr>
            <w:tcW w:w="1463" w:type="dxa"/>
            <w:shd w:val="clear" w:color="auto" w:fill="auto"/>
          </w:tcPr>
          <w:p w14:paraId="0F6C4199">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6D558167">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3B1AB31F">
            <w:pPr>
              <w:keepNext w:val="0"/>
              <w:keepLines w:val="0"/>
              <w:pageBreakBefore w:val="0"/>
              <w:wordWrap/>
              <w:topLinePunct w:val="0"/>
              <w:bidi w:val="0"/>
              <w:adjustRightInd w:val="0"/>
              <w:snapToGrid w:val="0"/>
              <w:spacing w:before="69" w:line="440" w:lineRule="exact"/>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工期保证体系及保证措施</w:t>
            </w:r>
          </w:p>
        </w:tc>
        <w:tc>
          <w:tcPr>
            <w:tcW w:w="821" w:type="dxa"/>
            <w:shd w:val="clear" w:color="auto" w:fill="auto"/>
          </w:tcPr>
          <w:p w14:paraId="63908F78">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2AF226AF">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58F3B34D">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024D7DD6">
            <w:pPr>
              <w:keepNext w:val="0"/>
              <w:keepLines w:val="0"/>
              <w:pageBreakBefore w:val="0"/>
              <w:tabs>
                <w:tab w:val="left" w:pos="313"/>
              </w:tabs>
              <w:wordWrap/>
              <w:topLinePunct w:val="0"/>
              <w:bidi w:val="0"/>
              <w:adjustRightInd w:val="0"/>
              <w:snapToGrid w:val="0"/>
              <w:spacing w:before="69"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1分</w:t>
            </w:r>
          </w:p>
        </w:tc>
        <w:tc>
          <w:tcPr>
            <w:tcW w:w="5116" w:type="dxa"/>
            <w:shd w:val="clear" w:color="auto" w:fill="auto"/>
          </w:tcPr>
          <w:p w14:paraId="33405C50">
            <w:pPr>
              <w:keepNext w:val="0"/>
              <w:keepLines w:val="0"/>
              <w:pageBreakBefore w:val="0"/>
              <w:wordWrap/>
              <w:topLinePunct w:val="0"/>
              <w:bidi w:val="0"/>
              <w:adjustRightInd w:val="0"/>
              <w:snapToGrid w:val="0"/>
              <w:spacing w:before="113" w:line="440" w:lineRule="exact"/>
              <w:ind w:left="113" w:right="171" w:firstLine="5"/>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w:t>
            </w:r>
            <w:r>
              <w:rPr>
                <w:rFonts w:hint="eastAsia" w:asciiTheme="minorEastAsia" w:hAnsiTheme="minorEastAsia" w:eastAsiaTheme="minorEastAsia" w:cstheme="minorEastAsia"/>
                <w:color w:val="000000" w:themeColor="text1"/>
                <w:spacing w:val="-2"/>
                <w:sz w:val="24"/>
                <w14:textFill>
                  <w14:solidFill>
                    <w14:schemeClr w14:val="tx1"/>
                  </w14:solidFill>
                </w14:textFill>
              </w:rPr>
              <w:t xml:space="preserve">工期保证体系及保证措施科学、充分，能有效处理各种突发问题的，计划科学合理，可操作性高，得0.9-1.0分（满分分值的 90%~100%）； </w:t>
            </w:r>
          </w:p>
          <w:p w14:paraId="44094623">
            <w:pPr>
              <w:keepNext w:val="0"/>
              <w:keepLines w:val="0"/>
              <w:pageBreakBefore w:val="0"/>
              <w:wordWrap/>
              <w:topLinePunct w:val="0"/>
              <w:bidi w:val="0"/>
              <w:adjustRightInd w:val="0"/>
              <w:snapToGrid w:val="0"/>
              <w:spacing w:before="68" w:line="440" w:lineRule="exact"/>
              <w:ind w:left="112" w:right="106"/>
              <w:jc w:val="left"/>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w:t>
            </w:r>
            <w:r>
              <w:rPr>
                <w:rFonts w:hint="eastAsia" w:asciiTheme="minorEastAsia" w:hAnsiTheme="minorEastAsia" w:eastAsiaTheme="minorEastAsia" w:cstheme="minorEastAsia"/>
                <w:color w:val="000000" w:themeColor="text1"/>
                <w:spacing w:val="-2"/>
                <w:sz w:val="24"/>
                <w14:textFill>
                  <w14:solidFill>
                    <w14:schemeClr w14:val="tx1"/>
                  </w14:solidFill>
                </w14:textFill>
              </w:rPr>
              <w:t>工期保证体系及保证措施基 本可行，内容较为充实、全面的，0.8-0.9分（满分分值的 80%~90%）；</w:t>
            </w:r>
          </w:p>
          <w:p w14:paraId="616557A9">
            <w:pPr>
              <w:keepNext w:val="0"/>
              <w:keepLines w:val="0"/>
              <w:pageBreakBefore w:val="0"/>
              <w:wordWrap/>
              <w:topLinePunct w:val="0"/>
              <w:bidi w:val="0"/>
              <w:adjustRightInd w:val="0"/>
              <w:snapToGrid w:val="0"/>
              <w:spacing w:before="113" w:line="440" w:lineRule="exact"/>
              <w:ind w:left="113" w:right="171" w:firstLine="5"/>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③一般但不被评定为不响应的, 起评分0.8分（满分分值的80%）。</w:t>
            </w:r>
          </w:p>
        </w:tc>
      </w:tr>
      <w:tr w14:paraId="3DA6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852" w:type="dxa"/>
            <w:vMerge w:val="restart"/>
            <w:vAlign w:val="center"/>
          </w:tcPr>
          <w:p w14:paraId="07B4B0F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2.2.4（1）</w:t>
            </w:r>
          </w:p>
          <w:p w14:paraId="3918FD12">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Align w:val="center"/>
          </w:tcPr>
          <w:p w14:paraId="340E46E3">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5E0FFA32">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shd w:val="clear" w:color="auto" w:fill="auto"/>
          </w:tcPr>
          <w:p w14:paraId="2918FED5">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74401B65">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647FB1CD">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468A3DEE">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snapToGrid/>
                <w:color w:val="000000" w:themeColor="text1"/>
                <w:spacing w:val="-2"/>
                <w:kern w:val="2"/>
                <w:sz w:val="24"/>
                <w:szCs w:val="24"/>
                <w:lang w:val="en-US" w:eastAsia="zh-CN" w:bidi="ar-SA"/>
                <w14:textFill>
                  <w14:solidFill>
                    <w14:schemeClr w14:val="tx1"/>
                  </w14:solidFill>
                </w14:textFill>
              </w:rPr>
              <w:t>质量、安全 保证体系及</w:t>
            </w:r>
            <w:r>
              <w:rPr>
                <w:rFonts w:hint="eastAsia" w:asciiTheme="minorEastAsia" w:hAnsiTheme="minorEastAsia" w:eastAsiaTheme="minorEastAsia" w:cstheme="minorEastAsia"/>
                <w:snapToGrid/>
                <w:color w:val="000000" w:themeColor="text1"/>
                <w:spacing w:val="-2"/>
                <w:kern w:val="2"/>
                <w:sz w:val="24"/>
                <w:szCs w:val="24"/>
                <w:lang w:val="en-US" w:eastAsia="zh-CN"/>
                <w14:textFill>
                  <w14:solidFill>
                    <w14:schemeClr w14:val="tx1"/>
                  </w14:solidFill>
                </w14:textFill>
              </w:rPr>
              <w:t>保证</w:t>
            </w:r>
            <w:r>
              <w:rPr>
                <w:rFonts w:hint="eastAsia" w:asciiTheme="minorEastAsia" w:hAnsiTheme="minorEastAsia" w:eastAsiaTheme="minorEastAsia" w:cstheme="minorEastAsia"/>
                <w:snapToGrid/>
                <w:color w:val="000000" w:themeColor="text1"/>
                <w:spacing w:val="-2"/>
                <w:kern w:val="2"/>
                <w:sz w:val="24"/>
                <w:szCs w:val="24"/>
                <w:lang w:val="en-US" w:eastAsia="zh-CN" w:bidi="ar-SA"/>
                <w14:textFill>
                  <w14:solidFill>
                    <w14:schemeClr w14:val="tx1"/>
                  </w14:solidFill>
                </w14:textFill>
              </w:rPr>
              <w:t>措施</w:t>
            </w:r>
          </w:p>
        </w:tc>
        <w:tc>
          <w:tcPr>
            <w:tcW w:w="821" w:type="dxa"/>
            <w:shd w:val="clear" w:color="auto" w:fill="auto"/>
          </w:tcPr>
          <w:p w14:paraId="7C8CFF9A">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25E350D0">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655BE13E">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070946E2">
            <w:pPr>
              <w:pStyle w:val="53"/>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snapToGrid/>
                <w:color w:val="000000" w:themeColor="text1"/>
                <w:spacing w:val="-2"/>
                <w:kern w:val="2"/>
                <w:sz w:val="24"/>
                <w:szCs w:val="24"/>
                <w:lang w:eastAsia="zh-CN"/>
                <w14:textFill>
                  <w14:solidFill>
                    <w14:schemeClr w14:val="tx1"/>
                  </w14:solidFill>
                </w14:textFill>
              </w:rPr>
            </w:pPr>
          </w:p>
          <w:p w14:paraId="367100D0">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1分</w:t>
            </w:r>
          </w:p>
        </w:tc>
        <w:tc>
          <w:tcPr>
            <w:tcW w:w="5116" w:type="dxa"/>
            <w:shd w:val="clear" w:color="auto" w:fill="auto"/>
          </w:tcPr>
          <w:p w14:paraId="0A76146F">
            <w:pPr>
              <w:keepNext w:val="0"/>
              <w:keepLines w:val="0"/>
              <w:pageBreakBefore w:val="0"/>
              <w:wordWrap/>
              <w:topLinePunct w:val="0"/>
              <w:bidi w:val="0"/>
              <w:adjustRightInd w:val="0"/>
              <w:snapToGrid w:val="0"/>
              <w:spacing w:before="26" w:line="440" w:lineRule="exact"/>
              <w:ind w:left="112" w:right="171" w:firstLine="6"/>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w:t>
            </w:r>
            <w:r>
              <w:rPr>
                <w:rFonts w:hint="eastAsia" w:asciiTheme="minorEastAsia" w:hAnsiTheme="minorEastAsia" w:eastAsiaTheme="minorEastAsia" w:cstheme="minorEastAsia"/>
                <w:color w:val="000000" w:themeColor="text1"/>
                <w:spacing w:val="-2"/>
                <w:sz w:val="24"/>
                <w14:textFill>
                  <w14:solidFill>
                    <w14:schemeClr w14:val="tx1"/>
                  </w14:solidFill>
                </w14:textFill>
              </w:rPr>
              <w:t>对本项目质量及安全控制有透彻的认识，对施工过程中可能发生的各种质量和安全问题有深刻 的认识和合理的预见，并有相应的 应对措施，应对措施应科学、充分能有效处理各种突发问题的，得0.9-1.0分（满分分值的 90%~100%）；</w:t>
            </w:r>
          </w:p>
          <w:p w14:paraId="48517B4A">
            <w:pPr>
              <w:keepNext w:val="0"/>
              <w:keepLines w:val="0"/>
              <w:pageBreakBefore w:val="0"/>
              <w:wordWrap/>
              <w:topLinePunct w:val="0"/>
              <w:bidi w:val="0"/>
              <w:adjustRightInd w:val="0"/>
              <w:snapToGrid w:val="0"/>
              <w:spacing w:before="68" w:line="440" w:lineRule="exact"/>
              <w:ind w:left="112" w:right="106"/>
              <w:jc w:val="left"/>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w:t>
            </w:r>
            <w:r>
              <w:rPr>
                <w:rFonts w:hint="eastAsia" w:asciiTheme="minorEastAsia" w:hAnsiTheme="minorEastAsia" w:eastAsiaTheme="minorEastAsia" w:cstheme="minorEastAsia"/>
                <w:color w:val="000000" w:themeColor="text1"/>
                <w:spacing w:val="-2"/>
                <w:sz w:val="24"/>
                <w14:textFill>
                  <w14:solidFill>
                    <w14:schemeClr w14:val="tx1"/>
                  </w14:solidFill>
                </w14:textFill>
              </w:rPr>
              <w:t>对本项目质量及安全控制有一定的认识，基本能合理的预见施 工过程中可能发生的各种质量和 安全问题，并有相应的应对措施，应对措施较为科学、充分， 基本能有效处理各种质量和安全问题的，得0.8-0.9分（满分分值的 80%~90%）；</w:t>
            </w:r>
          </w:p>
          <w:p w14:paraId="343095FC">
            <w:pPr>
              <w:keepNext w:val="0"/>
              <w:keepLines w:val="0"/>
              <w:pageBreakBefore w:val="0"/>
              <w:wordWrap/>
              <w:topLinePunct w:val="0"/>
              <w:bidi w:val="0"/>
              <w:adjustRightInd w:val="0"/>
              <w:snapToGrid w:val="0"/>
              <w:spacing w:before="28" w:line="440" w:lineRule="exact"/>
              <w:ind w:left="113" w:right="229" w:firstLine="5"/>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③一般但不被评定为不响应的, 起评分0.8分（满分分值的80%）。</w:t>
            </w:r>
          </w:p>
        </w:tc>
      </w:tr>
      <w:tr w14:paraId="001E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852" w:type="dxa"/>
            <w:vMerge w:val="continue"/>
            <w:vAlign w:val="center"/>
          </w:tcPr>
          <w:p w14:paraId="514F8D7E">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Align w:val="center"/>
          </w:tcPr>
          <w:p w14:paraId="230F755A">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48" w:type="dxa"/>
            <w:gridSpan w:val="2"/>
            <w:vMerge w:val="continue"/>
            <w:vAlign w:val="center"/>
          </w:tcPr>
          <w:p w14:paraId="462E83D2">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3" w:type="dxa"/>
            <w:shd w:val="clear" w:color="auto" w:fill="auto"/>
            <w:vAlign w:val="center"/>
          </w:tcPr>
          <w:p w14:paraId="15D0D7C4">
            <w:pPr>
              <w:keepNext w:val="0"/>
              <w:keepLines w:val="0"/>
              <w:pageBreakBefore w:val="0"/>
              <w:wordWrap/>
              <w:topLinePunct w:val="0"/>
              <w:bidi w:val="0"/>
              <w:adjustRightInd w:val="0"/>
              <w:snapToGrid w:val="0"/>
              <w:spacing w:before="69"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4F051207">
            <w:pPr>
              <w:keepNext w:val="0"/>
              <w:keepLines w:val="0"/>
              <w:pageBreakBefore w:val="0"/>
              <w:wordWrap/>
              <w:topLinePunct w:val="0"/>
              <w:bidi w:val="0"/>
              <w:adjustRightInd w:val="0"/>
              <w:snapToGrid w:val="0"/>
              <w:spacing w:before="69"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622CE7F8">
            <w:pPr>
              <w:keepNext w:val="0"/>
              <w:keepLines w:val="0"/>
              <w:pageBreakBefore w:val="0"/>
              <w:wordWrap/>
              <w:topLinePunct w:val="0"/>
              <w:bidi w:val="0"/>
              <w:adjustRightInd w:val="0"/>
              <w:snapToGrid w:val="0"/>
              <w:spacing w:before="69"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793FC5ED">
            <w:pPr>
              <w:keepNext w:val="0"/>
              <w:keepLines w:val="0"/>
              <w:pageBreakBefore w:val="0"/>
              <w:wordWrap/>
              <w:topLinePunct w:val="0"/>
              <w:bidi w:val="0"/>
              <w:adjustRightInd w:val="0"/>
              <w:snapToGrid w:val="0"/>
              <w:spacing w:before="69" w:line="440" w:lineRule="exact"/>
              <w:ind w:left="112" w:right="106"/>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环境保护、 文明施工保 证体系及措 施</w:t>
            </w:r>
          </w:p>
        </w:tc>
        <w:tc>
          <w:tcPr>
            <w:tcW w:w="821" w:type="dxa"/>
            <w:shd w:val="clear" w:color="auto" w:fill="auto"/>
            <w:vAlign w:val="center"/>
          </w:tcPr>
          <w:p w14:paraId="5D23A341">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43090F1C">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6464AFB8">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36159032">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092B1A75">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p>
          <w:p w14:paraId="2819306A">
            <w:pPr>
              <w:keepNext w:val="0"/>
              <w:keepLines w:val="0"/>
              <w:pageBreakBefore w:val="0"/>
              <w:tabs>
                <w:tab w:val="left" w:pos="313"/>
              </w:tabs>
              <w:wordWrap/>
              <w:topLinePunct w:val="0"/>
              <w:bidi w:val="0"/>
              <w:adjustRightInd w:val="0"/>
              <w:snapToGrid w:val="0"/>
              <w:spacing w:before="68" w:line="440" w:lineRule="exact"/>
              <w:ind w:left="104"/>
              <w:jc w:val="center"/>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1分</w:t>
            </w:r>
          </w:p>
        </w:tc>
        <w:tc>
          <w:tcPr>
            <w:tcW w:w="5116" w:type="dxa"/>
            <w:shd w:val="clear" w:color="auto" w:fill="auto"/>
          </w:tcPr>
          <w:p w14:paraId="58D32E29">
            <w:pPr>
              <w:keepNext w:val="0"/>
              <w:keepLines w:val="0"/>
              <w:pageBreakBefore w:val="0"/>
              <w:wordWrap/>
              <w:topLinePunct w:val="0"/>
              <w:bidi w:val="0"/>
              <w:adjustRightInd w:val="0"/>
              <w:snapToGrid w:val="0"/>
              <w:spacing w:before="26" w:line="440" w:lineRule="exact"/>
              <w:ind w:left="112" w:right="171" w:firstLine="6"/>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w:t>
            </w:r>
            <w:r>
              <w:rPr>
                <w:rFonts w:hint="eastAsia" w:asciiTheme="minorEastAsia" w:hAnsiTheme="minorEastAsia" w:eastAsiaTheme="minorEastAsia" w:cstheme="minorEastAsia"/>
                <w:color w:val="000000" w:themeColor="text1"/>
                <w:spacing w:val="-2"/>
                <w:sz w:val="24"/>
                <w14:textFill>
                  <w14:solidFill>
                    <w14:schemeClr w14:val="tx1"/>
                  </w14:solidFill>
                </w14:textFill>
              </w:rPr>
              <w:t>对本项目的环保及文明施工 等工作有独到的见解，能制定科学 的措施， 施工做到符合环保的要 求，对文明施工有相应的措施，能 创造良好的施工环境的，得0.9-1.0分（满分分值的 90%~100%）；</w:t>
            </w:r>
          </w:p>
          <w:p w14:paraId="1D2BE683">
            <w:pPr>
              <w:keepNext w:val="0"/>
              <w:keepLines w:val="0"/>
              <w:pageBreakBefore w:val="0"/>
              <w:wordWrap/>
              <w:topLinePunct w:val="0"/>
              <w:bidi w:val="0"/>
              <w:adjustRightInd w:val="0"/>
              <w:snapToGrid w:val="0"/>
              <w:spacing w:before="68" w:line="440" w:lineRule="exact"/>
              <w:ind w:left="112" w:right="106"/>
              <w:jc w:val="left"/>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②</w:t>
            </w:r>
            <w:r>
              <w:rPr>
                <w:rFonts w:hint="eastAsia" w:asciiTheme="minorEastAsia" w:hAnsiTheme="minorEastAsia" w:eastAsiaTheme="minorEastAsia" w:cstheme="minorEastAsia"/>
                <w:color w:val="000000" w:themeColor="text1"/>
                <w:spacing w:val="-2"/>
                <w:sz w:val="24"/>
                <w14:textFill>
                  <w14:solidFill>
                    <w14:schemeClr w14:val="tx1"/>
                  </w14:solidFill>
                </w14:textFill>
              </w:rPr>
              <w:t>对工程环保及文明施工等工 作制定有相关的措施，基本能满足本项目环保及文明施工的要求的， 得0.8-0.9分（满分分值的80%~90%）；</w:t>
            </w:r>
          </w:p>
          <w:p w14:paraId="10EB1317">
            <w:pPr>
              <w:keepNext w:val="0"/>
              <w:keepLines w:val="0"/>
              <w:pageBreakBefore w:val="0"/>
              <w:wordWrap/>
              <w:topLinePunct w:val="0"/>
              <w:bidi w:val="0"/>
              <w:adjustRightInd w:val="0"/>
              <w:snapToGrid w:val="0"/>
              <w:spacing w:before="29" w:line="440" w:lineRule="exact"/>
              <w:ind w:left="114" w:right="229" w:firstLine="4"/>
              <w:rPr>
                <w:rFonts w:hint="eastAsia" w:asciiTheme="minorEastAsia" w:hAnsiTheme="minorEastAsia" w:eastAsiaTheme="minorEastAsia" w:cstheme="minorEastAsia"/>
                <w:color w:val="000000" w:themeColor="text1"/>
                <w:spacing w:val="-2"/>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③一般但不被评定为不响应的, 起评分0.8分（满分分值的80%）。</w:t>
            </w:r>
          </w:p>
        </w:tc>
      </w:tr>
      <w:tr w14:paraId="5C1E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852" w:type="dxa"/>
            <w:vMerge w:val="restart"/>
            <w:vAlign w:val="center"/>
          </w:tcPr>
          <w:p w14:paraId="79A9112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2.2.4（2）</w:t>
            </w:r>
          </w:p>
        </w:tc>
        <w:tc>
          <w:tcPr>
            <w:tcW w:w="1116" w:type="dxa"/>
            <w:vMerge w:val="restart"/>
            <w:vAlign w:val="center"/>
          </w:tcPr>
          <w:p w14:paraId="33939D8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（B）</w:t>
            </w:r>
          </w:p>
          <w:p w14:paraId="63B3606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3"/>
                <w:sz w:val="24"/>
                <w:highlight w:val="none"/>
                <w14:textFill>
                  <w14:solidFill>
                    <w14:schemeClr w14:val="tx1"/>
                  </w14:solidFill>
                </w14:textFill>
              </w:rPr>
              <w:t>项目管理机构</w:t>
            </w:r>
            <w:r>
              <w:rPr>
                <w:rFonts w:hint="eastAsia" w:asciiTheme="minorEastAsia" w:hAnsiTheme="minorEastAsia" w:eastAsiaTheme="minorEastAsia" w:cstheme="minorEastAsia"/>
                <w:color w:val="000000" w:themeColor="text1"/>
                <w:w w:val="90"/>
                <w:sz w:val="24"/>
                <w:highlight w:val="none"/>
                <w14:textFill>
                  <w14:solidFill>
                    <w14:schemeClr w14:val="tx1"/>
                  </w14:solidFill>
                </w14:textFill>
              </w:rPr>
              <w:t>（</w:t>
            </w:r>
            <w:r>
              <w:rPr>
                <w:rFonts w:hint="eastAsia" w:asciiTheme="minorEastAsia" w:hAnsiTheme="minorEastAsia" w:cstheme="minorEastAsia"/>
                <w:color w:val="000000" w:themeColor="text1"/>
                <w:w w:val="90"/>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w w:val="90"/>
                <w:sz w:val="24"/>
                <w:highlight w:val="none"/>
                <w14:textFill>
                  <w14:solidFill>
                    <w14:schemeClr w14:val="tx1"/>
                  </w14:solidFill>
                </w14:textFill>
              </w:rPr>
              <w:t>分）</w:t>
            </w:r>
          </w:p>
        </w:tc>
        <w:tc>
          <w:tcPr>
            <w:tcW w:w="2611" w:type="dxa"/>
            <w:gridSpan w:val="3"/>
            <w:vAlign w:val="center"/>
          </w:tcPr>
          <w:p w14:paraId="394B9E38">
            <w:pPr>
              <w:keepNext w:val="0"/>
              <w:keepLines w:val="0"/>
              <w:pageBreakBefore w:val="0"/>
              <w:wordWrap/>
              <w:topLinePunct w:val="0"/>
              <w:bidi w:val="0"/>
              <w:adjustRightInd w:val="0"/>
              <w:snapToGrid w:val="0"/>
              <w:spacing w:line="360" w:lineRule="auto"/>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项目经理</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项目总工任职资格与业绩</w:t>
            </w:r>
          </w:p>
        </w:tc>
        <w:tc>
          <w:tcPr>
            <w:tcW w:w="821" w:type="dxa"/>
            <w:vAlign w:val="center"/>
          </w:tcPr>
          <w:p w14:paraId="563266E3">
            <w:pPr>
              <w:keepNext w:val="0"/>
              <w:keepLines w:val="0"/>
              <w:pageBreakBefore w:val="0"/>
              <w:wordWrap/>
              <w:topLinePunct w:val="0"/>
              <w:bidi w:val="0"/>
              <w:adjustRightInd w:val="0"/>
              <w:snapToGrid w:val="0"/>
              <w:spacing w:line="360" w:lineRule="auto"/>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5116" w:type="dxa"/>
          </w:tcPr>
          <w:p w14:paraId="6C90AC8A">
            <w:pPr>
              <w:keepNext w:val="0"/>
              <w:keepLines w:val="0"/>
              <w:pageBreakBefore w:val="0"/>
              <w:wordWrap/>
              <w:topLinePunct w:val="0"/>
              <w:bidi w:val="0"/>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满足资格审查条件（项目经理</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项目总工</w:t>
            </w:r>
            <w:r>
              <w:rPr>
                <w:rFonts w:hint="eastAsia" w:asciiTheme="minorEastAsia" w:hAnsiTheme="minorEastAsia" w:eastAsiaTheme="minorEastAsia" w:cstheme="minorEastAsia"/>
                <w:color w:val="000000" w:themeColor="text1"/>
                <w:sz w:val="24"/>
                <w14:textFill>
                  <w14:solidFill>
                    <w14:schemeClr w14:val="tx1"/>
                  </w14:solidFill>
                </w14:textFill>
              </w:rPr>
              <w:t>最低要求）得1分；</w:t>
            </w:r>
          </w:p>
          <w:p w14:paraId="4873F3D0">
            <w:pPr>
              <w:keepNext w:val="0"/>
              <w:keepLines w:val="0"/>
              <w:pageBreakBefore w:val="0"/>
              <w:wordWrap/>
              <w:topLinePunct w:val="0"/>
              <w:bidi w:val="0"/>
              <w:adjustRightInd w:val="0"/>
              <w:snapToGrid w:val="0"/>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注：联合体参与投标的，项目经理由承担施工任务的单位提供。</w:t>
            </w:r>
          </w:p>
        </w:tc>
      </w:tr>
      <w:tr w14:paraId="7C8F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7" w:hRule="atLeast"/>
        </w:trPr>
        <w:tc>
          <w:tcPr>
            <w:tcW w:w="852" w:type="dxa"/>
            <w:vMerge w:val="continue"/>
            <w:vAlign w:val="center"/>
          </w:tcPr>
          <w:p w14:paraId="2B50AF6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5F60F5F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highlight w:val="none"/>
                <w14:textFill>
                  <w14:solidFill>
                    <w14:schemeClr w14:val="tx1"/>
                  </w14:solidFill>
                </w14:textFill>
              </w:rPr>
            </w:pPr>
          </w:p>
        </w:tc>
        <w:tc>
          <w:tcPr>
            <w:tcW w:w="2611" w:type="dxa"/>
            <w:gridSpan w:val="3"/>
            <w:shd w:val="clear" w:color="auto" w:fill="auto"/>
            <w:vAlign w:val="center"/>
          </w:tcPr>
          <w:p w14:paraId="6186CD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项目设计负责人任职</w:t>
            </w:r>
          </w:p>
          <w:p w14:paraId="29C8C06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资格与业绩</w:t>
            </w:r>
          </w:p>
        </w:tc>
        <w:tc>
          <w:tcPr>
            <w:tcW w:w="821" w:type="dxa"/>
            <w:shd w:val="clear" w:color="auto" w:fill="auto"/>
            <w:vAlign w:val="center"/>
          </w:tcPr>
          <w:p w14:paraId="3C02DEA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5116" w:type="dxa"/>
            <w:shd w:val="clear" w:color="auto" w:fill="auto"/>
            <w:vAlign w:val="center"/>
          </w:tcPr>
          <w:p w14:paraId="32984CC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满足资格审查条件（设计负责人最低要求）得基本分1分；在此基础上：</w:t>
            </w:r>
          </w:p>
          <w:p w14:paraId="0346764C">
            <w:pPr>
              <w:pStyle w:val="5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①具有路桥相关专业正高级职称证书的，加</w:t>
            </w:r>
          </w:p>
          <w:p w14:paraId="35309CB5">
            <w:pPr>
              <w:pStyle w:val="5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0.5</w:t>
            </w:r>
            <w:r>
              <w:rPr>
                <w:rFonts w:hint="eastAsia" w:asciiTheme="minorEastAsia" w:hAnsiTheme="minorEastAsia" w:eastAsiaTheme="minorEastAsia" w:cstheme="minorEastAsia"/>
                <w:color w:val="000000" w:themeColor="text1"/>
                <w:sz w:val="24"/>
                <w14:textFill>
                  <w14:solidFill>
                    <w14:schemeClr w14:val="tx1"/>
                  </w14:solidFill>
                </w14:textFill>
              </w:rPr>
              <w:t>分；</w:t>
            </w:r>
          </w:p>
          <w:p w14:paraId="4660B18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②具有注册土木工程师（道路工程）执业资格证书的，加</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0.5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2A74DCB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③项目设计负责人2019年</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9月1日起</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至今获得</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过国家级相关行业协会</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颁发的</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公路交通优秀设计奖</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的，加2分。</w:t>
            </w:r>
          </w:p>
          <w:p w14:paraId="3BD4B22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注：本项</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最多加</w:t>
            </w: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分，加分项需提供证书的彩色扫描件方可计分。</w:t>
            </w:r>
            <w:r>
              <w:rPr>
                <w:rFonts w:hint="eastAsia" w:asciiTheme="minorEastAsia" w:hAnsiTheme="minorEastAsia" w:eastAsiaTheme="minorEastAsia" w:cstheme="minorEastAsia"/>
                <w:b/>
                <w:bCs/>
                <w:color w:val="000000" w:themeColor="text1"/>
                <w:sz w:val="24"/>
                <w14:textFill>
                  <w14:solidFill>
                    <w14:schemeClr w14:val="tx1"/>
                  </w14:solidFill>
                </w14:textFill>
              </w:rPr>
              <w:t>若为联合体投标的，项目设计负责人由承担勘察设计任务的单位提供。</w:t>
            </w:r>
          </w:p>
        </w:tc>
      </w:tr>
      <w:tr w14:paraId="074F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trPr>
        <w:tc>
          <w:tcPr>
            <w:tcW w:w="852" w:type="dxa"/>
            <w:shd w:val="clear" w:color="auto" w:fill="auto"/>
            <w:vAlign w:val="center"/>
          </w:tcPr>
          <w:p w14:paraId="7821C55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2.2.4（3）</w:t>
            </w:r>
          </w:p>
        </w:tc>
        <w:tc>
          <w:tcPr>
            <w:tcW w:w="3727" w:type="dxa"/>
            <w:gridSpan w:val="4"/>
            <w:shd w:val="clear" w:color="auto" w:fill="auto"/>
            <w:vAlign w:val="center"/>
          </w:tcPr>
          <w:p w14:paraId="0B84C9E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（C）</w:t>
            </w:r>
          </w:p>
          <w:p w14:paraId="53151149">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评标价</w:t>
            </w:r>
          </w:p>
        </w:tc>
        <w:tc>
          <w:tcPr>
            <w:tcW w:w="821" w:type="dxa"/>
            <w:shd w:val="clear" w:color="auto" w:fill="auto"/>
            <w:vAlign w:val="center"/>
          </w:tcPr>
          <w:p w14:paraId="64C70BB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14:textFill>
                  <w14:solidFill>
                    <w14:schemeClr w14:val="tx1"/>
                  </w14:solidFill>
                </w14:textFill>
              </w:rPr>
              <w:t>0分</w:t>
            </w:r>
          </w:p>
        </w:tc>
        <w:tc>
          <w:tcPr>
            <w:tcW w:w="5116" w:type="dxa"/>
            <w:vAlign w:val="center"/>
          </w:tcPr>
          <w:p w14:paraId="24A77C92">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投标报价得分计算：</w:t>
            </w:r>
          </w:p>
          <w:p w14:paraId="3520446D">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如果投标人的投标价&gt;评标基准价：</w:t>
            </w:r>
          </w:p>
          <w:p w14:paraId="421FFF22">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则投标价得分＝</w:t>
            </w:r>
            <w:r>
              <w:rPr>
                <w:rFonts w:hint="eastAsia" w:asciiTheme="minorEastAsia" w:hAnsiTheme="minorEastAsia" w:cstheme="minorEastAsia"/>
                <w:color w:val="000000" w:themeColor="text1"/>
                <w:sz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14:textFill>
                  <w14:solidFill>
                    <w14:schemeClr w14:val="tx1"/>
                  </w14:solidFill>
                </w14:textFill>
              </w:rPr>
              <w:t>0－偏差率×100×0.2；</w:t>
            </w:r>
          </w:p>
          <w:p w14:paraId="50C0AF8D">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如果投标人的投标价≤评标基准价：</w:t>
            </w:r>
          </w:p>
          <w:p w14:paraId="380AC33C">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则投标价得分＝</w:t>
            </w:r>
            <w:r>
              <w:rPr>
                <w:rFonts w:hint="eastAsia" w:asciiTheme="minorEastAsia" w:hAnsiTheme="minorEastAsia" w:cstheme="minorEastAsia"/>
                <w:color w:val="000000" w:themeColor="text1"/>
                <w:sz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14:textFill>
                  <w14:solidFill>
                    <w14:schemeClr w14:val="tx1"/>
                  </w14:solidFill>
                </w14:textFill>
              </w:rPr>
              <w:t>0+偏差率×100×0.1。</w:t>
            </w:r>
          </w:p>
          <w:p w14:paraId="590AE00F">
            <w:pPr>
              <w:keepNext w:val="0"/>
              <w:keepLines w:val="0"/>
              <w:pageBreakBefore w:val="0"/>
              <w:wordWrap/>
              <w:topLinePunct w:val="0"/>
              <w:bidi w:val="0"/>
              <w:adjustRightInd w:val="0"/>
              <w:snapToGrid w:val="0"/>
              <w:spacing w:line="440" w:lineRule="exact"/>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投标价得分保留小数点后</w:t>
            </w:r>
            <w:r>
              <w:rPr>
                <w:rFonts w:hint="eastAsia" w:asciiTheme="minorEastAsia" w:hAnsiTheme="minorEastAsia" w:cstheme="minorEastAsia"/>
                <w:color w:val="000000" w:themeColor="text1"/>
                <w:sz w:val="24"/>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sz w:val="24"/>
                <w14:textFill>
                  <w14:solidFill>
                    <w14:schemeClr w14:val="tx1"/>
                  </w14:solidFill>
                </w14:textFill>
              </w:rPr>
              <w:t>位数值（小数点后第</w:t>
            </w:r>
            <w:r>
              <w:rPr>
                <w:rFonts w:hint="eastAsia" w:asciiTheme="minorEastAsia" w:hAnsiTheme="minorEastAsia" w:cstheme="minorEastAsia"/>
                <w:color w:val="000000" w:themeColor="text1"/>
                <w:sz w:val="24"/>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4"/>
                <w14:textFill>
                  <w14:solidFill>
                    <w14:schemeClr w14:val="tx1"/>
                  </w14:solidFill>
                </w14:textFill>
              </w:rPr>
              <w:t>位数值应四舍五入）。</w:t>
            </w:r>
          </w:p>
          <w:p w14:paraId="2DA5B8D5">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投标报价得分扣完为止。</w:t>
            </w:r>
          </w:p>
        </w:tc>
      </w:tr>
      <w:tr w14:paraId="6246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852" w:type="dxa"/>
            <w:vMerge w:val="restart"/>
            <w:shd w:val="clear" w:color="auto" w:fill="auto"/>
            <w:vAlign w:val="center"/>
          </w:tcPr>
          <w:p w14:paraId="2D4A529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2.2.4（4）</w:t>
            </w:r>
          </w:p>
        </w:tc>
        <w:tc>
          <w:tcPr>
            <w:tcW w:w="1116" w:type="dxa"/>
            <w:vMerge w:val="restart"/>
            <w:shd w:val="clear" w:color="auto" w:fill="auto"/>
            <w:vAlign w:val="center"/>
          </w:tcPr>
          <w:p w14:paraId="0A74471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（D）</w:t>
            </w:r>
          </w:p>
          <w:p w14:paraId="5A9E9D1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其他</w:t>
            </w:r>
          </w:p>
          <w:p w14:paraId="30221CAB">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因素</w:t>
            </w:r>
          </w:p>
          <w:p w14:paraId="3BB6E717">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c>
          <w:tcPr>
            <w:tcW w:w="2611" w:type="dxa"/>
            <w:gridSpan w:val="3"/>
            <w:vAlign w:val="center"/>
          </w:tcPr>
          <w:p w14:paraId="1B8CEDF5">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技术能力</w:t>
            </w:r>
            <w:r>
              <w:rPr>
                <w:rFonts w:hint="default" w:asciiTheme="minorEastAsia" w:hAnsiTheme="minorEastAsia" w:eastAsiaTheme="minorEastAsia" w:cstheme="minorEastAsia"/>
                <w:color w:val="000000" w:themeColor="text1"/>
                <w:sz w:val="24"/>
                <w14:textFill>
                  <w14:solidFill>
                    <w14:schemeClr w14:val="tx1"/>
                  </w14:solidFill>
                </w14:textFill>
              </w:rPr>
              <w:t>①</w:t>
            </w:r>
          </w:p>
        </w:tc>
        <w:tc>
          <w:tcPr>
            <w:tcW w:w="821" w:type="dxa"/>
            <w:vAlign w:val="center"/>
          </w:tcPr>
          <w:p w14:paraId="5B00B8BA">
            <w:pPr>
              <w:keepNext w:val="0"/>
              <w:keepLines w:val="0"/>
              <w:pageBreakBefore w:val="0"/>
              <w:wordWrap/>
              <w:topLinePunct w:val="0"/>
              <w:bidi w:val="0"/>
              <w:adjustRightInd w:val="0"/>
              <w:snapToGrid w:val="0"/>
              <w:spacing w:line="440" w:lineRule="exact"/>
              <w:jc w:val="both"/>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5116" w:type="dxa"/>
            <w:vAlign w:val="center"/>
          </w:tcPr>
          <w:p w14:paraId="4ED0383F">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1.投标人自2019年9月1日至今（以获奖证书或获奖文件所载时间为准），</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获得</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过的同类项目获得过鲁班奖、国优奖、詹天佑奖的，每提供一项加</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0.5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分，本小项评分可累计加分，最多加</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7F49EC30">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2.投标人具有国家级科研平台的，得</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分，具有省级科研平台的，得1分，同一事项只按最高级别计分，不累计加分。</w:t>
            </w:r>
          </w:p>
          <w:p w14:paraId="2C966099">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注：本项最多加</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分，①同类项目指公路或桥梁项目，须提供获奖证书或获奖文件彩色扫描件（获奖文件须附查询网址）及交通运输部“</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”获奖信息的网页截图，否则不予计分。②国家级、省级科研平台须提供科技行政主管部门或发改委认定的发文、公告或通知网页截图，否则不予计分。③若为联合体，可由联合体任意一方提供。</w:t>
            </w:r>
          </w:p>
        </w:tc>
      </w:tr>
      <w:tr w14:paraId="7111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trPr>
        <w:tc>
          <w:tcPr>
            <w:tcW w:w="852" w:type="dxa"/>
            <w:vMerge w:val="continue"/>
            <w:vAlign w:val="center"/>
          </w:tcPr>
          <w:p w14:paraId="70FD45E0">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54EED306">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611" w:type="dxa"/>
            <w:gridSpan w:val="3"/>
            <w:vAlign w:val="center"/>
          </w:tcPr>
          <w:p w14:paraId="0460E373">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技术能力②</w:t>
            </w:r>
          </w:p>
          <w:p w14:paraId="416D863F">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821" w:type="dxa"/>
            <w:vAlign w:val="center"/>
          </w:tcPr>
          <w:p w14:paraId="29DD46E4">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5116" w:type="dxa"/>
            <w:vAlign w:val="center"/>
          </w:tcPr>
          <w:p w14:paraId="4497C93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1.投标人获得工程勘察设计行业质量管理体系升级版认证证书AAA，且在有效期内</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加</w:t>
            </w:r>
            <w:r>
              <w:rPr>
                <w:rFonts w:hint="eastAsia" w:asciiTheme="minorEastAsia" w:hAnsiTheme="minorEastAsia" w:eastAsiaTheme="minorEastAsia" w:cstheme="minorEastAsia"/>
                <w:color w:val="000000" w:themeColor="text1"/>
                <w:sz w:val="24"/>
                <w14:textFill>
                  <w14:solidFill>
                    <w14:schemeClr w14:val="tx1"/>
                  </w14:solidFill>
                </w14:textFill>
              </w:rPr>
              <w:t>1分；获得工程勘察设计行业质量管理体系升级版认证证书AAA+，且在有效期内</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加</w:t>
            </w:r>
            <w:r>
              <w:rPr>
                <w:rFonts w:hint="eastAsia" w:asciiTheme="minorEastAsia" w:hAnsiTheme="minorEastAsia" w:eastAsiaTheme="minorEastAsia" w:cstheme="minorEastAsia"/>
                <w:color w:val="000000" w:themeColor="text1"/>
                <w:sz w:val="24"/>
                <w14:textFill>
                  <w14:solidFill>
                    <w14:schemeClr w14:val="tx1"/>
                  </w14:solidFill>
                </w14:textFill>
              </w:rPr>
              <w:t>2分。</w:t>
            </w:r>
          </w:p>
          <w:p w14:paraId="6861966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本小项最多加2分，同一事项只按最高级别计分，不累计加分。</w:t>
            </w:r>
          </w:p>
          <w:p w14:paraId="5E58D931">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2.投标人近</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五年</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来</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（2019年9月1日</w:t>
            </w:r>
            <w:r>
              <w:rPr>
                <w:rFonts w:hint="eastAsia" w:asciiTheme="minorEastAsia" w:hAnsiTheme="minorEastAsia" w:eastAsiaTheme="minorEastAsia" w:cstheme="minorEastAsia"/>
                <w:color w:val="000000" w:themeColor="text1"/>
                <w:sz w:val="24"/>
                <w14:textFill>
                  <w14:solidFill>
                    <w14:schemeClr w14:val="tx1"/>
                  </w14:solidFill>
                </w14:textFill>
              </w:rPr>
              <w:t>至今，时间以证书所载时间为准）获得过省级（或以上）人民政府颁发的质量类奖项的，得2分；获得市级（或以上）人民政府颁发的质量类奖项的，</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加</w:t>
            </w:r>
            <w:r>
              <w:rPr>
                <w:rFonts w:hint="eastAsia" w:asciiTheme="minorEastAsia" w:hAnsiTheme="minorEastAsia" w:eastAsiaTheme="minorEastAsia" w:cstheme="minorEastAsia"/>
                <w:color w:val="000000" w:themeColor="text1"/>
                <w:sz w:val="24"/>
                <w14:textFill>
                  <w14:solidFill>
                    <w14:schemeClr w14:val="tx1"/>
                  </w14:solidFill>
                </w14:textFill>
              </w:rPr>
              <w:t>1分；</w:t>
            </w:r>
          </w:p>
          <w:p w14:paraId="1540D5D0">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本小项最多加2分，同一事项只按最高级别计分，不累计加分。</w:t>
            </w:r>
          </w:p>
          <w:p w14:paraId="245879E2">
            <w:pPr>
              <w:keepNext w:val="0"/>
              <w:keepLines w:val="0"/>
              <w:pageBreakBefore w:val="0"/>
              <w:widowControl w:val="0"/>
              <w:numPr>
                <w:ilvl w:val="0"/>
                <w:numId w:val="5"/>
              </w:numPr>
              <w:kinsoku/>
              <w:wordWrap/>
              <w:overflowPunct/>
              <w:topLinePunct w:val="0"/>
              <w:autoSpaceDE/>
              <w:autoSpaceDN/>
              <w:bidi w:val="0"/>
              <w:adjustRightInd w:val="0"/>
              <w:snapToGrid w:val="0"/>
              <w:spacing w:line="312" w:lineRule="auto"/>
              <w:ind w:left="240" w:hanging="240" w:hangingChars="100"/>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投标人获得过“国家企业技术中心”称号的，</w:t>
            </w:r>
          </w:p>
          <w:p w14:paraId="35F60EA6">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100" w:firstLine="240" w:firstLineChars="100"/>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加</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1分。</w:t>
            </w:r>
          </w:p>
          <w:p w14:paraId="7B8DFF83">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：本项最多加5分，①</w:t>
            </w:r>
            <w:r>
              <w:rPr>
                <w:rFonts w:hint="eastAsia" w:asciiTheme="minorEastAsia" w:hAnsiTheme="minorEastAsia" w:eastAsiaTheme="minorEastAsia" w:cstheme="minorEastAsia"/>
                <w:b/>
                <w:bCs/>
                <w:color w:val="000000" w:themeColor="text1"/>
                <w:sz w:val="24"/>
                <w14:textFill>
                  <w14:solidFill>
                    <w14:schemeClr w14:val="tx1"/>
                  </w14:solidFill>
                </w14:textFill>
              </w:rPr>
              <w:t>体系认证须提供认证扫描件及相关勘察设计协会查询截图，否则不予计分。②质量类项获奖证书或获奖文件须提供彩色扫描件，否则不予计分。③获奖称号须提供相关发文机构颁发的文件或网页截图，否则不予计分。④若为联合体，可由联合体任意一方提供。</w:t>
            </w:r>
          </w:p>
        </w:tc>
      </w:tr>
      <w:tr w14:paraId="666C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5" w:hRule="atLeast"/>
        </w:trPr>
        <w:tc>
          <w:tcPr>
            <w:tcW w:w="852" w:type="dxa"/>
            <w:vMerge w:val="restart"/>
            <w:vAlign w:val="center"/>
          </w:tcPr>
          <w:p w14:paraId="5FF9B38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0F992878">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611" w:type="dxa"/>
            <w:gridSpan w:val="3"/>
            <w:vAlign w:val="center"/>
          </w:tcPr>
          <w:p w14:paraId="15B0767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财务能力</w:t>
            </w:r>
          </w:p>
        </w:tc>
        <w:tc>
          <w:tcPr>
            <w:tcW w:w="821" w:type="dxa"/>
            <w:vAlign w:val="center"/>
          </w:tcPr>
          <w:p w14:paraId="03D2347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highlight w:val="yellow"/>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tc>
        <w:tc>
          <w:tcPr>
            <w:tcW w:w="5116" w:type="dxa"/>
            <w:vAlign w:val="center"/>
          </w:tcPr>
          <w:p w14:paraId="4857DB4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1.投标人近3年（2021、2022、2023年度）资产负债率均值：</w:t>
            </w:r>
          </w:p>
          <w:p w14:paraId="2D8FB29F">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①75%以下的，得</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分（不含75%）；</w:t>
            </w:r>
          </w:p>
          <w:p w14:paraId="1A67A487">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default" w:asciiTheme="minorEastAsia" w:hAnsiTheme="minorEastAsia" w:eastAsiaTheme="minorEastAsia" w:cstheme="minorEastAsia"/>
                <w:color w:val="000000" w:themeColor="text1"/>
                <w:sz w:val="24"/>
                <w:highlight w:val="none"/>
                <w14:textFill>
                  <w14:solidFill>
                    <w14:schemeClr w14:val="tx1"/>
                  </w14:solidFill>
                </w14:textFill>
              </w:rPr>
              <w:t>②</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75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%及以上不得分。</w:t>
            </w:r>
          </w:p>
          <w:p w14:paraId="00AD20A9">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2.投标人的纳税情况：</w:t>
            </w:r>
          </w:p>
          <w:p w14:paraId="794CE6CE">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①连续8年（不含8年）以上获得“A级纳税人”称号的（须含2023年），得</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553DA56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②连续5-8年获得“A级纳税人”称号的（须含2023年），得</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1DD7533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③连续1-4年获得“A级纳税人”称号的（须含2023年），得1分；</w:t>
            </w:r>
          </w:p>
          <w:p w14:paraId="5B3333A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本小项最多加</w:t>
            </w: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分。</w:t>
            </w:r>
          </w:p>
          <w:p w14:paraId="27147F02">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注：①投标人资产负债率、企业净资产按交通运输部“</w:t>
            </w:r>
            <w:r>
              <w:rPr>
                <w:rFonts w:hint="eastAsia" w:asciiTheme="minorEastAsia" w:hAnsiTheme="minorEastAsia" w:eastAsiaTheme="minorEastAsia" w:cstheme="minorEastAsia"/>
                <w:b/>
                <w:bCs/>
                <w:color w:val="000000" w:themeColor="text1"/>
                <w:sz w:val="24"/>
                <w:highlight w:val="none"/>
                <w:lang w:eastAsia="zh-CN"/>
                <w14:textFill>
                  <w14:solidFill>
                    <w14:schemeClr w14:val="tx1"/>
                  </w14:solidFill>
                </w14:textFill>
              </w:rPr>
              <w:t>全国公路建设市场监督管理系统</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”登记的数据计算，并附网页截图，否则不予计分。②“A级纳税人”称号的时间以评价年度为准，提供相应证明文件彩色扫描件</w:t>
            </w:r>
            <w:r>
              <w:rPr>
                <w:rFonts w:hint="eastAsia" w:asciiTheme="minorEastAsia" w:hAnsiTheme="minorEastAsia" w:eastAsiaTheme="minorEastAsia" w:cstheme="minorEastAsia"/>
                <w:b/>
                <w:bCs/>
                <w:color w:val="000000" w:themeColor="text1"/>
                <w:sz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否则不得分。不符合上述条件或未提交资料的不计分。③若为联合体，由联合体牵头方提供。</w:t>
            </w:r>
          </w:p>
        </w:tc>
      </w:tr>
      <w:tr w14:paraId="0907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852" w:type="dxa"/>
            <w:vMerge w:val="continue"/>
          </w:tcPr>
          <w:p w14:paraId="0ABC5609">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6F6F560C">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611" w:type="dxa"/>
            <w:gridSpan w:val="3"/>
            <w:vAlign w:val="center"/>
          </w:tcPr>
          <w:p w14:paraId="179B602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类似业绩</w:t>
            </w:r>
          </w:p>
          <w:p w14:paraId="275395A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821" w:type="dxa"/>
            <w:vAlign w:val="center"/>
          </w:tcPr>
          <w:p w14:paraId="37D46ED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14:textFill>
                  <w14:solidFill>
                    <w14:schemeClr w14:val="tx1"/>
                  </w14:solidFill>
                </w14:textFill>
              </w:rPr>
              <w:t>分</w:t>
            </w:r>
          </w:p>
        </w:tc>
        <w:tc>
          <w:tcPr>
            <w:tcW w:w="5116" w:type="dxa"/>
            <w:vAlign w:val="center"/>
          </w:tcPr>
          <w:p w14:paraId="218B9E1E">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满足资格审查条件（业绩最低要求）得1分；在此基础上：</w:t>
            </w:r>
          </w:p>
          <w:p w14:paraId="3804577A">
            <w:pPr>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投标人（若为联合体时，指施工方）</w:t>
            </w:r>
          </w:p>
          <w:p w14:paraId="1C6B5BFB">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近五年内（自2019年9月1日至今）成功完成类似工程施工业绩每累计增加20km（尾数不计），加0.</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分，最多加</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分。</w:t>
            </w:r>
          </w:p>
          <w:p w14:paraId="19F26072">
            <w:pPr>
              <w:keepNext w:val="0"/>
              <w:keepLines w:val="0"/>
              <w:pageBreakBefore w:val="0"/>
              <w:widowControl w:val="0"/>
              <w:numPr>
                <w:ilvl w:val="0"/>
                <w:numId w:val="6"/>
              </w:numPr>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highlight w:val="none"/>
                <w14:textFill>
                  <w14:solidFill>
                    <w14:schemeClr w14:val="tx1"/>
                  </w14:solidFill>
                </w14:textFill>
              </w:rPr>
              <w:t>投标人（若为联合体时，指勘察、设计方）</w:t>
            </w:r>
          </w:p>
          <w:p w14:paraId="0C1E307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highlight w:val="green"/>
                <w14:textFill>
                  <w14:solidFill>
                    <w14:schemeClr w14:val="tx1"/>
                  </w14:solidFill>
                </w14:textFill>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近5年内（自2019年9月1日至今）成功完成类似工程勘察设计业绩每累计增加20km（尾数不计），加0.5分，最多加2分。</w:t>
            </w:r>
          </w:p>
        </w:tc>
      </w:tr>
      <w:tr w14:paraId="03FC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852" w:type="dxa"/>
            <w:vMerge w:val="continue"/>
          </w:tcPr>
          <w:p w14:paraId="76B66F3C">
            <w:pPr>
              <w:keepNext w:val="0"/>
              <w:keepLines w:val="0"/>
              <w:pageBreakBefore w:val="0"/>
              <w:wordWrap/>
              <w:topLinePunct w:val="0"/>
              <w:bidi w:val="0"/>
              <w:adjustRightInd w:val="0"/>
              <w:snapToGrid w:val="0"/>
              <w:spacing w:line="440" w:lineRule="exac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16" w:type="dxa"/>
            <w:vMerge w:val="continue"/>
            <w:vAlign w:val="center"/>
          </w:tcPr>
          <w:p w14:paraId="16C8C42E">
            <w:pPr>
              <w:keepNext w:val="0"/>
              <w:keepLines w:val="0"/>
              <w:pageBreakBefore w:val="0"/>
              <w:wordWrap/>
              <w:topLinePunct w:val="0"/>
              <w:bidi w:val="0"/>
              <w:adjustRightInd w:val="0"/>
              <w:snapToGrid w:val="0"/>
              <w:spacing w:line="44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611" w:type="dxa"/>
            <w:gridSpan w:val="3"/>
            <w:vAlign w:val="center"/>
          </w:tcPr>
          <w:p w14:paraId="2524E11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履约信誉</w:t>
            </w:r>
          </w:p>
          <w:p w14:paraId="0BCA3F4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821" w:type="dxa"/>
            <w:vAlign w:val="center"/>
          </w:tcPr>
          <w:p w14:paraId="0D1A79D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5分</w:t>
            </w:r>
          </w:p>
        </w:tc>
        <w:tc>
          <w:tcPr>
            <w:tcW w:w="5116" w:type="dxa"/>
            <w:vAlign w:val="center"/>
          </w:tcPr>
          <w:p w14:paraId="3C0D3366">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1.履约情况</w:t>
            </w:r>
          </w:p>
          <w:p w14:paraId="0CB0CDE2">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若没出现下述情形得满分；</w:t>
            </w:r>
          </w:p>
          <w:p w14:paraId="1E2FD360">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投标文件递交截止日前1年内，投标人因公路工程（含附属设施）质量、安全、履约或招标投标问题等原因被：</w:t>
            </w:r>
          </w:p>
          <w:p w14:paraId="5E2E39A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（1）交通运输部行政处罚的，扣5分/次。</w:t>
            </w:r>
          </w:p>
          <w:p w14:paraId="554A092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（2）广东省交通运输厅行政处罚的，扣3分/次。</w:t>
            </w:r>
          </w:p>
          <w:p w14:paraId="6D9E06CE">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（3）项目所在地地级以上市交通运输局行政处罚的，扣1.5分/次。</w:t>
            </w:r>
          </w:p>
          <w:p w14:paraId="5B856FED">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（4）广东省交通运输厅正式约谈的，扣0.1分/次。</w:t>
            </w:r>
          </w:p>
          <w:p w14:paraId="0BFD537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注：同一事项同时被多个部门行政处罚或正式约谈只按最高的扣分计算1次。如果扣完本项分值，可以从总分中扣。以联合体形式投标的，若各联合体成员任何一方或均存在上述情形的，对联合体各成员进行累计扣分。</w:t>
            </w:r>
          </w:p>
        </w:tc>
      </w:tr>
    </w:tbl>
    <w:p w14:paraId="077A8F3B">
      <w:pPr>
        <w:rPr>
          <w:rFonts w:hint="eastAsia" w:asciiTheme="minorEastAsia" w:hAnsiTheme="minorEastAsia" w:eastAsiaTheme="minorEastAsia" w:cstheme="minorEastAsia"/>
          <w:color w:val="000000" w:themeColor="text1"/>
          <w14:textFill>
            <w14:solidFill>
              <w14:schemeClr w14:val="tx1"/>
            </w14:solidFill>
          </w14:textFill>
        </w:rPr>
      </w:pPr>
    </w:p>
    <w:p w14:paraId="1AA9E880">
      <w:pPr>
        <w:adjustRightInd w:val="0"/>
        <w:spacing w:line="290" w:lineRule="exact"/>
        <w:rPr>
          <w:rFonts w:hint="eastAsia" w:asciiTheme="minorEastAsia" w:hAnsiTheme="minorEastAsia" w:eastAsiaTheme="minorEastAsia" w:cstheme="minorEastAsia"/>
          <w:color w:val="000000" w:themeColor="text1"/>
          <w14:textFill>
            <w14:solidFill>
              <w14:schemeClr w14:val="tx1"/>
            </w14:solidFill>
          </w14:textFill>
        </w:rPr>
        <w:sectPr>
          <w:footerReference r:id="rId6" w:type="default"/>
          <w:pgSz w:w="11911" w:h="16838"/>
          <w:pgMar w:top="1440" w:right="1080" w:bottom="1440" w:left="1080" w:header="0" w:footer="998" w:gutter="0"/>
          <w:pgNumType w:fmt="numberInDash"/>
          <w:cols w:space="0" w:num="1"/>
        </w:sectPr>
      </w:pPr>
    </w:p>
    <w:p w14:paraId="683CB148">
      <w:pPr>
        <w:spacing w:line="360" w:lineRule="auto"/>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Style w:val="33"/>
          <w:rFonts w:hint="eastAsia" w:asciiTheme="minorEastAsia" w:hAnsiTheme="minorEastAsia" w:eastAsiaTheme="minorEastAsia" w:cstheme="minorEastAsia"/>
          <w:color w:val="000000" w:themeColor="text1"/>
          <w14:textFill>
            <w14:solidFill>
              <w14:schemeClr w14:val="tx1"/>
            </w14:solidFill>
          </w14:textFill>
        </w:rPr>
        <w:t>1.评标方法、组织及工作程序</w:t>
      </w:r>
    </w:p>
    <w:p w14:paraId="7B6A0752">
      <w:pPr>
        <w:adjustRightInd w:val="0"/>
        <w:snapToGrid w:val="0"/>
        <w:spacing w:line="440" w:lineRule="exact"/>
        <w:ind w:firstLine="422" w:firstLineChars="200"/>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1.1评标方法</w:t>
      </w:r>
    </w:p>
    <w:p w14:paraId="2DA7D1C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次评标采用双信封的综合评分法。评标委员会对满足招标文件实质性要求的投标文件，按照本章第2.2款规定的评分标准进行打分，并按综合得分由高到低顺序推荐中标候选人，但投标报价低于其成本的除外。综合得分相等时，评标委员会应按照评标办法前附表规定的优先次序推荐中标候选人或确定中标人。</w:t>
      </w:r>
    </w:p>
    <w:p w14:paraId="1A274B8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1.2评标组织</w:t>
      </w:r>
    </w:p>
    <w:p w14:paraId="7088850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1.2.1协助工作组</w:t>
      </w:r>
    </w:p>
    <w:p w14:paraId="40635BD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招标人可在评标工作开始前成立协助工作组，选派熟悉招标工作、政治素质高的人员组成，协助评标委员会工作。协助工作组人员的具体数量由招标人视评标工作量确定。</w:t>
      </w:r>
    </w:p>
    <w:p w14:paraId="3EC7374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招标人可以协助评标委员会开展下列工作并提供相关信息：</w:t>
      </w:r>
    </w:p>
    <w:p w14:paraId="7BA04F0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（1）根据招标文件，编制评标使用的相应表格；</w:t>
      </w:r>
    </w:p>
    <w:p w14:paraId="5005584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（2）对投标报价进行算术性校核；</w:t>
      </w:r>
    </w:p>
    <w:p w14:paraId="78194CD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（3）以评标标准和方法为依据，列出投标文件相对于招标文件的所有偏差，并进行归类汇总；</w:t>
      </w:r>
    </w:p>
    <w:p w14:paraId="7DA5261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（4）查询公路建设市场信用信息管理系统及相关网站，对投标人的资质、业绩、项目管理机构资历和目前在岗情况、信用等级进行核实。</w:t>
      </w:r>
    </w:p>
    <w:p w14:paraId="43B379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招标人不得对投标文件作出任何评价，不得故意遗漏或者片面摘录，不得在评标委员会对所有偏差定性之前透露存有偏差的投标人名称。</w:t>
      </w:r>
    </w:p>
    <w:p w14:paraId="573D9DE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1.2.2评标委员会</w:t>
      </w:r>
    </w:p>
    <w:p w14:paraId="71E0655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评标委员会由招标人按国家、广东省等的有关规定依法组建。评标委员会的主要工作内容包括：</w:t>
      </w:r>
    </w:p>
    <w:p w14:paraId="489D799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（1）评标委员会开始评标工作之前，首先听取招标人、协助工作组关于工程情况和辅助工作的说明，并认真研读招标文件，获取评标所需的重要信息和数据；</w:t>
      </w:r>
    </w:p>
    <w:p w14:paraId="5C4DDFA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（2）对协助工作组提供的评标工作用表和评标内容进行核查。</w:t>
      </w:r>
    </w:p>
    <w:p w14:paraId="328B09E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（3）按照以下1.3款程序进行各项评审工作。</w:t>
      </w:r>
    </w:p>
    <w:p w14:paraId="1B07A7C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1.3评审工作程序</w:t>
      </w:r>
    </w:p>
    <w:p w14:paraId="0FBC545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1.3.1第一个信封（商务及技术文件）：</w:t>
      </w:r>
    </w:p>
    <w:p w14:paraId="46FD29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（l）初步评审：包括形式评审与响应性评审、资格评审；</w:t>
      </w:r>
    </w:p>
    <w:p w14:paraId="7939C29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（2）详细评审（评审打分）：评标委员会首先对通过初步评审的投标文件第一个信封（商务及技术文件）进行详细评审，对投标人的建设总承包方案、项目管理机构、其他评分因素等分别评审打分。</w:t>
      </w:r>
    </w:p>
    <w:p w14:paraId="37EBE7C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1.3.2第二个信封（报价文件）：</w:t>
      </w:r>
    </w:p>
    <w:p w14:paraId="7026FEE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（l）初步评审：</w:t>
      </w:r>
    </w:p>
    <w:p w14:paraId="230CCBD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①只有投标文件第一个信封通过详细评审的投标人才能继续参加第二个信封报价文件的形式评审与响应性评审；</w:t>
      </w:r>
    </w:p>
    <w:p w14:paraId="3CF3CEE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②报价算术性修正（如采用固化清单，本步骤省略）；</w:t>
      </w:r>
    </w:p>
    <w:p w14:paraId="7054E2F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（2）详细评审：计算评标基准价、评标价得分及综合得分；</w:t>
      </w:r>
    </w:p>
    <w:p w14:paraId="0394B57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1.3.3投标文件相关信息的核查。</w:t>
      </w:r>
    </w:p>
    <w:p w14:paraId="7B01661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1.3.4投标文件的澄清和说明(如有)</w:t>
      </w:r>
    </w:p>
    <w:p w14:paraId="7FB5BF5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1.3.5按评标办法规定推荐中标候选人，编写评标报告。</w:t>
      </w:r>
    </w:p>
    <w:p w14:paraId="7A796D26">
      <w:pPr>
        <w:adjustRightInd w:val="0"/>
        <w:snapToGrid w:val="0"/>
        <w:spacing w:line="440" w:lineRule="exact"/>
        <w:ind w:firstLine="422"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2.评审标准</w:t>
      </w:r>
    </w:p>
    <w:p w14:paraId="1F5D4C3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2.1初步评审标准</w:t>
      </w:r>
    </w:p>
    <w:p w14:paraId="59415B6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2.1.1形式评审标准：见评标办法前附表。</w:t>
      </w:r>
    </w:p>
    <w:p w14:paraId="3B5C699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2.1.2资格评审标准：见评标办法前附表。</w:t>
      </w:r>
    </w:p>
    <w:p w14:paraId="634AAFC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2.1.3响应性评审标准：见评标办法前附表。</w:t>
      </w:r>
    </w:p>
    <w:p w14:paraId="43461F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2.2分值构成与评分标准</w:t>
      </w:r>
    </w:p>
    <w:p w14:paraId="7430E3B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2.2.1分值构成</w:t>
      </w:r>
    </w:p>
    <w:p w14:paraId="129D40D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（1）总承包方案（</w:t>
      </w: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zh-CN"/>
          <w14:textFill>
            <w14:solidFill>
              <w14:schemeClr w14:val="tx1"/>
            </w14:solidFill>
          </w14:textFill>
        </w:rPr>
        <w:t>）：见评标办法前附表；</w:t>
      </w:r>
    </w:p>
    <w:p w14:paraId="35CC81A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w:t>
      </w:r>
      <w:r>
        <w:rPr>
          <w:rFonts w:hint="eastAsia" w:asciiTheme="minorEastAsia" w:hAnsiTheme="minorEastAsia" w:eastAsiaTheme="minorEastAsia" w:cstheme="minorEastAsia"/>
          <w:color w:val="000000" w:themeColor="text1"/>
          <w14:textFill>
            <w14:solidFill>
              <w14:schemeClr w14:val="tx1"/>
            </w14:solidFill>
          </w14:textFill>
        </w:rPr>
        <w:t>项目管理机构（B）：见评标办法前附表；</w:t>
      </w:r>
    </w:p>
    <w:p w14:paraId="01966A1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投标报价（</w:t>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zh-CN"/>
          <w14:textFill>
            <w14:solidFill>
              <w14:schemeClr w14:val="tx1"/>
            </w14:solidFill>
          </w14:textFill>
        </w:rPr>
        <w:t>）：见评标办法前附表；</w:t>
      </w:r>
    </w:p>
    <w:p w14:paraId="0271A5D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）其他评分因素（D）：见评标办法前附表。</w:t>
      </w:r>
    </w:p>
    <w:p w14:paraId="5CF3F1A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2.2.2评标基准价计算</w:t>
      </w:r>
    </w:p>
    <w:p w14:paraId="1589D8F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2.2.3投标报价的偏差率计算</w:t>
      </w:r>
    </w:p>
    <w:p w14:paraId="64551F5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2.2.4评分标准</w:t>
      </w:r>
    </w:p>
    <w:p w14:paraId="309F715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（1）总承包方案评分标准：见评标办法前附表；</w:t>
      </w:r>
    </w:p>
    <w:p w14:paraId="6FCC0DA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w:t>
      </w:r>
      <w:r>
        <w:rPr>
          <w:rFonts w:hint="eastAsia" w:asciiTheme="minorEastAsia" w:hAnsiTheme="minorEastAsia" w:eastAsiaTheme="minorEastAsia" w:cstheme="minorEastAsia"/>
          <w:color w:val="000000" w:themeColor="text1"/>
          <w14:textFill>
            <w14:solidFill>
              <w14:schemeClr w14:val="tx1"/>
            </w14:solidFill>
          </w14:textFill>
        </w:rPr>
        <w:t>项目管理机构</w:t>
      </w:r>
      <w:r>
        <w:rPr>
          <w:rFonts w:hint="eastAsia" w:asciiTheme="minorEastAsia" w:hAnsiTheme="minorEastAsia" w:eastAsiaTheme="minorEastAsia" w:cstheme="minorEastAsia"/>
          <w:color w:val="000000" w:themeColor="text1"/>
          <w:lang w:val="zh-CN"/>
          <w14:textFill>
            <w14:solidFill>
              <w14:schemeClr w14:val="tx1"/>
            </w14:solidFill>
          </w14:textFill>
        </w:rPr>
        <w:t>评分标准：见评标办法前附表；</w:t>
      </w:r>
    </w:p>
    <w:p w14:paraId="023524A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）投标报价评分标准：见评标办法前附表；</w:t>
      </w:r>
    </w:p>
    <w:p w14:paraId="4BCBD1B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）其他因素评分标准：见评标办法前附表；</w:t>
      </w:r>
    </w:p>
    <w:p w14:paraId="653A2CE8">
      <w:pPr>
        <w:adjustRightInd w:val="0"/>
        <w:snapToGrid w:val="0"/>
        <w:spacing w:line="440" w:lineRule="exact"/>
        <w:ind w:firstLine="422" w:firstLineChars="200"/>
        <w:rPr>
          <w:rFonts w:hint="eastAsia" w:asciiTheme="minorEastAsia" w:hAnsiTheme="minorEastAsia" w:eastAsiaTheme="minorEastAsia" w:cstheme="minorEastAsia"/>
          <w:b/>
          <w:bCs/>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3.评标程序</w:t>
      </w:r>
    </w:p>
    <w:p w14:paraId="03D9AAA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3.1第一个信封初步评审</w:t>
      </w:r>
    </w:p>
    <w:p w14:paraId="5075AC5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评标委员会依据本章第2.1款规定的标准对投标文件第一个信封（商务及技术文件）进行初步评审。有一项不符合评审标准的，评标委员会应否决其投标。</w:t>
      </w:r>
    </w:p>
    <w:p w14:paraId="4D61DC0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3.2第一个信封详细评审</w:t>
      </w:r>
    </w:p>
    <w:p w14:paraId="3E43B30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3.2.1评标委员会按本章第2.2款规定的量化因素和分值进行打分，并计算出个投标人的商务和技术得分。</w:t>
      </w:r>
    </w:p>
    <w:p w14:paraId="4637878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（1）按本章第2.2.4（1）目规定的评审因素和分值对总承包方案计算出得分A；</w:t>
      </w:r>
    </w:p>
    <w:p w14:paraId="5B582A0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（2）按本章第2.2.4（2）目规定的评审因素和分值对</w:t>
      </w:r>
      <w:r>
        <w:rPr>
          <w:rFonts w:hint="eastAsia" w:asciiTheme="minorEastAsia" w:hAnsiTheme="minorEastAsia" w:eastAsiaTheme="minorEastAsia" w:cstheme="minorEastAsia"/>
          <w:color w:val="000000" w:themeColor="text1"/>
          <w14:textFill>
            <w14:solidFill>
              <w14:schemeClr w14:val="tx1"/>
            </w14:solidFill>
          </w14:textFill>
        </w:rPr>
        <w:t>项目管理机构</w:t>
      </w:r>
      <w:r>
        <w:rPr>
          <w:rFonts w:hint="eastAsia" w:asciiTheme="minorEastAsia" w:hAnsiTheme="minorEastAsia" w:eastAsiaTheme="minorEastAsia" w:cstheme="minorEastAsia"/>
          <w:color w:val="000000" w:themeColor="text1"/>
          <w:lang w:val="zh-CN"/>
          <w14:textFill>
            <w14:solidFill>
              <w14:schemeClr w14:val="tx1"/>
            </w14:solidFill>
          </w14:textFill>
        </w:rPr>
        <w:t>计算出得分B；</w:t>
      </w:r>
    </w:p>
    <w:p w14:paraId="6051276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）按本章第2.2.4（</w:t>
      </w: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）目规定的评审因素和分值对其他部分计算出得分</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2461AAF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3.2.2除有特别说明外，评分分值计算保留小数点后</w:t>
      </w:r>
      <w:r>
        <w:rPr>
          <w:rFonts w:hint="eastAsia" w:asciiTheme="minorEastAsia" w:hAnsiTheme="minorEastAsia" w:cstheme="minorEastAsia"/>
          <w:color w:val="000000" w:themeColor="text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lang w:val="zh-CN"/>
          <w14:textFill>
            <w14:solidFill>
              <w14:schemeClr w14:val="tx1"/>
            </w14:solidFill>
          </w14:textFill>
        </w:rPr>
        <w:t>位，小数点后第</w:t>
      </w:r>
      <w:r>
        <w:rPr>
          <w:rFonts w:hint="eastAsia" w:asciiTheme="minorEastAsia" w:hAnsiTheme="minorEastAsia" w:cstheme="minorEastAsia"/>
          <w:color w:val="000000" w:themeColor="text1"/>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lang w:val="zh-CN"/>
          <w14:textFill>
            <w14:solidFill>
              <w14:schemeClr w14:val="tx1"/>
            </w14:solidFill>
          </w14:textFill>
        </w:rPr>
        <w:t>位“四舍五入”。</w:t>
      </w:r>
    </w:p>
    <w:p w14:paraId="51E83B3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3.2.3投标人的商务和技术得分=A+B</w:t>
      </w:r>
      <w:r>
        <w:rPr>
          <w:rFonts w:hint="eastAsia" w:asciiTheme="minorEastAsia" w:hAnsiTheme="minorEastAsia" w:eastAsiaTheme="minorEastAsia" w:cstheme="minorEastAsia"/>
          <w:color w:val="000000" w:themeColor="text1"/>
          <w14:textFill>
            <w14:solidFill>
              <w14:schemeClr w14:val="tx1"/>
            </w14:solidFill>
          </w14:textFill>
        </w:rPr>
        <w:t>+D</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553582E1">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投标文件</w:t>
      </w:r>
      <w:r>
        <w:rPr>
          <w:rFonts w:hint="eastAsia" w:asciiTheme="minorEastAsia" w:hAnsiTheme="minorEastAsia" w:eastAsiaTheme="minorEastAsia" w:cstheme="minorEastAsia"/>
          <w:color w:val="000000" w:themeColor="text1"/>
          <w14:textFill>
            <w14:solidFill>
              <w14:schemeClr w14:val="tx1"/>
            </w14:solidFill>
          </w14:textFill>
        </w:rPr>
        <w:t>总承包方案</w:t>
      </w:r>
      <w:r>
        <w:rPr>
          <w:rFonts w:hint="eastAsia" w:asciiTheme="minorEastAsia" w:hAnsiTheme="minorEastAsia" w:eastAsiaTheme="minorEastAsia" w:cstheme="minorEastAsia"/>
          <w:color w:val="000000" w:themeColor="text1"/>
          <w:lang w:val="zh-CN"/>
          <w14:textFill>
            <w14:solidFill>
              <w14:schemeClr w14:val="tx1"/>
            </w14:solidFill>
          </w14:textFill>
        </w:rPr>
        <w:t>的各评分因素细分项得分均不应低于其权重分的60%（保留小数点后一位），评分低于权重分值60%的，评标委员会成员应当在评标报告中作出说明。计算投标人技术文件得分时：首先在评委技术评分中，同一评委对各投标人评分因素总分的差值最大的评委评分进行取舍（当一位或两位评委评分因素总分差值最大时，均取消其评委评分，不参与技术分的计算；当多于两位评委评分因素总分差值均最大时，不取消任一评委评分），各评委再对同一投标人的各评分因素细分项中取消一个最高、一个最低分后计算算术平均值的和为投标人的最终技术得分，平均值计算四舍五入保留小数点后</w:t>
      </w:r>
      <w:r>
        <w:rPr>
          <w:rFonts w:hint="eastAsia" w:asciiTheme="minorEastAsia" w:hAnsiTheme="minorEastAsia" w:cstheme="minorEastAsia"/>
          <w:color w:val="000000" w:themeColor="text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lang w:val="zh-CN"/>
          <w14:textFill>
            <w14:solidFill>
              <w14:schemeClr w14:val="tx1"/>
            </w14:solidFill>
          </w14:textFill>
        </w:rPr>
        <w:t>位。</w:t>
      </w:r>
    </w:p>
    <w:p w14:paraId="00EAC4E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3.3第二个信封开标</w:t>
      </w:r>
    </w:p>
    <w:p w14:paraId="4990E9F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第一个信封（商务及技术文件）评审结束后，招标人将按照第二章“投标人须知”第5.1款规定的时间和地点对通过投标文件第一个信封（商务及技术文件）评审的投标文件第二个信封（报价文件）进行开标。</w:t>
      </w:r>
    </w:p>
    <w:p w14:paraId="576BD7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3.4第二个信封初步评审</w:t>
      </w:r>
    </w:p>
    <w:p w14:paraId="5F42FEE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3.4.1评标委员会依据本章第2.1.1项、第2.1.3项规定的评审标准对投标文件第二个信封（报价文件）进行初步评审。有一项不符合评审标准的，评标委员会应否决其投标。</w:t>
      </w:r>
    </w:p>
    <w:p w14:paraId="2839FAE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3.4.2投标报价有算术错误的，评标委员会按以下原则对投标报价进行修正，修正的价格经投标人书面确认后具有约束力。投标人不接受修正价格的，评标委员会应否决其投标。</w:t>
      </w:r>
    </w:p>
    <w:p w14:paraId="535B239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(1)投标文件中的大写金额与小写金额不一致的，以大写金额为准；</w:t>
      </w:r>
    </w:p>
    <w:p w14:paraId="6A724AF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(2)总价金额与依据单价计算出的结果不一致的，以单价金额为准修正总价，但单价金额小数点有明显错误的除外；</w:t>
      </w:r>
    </w:p>
    <w:p w14:paraId="3DB325D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(3)当单价与数量相乘不等于合价时，以单价计算为准，如果单价有明显的小数点位置差错，应以标出的合价为准，同时对单价予以修正；</w:t>
      </w:r>
    </w:p>
    <w:p w14:paraId="1CBFC52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(4)当各子目的合价累计不等于总价时，应以各子目合价累计数为准，修正总价。</w:t>
      </w:r>
    </w:p>
    <w:p w14:paraId="03FC5D4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3.4.3工程量清单中的投标报价有其他错误的，评标委员会按以下原则对投标报价进行修正，修正的价格经投标人书面确认后具有约束力。投标人不接受修正价格的，评标委员会应否决其投标。</w:t>
      </w:r>
    </w:p>
    <w:p w14:paraId="0392AE3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2D32CD9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1105467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(3)当单价与数量的乘积与合价(金额)虽然一致，但投标人修改了该子目的工程数量，则其合价按招标人给定的工程数量乘以投标人所报单价予以修正。</w:t>
      </w:r>
    </w:p>
    <w:p w14:paraId="126CF05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3.4.4修正后的最终投标报价若超过最高投标限价(如有)，评标委员会应否决其投标。</w:t>
      </w:r>
    </w:p>
    <w:p w14:paraId="784CFA6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3.4.5修正后的最终投标报价仅作为签订合同的一个依据，不参与评标价得分的计算。</w:t>
      </w:r>
    </w:p>
    <w:p w14:paraId="3C2FB948">
      <w:pPr>
        <w:adjustRightInd w:val="0"/>
        <w:snapToGrid w:val="0"/>
        <w:spacing w:line="440" w:lineRule="exact"/>
        <w:ind w:firstLine="422"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3.5第二个信封详细评审</w:t>
      </w:r>
    </w:p>
    <w:p w14:paraId="0DE3D3E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3.5.1评标委员会按本章第2.2.4（</w:t>
      </w: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）目规定的评审因素和分值对投标报价计算出得分</w:t>
      </w:r>
      <w:r>
        <w:rPr>
          <w:rFonts w:hint="eastAsia" w:asciiTheme="minorEastAsia" w:hAnsiTheme="minorEastAsia" w:eastAsiaTheme="minorEastAsia" w:cstheme="minorEastAsia"/>
          <w:color w:val="000000" w:themeColor="text1"/>
          <w14:textFill>
            <w14:solidFill>
              <w14:schemeClr w14:val="tx1"/>
            </w14:solidFill>
          </w14:textFill>
        </w:rPr>
        <w:t>C</w:t>
      </w:r>
      <w:r>
        <w:rPr>
          <w:rFonts w:hint="eastAsia" w:asciiTheme="minorEastAsia" w:hAnsiTheme="minorEastAsia" w:eastAsiaTheme="minorEastAsia" w:cstheme="minorEastAsia"/>
          <w:color w:val="000000" w:themeColor="text1"/>
          <w:lang w:val="zh-CN"/>
          <w14:textFill>
            <w14:solidFill>
              <w14:schemeClr w14:val="tx1"/>
            </w14:solidFill>
          </w14:textFill>
        </w:rPr>
        <w:t>。投标报价得分分值计算保留小数点后</w:t>
      </w:r>
      <w:r>
        <w:rPr>
          <w:rFonts w:hint="eastAsia" w:asciiTheme="minorEastAsia" w:hAnsiTheme="minorEastAsia" w:cstheme="minorEastAsia"/>
          <w:color w:val="000000" w:themeColor="text1"/>
          <w:lang w:val="en-US" w:eastAsia="zh-CN"/>
          <w14:textFill>
            <w14:solidFill>
              <w14:schemeClr w14:val="tx1"/>
            </w14:solidFill>
          </w14:textFill>
        </w:rPr>
        <w:t>三</w:t>
      </w:r>
      <w:r>
        <w:rPr>
          <w:rFonts w:hint="eastAsia" w:asciiTheme="minorEastAsia" w:hAnsiTheme="minorEastAsia" w:eastAsiaTheme="minorEastAsia" w:cstheme="minorEastAsia"/>
          <w:color w:val="000000" w:themeColor="text1"/>
          <w:lang w:val="zh-CN"/>
          <w14:textFill>
            <w14:solidFill>
              <w14:schemeClr w14:val="tx1"/>
            </w14:solidFill>
          </w14:textFill>
        </w:rPr>
        <w:t>位，小数点后第</w:t>
      </w:r>
      <w:r>
        <w:rPr>
          <w:rFonts w:hint="eastAsia" w:asciiTheme="minorEastAsia" w:hAnsiTheme="minorEastAsia" w:cstheme="minorEastAsia"/>
          <w:color w:val="000000" w:themeColor="text1"/>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lang w:val="zh-CN"/>
          <w14:textFill>
            <w14:solidFill>
              <w14:schemeClr w14:val="tx1"/>
            </w14:solidFill>
          </w14:textFill>
        </w:rPr>
        <w:t>位“四舍五入”。</w:t>
      </w:r>
    </w:p>
    <w:p w14:paraId="7845091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3.5.2投标人综合得分=投标人的商务和技术得分+</w:t>
      </w:r>
      <w:r>
        <w:rPr>
          <w:rFonts w:hint="eastAsia" w:asciiTheme="minorEastAsia" w:hAnsiTheme="minorEastAsia" w:eastAsiaTheme="minorEastAsia" w:cstheme="minorEastAsia"/>
          <w:color w:val="000000" w:themeColor="text1"/>
          <w14:textFill>
            <w14:solidFill>
              <w14:schemeClr w14:val="tx1"/>
            </w14:solidFill>
          </w14:textFill>
        </w:rPr>
        <w:t>C</w:t>
      </w:r>
    </w:p>
    <w:p w14:paraId="0B7B0F8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3.5.3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0B0F62DF">
      <w:pPr>
        <w:adjustRightInd w:val="0"/>
        <w:snapToGrid w:val="0"/>
        <w:spacing w:line="440" w:lineRule="exact"/>
        <w:ind w:firstLine="422"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lang w:val="zh-CN"/>
          <w14:textFill>
            <w14:solidFill>
              <w14:schemeClr w14:val="tx1"/>
            </w14:solidFill>
          </w14:textFill>
        </w:rPr>
        <w:t>3.6投标文件相关信息的核查</w:t>
      </w:r>
    </w:p>
    <w:p w14:paraId="6850BAA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3.6.1在评标过程中，评标委员会应查询交通运输主管部门“公路建设市场信用信息管理系统”，对投标人的资质、业绩、项目管理机构资历和目前在岗情况、信用等级等信息进行核实。若投标文件载明的信息与交通运输主管部门“公路建设市场信用信息管理系统”发布的信息不符，使得投标人的资格条件不符合招标文件规定的，评标委员会应否决其投标。</w:t>
      </w:r>
    </w:p>
    <w:p w14:paraId="7C15C15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3.6.2评标委员会应对在评标过程中发现的投标人与投标人之间、投标人与招标人之间存在的串通投标的情形进行评审和认定。投标人存在串通投标、弄虚作假、行贿等违法行为的，评标委员会应否决其投标。</w:t>
      </w:r>
    </w:p>
    <w:p w14:paraId="69A6AED8">
      <w:pPr>
        <w:numPr>
          <w:ilvl w:val="0"/>
          <w:numId w:val="7"/>
        </w:num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有下列情形之一的，属于投标人相互串通投标：</w:t>
      </w:r>
    </w:p>
    <w:p w14:paraId="3A8E941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a.</w:t>
      </w:r>
      <w:r>
        <w:rPr>
          <w:rFonts w:hint="eastAsia" w:asciiTheme="minorEastAsia" w:hAnsiTheme="minorEastAsia" w:eastAsiaTheme="minorEastAsia" w:cstheme="minorEastAsia"/>
          <w:color w:val="000000" w:themeColor="text1"/>
          <w:lang w:val="zh-CN"/>
          <w14:textFill>
            <w14:solidFill>
              <w14:schemeClr w14:val="tx1"/>
            </w14:solidFill>
          </w14:textFill>
        </w:rPr>
        <w:t>投标人之间协商投标报价等投标文件的实质性内容；</w:t>
      </w:r>
    </w:p>
    <w:p w14:paraId="0AD35D3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b.投标人之间约定中标人；</w:t>
      </w:r>
    </w:p>
    <w:p w14:paraId="69AAF4C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c.投标人之间约定部分投标人放弃投标或中标；</w:t>
      </w:r>
    </w:p>
    <w:p w14:paraId="5E7E015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d.属于同一集团、协会、商会等组织成员的投标人按照该组织要求协同投标；</w:t>
      </w:r>
    </w:p>
    <w:p w14:paraId="2306282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e.投标人之间为谋取中标或排斥特定投标人而采取的其他联合行动。</w:t>
      </w:r>
    </w:p>
    <w:p w14:paraId="3E3FD0F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（2）有下列情形之一的，视为投标人相互串通投标：</w:t>
      </w:r>
    </w:p>
    <w:p w14:paraId="31414BC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a.不同投标人的投标文件由同一单位或个人编制；</w:t>
      </w:r>
    </w:p>
    <w:p w14:paraId="31060C2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b.不同投标人委托同一单位或个人办理投标事宜；</w:t>
      </w:r>
    </w:p>
    <w:p w14:paraId="500C363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c.不同投标人的投标文件载明的项目管理成员为同一人；</w:t>
      </w:r>
    </w:p>
    <w:p w14:paraId="7F88A8DA">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d.不同投标人的投标文件异常一致或投标报价呈规律性差异；</w:t>
      </w:r>
    </w:p>
    <w:p w14:paraId="38C2C15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e.不同投标人的投标文件相互混装；</w:t>
      </w:r>
    </w:p>
    <w:p w14:paraId="227FC9C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f.不同投标人的投标保证金从同一单位或个人的账户转出。</w:t>
      </w:r>
    </w:p>
    <w:p w14:paraId="1B6B857F">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（3）有下列情形之一的，属于招标人与投标人串通投标：</w:t>
      </w:r>
    </w:p>
    <w:p w14:paraId="06ED1C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a.招标人在开标前开启投标文件并将有关信息泄露给其他投标人；</w:t>
      </w:r>
    </w:p>
    <w:p w14:paraId="515F99CE">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b.招标人直接或间接向投标人泄露标底、评标委员会成员等信息；</w:t>
      </w:r>
    </w:p>
    <w:p w14:paraId="5B9C666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c.招标人明示或暗示投标人压低或抬高投标报价；</w:t>
      </w:r>
    </w:p>
    <w:p w14:paraId="1A114CD8">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d.招标人授意投标人撤换、修改投标文件；</w:t>
      </w:r>
    </w:p>
    <w:p w14:paraId="24BDC2A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e.招标人明示或暗示投标人为特定投标人中标提供方便；</w:t>
      </w:r>
    </w:p>
    <w:p w14:paraId="1EE04AE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f.招标人与投标人为谋求特定投标人中标而采取的其他串通行为；</w:t>
      </w:r>
    </w:p>
    <w:p w14:paraId="1DA5F3B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g.广东省实施《中华人民共和国招标投标法》办法第十六条规定的情形。</w:t>
      </w:r>
    </w:p>
    <w:p w14:paraId="0283294B">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（4）投标人有下列情形之一的，属于弄虚作假的行为：</w:t>
      </w:r>
    </w:p>
    <w:p w14:paraId="7CD3E11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a.使用通过受让或租借等方式获取的资格、资质证书投标；</w:t>
      </w:r>
    </w:p>
    <w:p w14:paraId="676FD839">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b.使用伪造、变造的许可证件；</w:t>
      </w:r>
    </w:p>
    <w:p w14:paraId="48C6E69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c.提供虚假的财务状况或业绩；</w:t>
      </w:r>
    </w:p>
    <w:p w14:paraId="1188E73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d.提供虚假的主要负责人简历、社保证明；</w:t>
      </w:r>
    </w:p>
    <w:p w14:paraId="4C1A802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e.提供虚假的信用状况；</w:t>
      </w:r>
    </w:p>
    <w:p w14:paraId="2FB2E58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f.其他弄虚作假的行为。</w:t>
      </w:r>
    </w:p>
    <w:p w14:paraId="7D1B6C7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3.6.3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p w14:paraId="201BF814">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3.7投标文件的澄清和说明</w:t>
      </w:r>
    </w:p>
    <w:p w14:paraId="6C08E69D">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3.7.1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w:t>
      </w:r>
    </w:p>
    <w:p w14:paraId="2C83FC96">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3.7.2澄清和说明不得超出投标文件的范围或改变投标文件的实质性内容（算术性错误的修正除外）。投标人的书面澄清、说明属于投标文件的组成部分。</w:t>
      </w:r>
    </w:p>
    <w:p w14:paraId="5E7DE187">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3.7.3评标委员会不得暗示或诱导投标人作出澄清、说明，对投标人提交的澄清、说明有疑问的，可以要求投标人进一步澄清或说明，直至满足评标委员会的要求。</w:t>
      </w:r>
    </w:p>
    <w:p w14:paraId="1E41EC7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3.7.4凡超出招标文件规定的或给发包人带来未曾要求的利益的变化、偏差或其他因素在评标时不予考虑。</w:t>
      </w:r>
    </w:p>
    <w:p w14:paraId="621A0ED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3.8不得否决投标的情形</w:t>
      </w:r>
    </w:p>
    <w:p w14:paraId="1CB90882">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投标文件存在第二章“投标人须知”第1.12.3项所列情形的，均视为细微偏差，评标委员会不得否决投标人的投标，应按照第二章“投标人须知”第1.12.4项规定的原则处理。</w:t>
      </w:r>
    </w:p>
    <w:p w14:paraId="01881D0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3.9评标结果</w:t>
      </w:r>
    </w:p>
    <w:p w14:paraId="5DCD3E33">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3.9.1除第二章“投标人须知”前附表授权直接确定中标人外，评标委员会按照得分由高到低的顺序推荐中标候选人，并标明中标候选人排序。</w:t>
      </w:r>
    </w:p>
    <w:p w14:paraId="25D80305">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3.9.2评标委员会完成评标后，应向招标人提交书面评标报告。</w:t>
      </w:r>
    </w:p>
    <w:p w14:paraId="6AF8A99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3.9.3通过第一个信封商务及技术文件评审的投标人少于3个的，评标委员会可以否决全部投标；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评标报告中阐明理由并推荐中标候选人。</w:t>
      </w:r>
    </w:p>
    <w:p w14:paraId="608FBADC">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3.9.4通过第一个信封商务及技术文件评审的投标人在3个及以上的，招标人应当按照招标文件规定的程序进行第二个信封报价文件开标；在对报价文件进行评审后，有效投标不足3个的，评标委员会可以否决全部投标。未否决全部投标的，评标委员会应当在评标报告中阐明理由并推荐中标候选人。</w:t>
      </w:r>
    </w:p>
    <w:p w14:paraId="05006710">
      <w:pPr>
        <w:adjustRightInd w:val="0"/>
        <w:snapToGrid w:val="0"/>
        <w:spacing w:line="440" w:lineRule="exact"/>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3.9.5如果发生无法确定推荐中标候选人的其它意外情况，评标委员会可建议招标人重新招标。</w:t>
      </w:r>
    </w:p>
    <w:p w14:paraId="3E610B2B">
      <w:pPr>
        <w:adjustRightInd w:val="0"/>
        <w:snapToGrid w:val="0"/>
        <w:spacing w:line="440" w:lineRule="exac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2BF64F68">
      <w:pPr>
        <w:pStyle w:val="2"/>
        <w:snapToGrid w:val="0"/>
        <w:spacing w:before="120" w:after="0" w:line="240" w:lineRule="auto"/>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bookmarkStart w:id="37" w:name="_Toc28179"/>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第四章</w:t>
      </w:r>
      <w:r>
        <w:rPr>
          <w:rFonts w:hint="eastAsia" w:asciiTheme="minorEastAsia" w:hAnsiTheme="minorEastAsia" w:eastAsiaTheme="minorEastAsia" w:cstheme="minorEastAsia"/>
          <w:color w:val="000000" w:themeColor="text1"/>
          <w:sz w:val="32"/>
          <w:szCs w:val="32"/>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合同条款及格式</w:t>
      </w:r>
      <w:bookmarkEnd w:id="37"/>
    </w:p>
    <w:p w14:paraId="23511A01">
      <w:pPr>
        <w:jc w:val="center"/>
        <w:rPr>
          <w:rFonts w:hint="eastAsia" w:asciiTheme="minorEastAsia" w:hAnsiTheme="minorEastAsia" w:eastAsiaTheme="minorEastAsia" w:cstheme="minorEastAsia"/>
          <w:color w:val="000000" w:themeColor="text1"/>
          <w:kern w:val="44"/>
          <w:szCs w:val="21"/>
          <w14:textFill>
            <w14:solidFill>
              <w14:schemeClr w14:val="tx1"/>
            </w14:solidFill>
          </w14:textFill>
        </w:rPr>
      </w:pPr>
    </w:p>
    <w:p w14:paraId="678D2337">
      <w:pPr>
        <w:tabs>
          <w:tab w:val="left" w:pos="4349"/>
        </w:tabs>
        <w:kinsoku w:val="0"/>
        <w:overflowPunct w:val="0"/>
        <w:jc w:val="center"/>
        <w:outlineLvl w:val="1"/>
        <w:rPr>
          <w:rFonts w:hint="eastAsia" w:asciiTheme="minorEastAsia" w:hAnsiTheme="minorEastAsia" w:eastAsiaTheme="minorEastAsia" w:cstheme="minorEastAsia"/>
          <w:b/>
          <w:bCs/>
          <w:color w:val="000000" w:themeColor="text1"/>
          <w:spacing w:val="-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pacing w:val="-1"/>
          <w:sz w:val="28"/>
          <w:szCs w:val="28"/>
          <w14:textFill>
            <w14:solidFill>
              <w14:schemeClr w14:val="tx1"/>
            </w14:solidFill>
          </w14:textFill>
        </w:rPr>
        <w:t>第一节通用合同条款</w:t>
      </w:r>
    </w:p>
    <w:p w14:paraId="617BBEA9">
      <w:pPr>
        <w:jc w:val="center"/>
        <w:rPr>
          <w:rFonts w:hint="eastAsia" w:asciiTheme="minorEastAsia" w:hAnsiTheme="minorEastAsia" w:eastAsiaTheme="minorEastAsia" w:cstheme="minorEastAsia"/>
          <w:color w:val="000000" w:themeColor="text1"/>
          <w:kern w:val="44"/>
          <w:szCs w:val="21"/>
          <w14:textFill>
            <w14:solidFill>
              <w14:schemeClr w14:val="tx1"/>
            </w14:solidFill>
          </w14:textFill>
        </w:rPr>
      </w:pPr>
    </w:p>
    <w:p w14:paraId="003248B0">
      <w:pPr>
        <w:jc w:val="center"/>
        <w:rPr>
          <w:rStyle w:val="25"/>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kern w:val="44"/>
          <w:szCs w:val="21"/>
          <w14:textFill>
            <w14:solidFill>
              <w14:schemeClr w14:val="tx1"/>
            </w14:solidFill>
          </w14:textFill>
        </w:rPr>
        <w:t>详见《</w:t>
      </w:r>
      <w:r>
        <w:rPr>
          <w:rFonts w:hint="eastAsia" w:asciiTheme="minorEastAsia" w:hAnsiTheme="minorEastAsia" w:eastAsiaTheme="minorEastAsia" w:cstheme="minorEastAsia"/>
          <w:color w:val="000000" w:themeColor="text1"/>
          <w:szCs w:val="21"/>
          <w14:textFill>
            <w14:solidFill>
              <w14:schemeClr w14:val="tx1"/>
            </w14:solidFill>
          </w14:textFill>
        </w:rPr>
        <w:t>中华人民共和国标准设计施工总承包招标文件</w:t>
      </w:r>
      <w:r>
        <w:rPr>
          <w:rFonts w:hint="eastAsia" w:asciiTheme="minorEastAsia" w:hAnsiTheme="minorEastAsia" w:eastAsiaTheme="minorEastAsia" w:cstheme="minorEastAsia"/>
          <w:color w:val="000000" w:themeColor="text1"/>
          <w:kern w:val="44"/>
          <w:szCs w:val="21"/>
          <w14:textFill>
            <w14:solidFill>
              <w14:schemeClr w14:val="tx1"/>
            </w14:solidFill>
          </w14:textFill>
        </w:rPr>
        <w:t>》</w:t>
      </w:r>
      <w:r>
        <w:rPr>
          <w:rStyle w:val="25"/>
          <w:rFonts w:hint="eastAsia" w:asciiTheme="minorEastAsia" w:hAnsiTheme="minorEastAsia" w:eastAsiaTheme="minorEastAsia" w:cstheme="minorEastAsia"/>
          <w:color w:val="000000" w:themeColor="text1"/>
          <w14:textFill>
            <w14:solidFill>
              <w14:schemeClr w14:val="tx1"/>
            </w14:solidFill>
          </w14:textFill>
        </w:rPr>
        <w:t>（2012年版）的通用合同条款内容</w:t>
      </w:r>
    </w:p>
    <w:p w14:paraId="0599B1E2">
      <w:pPr>
        <w:jc w:val="center"/>
        <w:rPr>
          <w:rStyle w:val="25"/>
          <w:rFonts w:hint="eastAsia" w:asciiTheme="minorEastAsia" w:hAnsiTheme="minorEastAsia" w:eastAsiaTheme="minorEastAsia" w:cstheme="minorEastAsia"/>
          <w:color w:val="000000" w:themeColor="text1"/>
          <w14:textFill>
            <w14:solidFill>
              <w14:schemeClr w14:val="tx1"/>
            </w14:solidFill>
          </w14:textFill>
        </w:rPr>
      </w:pPr>
    </w:p>
    <w:p w14:paraId="5194E7D1">
      <w:pPr>
        <w:jc w:val="center"/>
        <w:rPr>
          <w:rStyle w:val="25"/>
          <w:rFonts w:hint="eastAsia" w:asciiTheme="minorEastAsia" w:hAnsiTheme="minorEastAsia" w:eastAsiaTheme="minorEastAsia" w:cstheme="minorEastAsia"/>
          <w:color w:val="000000" w:themeColor="text1"/>
          <w14:textFill>
            <w14:solidFill>
              <w14:schemeClr w14:val="tx1"/>
            </w14:solidFill>
          </w14:textFill>
        </w:rPr>
      </w:pPr>
    </w:p>
    <w:p w14:paraId="77C7A827">
      <w:pPr>
        <w:tabs>
          <w:tab w:val="left" w:pos="4349"/>
        </w:tabs>
        <w:kinsoku w:val="0"/>
        <w:overflowPunct w:val="0"/>
        <w:jc w:val="center"/>
        <w:outlineLvl w:val="1"/>
        <w:rPr>
          <w:rFonts w:hint="eastAsia" w:asciiTheme="minorEastAsia" w:hAnsiTheme="minorEastAsia" w:eastAsiaTheme="minorEastAsia" w:cstheme="minorEastAsia"/>
          <w:b/>
          <w:bCs/>
          <w:color w:val="000000" w:themeColor="text1"/>
          <w:spacing w:val="-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pacing w:val="-1"/>
          <w:sz w:val="28"/>
          <w:szCs w:val="28"/>
          <w14:textFill>
            <w14:solidFill>
              <w14:schemeClr w14:val="tx1"/>
            </w14:solidFill>
          </w14:textFill>
        </w:rPr>
        <w:t>第二节项目专用合同条款</w:t>
      </w:r>
    </w:p>
    <w:p w14:paraId="418AE9D0">
      <w:pPr>
        <w:pStyle w:val="8"/>
        <w:tabs>
          <w:tab w:val="left" w:pos="559"/>
        </w:tabs>
        <w:kinsoku w:val="0"/>
        <w:overflowPunct w:val="0"/>
        <w:spacing w:after="0"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说明：</w:t>
      </w:r>
    </w:p>
    <w:p w14:paraId="09389DF8">
      <w:pPr>
        <w:pStyle w:val="8"/>
        <w:kinsoku w:val="0"/>
        <w:overflowPunct w:val="0"/>
        <w:spacing w:after="0"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r>
        <w:rPr>
          <w:rFonts w:hint="eastAsia" w:asciiTheme="minorEastAsia" w:hAnsiTheme="minorEastAsia" w:eastAsiaTheme="minorEastAsia" w:cstheme="minorEastAsia"/>
          <w:color w:val="000000" w:themeColor="text1"/>
          <w:spacing w:val="-1"/>
          <w:szCs w:val="21"/>
          <w14:textFill>
            <w14:solidFill>
              <w14:schemeClr w14:val="tx1"/>
            </w14:solidFill>
          </w14:textFill>
        </w:rPr>
        <w:t>招标人在根据本范本编制项目招标文件中的“项目专用合同条款”时，可根据招标项目的</w:t>
      </w:r>
      <w:r>
        <w:rPr>
          <w:rFonts w:hint="eastAsia" w:asciiTheme="minorEastAsia" w:hAnsiTheme="minorEastAsia" w:eastAsiaTheme="minorEastAsia" w:cstheme="minorEastAsia"/>
          <w:color w:val="000000" w:themeColor="text1"/>
          <w:szCs w:val="21"/>
          <w14:textFill>
            <w14:solidFill>
              <w14:schemeClr w14:val="tx1"/>
            </w14:solidFill>
          </w14:textFill>
        </w:rPr>
        <w:t>具体特点和实际需要，对“通用合同条款”及“公路工程合同专用条款”进行补充和细化，除“通用合同条款”明确“专用合同条款”可做出不同约定及“公路工程合同专用条款”明确“专用合同条款”</w:t>
      </w:r>
      <w:r>
        <w:rPr>
          <w:rFonts w:hint="eastAsia" w:asciiTheme="minorEastAsia" w:hAnsiTheme="minorEastAsia" w:eastAsiaTheme="minorEastAsia" w:cstheme="minorEastAsia"/>
          <w:color w:val="000000" w:themeColor="text1"/>
          <w:spacing w:val="-1"/>
          <w:szCs w:val="21"/>
          <w14:textFill>
            <w14:solidFill>
              <w14:schemeClr w14:val="tx1"/>
            </w14:solidFill>
          </w14:textFill>
        </w:rPr>
        <w:t>可做出不同约定外，补充和细化的内容不得与“通用合同条款”及“公路工程合同专用</w:t>
      </w:r>
      <w:r>
        <w:rPr>
          <w:rFonts w:hint="eastAsia" w:asciiTheme="minorEastAsia" w:hAnsiTheme="minorEastAsia" w:eastAsiaTheme="minorEastAsia" w:cstheme="minorEastAsia"/>
          <w:color w:val="000000" w:themeColor="text1"/>
          <w:szCs w:val="21"/>
          <w14:textFill>
            <w14:solidFill>
              <w14:schemeClr w14:val="tx1"/>
            </w14:solidFill>
          </w14:textFill>
        </w:rPr>
        <w:t>条款”强制性规定相抵触。同时，补充、细化或约定的不同内容，不得违反法律、行政法规的强制性规定和平等、自愿、公平和诚实信用原则。</w:t>
      </w:r>
    </w:p>
    <w:p w14:paraId="5C10D88E">
      <w:pPr>
        <w:pStyle w:val="8"/>
        <w:kinsoku w:val="0"/>
        <w:overflowPunct w:val="0"/>
        <w:spacing w:after="0" w:line="360" w:lineRule="auto"/>
        <w:ind w:firstLine="420" w:firstLineChars="200"/>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1"/>
          <w:szCs w:val="21"/>
          <w14:textFill>
            <w14:solidFill>
              <w14:schemeClr w14:val="tx1"/>
            </w14:solidFill>
          </w14:textFill>
        </w:rPr>
        <w:t>专用合同条款的编号应与通用合同条款和公路工程合同专用条款一致。</w:t>
      </w:r>
    </w:p>
    <w:p w14:paraId="0D50B8E6">
      <w:pPr>
        <w:pStyle w:val="8"/>
        <w:kinsoku w:val="0"/>
        <w:overflowPunct w:val="0"/>
        <w:spacing w:after="0" w:line="360" w:lineRule="auto"/>
        <w:ind w:firstLine="420" w:firstLineChars="200"/>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r>
        <w:rPr>
          <w:rFonts w:hint="eastAsia" w:asciiTheme="minorEastAsia" w:hAnsiTheme="minorEastAsia" w:eastAsiaTheme="minorEastAsia" w:cstheme="minorEastAsia"/>
          <w:color w:val="000000" w:themeColor="text1"/>
          <w:spacing w:val="-1"/>
          <w:szCs w:val="21"/>
          <w14:textFill>
            <w14:solidFill>
              <w14:schemeClr w14:val="tx1"/>
            </w14:solidFill>
          </w14:textFill>
        </w:rPr>
        <w:t>专用合同条款可对下列内容进行补充和细化：</w:t>
      </w:r>
    </w:p>
    <w:p w14:paraId="6CD205F3">
      <w:pPr>
        <w:pStyle w:val="8"/>
        <w:kinsoku w:val="0"/>
        <w:overflowPunct w:val="0"/>
        <w:spacing w:after="0" w:line="360" w:lineRule="auto"/>
        <w:ind w:firstLine="428"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(1)“通用合同条款”中明确指出“专用合同条款”可对“通用合同条款”进行修改的内容</w:t>
      </w:r>
      <w:r>
        <w:rPr>
          <w:rFonts w:hint="eastAsia" w:asciiTheme="minorEastAsia" w:hAnsiTheme="minorEastAsia" w:eastAsiaTheme="minorEastAsia" w:cstheme="minorEastAsia"/>
          <w:color w:val="000000" w:themeColor="text1"/>
          <w:spacing w:val="-1"/>
          <w:szCs w:val="21"/>
          <w14:textFill>
            <w14:solidFill>
              <w14:schemeClr w14:val="tx1"/>
            </w14:solidFill>
          </w14:textFill>
        </w:rPr>
        <w:t>(在“通用合同条款”中用“应按合同约定”、“应按项目专用合同条款约定”“除合同另有约定外”、</w:t>
      </w:r>
      <w:r>
        <w:rPr>
          <w:rFonts w:hint="eastAsia" w:asciiTheme="minorEastAsia" w:hAnsiTheme="minorEastAsia" w:eastAsiaTheme="minorEastAsia" w:cstheme="minorEastAsia"/>
          <w:color w:val="000000" w:themeColor="text1"/>
          <w:szCs w:val="21"/>
          <w14:textFill>
            <w14:solidFill>
              <w14:schemeClr w14:val="tx1"/>
            </w14:solidFill>
          </w14:textFill>
        </w:rPr>
        <w:t>“除项目专用合同条款另有约定外”、“在项目专用合同条款中约定”等多种文字形式表达)；</w:t>
      </w:r>
    </w:p>
    <w:p w14:paraId="503B3689">
      <w:pPr>
        <w:pStyle w:val="8"/>
        <w:kinsoku w:val="0"/>
        <w:overflowPunct w:val="0"/>
        <w:spacing w:after="0"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(2)“公路工程专用合同条款”中明确指出“项目专用合同条款”可对“公路工程专用合同条款</w:t>
      </w:r>
      <w:r>
        <w:rPr>
          <w:rFonts w:hint="eastAsia" w:asciiTheme="minorEastAsia" w:hAnsiTheme="minorEastAsia" w:eastAsiaTheme="minorEastAsia" w:cstheme="minorEastAsia"/>
          <w:color w:val="000000" w:themeColor="text1"/>
          <w:spacing w:val="-29"/>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进行修改的内</w:t>
      </w:r>
      <w:r>
        <w:rPr>
          <w:rFonts w:hint="eastAsia" w:asciiTheme="minorEastAsia" w:hAnsiTheme="minorEastAsia" w:eastAsiaTheme="minorEastAsia" w:cstheme="minorEastAsia"/>
          <w:color w:val="000000" w:themeColor="text1"/>
          <w:spacing w:val="-29"/>
          <w:szCs w:val="21"/>
          <w14:textFill>
            <w14:solidFill>
              <w14:schemeClr w14:val="tx1"/>
            </w14:solidFill>
          </w14:textFill>
        </w:rPr>
        <w:t>容</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pacing w:val="-29"/>
          <w:szCs w:val="21"/>
          <w14:textFill>
            <w14:solidFill>
              <w14:schemeClr w14:val="tx1"/>
            </w14:solidFill>
          </w14:textFill>
        </w:rPr>
        <w:t>在</w:t>
      </w:r>
      <w:r>
        <w:rPr>
          <w:rFonts w:hint="eastAsia" w:asciiTheme="minorEastAsia" w:hAnsiTheme="minorEastAsia" w:eastAsiaTheme="minorEastAsia" w:cstheme="minorEastAsia"/>
          <w:color w:val="000000" w:themeColor="text1"/>
          <w:szCs w:val="21"/>
          <w14:textFill>
            <w14:solidFill>
              <w14:schemeClr w14:val="tx1"/>
            </w14:solidFill>
          </w14:textFill>
        </w:rPr>
        <w:t>“公路</w:t>
      </w:r>
      <w:r>
        <w:rPr>
          <w:rFonts w:hint="eastAsia" w:asciiTheme="minorEastAsia" w:hAnsiTheme="minorEastAsia" w:eastAsiaTheme="minorEastAsia" w:cstheme="minorEastAsia"/>
          <w:color w:val="000000" w:themeColor="text1"/>
          <w:spacing w:val="-2"/>
          <w:szCs w:val="21"/>
          <w14:textFill>
            <w14:solidFill>
              <w14:schemeClr w14:val="tx1"/>
            </w14:solidFill>
          </w14:textFill>
        </w:rPr>
        <w:t>工</w:t>
      </w:r>
      <w:r>
        <w:rPr>
          <w:rFonts w:hint="eastAsia" w:asciiTheme="minorEastAsia" w:hAnsiTheme="minorEastAsia" w:eastAsiaTheme="minorEastAsia" w:cstheme="minorEastAsia"/>
          <w:color w:val="000000" w:themeColor="text1"/>
          <w:szCs w:val="21"/>
          <w14:textFill>
            <w14:solidFill>
              <w14:schemeClr w14:val="tx1"/>
            </w14:solidFill>
          </w14:textFill>
        </w:rPr>
        <w:t>程专用合同条款</w:t>
      </w:r>
      <w:r>
        <w:rPr>
          <w:rFonts w:hint="eastAsia" w:asciiTheme="minorEastAsia" w:hAnsiTheme="minorEastAsia" w:eastAsiaTheme="minorEastAsia" w:cstheme="minorEastAsia"/>
          <w:color w:val="000000" w:themeColor="text1"/>
          <w:spacing w:val="-29"/>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中</w:t>
      </w:r>
      <w:r>
        <w:rPr>
          <w:rFonts w:hint="eastAsia" w:asciiTheme="minorEastAsia" w:hAnsiTheme="minorEastAsia" w:eastAsiaTheme="minorEastAsia" w:cstheme="minorEastAsia"/>
          <w:color w:val="000000" w:themeColor="text1"/>
          <w:spacing w:val="-29"/>
          <w:szCs w:val="21"/>
          <w14:textFill>
            <w14:solidFill>
              <w14:schemeClr w14:val="tx1"/>
            </w14:solidFill>
          </w14:textFill>
        </w:rPr>
        <w:t>用</w:t>
      </w:r>
      <w:r>
        <w:rPr>
          <w:rFonts w:hint="eastAsia" w:asciiTheme="minorEastAsia" w:hAnsiTheme="minorEastAsia" w:eastAsiaTheme="minorEastAsia" w:cstheme="minorEastAsia"/>
          <w:color w:val="000000" w:themeColor="text1"/>
          <w:spacing w:val="-2"/>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除项目专用合同条款另有约定外</w:t>
      </w:r>
      <w:r>
        <w:rPr>
          <w:rFonts w:hint="eastAsia" w:asciiTheme="minorEastAsia" w:hAnsiTheme="minorEastAsia" w:eastAsiaTheme="minorEastAsia" w:cstheme="minorEastAsia"/>
          <w:color w:val="000000" w:themeColor="text1"/>
          <w:spacing w:val="-105"/>
          <w:szCs w:val="21"/>
          <w14:textFill>
            <w14:solidFill>
              <w14:schemeClr w14:val="tx1"/>
            </w14:solidFill>
          </w14:textFill>
        </w:rPr>
        <w:t>”</w:t>
      </w:r>
      <w:r>
        <w:rPr>
          <w:rFonts w:hint="eastAsia" w:asciiTheme="minorEastAsia" w:hAnsiTheme="minorEastAsia" w:eastAsiaTheme="minorEastAsia" w:cstheme="minorEastAsia"/>
          <w:color w:val="000000" w:themeColor="text1"/>
          <w:spacing w:val="-135"/>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“项目专用合同条款可能约定的</w:t>
      </w:r>
      <w:r>
        <w:rPr>
          <w:rFonts w:hint="eastAsia" w:asciiTheme="minorEastAsia" w:hAnsiTheme="minorEastAsia" w:eastAsiaTheme="minorEastAsia" w:cstheme="minorEastAsia"/>
          <w:color w:val="000000" w:themeColor="text1"/>
          <w:spacing w:val="-105"/>
          <w:szCs w:val="21"/>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pacing w:val="-2"/>
          <w:szCs w:val="21"/>
          <w14:textFill>
            <w14:solidFill>
              <w14:schemeClr w14:val="tx1"/>
            </w14:solidFill>
          </w14:textFill>
        </w:rPr>
        <w:t>项</w:t>
      </w:r>
      <w:r>
        <w:rPr>
          <w:rFonts w:hint="eastAsia" w:asciiTheme="minorEastAsia" w:hAnsiTheme="minorEastAsia" w:eastAsiaTheme="minorEastAsia" w:cstheme="minorEastAsia"/>
          <w:color w:val="000000" w:themeColor="text1"/>
          <w:szCs w:val="21"/>
          <w14:textFill>
            <w14:solidFill>
              <w14:schemeClr w14:val="tx1"/>
            </w14:solidFill>
          </w14:textFill>
        </w:rPr>
        <w:t>目专用合同条款约定的其他情形”等多种文字形式表达</w:t>
      </w:r>
      <w:r>
        <w:rPr>
          <w:rFonts w:hint="eastAsia" w:asciiTheme="minorEastAsia" w:hAnsiTheme="minorEastAsia" w:eastAsiaTheme="minorEastAsia" w:cstheme="minorEastAsia"/>
          <w:color w:val="000000" w:themeColor="text1"/>
          <w:spacing w:val="-105"/>
          <w:szCs w:val="21"/>
          <w14:textFill>
            <w14:solidFill>
              <w14:schemeClr w14:val="tx1"/>
            </w14:solidFill>
          </w14:textFill>
        </w:rPr>
        <w:t>）</w:t>
      </w:r>
    </w:p>
    <w:p w14:paraId="0AA7F7F8">
      <w:pPr>
        <w:pStyle w:val="8"/>
        <w:kinsoku w:val="0"/>
        <w:overflowPunct w:val="0"/>
        <w:spacing w:after="0" w:line="360" w:lineRule="auto"/>
        <w:ind w:firstLine="416" w:firstLineChars="200"/>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（3）其他需要补充、细化的内容。</w:t>
      </w:r>
    </w:p>
    <w:p w14:paraId="68E0A288">
      <w:pPr>
        <w:pStyle w:val="8"/>
        <w:kinsoku w:val="0"/>
        <w:overflowPunct w:val="0"/>
        <w:ind w:firstLine="624" w:firstLineChars="300"/>
        <w:rPr>
          <w:rFonts w:hint="eastAsia" w:asciiTheme="minorEastAsia" w:hAnsiTheme="minorEastAsia" w:eastAsiaTheme="minorEastAsia" w:cstheme="minorEastAsia"/>
          <w:color w:val="000000" w:themeColor="text1"/>
          <w:spacing w:val="-1"/>
          <w:szCs w:val="21"/>
          <w14:textFill>
            <w14:solidFill>
              <w14:schemeClr w14:val="tx1"/>
            </w14:solidFill>
          </w14:textFill>
        </w:rPr>
      </w:pPr>
    </w:p>
    <w:p w14:paraId="74D8EFB9">
      <w:pPr>
        <w:pStyle w:val="8"/>
        <w:kinsoku w:val="0"/>
        <w:overflowPunct w:val="0"/>
        <w:rPr>
          <w:rFonts w:hint="eastAsia" w:asciiTheme="minorEastAsia" w:hAnsiTheme="minorEastAsia" w:eastAsiaTheme="minorEastAsia" w:cstheme="minorEastAsia"/>
          <w:color w:val="000000" w:themeColor="text1"/>
          <w:spacing w:val="-1"/>
          <w:szCs w:val="21"/>
          <w14:textFill>
            <w14:solidFill>
              <w14:schemeClr w14:val="tx1"/>
            </w14:solidFill>
          </w14:textFill>
        </w:rPr>
        <w:sectPr>
          <w:footerReference r:id="rId7" w:type="default"/>
          <w:pgSz w:w="11910" w:h="16840"/>
          <w:pgMar w:top="1440" w:right="1080" w:bottom="1440" w:left="1080" w:header="707" w:footer="950" w:gutter="0"/>
          <w:pgNumType w:fmt="numberInDash"/>
          <w:cols w:space="720" w:num="1"/>
        </w:sectPr>
      </w:pPr>
    </w:p>
    <w:p w14:paraId="785324F6">
      <w:pPr>
        <w:pStyle w:val="4"/>
        <w:spacing w:before="0" w:after="0" w:line="360" w:lineRule="auto"/>
        <w:jc w:val="center"/>
        <w:rPr>
          <w:rFonts w:hint="eastAsia" w:asciiTheme="minorEastAsia" w:hAnsiTheme="minorEastAsia" w:eastAsiaTheme="minorEastAsia" w:cstheme="minorEastAsia"/>
          <w:color w:val="000000" w:themeColor="text1"/>
          <w14:textFill>
            <w14:solidFill>
              <w14:schemeClr w14:val="tx1"/>
            </w14:solidFill>
          </w14:textFill>
        </w:rPr>
      </w:pPr>
      <w:bookmarkStart w:id="38" w:name="_Toc14651"/>
      <w:r>
        <w:rPr>
          <w:rFonts w:hint="eastAsia" w:asciiTheme="minorEastAsia" w:hAnsiTheme="minorEastAsia" w:eastAsiaTheme="minorEastAsia" w:cstheme="minorEastAsia"/>
          <w:color w:val="000000" w:themeColor="text1"/>
          <w14:textFill>
            <w14:solidFill>
              <w14:schemeClr w14:val="tx1"/>
            </w14:solidFill>
          </w14:textFill>
        </w:rPr>
        <w:t>项目专用条款数据表</w:t>
      </w:r>
      <w:bookmarkEnd w:id="38"/>
    </w:p>
    <w:p w14:paraId="28BDF16C">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说明：本数据表是项目专用合同条款中适用于本项目的信息和数据的归纳与提示，是项目专用合同条款的组成部分。第九章“招标文件格式”的投标函附录中的数据（供投标人确认）与本表所列有重复。编写招标文件的单位应仔细校核，不使数据出现差错或不一致。</w:t>
      </w:r>
    </w:p>
    <w:tbl>
      <w:tblPr>
        <w:tblStyle w:val="2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42"/>
        <w:gridCol w:w="742"/>
        <w:gridCol w:w="7426"/>
      </w:tblGrid>
      <w:tr w14:paraId="70E2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9" w:type="dxa"/>
            <w:vAlign w:val="center"/>
          </w:tcPr>
          <w:p w14:paraId="19E3800C">
            <w:pPr>
              <w:spacing w:line="288" w:lineRule="auto"/>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序号</w:t>
            </w:r>
          </w:p>
        </w:tc>
        <w:tc>
          <w:tcPr>
            <w:tcW w:w="1484" w:type="dxa"/>
            <w:gridSpan w:val="2"/>
            <w:vAlign w:val="center"/>
          </w:tcPr>
          <w:p w14:paraId="47B40E99">
            <w:pPr>
              <w:spacing w:line="288" w:lineRule="auto"/>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条款号</w:t>
            </w:r>
          </w:p>
        </w:tc>
        <w:tc>
          <w:tcPr>
            <w:tcW w:w="7426" w:type="dxa"/>
            <w:vAlign w:val="center"/>
          </w:tcPr>
          <w:p w14:paraId="61A0CCEF">
            <w:pPr>
              <w:spacing w:line="288" w:lineRule="auto"/>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信息或数据</w:t>
            </w:r>
          </w:p>
        </w:tc>
      </w:tr>
      <w:tr w14:paraId="079E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BAC22B9">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1484" w:type="dxa"/>
            <w:gridSpan w:val="2"/>
            <w:vAlign w:val="center"/>
          </w:tcPr>
          <w:p w14:paraId="25BD022E">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1.1.2.2</w:t>
            </w:r>
          </w:p>
        </w:tc>
        <w:tc>
          <w:tcPr>
            <w:tcW w:w="7426" w:type="dxa"/>
            <w:vAlign w:val="center"/>
          </w:tcPr>
          <w:p w14:paraId="5F09528F">
            <w:pPr>
              <w:pStyle w:val="46"/>
              <w:widowControl/>
              <w:spacing w:line="288" w:lineRule="auto"/>
              <w:jc w:val="left"/>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单位名称：南雄市地方公路管理站</w:t>
            </w:r>
          </w:p>
          <w:p w14:paraId="03B12C77">
            <w:pPr>
              <w:pStyle w:val="46"/>
              <w:widowControl/>
              <w:spacing w:line="288"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地址：南雄市新城沿江东路97号</w:t>
            </w:r>
          </w:p>
          <w:p w14:paraId="3F039604">
            <w:pPr>
              <w:pStyle w:val="46"/>
              <w:widowControl/>
              <w:spacing w:line="288"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邮政编码：512400</w:t>
            </w:r>
          </w:p>
        </w:tc>
      </w:tr>
      <w:tr w14:paraId="179B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7625ECB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c>
          <w:tcPr>
            <w:tcW w:w="1484" w:type="dxa"/>
            <w:gridSpan w:val="2"/>
            <w:vAlign w:val="center"/>
          </w:tcPr>
          <w:p w14:paraId="27F799F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1.1.2.6</w:t>
            </w:r>
          </w:p>
        </w:tc>
        <w:tc>
          <w:tcPr>
            <w:tcW w:w="7426" w:type="dxa"/>
            <w:vAlign w:val="center"/>
          </w:tcPr>
          <w:p w14:paraId="60DACFC7">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w:t>
            </w:r>
          </w:p>
          <w:p w14:paraId="4561FBD4">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地址：/邮政编码：/</w:t>
            </w:r>
          </w:p>
          <w:p w14:paraId="5B06DB7E">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试验</w:t>
            </w:r>
            <w:r>
              <w:rPr>
                <w:rFonts w:hint="eastAsia" w:asciiTheme="minorEastAsia" w:hAnsiTheme="minorEastAsia" w:eastAsiaTheme="minorEastAsia" w:cstheme="minorEastAsia"/>
                <w:color w:val="000000" w:themeColor="text1"/>
                <w:szCs w:val="21"/>
                <w14:textFill>
                  <w14:solidFill>
                    <w14:schemeClr w14:val="tx1"/>
                  </w14:solidFill>
                </w14:textFill>
              </w:rPr>
              <w:t>检测单位：/</w:t>
            </w:r>
          </w:p>
          <w:p w14:paraId="311F44B2">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地址：/</w:t>
            </w:r>
            <w:r>
              <w:rPr>
                <w:rFonts w:hint="eastAsia" w:asciiTheme="minorEastAsia" w:hAnsiTheme="minorEastAsia" w:eastAsiaTheme="minorEastAsia" w:cstheme="minorEastAsia"/>
                <w:color w:val="000000" w:themeColor="text1"/>
                <w:szCs w:val="21"/>
                <w14:textFill>
                  <w14:solidFill>
                    <w14:schemeClr w14:val="tx1"/>
                  </w14:solidFill>
                </w14:textFill>
              </w:rPr>
              <w:tab/>
            </w:r>
            <w:r>
              <w:rPr>
                <w:rFonts w:hint="eastAsia" w:asciiTheme="minorEastAsia" w:hAnsiTheme="minorEastAsia" w:eastAsiaTheme="minorEastAsia" w:cstheme="minorEastAsia"/>
                <w:color w:val="000000" w:themeColor="text1"/>
                <w:spacing w:val="-1"/>
                <w:szCs w:val="21"/>
                <w14:textFill>
                  <w14:solidFill>
                    <w14:schemeClr w14:val="tx1"/>
                  </w14:solidFill>
                </w14:textFill>
              </w:rPr>
              <w:t>邮政</w:t>
            </w:r>
            <w:r>
              <w:rPr>
                <w:rFonts w:hint="eastAsia" w:asciiTheme="minorEastAsia" w:hAnsiTheme="minorEastAsia" w:eastAsiaTheme="minorEastAsia" w:cstheme="minorEastAsia"/>
                <w:color w:val="000000" w:themeColor="text1"/>
                <w:szCs w:val="21"/>
                <w14:textFill>
                  <w14:solidFill>
                    <w14:schemeClr w14:val="tx1"/>
                  </w14:solidFill>
                </w14:textFill>
              </w:rPr>
              <w:t>编码：/</w:t>
            </w:r>
          </w:p>
        </w:tc>
      </w:tr>
      <w:tr w14:paraId="0E46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35E45DC8">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c>
          <w:tcPr>
            <w:tcW w:w="1484" w:type="dxa"/>
            <w:gridSpan w:val="2"/>
            <w:vAlign w:val="center"/>
          </w:tcPr>
          <w:p w14:paraId="14EE98A7">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1.1.4.5</w:t>
            </w:r>
          </w:p>
        </w:tc>
        <w:tc>
          <w:tcPr>
            <w:tcW w:w="7426" w:type="dxa"/>
            <w:vAlign w:val="center"/>
          </w:tcPr>
          <w:p w14:paraId="2062EDBA">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缺陷责任期：自实际交工日期起计算</w:t>
            </w:r>
            <w:r>
              <w:rPr>
                <w:rFonts w:hint="eastAsia" w:asciiTheme="minorEastAsia" w:hAnsiTheme="minorEastAsia" w:eastAsiaTheme="minorEastAsia" w:cstheme="minorEastAsia"/>
                <w:color w:val="000000" w:themeColor="text1"/>
                <w:szCs w:val="21"/>
                <w:u w:val="single"/>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年</w:t>
            </w:r>
          </w:p>
        </w:tc>
      </w:tr>
      <w:tr w14:paraId="4D5D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8AA9560">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w:t>
            </w:r>
          </w:p>
        </w:tc>
        <w:tc>
          <w:tcPr>
            <w:tcW w:w="1484" w:type="dxa"/>
            <w:gridSpan w:val="2"/>
            <w:vAlign w:val="center"/>
          </w:tcPr>
          <w:p w14:paraId="5331625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1.6.3</w:t>
            </w:r>
          </w:p>
        </w:tc>
        <w:tc>
          <w:tcPr>
            <w:tcW w:w="7426" w:type="dxa"/>
            <w:vAlign w:val="center"/>
          </w:tcPr>
          <w:p w14:paraId="28973F23">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图纸需要修改和补充的，应由监理人取得发包人同意后，在该项工程或工程相应部位施工前</w:t>
            </w:r>
            <w:r>
              <w:rPr>
                <w:rFonts w:hint="eastAsia" w:asciiTheme="minorEastAsia" w:hAnsiTheme="minorEastAsia" w:eastAsiaTheme="minorEastAsia" w:cstheme="minorEastAsia"/>
                <w:color w:val="000000" w:themeColor="text1"/>
                <w:szCs w:val="21"/>
                <w:u w:val="single"/>
                <w14:textFill>
                  <w14:solidFill>
                    <w14:schemeClr w14:val="tx1"/>
                  </w14:solidFill>
                </w14:textFill>
              </w:rPr>
              <w:t>20</w:t>
            </w:r>
            <w:r>
              <w:rPr>
                <w:rFonts w:hint="eastAsia" w:asciiTheme="minorEastAsia" w:hAnsiTheme="minorEastAsia" w:eastAsiaTheme="minorEastAsia" w:cstheme="minorEastAsia"/>
                <w:color w:val="000000" w:themeColor="text1"/>
                <w:szCs w:val="21"/>
                <w14:textFill>
                  <w14:solidFill>
                    <w14:schemeClr w14:val="tx1"/>
                  </w14:solidFill>
                </w14:textFill>
              </w:rPr>
              <w:t>天签发图纸修改图给承包人</w:t>
            </w:r>
          </w:p>
        </w:tc>
      </w:tr>
      <w:tr w14:paraId="4134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25AB74BF">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w:t>
            </w:r>
          </w:p>
        </w:tc>
        <w:tc>
          <w:tcPr>
            <w:tcW w:w="1484" w:type="dxa"/>
            <w:gridSpan w:val="2"/>
            <w:vAlign w:val="center"/>
          </w:tcPr>
          <w:p w14:paraId="3DAA9AF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3.1.1</w:t>
            </w:r>
          </w:p>
        </w:tc>
        <w:tc>
          <w:tcPr>
            <w:tcW w:w="7426" w:type="dxa"/>
            <w:vAlign w:val="center"/>
          </w:tcPr>
          <w:p w14:paraId="55084F9F">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监理人在行使下列权力前需要经发包人事先批准：</w:t>
            </w:r>
          </w:p>
          <w:p w14:paraId="3AE368B2">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（6）根据第15.3款发出的变更指示，均需要经发包人事先批准</w:t>
            </w:r>
          </w:p>
        </w:tc>
      </w:tr>
      <w:tr w14:paraId="2A9D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0B47C3F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c>
          <w:tcPr>
            <w:tcW w:w="1484" w:type="dxa"/>
            <w:gridSpan w:val="2"/>
            <w:vAlign w:val="center"/>
          </w:tcPr>
          <w:p w14:paraId="5B364481">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4.6.3(1)</w:t>
            </w:r>
          </w:p>
        </w:tc>
        <w:tc>
          <w:tcPr>
            <w:tcW w:w="7426" w:type="dxa"/>
            <w:vAlign w:val="center"/>
          </w:tcPr>
          <w:p w14:paraId="4BEEFE47">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需缴纳违约金金额：项目经理5万元/人次，总工程师3万元/人次，其他主要管理人员2万元/人次</w:t>
            </w:r>
          </w:p>
        </w:tc>
      </w:tr>
      <w:tr w14:paraId="53B4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7F47A7F6">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w:t>
            </w:r>
          </w:p>
        </w:tc>
        <w:tc>
          <w:tcPr>
            <w:tcW w:w="1484" w:type="dxa"/>
            <w:gridSpan w:val="2"/>
            <w:vAlign w:val="center"/>
          </w:tcPr>
          <w:p w14:paraId="7B0393BB">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5.2.1</w:t>
            </w:r>
          </w:p>
        </w:tc>
        <w:tc>
          <w:tcPr>
            <w:tcW w:w="7426" w:type="dxa"/>
            <w:vAlign w:val="center"/>
          </w:tcPr>
          <w:p w14:paraId="53476771">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发包人是否提供材料或工程设备：</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7558334A">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如发包人负责提供部分材料或工程设备，相关规定如下：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25A9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F4D4FE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w:t>
            </w:r>
          </w:p>
        </w:tc>
        <w:tc>
          <w:tcPr>
            <w:tcW w:w="1484" w:type="dxa"/>
            <w:gridSpan w:val="2"/>
            <w:vAlign w:val="center"/>
          </w:tcPr>
          <w:p w14:paraId="63FF9D2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6.2</w:t>
            </w:r>
          </w:p>
        </w:tc>
        <w:tc>
          <w:tcPr>
            <w:tcW w:w="7426" w:type="dxa"/>
            <w:vAlign w:val="center"/>
          </w:tcPr>
          <w:p w14:paraId="603D80AB">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发包人是否提供施工设备和临时设施：</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327DF83D">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如发包人负责提供部分施工设备和临时设施，相关规定如下：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4B29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607EE989">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w:t>
            </w:r>
          </w:p>
        </w:tc>
        <w:tc>
          <w:tcPr>
            <w:tcW w:w="1484" w:type="dxa"/>
            <w:gridSpan w:val="2"/>
            <w:vAlign w:val="center"/>
          </w:tcPr>
          <w:p w14:paraId="7FD218BD">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8.1.1</w:t>
            </w:r>
          </w:p>
        </w:tc>
        <w:tc>
          <w:tcPr>
            <w:tcW w:w="7426" w:type="dxa"/>
            <w:vAlign w:val="center"/>
          </w:tcPr>
          <w:p w14:paraId="3A0C010C">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发包人提供测量基准点、基准线和水准点及其书面资料的期限：</w:t>
            </w:r>
            <w:r>
              <w:rPr>
                <w:rFonts w:hint="eastAsia" w:asciiTheme="minorEastAsia" w:hAnsiTheme="minorEastAsia" w:eastAsiaTheme="minorEastAsia" w:cstheme="minorEastAsia"/>
                <w:color w:val="000000" w:themeColor="text1"/>
                <w:szCs w:val="21"/>
                <w:u w:val="single"/>
                <w14:textFill>
                  <w14:solidFill>
                    <w14:schemeClr w14:val="tx1"/>
                  </w14:solidFill>
                </w14:textFill>
              </w:rPr>
              <w:t>在签订施工承包合同后一个月内</w:t>
            </w:r>
          </w:p>
          <w:p w14:paraId="799102E5">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承包人将施工控制网资料报送监理人审批的期限：</w:t>
            </w:r>
            <w:r>
              <w:rPr>
                <w:rFonts w:hint="eastAsia" w:asciiTheme="minorEastAsia" w:hAnsiTheme="minorEastAsia" w:eastAsiaTheme="minorEastAsia" w:cstheme="minorEastAsia"/>
                <w:color w:val="000000" w:themeColor="text1"/>
                <w:szCs w:val="21"/>
                <w:u w:val="single"/>
                <w14:textFill>
                  <w14:solidFill>
                    <w14:schemeClr w14:val="tx1"/>
                  </w14:solidFill>
                </w14:textFill>
              </w:rPr>
              <w:t>在收到发包人提供的上述资料一个月内</w:t>
            </w:r>
          </w:p>
        </w:tc>
      </w:tr>
      <w:tr w14:paraId="6B9E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01000F82">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w:t>
            </w:r>
          </w:p>
        </w:tc>
        <w:tc>
          <w:tcPr>
            <w:tcW w:w="1484" w:type="dxa"/>
            <w:gridSpan w:val="2"/>
            <w:vAlign w:val="center"/>
          </w:tcPr>
          <w:p w14:paraId="7A5FA286">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11.5（3）</w:t>
            </w:r>
          </w:p>
        </w:tc>
        <w:tc>
          <w:tcPr>
            <w:tcW w:w="7426" w:type="dxa"/>
            <w:vAlign w:val="center"/>
          </w:tcPr>
          <w:p w14:paraId="41EAE6A4">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逾期交工违约金：</w:t>
            </w:r>
            <w:r>
              <w:rPr>
                <w:rFonts w:hint="eastAsia" w:asciiTheme="minorEastAsia" w:hAnsiTheme="minorEastAsia" w:eastAsiaTheme="minorEastAsia" w:cstheme="minorEastAsia"/>
                <w:color w:val="000000" w:themeColor="text1"/>
                <w:szCs w:val="21"/>
                <w:u w:val="single"/>
                <w14:textFill>
                  <w14:solidFill>
                    <w14:schemeClr w14:val="tx1"/>
                  </w14:solidFill>
                </w14:textFill>
              </w:rPr>
              <w:t>5000元/天</w:t>
            </w:r>
          </w:p>
        </w:tc>
      </w:tr>
      <w:tr w14:paraId="6EE3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DC1024D">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w:t>
            </w:r>
          </w:p>
        </w:tc>
        <w:tc>
          <w:tcPr>
            <w:tcW w:w="1484" w:type="dxa"/>
            <w:gridSpan w:val="2"/>
            <w:vAlign w:val="center"/>
          </w:tcPr>
          <w:p w14:paraId="00821CEB">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11.5（3）</w:t>
            </w:r>
          </w:p>
        </w:tc>
        <w:tc>
          <w:tcPr>
            <w:tcW w:w="7426" w:type="dxa"/>
            <w:vAlign w:val="center"/>
          </w:tcPr>
          <w:p w14:paraId="1A9C07CA">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逾期交工违约金限额：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10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w:t>
            </w:r>
          </w:p>
        </w:tc>
      </w:tr>
      <w:tr w14:paraId="5A3D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2ADE99B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w:t>
            </w:r>
          </w:p>
        </w:tc>
        <w:tc>
          <w:tcPr>
            <w:tcW w:w="1484" w:type="dxa"/>
            <w:gridSpan w:val="2"/>
            <w:vAlign w:val="center"/>
          </w:tcPr>
          <w:p w14:paraId="38BC794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11.6</w:t>
            </w:r>
          </w:p>
        </w:tc>
        <w:tc>
          <w:tcPr>
            <w:tcW w:w="7426" w:type="dxa"/>
            <w:vAlign w:val="center"/>
          </w:tcPr>
          <w:p w14:paraId="318519D8">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提前交工的奖金：</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元/天</w:t>
            </w:r>
          </w:p>
        </w:tc>
      </w:tr>
      <w:tr w14:paraId="20D9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9" w:type="dxa"/>
            <w:vAlign w:val="center"/>
          </w:tcPr>
          <w:p w14:paraId="7A2AFFA1">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w:t>
            </w:r>
          </w:p>
        </w:tc>
        <w:tc>
          <w:tcPr>
            <w:tcW w:w="1484" w:type="dxa"/>
            <w:gridSpan w:val="2"/>
            <w:vAlign w:val="center"/>
          </w:tcPr>
          <w:p w14:paraId="5E9DC87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11.6</w:t>
            </w:r>
          </w:p>
        </w:tc>
        <w:tc>
          <w:tcPr>
            <w:tcW w:w="7426" w:type="dxa"/>
            <w:vAlign w:val="center"/>
          </w:tcPr>
          <w:p w14:paraId="662126C5">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提前交工的奖金限额：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w:t>
            </w:r>
          </w:p>
        </w:tc>
      </w:tr>
      <w:tr w14:paraId="5CC6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861CCED">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w:t>
            </w:r>
          </w:p>
        </w:tc>
        <w:tc>
          <w:tcPr>
            <w:tcW w:w="1484" w:type="dxa"/>
            <w:gridSpan w:val="2"/>
            <w:vAlign w:val="center"/>
          </w:tcPr>
          <w:p w14:paraId="6AFF710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15.5.2</w:t>
            </w:r>
          </w:p>
        </w:tc>
        <w:tc>
          <w:tcPr>
            <w:tcW w:w="7426" w:type="dxa"/>
            <w:vAlign w:val="center"/>
          </w:tcPr>
          <w:p w14:paraId="649FAD3F">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承包人提出的合理化建议降低了合同价格或者提高了工程经济效益的，发包人按所节约成本的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%或增加收益的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%给予奖励</w:t>
            </w:r>
          </w:p>
        </w:tc>
      </w:tr>
      <w:tr w14:paraId="43A3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3CC7B508">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w:t>
            </w:r>
          </w:p>
        </w:tc>
        <w:tc>
          <w:tcPr>
            <w:tcW w:w="1484" w:type="dxa"/>
            <w:gridSpan w:val="2"/>
            <w:vAlign w:val="center"/>
          </w:tcPr>
          <w:p w14:paraId="5478B89D">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w:t>
            </w:r>
          </w:p>
        </w:tc>
        <w:tc>
          <w:tcPr>
            <w:tcW w:w="7426" w:type="dxa"/>
            <w:vAlign w:val="center"/>
          </w:tcPr>
          <w:p w14:paraId="364F4E88">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 eq \o\ac(</w:instrText>
            </w:r>
            <w:r>
              <w:rPr>
                <w:rFonts w:hint="eastAsia" w:asciiTheme="minorEastAsia" w:hAnsiTheme="minorEastAsia" w:eastAsiaTheme="minorEastAsia" w:cstheme="minorEastAsia"/>
                <w:color w:val="000000" w:themeColor="text1"/>
                <w:position w:val="-4"/>
                <w:sz w:val="3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Cs w:val="21"/>
                <w14:textFill>
                  <w14:solidFill>
                    <w14:schemeClr w14:val="tx1"/>
                  </w14:solidFill>
                </w14:textFill>
              </w:rPr>
              <w:t>因物价波动引起的价格调整按照第16.1项约定的原则处理</w:t>
            </w:r>
          </w:p>
          <w:p w14:paraId="1B8475AD">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☑合同期内不调价</w:t>
            </w:r>
          </w:p>
        </w:tc>
      </w:tr>
      <w:tr w14:paraId="5692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63EEE293">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w:t>
            </w:r>
          </w:p>
        </w:tc>
        <w:tc>
          <w:tcPr>
            <w:tcW w:w="1484" w:type="dxa"/>
            <w:gridSpan w:val="2"/>
            <w:vAlign w:val="center"/>
          </w:tcPr>
          <w:p w14:paraId="5E76FF36">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17.2.1</w:t>
            </w:r>
          </w:p>
        </w:tc>
        <w:tc>
          <w:tcPr>
            <w:tcW w:w="7426" w:type="dxa"/>
            <w:vAlign w:val="center"/>
          </w:tcPr>
          <w:p w14:paraId="1629A458">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开工预付款金额：施工开工预付款金额：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签约合同价；勘察设计费预付款金额：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不设置</w:t>
            </w:r>
            <w:r>
              <w:rPr>
                <w:rFonts w:hint="eastAsia" w:asciiTheme="minorEastAsia" w:hAnsiTheme="minorEastAsia" w:eastAsiaTheme="minorEastAsia" w:cstheme="minorEastAsia"/>
                <w:color w:val="000000" w:themeColor="text1"/>
                <w:szCs w:val="21"/>
                <w14:textFill>
                  <w14:solidFill>
                    <w14:schemeClr w14:val="tx1"/>
                  </w14:solidFill>
                </w14:textFill>
              </w:rPr>
              <w:t>预付款。</w:t>
            </w:r>
          </w:p>
        </w:tc>
      </w:tr>
      <w:tr w14:paraId="7C15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DAF2E8F">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w:t>
            </w:r>
          </w:p>
        </w:tc>
        <w:tc>
          <w:tcPr>
            <w:tcW w:w="1484" w:type="dxa"/>
            <w:gridSpan w:val="2"/>
            <w:vAlign w:val="center"/>
          </w:tcPr>
          <w:p w14:paraId="5499F4DF">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17.2.1</w:t>
            </w:r>
          </w:p>
        </w:tc>
        <w:tc>
          <w:tcPr>
            <w:tcW w:w="7426" w:type="dxa"/>
            <w:vAlign w:val="center"/>
          </w:tcPr>
          <w:p w14:paraId="3153EF72">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材料、设备预付款比例：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等主要材料、设备单据所列费用的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w:t>
            </w:r>
          </w:p>
        </w:tc>
      </w:tr>
      <w:tr w14:paraId="16A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6879B86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w:t>
            </w:r>
          </w:p>
        </w:tc>
        <w:tc>
          <w:tcPr>
            <w:tcW w:w="1484" w:type="dxa"/>
            <w:gridSpan w:val="2"/>
            <w:vAlign w:val="center"/>
          </w:tcPr>
          <w:p w14:paraId="20A4A9C7">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17.3.2</w:t>
            </w:r>
          </w:p>
        </w:tc>
        <w:tc>
          <w:tcPr>
            <w:tcW w:w="7426" w:type="dxa"/>
            <w:vAlign w:val="center"/>
          </w:tcPr>
          <w:p w14:paraId="68120704">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承包人在每个付款周期末向监理人提交进度付款申请单的份数：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13D9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2DE6435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19</w:t>
            </w:r>
          </w:p>
        </w:tc>
        <w:tc>
          <w:tcPr>
            <w:tcW w:w="1484" w:type="dxa"/>
            <w:gridSpan w:val="2"/>
            <w:vAlign w:val="center"/>
          </w:tcPr>
          <w:p w14:paraId="75B1D5E3">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17.3.3（1）</w:t>
            </w:r>
          </w:p>
        </w:tc>
        <w:tc>
          <w:tcPr>
            <w:tcW w:w="7426" w:type="dxa"/>
            <w:vAlign w:val="center"/>
          </w:tcPr>
          <w:p w14:paraId="426766A4">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进度付款证书最低限额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50</w:t>
            </w:r>
            <w:r>
              <w:rPr>
                <w:rFonts w:hint="eastAsia" w:asciiTheme="minorEastAsia" w:hAnsiTheme="minorEastAsia" w:eastAsiaTheme="minorEastAsia" w:cstheme="minorEastAsia"/>
                <w:color w:val="000000" w:themeColor="text1"/>
                <w:szCs w:val="21"/>
                <w14:textFill>
                  <w14:solidFill>
                    <w14:schemeClr w14:val="tx1"/>
                  </w14:solidFill>
                </w14:textFill>
              </w:rPr>
              <w:t>万元</w:t>
            </w:r>
          </w:p>
        </w:tc>
      </w:tr>
      <w:tr w14:paraId="782A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1A3AFFB8">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w:t>
            </w:r>
          </w:p>
        </w:tc>
        <w:tc>
          <w:tcPr>
            <w:tcW w:w="1484" w:type="dxa"/>
            <w:gridSpan w:val="2"/>
            <w:vAlign w:val="center"/>
          </w:tcPr>
          <w:p w14:paraId="6470E293">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17.3.3（2）</w:t>
            </w:r>
          </w:p>
        </w:tc>
        <w:tc>
          <w:tcPr>
            <w:tcW w:w="7426" w:type="dxa"/>
            <w:vAlign w:val="center"/>
          </w:tcPr>
          <w:p w14:paraId="59B10C19">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逾期付款违约金的利率：</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77F1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006BA7F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w:t>
            </w:r>
          </w:p>
        </w:tc>
        <w:tc>
          <w:tcPr>
            <w:tcW w:w="1484" w:type="dxa"/>
            <w:gridSpan w:val="2"/>
            <w:vAlign w:val="center"/>
          </w:tcPr>
          <w:p w14:paraId="3D17119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17.4.1</w:t>
            </w:r>
          </w:p>
        </w:tc>
        <w:tc>
          <w:tcPr>
            <w:tcW w:w="7426" w:type="dxa"/>
            <w:vAlign w:val="center"/>
          </w:tcPr>
          <w:p w14:paraId="390A6815">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质量保证金限额：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%合同价格，若交工验收时承包人具备被招标项目所在地省级交通运输主管部门评定的最高信用等级，发包人给予</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%合同价格质量保证金的优惠。</w:t>
            </w:r>
          </w:p>
          <w:p w14:paraId="5F47C299">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质量保证金是否计付利息：</w:t>
            </w:r>
          </w:p>
          <w:p w14:paraId="5F0140AC">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□是，利息的计算方式：</w:t>
            </w:r>
          </w:p>
          <w:p w14:paraId="4E1ADF33">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fldChar w:fldCharType="begin"/>
            </w:r>
            <w:r>
              <w:rPr>
                <w:rFonts w:hint="eastAsia" w:asciiTheme="minorEastAsia" w:hAnsiTheme="minorEastAsia" w:eastAsiaTheme="minorEastAsia" w:cstheme="minorEastAsia"/>
                <w:b/>
                <w:bCs/>
                <w:color w:val="000000" w:themeColor="text1"/>
                <w:szCs w:val="21"/>
                <w14:textFill>
                  <w14:solidFill>
                    <w14:schemeClr w14:val="tx1"/>
                  </w14:solidFill>
                </w14:textFill>
              </w:rPr>
              <w:instrText xml:space="preserve"> eq \o\ac(</w:instrText>
            </w:r>
            <w:r>
              <w:rPr>
                <w:rFonts w:hint="eastAsia" w:asciiTheme="minorEastAsia" w:hAnsiTheme="minorEastAsia" w:eastAsiaTheme="minorEastAsia" w:cstheme="minorEastAsia"/>
                <w:b/>
                <w:bCs/>
                <w:color w:val="000000" w:themeColor="text1"/>
                <w:position w:val="-4"/>
                <w:sz w:val="31"/>
                <w:szCs w:val="21"/>
                <w14:textFill>
                  <w14:solidFill>
                    <w14:schemeClr w14:val="tx1"/>
                  </w14:solidFill>
                </w14:textFill>
              </w:rPr>
              <w:instrText xml:space="preserve">□</w:instrText>
            </w:r>
            <w:r>
              <w:rPr>
                <w:rFonts w:hint="eastAsia" w:asciiTheme="minorEastAsia" w:hAnsiTheme="minorEastAsia" w:eastAsiaTheme="minorEastAsia" w:cstheme="minorEastAsia"/>
                <w:b/>
                <w:bCs/>
                <w:color w:val="000000" w:themeColor="text1"/>
                <w:szCs w:val="21"/>
                <w14:textFill>
                  <w14:solidFill>
                    <w14:schemeClr w14:val="tx1"/>
                  </w14:solidFill>
                </w14:textFill>
              </w:rPr>
              <w:instrText xml:space="preserve">,√)</w:instrText>
            </w:r>
            <w:r>
              <w:rPr>
                <w:rFonts w:hint="eastAsia" w:asciiTheme="minorEastAsia" w:hAnsiTheme="minorEastAsia" w:eastAsiaTheme="minorEastAsia" w:cstheme="minorEastAsia"/>
                <w:b/>
                <w:bCs/>
                <w:color w:val="000000" w:themeColor="text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Cs w:val="21"/>
                <w14:textFill>
                  <w14:solidFill>
                    <w14:schemeClr w14:val="tx1"/>
                  </w14:solidFill>
                </w14:textFill>
              </w:rPr>
              <w:t>否</w:t>
            </w:r>
          </w:p>
        </w:tc>
      </w:tr>
      <w:tr w14:paraId="12F3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9" w:type="dxa"/>
            <w:vAlign w:val="center"/>
          </w:tcPr>
          <w:p w14:paraId="0758C0B0">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w:t>
            </w:r>
          </w:p>
        </w:tc>
        <w:tc>
          <w:tcPr>
            <w:tcW w:w="1484" w:type="dxa"/>
            <w:gridSpan w:val="2"/>
            <w:vAlign w:val="center"/>
          </w:tcPr>
          <w:p w14:paraId="72E4C254">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17.5.1（1）</w:t>
            </w:r>
          </w:p>
        </w:tc>
        <w:tc>
          <w:tcPr>
            <w:tcW w:w="7426" w:type="dxa"/>
            <w:vAlign w:val="center"/>
          </w:tcPr>
          <w:p w14:paraId="4CFFF8AA">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承包人向监理人提交交工付款申请单（包括相关证明材料）的份数：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0CCA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29" w:type="dxa"/>
            <w:vAlign w:val="center"/>
          </w:tcPr>
          <w:p w14:paraId="223C7E2F">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23</w:t>
            </w:r>
          </w:p>
        </w:tc>
        <w:tc>
          <w:tcPr>
            <w:tcW w:w="1484" w:type="dxa"/>
            <w:gridSpan w:val="2"/>
            <w:vAlign w:val="center"/>
          </w:tcPr>
          <w:p w14:paraId="05C191E4">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17.6.1（1）</w:t>
            </w:r>
          </w:p>
        </w:tc>
        <w:tc>
          <w:tcPr>
            <w:tcW w:w="7426" w:type="dxa"/>
            <w:vAlign w:val="center"/>
          </w:tcPr>
          <w:p w14:paraId="6E068FDF">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承包人向监理人提交最终结清申请单（包括相关证明材料）的份数：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4866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Align w:val="center"/>
          </w:tcPr>
          <w:p w14:paraId="49C9BE8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24</w:t>
            </w:r>
          </w:p>
        </w:tc>
        <w:tc>
          <w:tcPr>
            <w:tcW w:w="1484" w:type="dxa"/>
            <w:gridSpan w:val="2"/>
            <w:vAlign w:val="center"/>
          </w:tcPr>
          <w:p w14:paraId="5B9EE05D">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18.2（1）</w:t>
            </w:r>
          </w:p>
        </w:tc>
        <w:tc>
          <w:tcPr>
            <w:tcW w:w="7426" w:type="dxa"/>
            <w:vAlign w:val="center"/>
          </w:tcPr>
          <w:p w14:paraId="791226C6">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竣工资料的份数：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5</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7550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1DBEA3A8">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w:t>
            </w:r>
          </w:p>
        </w:tc>
        <w:tc>
          <w:tcPr>
            <w:tcW w:w="1484" w:type="dxa"/>
            <w:gridSpan w:val="2"/>
            <w:vAlign w:val="center"/>
          </w:tcPr>
          <w:p w14:paraId="3599240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18.5.1</w:t>
            </w:r>
          </w:p>
        </w:tc>
        <w:tc>
          <w:tcPr>
            <w:tcW w:w="7426" w:type="dxa"/>
            <w:vAlign w:val="center"/>
          </w:tcPr>
          <w:p w14:paraId="4F07B24D">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单位工程或工程设备是否需投入施工期运行：</w:t>
            </w:r>
            <w:r>
              <w:rPr>
                <w:rFonts w:hint="eastAsia" w:asciiTheme="minorEastAsia" w:hAnsiTheme="minorEastAsia" w:eastAsiaTheme="minorEastAsia" w:cstheme="minorEastAsia"/>
                <w:color w:val="000000" w:themeColor="text1"/>
                <w:szCs w:val="21"/>
                <w:u w:val="single"/>
                <w14:textFill>
                  <w14:solidFill>
                    <w14:schemeClr w14:val="tx1"/>
                  </w14:solidFill>
                </w14:textFill>
              </w:rPr>
              <w:t>水泥砼路面达到规范规定龄期后须开放交通</w:t>
            </w:r>
          </w:p>
        </w:tc>
      </w:tr>
      <w:tr w14:paraId="0B46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1B769301">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26</w:t>
            </w:r>
          </w:p>
        </w:tc>
        <w:tc>
          <w:tcPr>
            <w:tcW w:w="1484" w:type="dxa"/>
            <w:gridSpan w:val="2"/>
            <w:vAlign w:val="center"/>
          </w:tcPr>
          <w:p w14:paraId="2EF24C87">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18.6.1</w:t>
            </w:r>
          </w:p>
        </w:tc>
        <w:tc>
          <w:tcPr>
            <w:tcW w:w="7426" w:type="dxa"/>
            <w:vAlign w:val="center"/>
          </w:tcPr>
          <w:p w14:paraId="206EB59B">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本工程及工程设备是否进行试运行：</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5239B7A0">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如本工程及工程设备需要进行试运行，试运行的具体规定如下：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0DDF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2494FCC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27</w:t>
            </w:r>
          </w:p>
        </w:tc>
        <w:tc>
          <w:tcPr>
            <w:tcW w:w="1484" w:type="dxa"/>
            <w:gridSpan w:val="2"/>
            <w:vAlign w:val="center"/>
          </w:tcPr>
          <w:p w14:paraId="02B2A575">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19.7（1）</w:t>
            </w:r>
          </w:p>
        </w:tc>
        <w:tc>
          <w:tcPr>
            <w:tcW w:w="7426" w:type="dxa"/>
            <w:vAlign w:val="center"/>
          </w:tcPr>
          <w:p w14:paraId="1A822557">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保修期：自实际交工日期起计算</w:t>
            </w:r>
            <w:r>
              <w:rPr>
                <w:rFonts w:hint="eastAsia" w:asciiTheme="minorEastAsia" w:hAnsiTheme="minorEastAsia" w:eastAsiaTheme="minorEastAsia" w:cstheme="minorEastAsia"/>
                <w:color w:val="000000" w:themeColor="text1"/>
                <w:szCs w:val="21"/>
                <w:u w:val="single"/>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年</w:t>
            </w:r>
          </w:p>
        </w:tc>
      </w:tr>
      <w:tr w14:paraId="5CFE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4776131A">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28</w:t>
            </w:r>
          </w:p>
        </w:tc>
        <w:tc>
          <w:tcPr>
            <w:tcW w:w="1484" w:type="dxa"/>
            <w:gridSpan w:val="2"/>
            <w:vAlign w:val="center"/>
          </w:tcPr>
          <w:p w14:paraId="17C7B81F">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w:t>
            </w:r>
          </w:p>
          <w:p w14:paraId="63EF3169">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20.4.2</w:t>
            </w:r>
          </w:p>
        </w:tc>
        <w:tc>
          <w:tcPr>
            <w:tcW w:w="7426" w:type="dxa"/>
            <w:vAlign w:val="center"/>
          </w:tcPr>
          <w:p w14:paraId="6A47732A">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建筑工程一切险及第三者责任险的保险费率：4‰</w:t>
            </w:r>
          </w:p>
          <w:p w14:paraId="521A1349">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第三者责任险的最低投保金额：/万元，事故次数不限（不计免赔额）。</w:t>
            </w:r>
          </w:p>
          <w:p w14:paraId="4D62A91E">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安全生产责任险必须按相关规定购买。</w:t>
            </w:r>
          </w:p>
        </w:tc>
      </w:tr>
      <w:tr w14:paraId="4890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9" w:type="dxa"/>
            <w:vAlign w:val="center"/>
          </w:tcPr>
          <w:p w14:paraId="32A53A23">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29</w:t>
            </w:r>
          </w:p>
        </w:tc>
        <w:tc>
          <w:tcPr>
            <w:tcW w:w="1484" w:type="dxa"/>
            <w:gridSpan w:val="2"/>
            <w:vAlign w:val="center"/>
          </w:tcPr>
          <w:p w14:paraId="07B41C19">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24.1</w:t>
            </w:r>
          </w:p>
        </w:tc>
        <w:tc>
          <w:tcPr>
            <w:tcW w:w="7426" w:type="dxa"/>
            <w:vAlign w:val="center"/>
          </w:tcPr>
          <w:p w14:paraId="23A69438">
            <w:pPr>
              <w:spacing w:line="288"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争议的最终解决方式：</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向南雄市人民法院提起诉讼</w:t>
            </w:r>
          </w:p>
        </w:tc>
      </w:tr>
      <w:tr w14:paraId="5107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639" w:type="dxa"/>
            <w:gridSpan w:val="4"/>
            <w:vAlign w:val="center"/>
          </w:tcPr>
          <w:p w14:paraId="7C72893C">
            <w:pP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需补充的其他内容</w:t>
            </w:r>
          </w:p>
        </w:tc>
      </w:tr>
      <w:tr w14:paraId="4B81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33D331AC">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w:t>
            </w:r>
          </w:p>
        </w:tc>
        <w:tc>
          <w:tcPr>
            <w:tcW w:w="8168" w:type="dxa"/>
            <w:gridSpan w:val="2"/>
            <w:vAlign w:val="center"/>
          </w:tcPr>
          <w:p w14:paraId="4825720B">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将第4.6.3（1）目细化为：</w:t>
            </w:r>
          </w:p>
          <w:p w14:paraId="5F94F2AD">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4.6.3承包人安排在施工场地的主要管理人员和技术骨干应与承包人承诺的名单一致，并保持相对稳定。</w:t>
            </w:r>
          </w:p>
          <w:p w14:paraId="702EB927">
            <w:pPr>
              <w:pStyle w:val="7"/>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未经监理人批准，上述人员不应无故不到位或被替换。若确实无法到位或需替换，或监理人认为已委派的项目经理或项目管理机构的工作能力和业务水平不称职，需经监理人审核并报发包人批准后，用同等资质和经历的人员替换，同时须按以下标准向业主提交违约金：项目经理、总工程师</w:t>
            </w:r>
            <w:r>
              <w:rPr>
                <w:rFonts w:hint="eastAsia" w:asciiTheme="minorEastAsia" w:hAnsiTheme="minorEastAsia" w:eastAsiaTheme="minorEastAsia" w:cstheme="minorEastAsia"/>
                <w:color w:val="000000" w:themeColor="text1"/>
                <w:szCs w:val="21"/>
                <w:u w:val="single"/>
                <w14:textFill>
                  <w14:solidFill>
                    <w14:schemeClr w14:val="tx1"/>
                  </w14:solidFill>
                </w14:textFill>
              </w:rPr>
              <w:t>10</w:t>
            </w:r>
            <w:r>
              <w:rPr>
                <w:rFonts w:hint="eastAsia" w:asciiTheme="minorEastAsia" w:hAnsiTheme="minorEastAsia" w:eastAsiaTheme="minorEastAsia" w:cstheme="minorEastAsia"/>
                <w:color w:val="000000" w:themeColor="text1"/>
                <w:szCs w:val="21"/>
                <w14:textFill>
                  <w14:solidFill>
                    <w14:schemeClr w14:val="tx1"/>
                  </w14:solidFill>
                </w14:textFill>
              </w:rPr>
              <w:t>万元／人次(用备选人替换首选人的调整不受此限)。发包人可随着工程的进度情况，动态增减管理人员要求。</w:t>
            </w:r>
          </w:p>
        </w:tc>
      </w:tr>
      <w:tr w14:paraId="4266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5353F4C8">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4.6.6</w:t>
            </w:r>
          </w:p>
        </w:tc>
        <w:tc>
          <w:tcPr>
            <w:tcW w:w="8168" w:type="dxa"/>
            <w:gridSpan w:val="2"/>
            <w:vAlign w:val="center"/>
          </w:tcPr>
          <w:p w14:paraId="56E275D2">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4.6.6在本款后增加（6）项如下：</w:t>
            </w:r>
          </w:p>
          <w:p w14:paraId="48CED8F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进一步规范本项目的工人工资支付行为，承包人在施工承包合同签订后，需按《关于印发&lt;韶关市建设领域施工企业工人工资支付保证金管理办法&gt;的通知》（韶人社[2017]133号）办理工人工资缴存和登记手续（施工过程中如有最新相关文件颁布，则按新文件执行）。</w:t>
            </w:r>
          </w:p>
        </w:tc>
      </w:tr>
      <w:tr w14:paraId="0103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8" w:hRule="atLeast"/>
          <w:jc w:val="center"/>
        </w:trPr>
        <w:tc>
          <w:tcPr>
            <w:tcW w:w="1471" w:type="dxa"/>
            <w:gridSpan w:val="2"/>
            <w:vAlign w:val="center"/>
          </w:tcPr>
          <w:p w14:paraId="762AF241">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w:t>
            </w:r>
          </w:p>
        </w:tc>
        <w:tc>
          <w:tcPr>
            <w:tcW w:w="8168" w:type="dxa"/>
            <w:gridSpan w:val="2"/>
            <w:vAlign w:val="center"/>
          </w:tcPr>
          <w:p w14:paraId="689C930F">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增加第4.15款国省道建设路域环境保护工作</w:t>
            </w:r>
          </w:p>
          <w:p w14:paraId="59C29292">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4.15国省道建设路域环境保护工作</w:t>
            </w:r>
          </w:p>
          <w:p w14:paraId="187DC900">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承包人在工程施工阶段和工程验收阶段必须执行《韶关市公路事务中心关于印发《国省道建设路域环境保护工作指引》的通知》的有关要求。</w:t>
            </w:r>
          </w:p>
          <w:p w14:paraId="2C94D64C">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4.15.1工程施工阶段</w:t>
            </w:r>
          </w:p>
          <w:p w14:paraId="64EDFE8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混合料应集中场站搅拌，拌和设备应做好密封，或配备防尘设备。各种料场、预制场要根据工程进度统筹考虑，施工过程中要采取有效措施防止污染周边环境，项目完工后应将临时占地恢复到临时占地使用前的状况或按设计达到设计要求。</w:t>
            </w:r>
          </w:p>
          <w:p w14:paraId="194A1726">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对于公路施工中路用粉状材料宜采用罐装方式运输，施工通道、混合料拌和站应经常进行洒水降尘，路面施工应注意保持水分，避免扬尘，隧道出渣和桥梁钻孔灌注桩施工时应设置沉降池，排出的泥浆要进行妥善处理，严禁向河流或农田排放。</w:t>
            </w:r>
          </w:p>
          <w:p w14:paraId="4A66D6A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3.在施工期间，应随时保持现场整洁，施工设备和工程材料、工程设备整齐规范存放和储存，废料与垃圾及不再需要的临时设施应及时从现场清除、拆除并运走。</w:t>
            </w:r>
          </w:p>
          <w:p w14:paraId="6646D528">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4.路基施工时要完善施工中的临时排水系统，加强施工便道的管理。取（弃）土场必须先挡后弃，按设计复垦施工，严禁在制定的取（弃）土场以外的地方乱挖乱弃。</w:t>
            </w:r>
          </w:p>
          <w:p w14:paraId="466C5AB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（三）工程验收阶段</w:t>
            </w:r>
          </w:p>
          <w:p w14:paraId="45E0E9A2">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公路建设路域环境验收范围包括公路及公路用地（公路两侧边沟外缘起不少于1米的土地）和公路建筑控制区（从公路两侧边沟外缘起算的间距：国道不少于20米，省道不少于15米，县道不少于10米，乡道不少于5米）。验收应达到以下标准：</w:t>
            </w:r>
          </w:p>
          <w:p w14:paraId="606FCCC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1.公路及公路用地范围内，路面干净整洁，边坡稳定，排水系统顺畅，绿色植物合理覆盖公路两侧边坡、分隔带等，交通标志清晰无污染，无违法跨越和穿越公路的施工临时构筑物。</w:t>
            </w:r>
          </w:p>
          <w:p w14:paraId="3C10FCB0">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2.公路建筑控制区不得留有施工建筑垃圾，公路视线范围内不得有因公路施工导致的乱挖乱弃。</w:t>
            </w:r>
          </w:p>
          <w:p w14:paraId="72BABD7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3.取（弃）土场严格执行施工图设计，临时占地须恢复到临时占地使用前的状况或按设计复绿复垦。</w:t>
            </w:r>
          </w:p>
        </w:tc>
      </w:tr>
      <w:tr w14:paraId="434B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71" w:type="dxa"/>
            <w:gridSpan w:val="2"/>
            <w:vAlign w:val="center"/>
          </w:tcPr>
          <w:p w14:paraId="706ED754">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6.5</w:t>
            </w:r>
          </w:p>
        </w:tc>
        <w:tc>
          <w:tcPr>
            <w:tcW w:w="8168" w:type="dxa"/>
            <w:gridSpan w:val="2"/>
            <w:vAlign w:val="center"/>
          </w:tcPr>
          <w:p w14:paraId="6747A9D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删除“6.5计算机系统配置”条款</w:t>
            </w:r>
          </w:p>
        </w:tc>
      </w:tr>
      <w:tr w14:paraId="652C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1" w:type="dxa"/>
            <w:gridSpan w:val="2"/>
            <w:vAlign w:val="center"/>
          </w:tcPr>
          <w:p w14:paraId="52752BE8">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w:t>
            </w:r>
          </w:p>
        </w:tc>
        <w:tc>
          <w:tcPr>
            <w:tcW w:w="8168" w:type="dxa"/>
            <w:gridSpan w:val="2"/>
            <w:vAlign w:val="center"/>
          </w:tcPr>
          <w:p w14:paraId="74224210">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增加7.7款</w:t>
            </w:r>
          </w:p>
          <w:p w14:paraId="614D576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7.7交通维护</w:t>
            </w:r>
          </w:p>
          <w:p w14:paraId="6F1EB9F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交通维护</w:t>
            </w:r>
          </w:p>
          <w:p w14:paraId="08D25298">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由于本项目在施工过程中不能全封闭，需要采用半幅通车半幅封闭的施工方案，因此，对已铺筑好的路面结构层(含水泥稳定碎石底基层、基层和水泥砼路面。下同)，在未达到龄期之前，为防止车辆碾压，造成损坏，必须实行交通维护管理措施。具体如下：</w:t>
            </w:r>
          </w:p>
          <w:p w14:paraId="07B73484">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应对施工现场实行全天候交通管制：在每个施工作业面(或已铺筑好路面结构层但未达到龄期的路段)两端设置交通指挥点，配置专职指挥人员和通讯设备，全天候不间断的指挥交通，确保未封闭的半幅道路单向通车，杜绝一切车辆行驶未达龄期的路面结构层。</w:t>
            </w:r>
          </w:p>
          <w:p w14:paraId="1A664E46">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承包人对已完成铺筑的各路面结构层，在铺筑后至达到龄期之前（底基层或基层在铺筑上层结构层之前），对先铺筑的半幅底基层、基层或水泥砼路面，须每20米横向摆放一道直径不小于25cm的石块；对后铺筑的另半幅底基层、基层或水泥砼路面，须全路段采用50cm×50cm梅花型布置的方式摆放直径不小于25cm的石块。底基层、基层在碾压好后即摆放，水泥砼路面在覆盖好养生布后即摆放。</w:t>
            </w:r>
          </w:p>
          <w:p w14:paraId="61D58E3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未按上述要求进行交通维护管理，致使未达到龄期的路面结构层遭到车辆碾压，发包人将对承包人进行处罚：底基层或基层遭到车辆碾压，视情况处罚1000元~10000元/次，水泥砼路面遭到车辆碾压，视情况处罚5000~10000元/次，并要求承包人进行交通管理整改和对造损坏的路面结构进行返工处理。如承包人未进行整改或返工，发包人将禁止承包人继续施工，并对遭到车辆碾压的路段不予计量支付。</w:t>
            </w:r>
          </w:p>
          <w:p w14:paraId="58BEF74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(4)如多次发生交通维护管理不到位、造成车辆碾压未达到龄期的路面结构的情况，发包人将将其作为履约不良单位上报省市交通运输主管部门。</w:t>
            </w:r>
          </w:p>
          <w:p w14:paraId="31214A51">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(5)承包人对该项目施工全过程的交通维护管理费实行总价包干(已含在投标总价中)，发包人不再另行支付。</w:t>
            </w:r>
          </w:p>
        </w:tc>
      </w:tr>
      <w:tr w14:paraId="7160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03813C45">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w:t>
            </w:r>
          </w:p>
        </w:tc>
        <w:tc>
          <w:tcPr>
            <w:tcW w:w="8168" w:type="dxa"/>
            <w:gridSpan w:val="2"/>
            <w:vAlign w:val="center"/>
          </w:tcPr>
          <w:p w14:paraId="0FF1D69F">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将本款“12.1承包人暂停施工的责任”项修改如下：</w:t>
            </w:r>
          </w:p>
          <w:p w14:paraId="4BC3440A">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12.1承包人暂停施工的责任</w:t>
            </w:r>
          </w:p>
          <w:p w14:paraId="1D1608E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12.1（6）由承包人承担的其他暂停施工：</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6E0D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471" w:type="dxa"/>
            <w:gridSpan w:val="2"/>
            <w:vAlign w:val="center"/>
          </w:tcPr>
          <w:p w14:paraId="17973A8D">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13.11</w:t>
            </w:r>
          </w:p>
        </w:tc>
        <w:tc>
          <w:tcPr>
            <w:tcW w:w="8168" w:type="dxa"/>
            <w:gridSpan w:val="2"/>
            <w:vAlign w:val="center"/>
          </w:tcPr>
          <w:p w14:paraId="1FADEA99">
            <w:pPr>
              <w:ind w:firstLine="420" w:firstLineChars="200"/>
              <w:jc w:val="lef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删除“13.11优质优价价款”</w:t>
            </w:r>
          </w:p>
        </w:tc>
      </w:tr>
      <w:tr w14:paraId="4A7B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1D8B58BC">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13.13</w:t>
            </w:r>
          </w:p>
        </w:tc>
        <w:tc>
          <w:tcPr>
            <w:tcW w:w="8168" w:type="dxa"/>
            <w:gridSpan w:val="2"/>
            <w:vAlign w:val="center"/>
          </w:tcPr>
          <w:p w14:paraId="05D7DFB8">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增加13.13款：</w:t>
            </w:r>
          </w:p>
          <w:p w14:paraId="45AE4AE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13.13如市委、市政府、上级主管部门、质量监督部门在检查时发现工程质量问题，提出批评和整改要求，发包人有权视问题严重程度给予承包人2-10万元/次的违约处理。</w:t>
            </w:r>
          </w:p>
        </w:tc>
      </w:tr>
      <w:tr w14:paraId="39AA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11C257F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w:t>
            </w:r>
          </w:p>
        </w:tc>
        <w:tc>
          <w:tcPr>
            <w:tcW w:w="8168" w:type="dxa"/>
            <w:gridSpan w:val="2"/>
            <w:vAlign w:val="center"/>
          </w:tcPr>
          <w:p w14:paraId="67B54E75">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本条补充第14.5款</w:t>
            </w:r>
          </w:p>
          <w:p w14:paraId="318FD36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14.5工地试验室</w:t>
            </w:r>
          </w:p>
          <w:p w14:paraId="75AD8AF3">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14.5.1、在工程正式开工前，承包人必须在工程现场设立与工程内容相适应的工地试验室（建设和运作费用由承包人自行承担）用于对原材料、混合料和工程成品的自检。工地试验室的具体要求按照《关于印发广东省交通运输厅关于公路水运工程工地试验室的管理办法(试行)的通知(粤交基[2011]1671号)》和《关于贯彻《广东省交通运输厅关于公路水运工程工地试验室的管理办法》的实施意见(粤交监督[2012]27号)》执行。该工地试验室的母体必须具备公路工程综合乙级（或以上）试验检测资质（承包人若无相应资质，可委托有相应资质的试验检测机构进行试验检测,但该机构不得与本工程其他参与单位有隶属关系或其他利害关系），且必须配备至少2名试验工程师（路桥工程师及以上职称，持交通运输部门相关试验检测工程师证书）和2名试验员（路桥专业初级及以上职称，持交通运输部门相关试验检测员证书），委托试验检测的，人员由委托的试验检测机构配备。否则，发包人有权委托有相应资质的试验检测机构代为自检，因此而产生的一切费用从承包人的工程款项中扣除支付给受委托的试验检测机构。工地试验室应具有相应规模，面积应符合《公路水运工程试验检测机构等级标准》的要求，能完成检测项目和具备的试验检测设备需符合省交通厅及省质量监督总站的要求。</w:t>
            </w:r>
          </w:p>
          <w:p w14:paraId="1DB89480">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14.5.2、所有材料、工程设备和工程的试验和检验必须按公路工程的现行规范规定的要求和频率进行，并必须有监理人员和业主代表旁站，否则，可视其试验和检验结果无效，需另行重新试验和检验，因此而产生的费用和工期的延误均由承包人承担。</w:t>
            </w:r>
          </w:p>
          <w:p w14:paraId="4D25AEAB">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14.5.3承包人应按合同约定或发包人及监理人的指示进行必要的现场工艺或试验段试验。对于现场工艺试验或试验段试验，应由承包人根据发包人及监理人提出的工艺试验要求，编制工艺试验措施计划，报送监理人和发包人审批，并在监理工程师和业主代表的监督下方可进行，工艺试验费用已包含在合同总价中，发包人不再另行支付。</w:t>
            </w:r>
          </w:p>
        </w:tc>
      </w:tr>
      <w:tr w14:paraId="1752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635B6B7A">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bookmarkStart w:id="39" w:name="OLE_LINK2" w:colFirst="0" w:colLast="1"/>
            <w:r>
              <w:rPr>
                <w:rFonts w:hint="eastAsia" w:asciiTheme="minorEastAsia" w:hAnsiTheme="minorEastAsia" w:eastAsiaTheme="minorEastAsia" w:cstheme="minorEastAsia"/>
                <w:color w:val="000000" w:themeColor="text1"/>
                <w:szCs w:val="21"/>
                <w14:textFill>
                  <w14:solidFill>
                    <w14:schemeClr w14:val="tx1"/>
                  </w14:solidFill>
                </w14:textFill>
              </w:rPr>
              <w:t>15.4</w:t>
            </w:r>
          </w:p>
        </w:tc>
        <w:tc>
          <w:tcPr>
            <w:tcW w:w="8168" w:type="dxa"/>
            <w:gridSpan w:val="2"/>
            <w:vAlign w:val="center"/>
          </w:tcPr>
          <w:p w14:paraId="45372101">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将15.4.4、15.4.5款修改为</w:t>
            </w:r>
          </w:p>
          <w:p w14:paraId="6EF9FC9A">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15.4.4如果投标文件报价中没有相应综合单价的，则参照清单预算编制时选用的有关定额及补充的定额，人工、材料、机械单价按造价管理部门核备清单预算采用月份，广东省交通运输工程造价事务中心发布的“广东省交通建设工程主要外购材料信息价、主要地方材料信息价（工程所在地）、常用地方材料信息价（工程所在地）”中的项目施工所在地区材料信息价编制预算（如无相应信息价，由发包人另行确定），并按本项目包投标人中标价较造价管理部门核备的清单预算之下浮比例下浮确定。变更预算以发包人按相关程序确认的为准。</w:t>
            </w:r>
          </w:p>
          <w:p w14:paraId="075C869A">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15.4.5如果双方对变更工程价款有争议，则请政府主管部门或发包人和承包人双方认可的机构按15.4.4款要求编制预算，由发包人委托，委托费用由发包人和承包人各负责一半，变更工程造价或单价按本项目包投标人中标价较造价管理部门核备的清单预算之下浮比例下浮确定。</w:t>
            </w:r>
          </w:p>
          <w:p w14:paraId="03A46FBB">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发包人与承包人如按上述原则协商未果，发包人有权根据实际情况按上述某一原则进行处理，承包人必须无条件接受。</w:t>
            </w:r>
          </w:p>
          <w:p w14:paraId="565F0BBC">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所有的变更设计都必须按发包人及其上级主管部门颁布的变更设计管理办法进行审批。</w:t>
            </w:r>
          </w:p>
        </w:tc>
      </w:tr>
      <w:tr w14:paraId="2D3D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471" w:type="dxa"/>
            <w:gridSpan w:val="2"/>
            <w:vAlign w:val="center"/>
          </w:tcPr>
          <w:p w14:paraId="417C174D">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15.9</w:t>
            </w:r>
          </w:p>
        </w:tc>
        <w:tc>
          <w:tcPr>
            <w:tcW w:w="8168" w:type="dxa"/>
            <w:gridSpan w:val="2"/>
            <w:vAlign w:val="center"/>
          </w:tcPr>
          <w:p w14:paraId="5096AFD3">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增加15.9款:</w:t>
            </w:r>
          </w:p>
          <w:p w14:paraId="3FE41D1A">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实际土石方比例及石方类型与设计不符时，均不予以调整，承包人在投标报价时应综合考虑土石比例及石方类型变化的风险。</w:t>
            </w:r>
          </w:p>
        </w:tc>
      </w:tr>
      <w:tr w14:paraId="3F6E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2002CD1D">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15.10</w:t>
            </w:r>
          </w:p>
        </w:tc>
        <w:tc>
          <w:tcPr>
            <w:tcW w:w="8168" w:type="dxa"/>
            <w:gridSpan w:val="2"/>
            <w:vAlign w:val="center"/>
          </w:tcPr>
          <w:p w14:paraId="268384B7">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增加15.10款:</w:t>
            </w:r>
          </w:p>
          <w:p w14:paraId="1E871648">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本项目开挖的石方，发包人有权请第三方机构检测，如石方指标满足设计及相关技术规范要求，则需利用，按变更处理。</w:t>
            </w:r>
          </w:p>
        </w:tc>
      </w:tr>
      <w:tr w14:paraId="523C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0EF0EBDA">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w:t>
            </w:r>
          </w:p>
        </w:tc>
        <w:tc>
          <w:tcPr>
            <w:tcW w:w="8168" w:type="dxa"/>
            <w:gridSpan w:val="2"/>
            <w:vAlign w:val="center"/>
          </w:tcPr>
          <w:p w14:paraId="4B94BDAC">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在“16.1物价波动引起的价格调整”项修改如下：</w:t>
            </w:r>
          </w:p>
          <w:p w14:paraId="243D412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因物价波动引起的价格调整，按《广东省交通运输厅关于进一步加强我省公路建设项目材料价差调整和施工合同管理工作的意见》（粤交基[2015]460号）及《广东省交通运输厅关于印发我省交通建设项目材料价差调整指导性意见的通知》（粤交基函[2019]1302号）文件执行，其中：</w:t>
            </w:r>
          </w:p>
          <w:p w14:paraId="5CF974EB">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1.可调差的主要材料范围以《广东省交通运输厅关于印发我省交通建设项目材料价差调整指导性意见的通知》（粤交基函[2019]1302号）可调差主要材料范围为准。</w:t>
            </w:r>
          </w:p>
          <w:p w14:paraId="69074FF5">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2.风险幅度系数（r）：</w:t>
            </w:r>
          </w:p>
          <w:p w14:paraId="58935C1E">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（1）砂石料，r=±5%；</w:t>
            </w:r>
          </w:p>
          <w:p w14:paraId="2841DD3E">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（2）水泥、半成品，r=±4%；</w:t>
            </w:r>
          </w:p>
          <w:p w14:paraId="01D14E0C">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（3）钢材、油料及其它，r=±3%。</w:t>
            </w:r>
          </w:p>
          <w:p w14:paraId="55ABD084">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3.计算方法：采用《广东省交通运输厅关于印发我省交通建设项目材料价差调整指导性意见的通知》（粤交基函[2019]1302号）中的信息价格法。</w:t>
            </w:r>
          </w:p>
          <w:p w14:paraId="3B6B2D9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4.材料基准价（Po）指造价管理部门核备清单预算时所采用的信息价；材料信息价（Pi）指施工当月韶关市及以上交通造价管理部门发布的信息价。</w:t>
            </w:r>
          </w:p>
          <w:p w14:paraId="19C128AA">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5.本项目不予调整材料运输差价，投标人应加强对施工材料供应点的调查并将运距风险考虑到投标综合单价中。</w:t>
            </w:r>
          </w:p>
          <w:p w14:paraId="2241D2A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在项目实施过程中，如国家或广东省交通运输主管部门出台新的价差调整规定或意见，则按该些新的规定或意见执行。</w:t>
            </w:r>
          </w:p>
        </w:tc>
      </w:tr>
      <w:bookmarkEnd w:id="39"/>
      <w:tr w14:paraId="40CB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471" w:type="dxa"/>
            <w:gridSpan w:val="2"/>
            <w:vAlign w:val="center"/>
          </w:tcPr>
          <w:p w14:paraId="6C15B403">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17.1.2</w:t>
            </w:r>
          </w:p>
        </w:tc>
        <w:tc>
          <w:tcPr>
            <w:tcW w:w="8168" w:type="dxa"/>
            <w:gridSpan w:val="2"/>
            <w:vAlign w:val="center"/>
          </w:tcPr>
          <w:p w14:paraId="17A7C576">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将本款“17.1.2计量方法”项修改如下：</w:t>
            </w:r>
          </w:p>
          <w:p w14:paraId="1A4F08C6">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17.1.2计量方法</w:t>
            </w:r>
          </w:p>
          <w:p w14:paraId="651063A7">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工程量清单中的工程量计算规则应按有关国家标准、行业标准的规定，并在合同中约定执行。中标后，需经招标人、设计单位、监理单位和中标人四方到施工现场再次核实实际工程量后方可实施。并按实际工程量和实际发生的项目进行计量。</w:t>
            </w:r>
          </w:p>
        </w:tc>
      </w:tr>
      <w:tr w14:paraId="242E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689E564F">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w:t>
            </w:r>
          </w:p>
        </w:tc>
        <w:tc>
          <w:tcPr>
            <w:tcW w:w="8168" w:type="dxa"/>
            <w:gridSpan w:val="2"/>
            <w:vAlign w:val="center"/>
          </w:tcPr>
          <w:p w14:paraId="1D61FD14">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第17.3.3增加以下内容：</w:t>
            </w:r>
          </w:p>
          <w:p w14:paraId="53369CB7">
            <w:pPr>
              <w:ind w:firstLine="210" w:firstLineChars="1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（5）进度应付款还需经发包人上级主管部门审批确认后方能支付，承包人必须无条件接受。</w:t>
            </w:r>
          </w:p>
          <w:p w14:paraId="7126F803">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增加“17.3.7”条款</w:t>
            </w:r>
          </w:p>
          <w:p w14:paraId="7F057BA1">
            <w:pP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17.3.7施工进度款的支付比例：月支付额的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80</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1064C91A">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增加“17.3.8”条款</w:t>
            </w:r>
          </w:p>
          <w:p w14:paraId="0583966F">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17.3.8待工程交工验收完成后，支付至经审定后的结算价的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97</w:t>
            </w:r>
            <w:r>
              <w:rPr>
                <w:rFonts w:hint="eastAsia" w:asciiTheme="minorEastAsia" w:hAnsiTheme="minorEastAsia" w:eastAsiaTheme="minorEastAsia" w:cstheme="minorEastAsia"/>
                <w:color w:val="000000" w:themeColor="text1"/>
                <w:szCs w:val="21"/>
                <w14:textFill>
                  <w14:solidFill>
                    <w14:schemeClr w14:val="tx1"/>
                  </w14:solidFill>
                </w14:textFill>
              </w:rPr>
              <w:t>%。</w:t>
            </w:r>
          </w:p>
        </w:tc>
      </w:tr>
      <w:tr w14:paraId="1AA4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31556A1B">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17.4.4</w:t>
            </w:r>
          </w:p>
        </w:tc>
        <w:tc>
          <w:tcPr>
            <w:tcW w:w="8168" w:type="dxa"/>
            <w:gridSpan w:val="2"/>
            <w:vAlign w:val="center"/>
          </w:tcPr>
          <w:p w14:paraId="34D45CEF">
            <w:pPr>
              <w:pStyle w:val="52"/>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将第17.4.4项细化为：</w:t>
            </w:r>
          </w:p>
          <w:p w14:paraId="51FE0F78">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竣工验收时，如果竣工验收委员会对承包人评定的工程质量评分小于75分，发包人将从承包人的质量保证金中扣除10%，以此作为承包人工程质量达不到合同规定的工程质量目标的惩罚金。</w:t>
            </w:r>
          </w:p>
        </w:tc>
      </w:tr>
      <w:tr w14:paraId="3697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2D7E24D9">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w:t>
            </w:r>
          </w:p>
        </w:tc>
        <w:tc>
          <w:tcPr>
            <w:tcW w:w="8168" w:type="dxa"/>
            <w:gridSpan w:val="2"/>
            <w:vAlign w:val="center"/>
          </w:tcPr>
          <w:p w14:paraId="5B586974">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第“21.1不可抗力的确认”项修改如下：</w:t>
            </w:r>
          </w:p>
          <w:p w14:paraId="69D27210">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21.1不可抗力的确认</w:t>
            </w:r>
          </w:p>
          <w:p w14:paraId="496EB15E">
            <w:pPr>
              <w:pStyle w:val="52"/>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21.1（6）不可抗力的其他情形：</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750C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1" w:type="dxa"/>
            <w:gridSpan w:val="2"/>
            <w:vAlign w:val="center"/>
          </w:tcPr>
          <w:p w14:paraId="65E5A6BB">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22.3</w:t>
            </w:r>
          </w:p>
        </w:tc>
        <w:tc>
          <w:tcPr>
            <w:tcW w:w="8168" w:type="dxa"/>
            <w:gridSpan w:val="2"/>
            <w:vAlign w:val="center"/>
          </w:tcPr>
          <w:p w14:paraId="363A48BF">
            <w:pPr>
              <w:pStyle w:val="52"/>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增加第22.3项：</w:t>
            </w:r>
          </w:p>
          <w:p w14:paraId="7505A80B">
            <w:pPr>
              <w:pStyle w:val="52"/>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本项目需对保护区调整、用林用地等进行报批，若因上述手续办理对实施过程中的施工组织造成影响或产生工期延误，则承包人不得向发包人提出费用索赔。</w:t>
            </w:r>
          </w:p>
        </w:tc>
      </w:tr>
      <w:tr w14:paraId="6B81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71" w:type="dxa"/>
            <w:gridSpan w:val="2"/>
            <w:vAlign w:val="center"/>
          </w:tcPr>
          <w:p w14:paraId="7E959989">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25.1</w:t>
            </w:r>
          </w:p>
        </w:tc>
        <w:tc>
          <w:tcPr>
            <w:tcW w:w="8168" w:type="dxa"/>
            <w:gridSpan w:val="2"/>
            <w:vAlign w:val="center"/>
          </w:tcPr>
          <w:p w14:paraId="4C301421">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删除“25.1质量、进度奖励”条款</w:t>
            </w:r>
          </w:p>
        </w:tc>
      </w:tr>
    </w:tbl>
    <w:p w14:paraId="53543226">
      <w:pPr>
        <w:spacing w:before="240" w:after="240"/>
        <w:jc w:val="center"/>
        <w:rPr>
          <w:rFonts w:hint="eastAsia" w:asciiTheme="minorEastAsia" w:hAnsiTheme="minorEastAsia" w:eastAsiaTheme="minorEastAsia" w:cstheme="minorEastAsia"/>
          <w:b/>
          <w:color w:val="000000" w:themeColor="text1"/>
          <w:sz w:val="32"/>
          <w:szCs w:val="32"/>
          <w14:textFill>
            <w14:solidFill>
              <w14:schemeClr w14:val="tx1"/>
            </w14:solidFill>
          </w14:textFill>
        </w:rPr>
      </w:pPr>
      <w:bookmarkStart w:id="40" w:name="_Toc505844494"/>
      <w:r>
        <w:rPr>
          <w:rFonts w:hint="eastAsia" w:asciiTheme="minorEastAsia" w:hAnsiTheme="minorEastAsia" w:eastAsiaTheme="minorEastAsia" w:cstheme="minorEastAsia"/>
          <w:color w:val="000000" w:themeColor="text1"/>
          <w14:textFill>
            <w14:solidFill>
              <w14:schemeClr w14:val="tx1"/>
            </w14:solidFill>
          </w14:textFill>
        </w:rPr>
        <w:br w:type="page"/>
      </w:r>
      <w:bookmarkEnd w:id="40"/>
      <w:r>
        <w:rPr>
          <w:rFonts w:hint="eastAsia" w:asciiTheme="minorEastAsia" w:hAnsiTheme="minorEastAsia" w:eastAsiaTheme="minorEastAsia" w:cstheme="minorEastAsia"/>
          <w:b/>
          <w:color w:val="000000" w:themeColor="text1"/>
          <w:sz w:val="32"/>
          <w:szCs w:val="32"/>
          <w14:textFill>
            <w14:solidFill>
              <w14:schemeClr w14:val="tx1"/>
            </w14:solidFill>
          </w14:textFill>
        </w:rPr>
        <w:t>项目专用合同条款</w:t>
      </w:r>
    </w:p>
    <w:p w14:paraId="6014C66D">
      <w:pPr>
        <w:adjustRightInd w:val="0"/>
        <w:snapToGrid w:val="0"/>
        <w:spacing w:line="360" w:lineRule="exact"/>
        <w:ind w:firstLine="420" w:firstLineChars="200"/>
        <w:jc w:val="lef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说明：本部分所列的项目专用合同条款是对“公路工程专用合同条款”中规定必须在项目专用合同条款中明确的内容的集中，招标人编制的“项目专用合同条款”不限于本部分所列内容。项</w:t>
      </w:r>
      <w:r>
        <w:rPr>
          <w:rFonts w:hint="eastAsia" w:asciiTheme="minorEastAsia" w:hAnsiTheme="minorEastAsia" w:eastAsiaTheme="minorEastAsia" w:cstheme="minorEastAsia"/>
          <w:color w:val="000000" w:themeColor="text1"/>
          <w:spacing w:val="-2"/>
          <w:szCs w:val="21"/>
          <w14:textFill>
            <w14:solidFill>
              <w14:schemeClr w14:val="tx1"/>
            </w14:solidFill>
          </w14:textFill>
        </w:rPr>
        <w:t>目专用合同条款的内容与广东省交通运输厅《广东省公路工程施工招标招标文件范本》（2023年版）不一致时，以广东省交通运输厅《广东省公路工程施工招标招标文件范本》（2023年版）为准</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180D2FA6">
      <w:pPr>
        <w:ind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p>
    <w:p w14:paraId="4CE9A3EF">
      <w:pPr>
        <w:spacing w:line="400" w:lineRule="exact"/>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1、一般约定</w:t>
      </w:r>
    </w:p>
    <w:p w14:paraId="3A42DD3E">
      <w:pPr>
        <w:spacing w:line="400" w:lineRule="exac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1.6图纸和承包人文件</w:t>
      </w:r>
    </w:p>
    <w:p w14:paraId="322E7010">
      <w:pPr>
        <w:spacing w:line="400" w:lineRule="exac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1.6.3图纸的修改</w:t>
      </w:r>
    </w:p>
    <w:p w14:paraId="3A8DD5CD">
      <w:pPr>
        <w:spacing w:line="400" w:lineRule="exac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在第1.6.3款原文后增加一个段落：</w:t>
      </w:r>
    </w:p>
    <w:p w14:paraId="6E4FF7F4">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没有监理人的批准，承包人不得对施工图的任何部分进行修改，否则按22.1款承包人违约处理。</w:t>
      </w:r>
    </w:p>
    <w:p w14:paraId="0CE84DB8">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46FA4BE8">
      <w:pPr>
        <w:spacing w:line="400" w:lineRule="exact"/>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2.发包人义务</w:t>
      </w:r>
    </w:p>
    <w:p w14:paraId="0B3EE8BD">
      <w:pPr>
        <w:spacing w:line="400" w:lineRule="exac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2.3提供施工场地</w:t>
      </w:r>
    </w:p>
    <w:p w14:paraId="07734BE4">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本款最后一段修改如下：</w:t>
      </w:r>
    </w:p>
    <w:p w14:paraId="6D332A44">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果由于发包人未能按照本款规定办妥永久占地征用手续，影响承包人工程的施工，承包人须及时调整工程施工组织安排并报监理人批准，合理组织和安排工程施工。因此导致承包人延误工期或增加费用时，发包人可适当延长工期作为补偿和（或）经济补偿。（补偿原则详见本项目专用合同条款11.3款）。</w:t>
      </w:r>
    </w:p>
    <w:p w14:paraId="5EE954A2">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但如果由于承包人未能按照本款规定提交占地计划，因而影响发包人办理永久工程占地征用手续而导致延误工期或增加费用，则由承包人自行负责。</w:t>
      </w:r>
    </w:p>
    <w:p w14:paraId="3860B447">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第2.8款细化为：</w:t>
      </w:r>
    </w:p>
    <w:p w14:paraId="70F0D112">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1、发包人不提供进出施工现场的水、陆交通通道，不提供水、电、通讯的接入点及施工船舶临时停泊水域及停靠码头，由承包人自行落实解决，相关费用已包含在合同价格中，发包人不另行支付。</w:t>
      </w:r>
    </w:p>
    <w:p w14:paraId="6191921A">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施工过程中的淤泥、弃方、建筑垃圾等抛弃地点（倾倒区）由承包人自行解决（设计文件建议地点仅作参考），并负责办理相关许可手续，承担因申请和使用倾倒区的一切费用（含环境监测、渔业资源补偿等），相关费用已包含在合同价格中，发包人不另行支付。如承包人不按要求倾倒淤泥、弃方、建筑垃圾等引起的一切责任（包括违约金、赔偿等）均由承包人负责。</w:t>
      </w:r>
    </w:p>
    <w:p w14:paraId="289EE54F">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72CFD6D2">
      <w:pPr>
        <w:spacing w:line="400" w:lineRule="exact"/>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3.监理人</w:t>
      </w:r>
    </w:p>
    <w:p w14:paraId="2A712F4D">
      <w:pPr>
        <w:spacing w:line="400" w:lineRule="exac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3.1监理人的职责和权力</w:t>
      </w:r>
    </w:p>
    <w:p w14:paraId="53305DEF">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第3.1.1项补充：</w:t>
      </w:r>
    </w:p>
    <w:p w14:paraId="0190862D">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的有关决定，都必须抄送发包人或发包人代表。发包人和承包人双方对工程施工的有关协议或决定，必须抄报监理人或总监理工程师代表，以利于系统管理。在任何情况下(包括合同另有规定的情况),凡涉及工程变更、工程量增减、议价、索赔、改变工期、改变技术标准、改变重大施工技术方案等及一切与费用有关的监理人的指令，均需先与发包人协商，发包人书面认可后方能生效。</w:t>
      </w:r>
    </w:p>
    <w:p w14:paraId="2078127D">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第3.1.2款补充：</w:t>
      </w:r>
    </w:p>
    <w:p w14:paraId="396A0A59">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除本合同规定必须经发包人另行批准的事项外，如果监理人已经行使了上述职权，都应认为已从发包人处取得了必要的批准。但如果监理人的某些决定不妥或有错误，不妨碍政府监督部门或发包人事后进行撤销或变更。</w:t>
      </w:r>
    </w:p>
    <w:p w14:paraId="341BBB82">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增加第3.6款和第3.7款：</w:t>
      </w:r>
    </w:p>
    <w:p w14:paraId="26F52AD1">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3.6发包人、监理人、试验人、承包人、风险管理单位的关系</w:t>
      </w:r>
    </w:p>
    <w:p w14:paraId="26785D6F">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3.6.1在整个建设过程中，发包人与监理人、试验人、第三方监测、风险管理单位之间是委托与被委托的关系；监理人与承包人是监理与被监理的关系；承包人在项目实施过程中，必须接受发包人的统一管理，同时应按合同规定接受监理人和试验人的监督和管理。任何与施工承包合同有关的施工活动，都必须同时经发包人和监理人审查认定，认为符合合同规定，发包人才予以拨付工程款。承包人应积极配合监理人、试验人、第三方监测、风险管理单位、科研单位以及各咨询单位开展工作。</w:t>
      </w:r>
    </w:p>
    <w:p w14:paraId="72A52611">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3.6.2本合同工程实行承包人自检、社会监理（含试验检测中心）、发包人和政府监督的三级管理体制。对工程质量出现问题而降低质量标准或返工而造成的一切经济和工期损失，由承包人承担，并且按合同规定承担违约金；监理人根据监理合同规定负监理不周的责任。监理人对某一分部或分项工程的认可不影响政府机构或发包人在事后的否定。</w:t>
      </w:r>
    </w:p>
    <w:p w14:paraId="44B2439A">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3.6.3本项目实施的不同阶段，将有不同的监测、风险管理、科研单位参加相关项目的监测、风险管理、科研工作。承包人应根据实际工作需要，服从发包人的统一协调，做好相关配合工作，相关配合费用已包含在合同报价中。</w:t>
      </w:r>
    </w:p>
    <w:p w14:paraId="05D8344E">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3.7发包人代表(或称发包人驻地代表)</w:t>
      </w:r>
    </w:p>
    <w:p w14:paraId="525B4124">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3.7.1发包人代表被授权代表发包人履行发包人的职责和宏观控制。发包人代表应深入工地，了解掌握工程施工的全过程和工程质量情况。</w:t>
      </w:r>
    </w:p>
    <w:p w14:paraId="11DEF3BF">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3.7.2发包人代表应检查承包人的施工质量、进度、安全、文明施工等情况，督促承包人完成工程计划。如工程计划不能完成，发包人代表有权要求承包人说明原因和采取补救措施，承包人必须接受。</w:t>
      </w:r>
    </w:p>
    <w:p w14:paraId="3139AEEB">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3.7.3承包人报给发包人的报表、报告未经发包人代表签认，发包人可以视其为无效。但发包人代表签认的也不代表已获发包人最终核准确认，具体审批流程按发包人及其上级主管单位相关管理制度执行。</w:t>
      </w:r>
    </w:p>
    <w:p w14:paraId="0CF8409F">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3.7.4发包人代表应支持监理人做好监理工作，参与计量支付的审核工作。</w:t>
      </w:r>
    </w:p>
    <w:p w14:paraId="2AD3BFAC">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3.7.5发包人代表应协助承包人做好地方协调工作，配合征地部门处理好征地拆迁问题。</w:t>
      </w:r>
    </w:p>
    <w:p w14:paraId="186CEDE6">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3.7.6合同中规定的发包人代表(或称发包人驻地代表)的职责和权限，发包人可根据实际情况收回或授权监理人代理。</w:t>
      </w:r>
    </w:p>
    <w:p w14:paraId="25EF3DD0">
      <w:pPr>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6623234F">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4、承包人</w:t>
      </w:r>
    </w:p>
    <w:p w14:paraId="6D0E8A3A">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4.1承包人的一般义务</w:t>
      </w:r>
    </w:p>
    <w:p w14:paraId="61D9CEE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4.1.7避免施工对公众与他人的利益造成损害</w:t>
      </w:r>
    </w:p>
    <w:p w14:paraId="7BE43DA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将本款细化为：</w:t>
      </w:r>
    </w:p>
    <w:p w14:paraId="7E1EFF0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062B4A1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承包人对实施和完成本合同工程及缺陷修复工程中的一切施工作业（尤其是爆破作业、钻孔桩施工、路基路面碾压等存在震动的施工作业以及需要临时改变当地交通、灌溉、排水现状的施工作业），有责任采取足够的预防措施，以保证不影响临近建筑物、构造物的安全与正常使用，不对群众的财产造成损失，也不干扰群众的生产、生活和通行方便（难以避免的一定程度的干扰除外），如发生上述情况，并由此导致索赔、赔偿、诉讼费用及其他开支时，应由承包人承担一切责任及费用。承包人在报价和组织施工时应充分考虑这一因素。</w:t>
      </w:r>
    </w:p>
    <w:p w14:paraId="45C679B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实施和完成本合同工程及缺陷修复工程中的一切施工作业，应不影响当地道路的使用或其他交通设施的使用，如果发生上述情况（如交通阻塞等），并由此导致索赔、赔偿、诉讼费用及其他开支时，应由承包人承担一切责任及费用。</w:t>
      </w:r>
    </w:p>
    <w:p w14:paraId="6A38837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按交警、公路、铁路、路政和道路、航道、海事等管理部门的规定办理有关使用手续，手续应符合相关规定，并按规定交纳有关费用，费用已包括在承包人的投标报价之中，投标时应充分考虑，发包人不另行支付。</w:t>
      </w:r>
    </w:p>
    <w:p w14:paraId="1518ADEC">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4.1.8为他人提供方便</w:t>
      </w:r>
    </w:p>
    <w:p w14:paraId="6ED4FEF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将本项内容修改为：</w:t>
      </w:r>
    </w:p>
    <w:p w14:paraId="7C46277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免费提供给与发包人签订有承包合同的其他承包人、检测和试验单位等使用承包人负责维护的临时道路、桥梁等，并为上述人员提供方便。承包人在施工期限内，必须密切配合在本项目包内其他承包人进行的其他项目的施工。如发生冲突，承包人应无条件接受发包人的协调及安排。</w:t>
      </w:r>
    </w:p>
    <w:p w14:paraId="2A64E31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如果本项目的预制梁板由预制标统一预制、运输、吊装；圆管涵管节由预制标统一预制、运输。相关承包人应进行积极配合，并免费为预制标提供方便快捷的预制梁板运输施工便道。</w:t>
      </w:r>
    </w:p>
    <w:p w14:paraId="7B67A6C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承包人应负责按照监理人或发包人的要求安装为交通工程实施所需的预埋件。</w:t>
      </w:r>
    </w:p>
    <w:p w14:paraId="527591C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承包人应配合试验、检测单位完成相应的试验或检测工作，包括桩基检测、地质钻孔等，所需配合费用已包含在合同价中，发包人不另行支付（桩基静载、梁板荷载试验除外）。</w:t>
      </w:r>
    </w:p>
    <w:p w14:paraId="03659054">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4.1.10其他义务</w:t>
      </w:r>
    </w:p>
    <w:p w14:paraId="6A5E999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第4.1.10（1）目补充：</w:t>
      </w:r>
    </w:p>
    <w:p w14:paraId="4A38179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临时用地的面积和使用期应满足工程需要，费用包括临时占地数量、时间及因此而发生的协调、租用、复耕等相关费用。临时用地中如有地面附着物（包括但不限于电力、电信、房屋、坟墓等），其拆迁补偿费用计入工程量清单各有关项目单价内，不另支付。</w:t>
      </w:r>
    </w:p>
    <w:p w14:paraId="64EDE9D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将本款第(2)项细化为：</w:t>
      </w:r>
    </w:p>
    <w:p w14:paraId="16311C8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除另有规定外，承包人应承担并支付为获得本合同工程所需的石料、砂、砾石、黏土或其它当地材料等所发生的料场使用费及其它开支或补偿费。发包人应尽可能协助承包人办理料场租用手续及解决使用过程中的有关问题。承包人应按发包人要求将砂、石料等地材的供货合同等资料提供给发包人和监理人备案。取材的料场和货源应保持相对固定，承包人及其供货人应接受发包人和监理人的监督检查，如有变更应及时通知发包人或监理人并送交相应有关资料。监理人征得发包人同意后有权要求承包人更换不符合要求的料场，承包人必须接受。</w:t>
      </w:r>
    </w:p>
    <w:p w14:paraId="7521043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(6)承包人应履行的其他义务：</w:t>
      </w:r>
    </w:p>
    <w:p w14:paraId="0EABBEA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A.工序衔接与协调</w:t>
      </w:r>
    </w:p>
    <w:p w14:paraId="6DBCB15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多个承包人在同一区域施工时，监理人有权协调工程的实施并对工程的衔接提出指示，承包人应在监理人的统一协调下工作。承包人由此增加的费用应认为已包括在承包人的投标报价之中，发包人不另行支付。</w:t>
      </w:r>
    </w:p>
    <w:p w14:paraId="7AECB07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B.施工工艺要求</w:t>
      </w:r>
    </w:p>
    <w:p w14:paraId="653BDA1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采取一切必要的措施，严格执行施工过程中发包人下发的施工技术指导意见和技术规范的各项规定，以保证达到合同规定的质量要求。在工程竣工质量要求较招标文件技术规范未发生改变的情况下，发包人或监理人对施工工艺提出了合理要求，原则上承包人不得就此要求发包人给予额外费用补偿，由此发生的一切费用视为已计入合同价格中。若发包人或监理人对施工工艺提出了特别要求，而引起实质施工工作内容发生明显变化的，按相关变更管理规定执行。</w:t>
      </w:r>
    </w:p>
    <w:p w14:paraId="4429A79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C.卫生与供水</w:t>
      </w:r>
    </w:p>
    <w:p w14:paraId="0D0F883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自费采取应有的卫生防护措施，经常保持现场及其驻地整洁和卫生，为其雇用的员工供应清洁的饮用水和合格的施工用水，以保护职员和工人的健康。在炎热的高温条件下施工时，承包人应注意采取防暑降温措施。</w:t>
      </w:r>
    </w:p>
    <w:p w14:paraId="27E9E54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组织人员进驻工程现场时，应切实采取预防疫情的有效措施，配备必要的医药用品、消毒、测温、通风等设施、设备，加强疫情防控工作。承包人应至少设一名专职的、具有一定卫生常识及传染病防治知识的卫生督查员，负责承包人所在施工现场的传染病检查、控制和报告。</w:t>
      </w:r>
    </w:p>
    <w:p w14:paraId="530D7DD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还应建立人员流动登记制度，信息报告制度，与当地卫生防疫部门积极合作，做好各项防范措施的落实工作。一旦暴发任何具有传染性的疾病时，承包人应遵守并执行当地政府或卫生防疫部门为防治和消灭上述传染病蔓延而制订的规章、命令和要求。</w:t>
      </w:r>
    </w:p>
    <w:p w14:paraId="47A202B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承包人应将其采取上述措施而可能发生的全部费用计入投标报价中，发包人将不另行支付。因承包人采取措施不力所造成的一切后果，均由承包人自行负责。</w:t>
      </w:r>
    </w:p>
    <w:p w14:paraId="2D4EFD4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D.项目审计、稽查和检查等的配合</w:t>
      </w:r>
    </w:p>
    <w:p w14:paraId="4A5640C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（a）与本工程项目相关的审计和稽查，承包人应高度重视并委派专人积极予以配合，对审计和稽查的有关意见承包人应无条件地及时整改。</w:t>
      </w:r>
    </w:p>
    <w:p w14:paraId="69FF61B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（b）有关单位对本项目的各种检查和视察等活动，承包人和监理人有义务积极配合开展各项工作。</w:t>
      </w:r>
    </w:p>
    <w:p w14:paraId="055574E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（c）本工程项目有关的各类统计报表和汇报材料包括项目后评价报告，承包人和监理人有义务配合发包人做好编制工作并提供相应的资料。</w:t>
      </w:r>
    </w:p>
    <w:p w14:paraId="3A72118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d）承包人应按监理人和发包人有关要求，建立相应的图纸、合同、计量、支付和变更台帐和造价数据链，同时承包人和监理人应配合发包人建立相应的台帐，三方各自的台帐和造价数据链应相应保持一致并保持其持续有效直至工程结算完成。并按省级公路工程造价管理信息化平台要求动态上传造价文档。</w:t>
      </w:r>
    </w:p>
    <w:p w14:paraId="4516C1C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E.承包人应按发包人要求做好文明施工、安全生产工作，做好迎接上级部门检查指导的各项工作，执行发包人及监理人关于做好文明施工、安全生产的各项口头及书面指令，所发生的相关费用投标人在投标报价时综合考虑。</w:t>
      </w:r>
    </w:p>
    <w:p w14:paraId="1513E9EC">
      <w:pPr>
        <w:pStyle w:val="52"/>
        <w:spacing w:line="360" w:lineRule="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4.3分包</w:t>
      </w:r>
    </w:p>
    <w:p w14:paraId="3801D04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在第4.3.3项原文后增加如下内容：</w:t>
      </w:r>
    </w:p>
    <w:p w14:paraId="38A05A4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如果出现上述违规分包的情况（合同另有规定除外），监理人有权拒绝验收和计量，发包人有权拒绝支付或收回该工程，并按22.1款承包人违约处理。</w:t>
      </w:r>
    </w:p>
    <w:p w14:paraId="7AB46D3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承包人如有分包计划，应符合《广东省公路工程施工分包管理实施细则》的施工分包和劳务合作的有关规定。</w:t>
      </w:r>
    </w:p>
    <w:p w14:paraId="76CF013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本款补充第4.3.8、4.3.9项：</w:t>
      </w:r>
    </w:p>
    <w:p w14:paraId="7E6E8F3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4.3.8特殊的分包人或供货人</w:t>
      </w:r>
    </w:p>
    <w:p w14:paraId="7278408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了履行合同中某专业化的或特殊工程或关键的、专项的材料、设备、供货，根据金额规模可以通过合法方式选定作为发包人的特殊分包人或供货人，并要求承包人与进行专项或供货分包的特殊分包人或供货人签订分包合同。</w:t>
      </w:r>
    </w:p>
    <w:p w14:paraId="0A4FC93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有关特殊分包的合同中，特殊分包人（或供货人）应独立地承担其合同责任和义务，不使承包人对发包人承担的合同责任和义务受到损害，也不使承包人承担因特殊的分包人（或供货人）未能履行责任、义务而引起的索赔、赔偿、诉讼费用及其它开支。承包人对于特殊分包人（或供货人）及其职工的过失而造成的损失不承担任何责任。如果特殊分包合同中含有与上述规定有悖的条款，承包人有权拒绝与此特殊分包人（或供货人）签订合同。</w:t>
      </w:r>
    </w:p>
    <w:p w14:paraId="31E724E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属特殊分包人（或供货人）的项目，工程的计量由承包人负责统一上报，承包人应将发包人支付的属特殊分包人（或供货人）部分的款项及时向特殊分包人（或供货人）支付。</w:t>
      </w:r>
    </w:p>
    <w:p w14:paraId="0B7FE7F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属特殊分包人（或供货人）的项目，由所在项目包的承包人负责该部分项目原始资料的存档和竣工资料的统一编制等工作。</w:t>
      </w:r>
    </w:p>
    <w:p w14:paraId="44F3E3F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无偿为特殊供货人的供料运输提供满足使用要求的便道和码头，承包人负责卸料并负责将卸下的材料搬运至工地仓库或特定地点，由此所需的设备、人力和费用由承包人自行负责，承包人的仓库容量应满足相关要求。</w:t>
      </w:r>
    </w:p>
    <w:p w14:paraId="5B7CB19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如发生专用条款第11.5款中规定的承包人工程进度严重滞后的情况，发包人有权对承包人部分工程进行特殊分包，承包人应无条件接受，并按第11.5款执行。</w:t>
      </w:r>
    </w:p>
    <w:p w14:paraId="59B62FF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分包合同须符合《广东省公路工程施工分包管理实施细则》的有关规定。</w:t>
      </w:r>
    </w:p>
    <w:p w14:paraId="3D5C1551">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4.3.9发包人的强制分包</w:t>
      </w:r>
    </w:p>
    <w:p w14:paraId="10AA897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因承包人违约或发生重大的质量、安全事故以及出现进度严重滞后的情况和工程专业化施工等的需要，发包人有权对承包人部分工程进行切割，做分包处理，因此而增加的一切费用由承包人承担。</w:t>
      </w:r>
    </w:p>
    <w:p w14:paraId="79674C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当发包人决定采取分包时，承包人应无条件接受并全力配合发包人开展相关工作，并无条件提供已有的临时设施（包括但不限于便道、便桥、电力线路等）供分包人使用，且不得为此要求增加或支付任何费用，否则视承包人违约。分包部分的造价按以下原则计算，并从承包人的合同总价中扣除：</w:t>
      </w:r>
    </w:p>
    <w:p w14:paraId="0AE806A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按承包人与发包人签定的承包合同清单单价和切割工程数量计算，同时还需将承包人100章中按比例计提的各项费用（包括竣工文件、施工环保费、安全生产费、工程进度奖金等）按照切割工程所占比例从承包人的合同总价中扣除；</w:t>
      </w:r>
    </w:p>
    <w:p w14:paraId="02545AA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B、发包人委托造价管理部门或第三方中介单位按控制价时点或编制时点重新编制切割工程的施工预算，并按预算金额从承包人的合同总价中扣除。</w:t>
      </w:r>
    </w:p>
    <w:p w14:paraId="7925DF8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发包人有权从以上两种方式中进行选择，承包人必须无条件服从。</w:t>
      </w:r>
    </w:p>
    <w:p w14:paraId="3CFC2BD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有权要求承包人与分包人或由发包人、承包人和分包人三方按上述确定的造价签订分包协议。工程的计量由承包人负责统一上报，承包人应将发包人支付的属分包人部分的款项及时向分包人支付。发包人有权根据具体情况将相应款项直接向分包人支付，并从应付给承包人款项中相应扣回。承包人须负责分包部分原始资料的存档和竣工资料的统一编制等工作。发包人对承包人分包工程的同意并不免除承包人应承担的责任和义务。承包人应将任何分包人、分包代理人、雇员或工人的行为、违约和疏忽，视为承包人自己的行为、违约和疏忽，并为之负完全的责任。</w:t>
      </w:r>
    </w:p>
    <w:p w14:paraId="312B792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款项由发包人从承包人应收工程款中如数扣回，承包人不得有异议。</w:t>
      </w:r>
    </w:p>
    <w:p w14:paraId="6BD3AC0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327B60B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4.6承包人人员的管理</w:t>
      </w:r>
    </w:p>
    <w:p w14:paraId="423ADE3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在第4.6.1项文后增加以下内容：</w:t>
      </w:r>
    </w:p>
    <w:p w14:paraId="676AEC1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承包人应按监理人批准的人员安排报告及时安排相关人员进场，如果承包人在接到监理人要求人员进场的通知5天后仍未安排相关人员进场，将按22.1款承包人违约处理。</w:t>
      </w:r>
    </w:p>
    <w:p w14:paraId="0BF03CF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将第4.6.3项细化为：</w:t>
      </w:r>
    </w:p>
    <w:p w14:paraId="1A5EDCC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4.6.3承包人安排在施工场地的主要管理人员和技术骨干应与承包人承诺的名单一致，并保持相对稳定。</w:t>
      </w:r>
    </w:p>
    <w:p w14:paraId="4449192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未经监理人批准，上述人员不应无故不到位或被替换。若确实无法到位或需替换，或监理人认为已委派的项目经理或项目管理机构（或备选人员）的工作能力和业务水平不称职，需经监理人审核并报发包人批准后，用同等资质和经历的人员替换，同时须按以下标准向发包人提交违约金：项目经理、总工程师万元/人次（用备选人替换首选人的调整不受此限），质检工程师、计划工程师万元/人次，其他主要管理人员（道路工程师、桥梁工程师、隧道工程师、地质工程师、测量工程师、试验工程师、安全主任、财务负责人）的调整部分需缴纳违约金万元/人次。发包人可随着工程的进度情况，动态增减管理人员要求。</w:t>
      </w:r>
    </w:p>
    <w:p w14:paraId="435703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（2）为保证承包人的档案资料整理工作具有连续性、稳定性，要求承包人的档案资料整理负责人在本项目连续工作1年及以上，否则按第22.1款视为承包人违约。</w:t>
      </w:r>
    </w:p>
    <w:p w14:paraId="7C27614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项目经理不能在两个或两个以上项目同时任职，且必须保证每月有22天以上驻守现场；项目总工（总工程师）必须保证每月有22天以上驻守现场，否则按22.1款视为承包人违约。以上两位项目管理机构因主管部门或发包人检查，被认定存在“挂名”现象的，也将按22.1款认定为承包人违约。</w:t>
      </w:r>
    </w:p>
    <w:p w14:paraId="0DCC416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承包人应按《公路水运工程安全生产监督管理办法》（交通部令2017年第25号）等相关规定的要求，设立安全生产管理机构，配备专职安全生产管理人员。按照年度施工产值配备专职安全生产管理人员，不足5000万元的至少配备1名；5000万元以上不足2亿元的按每5000万元不少于1名的比例配备；2亿元以上的不少于5名，且按专业配备。发包人可根据项目的工期和进度，提出最低的专职安全生产管理人员数量要求。</w:t>
      </w:r>
    </w:p>
    <w:p w14:paraId="6FF6E20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（5）项目经理和总工程师必须按要求出席发包人组织的各种会议，包括监理人主持的重要会议。特殊情况必须取得发包人或监理人批准，任何迟到或早退按缺席处理，否则按22.1款视为承包人违约。</w:t>
      </w:r>
    </w:p>
    <w:p w14:paraId="6D49911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（6）承包人应严格按照环境保护的有关规定，明确环境保护的主要负责人，并按监理人的要求做好防御措施以及实施记录。</w:t>
      </w:r>
    </w:p>
    <w:p w14:paraId="3A50E17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（7）承包人应严格按照水土保持的有关规定，明确水土保持的主要负责人，并按监理人的要求做好防御措施以及实施记录。</w:t>
      </w:r>
    </w:p>
    <w:p w14:paraId="4BE6B40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6C94440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在本款后增加4.6.6～4.6.7项如下：</w:t>
      </w:r>
    </w:p>
    <w:p w14:paraId="0F03C80C">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4.6.6劳务聘用</w:t>
      </w:r>
    </w:p>
    <w:p w14:paraId="1F1E2AA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可以直接雇用农民工或将劳务作业分包给具有劳务分包资质的劳务分包人，但承包人或分包人必须依法签订劳动合同，并将民工花名册、劳动合同和民工签收的工资支付表报监理人备案。承包人和劳务分包人必须按照有关法律、法规和劳务合同按时支付劳务工资及相关费用，落实各项劳动保护措施。</w:t>
      </w:r>
    </w:p>
    <w:p w14:paraId="6358497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承包人必须按时支付其雇用人员、其分包单位雇用人员、实际为承包人或其分包单位服务、应从承包人中得到报酬的人员（包括民工）的工资，不得拖欠上述人员的工资。同时，承包人有责任和义务监督其分包单位对属下员工工资的支付。发包人和监理人有权监督承包人使用农民工的管理，对不签订劳动合同、非法使用农民工的，或者拖延和克扣农民工工资的，一经发现，发包人将予以通报并上报上级主管单位。同时，发包人有权从承包人的工程款中扣留部分款项，直接用于支付上述人员的工资，承包人须无条件接受。详细规定见承包人投标文件中提交的《建设工程农民工工资支付保证书》。若因上述原因造成劳务人员上访、纠纷等情况，承包人须承担一切经济和法律责任。除按国家有关法律、法规、规章及上述合同条款的规定进行处理外，同时按照第22.1款承包人违约处理。</w:t>
      </w:r>
    </w:p>
    <w:p w14:paraId="4D0889B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（3）承包人应为农民工办理工伤保险或人身意外险。</w:t>
      </w:r>
    </w:p>
    <w:p w14:paraId="5B991A7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（4）发包人颁发的农民工工资监管办法及有关规定，承包人须积极配合并无条件的接受。</w:t>
      </w:r>
    </w:p>
    <w:p w14:paraId="1B99E66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（5）劳务合作须符合《广东省公路工程施工分包管理实施细则》中的有关规定。</w:t>
      </w:r>
    </w:p>
    <w:p w14:paraId="7A29EC9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4.6.7施工员登记制度</w:t>
      </w:r>
    </w:p>
    <w:p w14:paraId="3565520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签定合同后，承包人应向监理人提供一份拟在本合同工程进行现场管理的施工员名单，包括监理人要求的有关证明材料。监理人将对符合资格要求的施工员进行造册登记，并发给项目施工员证。施工员登记工作是监理人签发开工令的必要条件之一。</w:t>
      </w:r>
    </w:p>
    <w:p w14:paraId="0B08271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分项工程施工现场实行标识牌管理，标识牌必须标明该分项工程作业内容和质量要求，施工单位及质量负责人姓名。工程开工后，承包人必须在每个施工工点派驻一个以上的经登记的施工员进行现场施工管理，做好详细的现场施工记录。施工员必须佩带项目施工员证上岗。承包人不执行本款规定将按照22.1款承包人违约处理。</w:t>
      </w:r>
    </w:p>
    <w:p w14:paraId="52D15E3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在施工过程中，监理人只要有充分的理由，可以随时取消不能令其满意的施工员的资格，收回项目施工员证。</w:t>
      </w:r>
    </w:p>
    <w:p w14:paraId="45179C2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p w14:paraId="35CD4A0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增加第4.14款职业健康、安全与环境保护</w:t>
      </w:r>
    </w:p>
    <w:p w14:paraId="1F9E80B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4.14职业健康、安全与环境保护</w:t>
      </w:r>
    </w:p>
    <w:p w14:paraId="1EBC6B2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（1）承包人应严格遵守国家、省、行业主管部门有关职业健康、安全与环境保护法律、法规、规范、规程、规定和本合同文件、以及发包人发布的相关要求。</w:t>
      </w:r>
    </w:p>
    <w:p w14:paraId="3D66C6D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（2）职业健康、安全与环境保护所需的费用已包含在合同总价中，发包人不另行支付。</w:t>
      </w:r>
    </w:p>
    <w:p w14:paraId="2AE7685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应按国家和有关部门的规定，对施工现场人员和作业船舶、机械、设备的防台风、防突风、防风暴潮、防汛、防火、防雾、防坠落、防雷击等进行安全管理，对施工现场加强水陆交通安全管理、治安防范和消防安全防护措施，并承担由于措施不力造成的事故责任和由此发生的费用。</w:t>
      </w:r>
    </w:p>
    <w:p w14:paraId="0A99E47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承包人在高压线、水上、水下及管线、易燃、易爆地段或其他有害环境下作业时，作业前应提出安全保护措施，经监理人审查同意后实施。监理人的同意并不能免除承包人应承担的责任。防护措施费用由承包人承担。</w:t>
      </w:r>
    </w:p>
    <w:p w14:paraId="4CDD5D9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对施工场地周围管线和邻近建筑物、构筑物进行保护并承担有关费用，对已完成作业的管线、沟道应有明显的标识和警示措施，并按要求予以保护，因标识不全或安全防护设施不当（够）引起的任何责任由承包人承担。</w:t>
      </w:r>
    </w:p>
    <w:p w14:paraId="635BB5C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（6）遵守属地政府和行业主管部门对作业设备、作业噪音以及环境保护和安全生产文明施工等的管理规定，并按规定办理有关手续，因手续不全引起的一切责任均由承包人负责。</w:t>
      </w:r>
    </w:p>
    <w:p w14:paraId="50598A4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（7）承包人应对所属员工（包括分包单位员工）的工伤事故承担全部责任。</w:t>
      </w:r>
    </w:p>
    <w:p w14:paraId="161AB0B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（8）由于承包人原因，在施工场地内及其毗邻地带造成的第三者人员伤亡和财产损失，由承包人负责赔偿。</w:t>
      </w:r>
    </w:p>
    <w:p w14:paraId="18FA3E0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因承包人违法、违章作业，造成生态环境破坏、海洋生物损害、妨碍公共交通安全、危及区域交通和居民安全，降低海洋、河流防洪能力，或者影响其他承包人施工等后果的，承包人应承担一切责任。因此使发包人受到行政管理部门处罚的，其后果由承包人承担。</w:t>
      </w:r>
    </w:p>
    <w:p w14:paraId="532ACC2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（10）因承包人原因造成施工现场存在重大职业健康、安全与环境保护隐患，被发包人或监理人责令停工整顿的，其延误工期造成的损失由承包人承担。</w:t>
      </w:r>
    </w:p>
    <w:p w14:paraId="2BE657F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3ECAA016">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5.材料和工程设备</w:t>
      </w:r>
    </w:p>
    <w:p w14:paraId="7E6C4CA5">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第5.1.2项补充：</w:t>
      </w:r>
    </w:p>
    <w:p w14:paraId="1BC5624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（1）承包人选定的材料和工程设备必须满足本合同工程要求。凡任何技术指标达不到发包人要求或被发包人禁止进入本合同工程的材料、设备（或材料供应商），承包人不得采购（或向其采购）用于本项目。</w:t>
      </w:r>
    </w:p>
    <w:p w14:paraId="7E58463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（2）工程主材（按附件十《统一采购供应材料一览表》）的采购</w:t>
      </w:r>
    </w:p>
    <w:p w14:paraId="1B8B631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工程主材（按附表十《统一采购供应材料一览表》）和其他主要材料的采购必须严格执行发包人的管理要求。</w:t>
      </w:r>
    </w:p>
    <w:p w14:paraId="4D64FD1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（3）工程地材的采购</w:t>
      </w:r>
    </w:p>
    <w:p w14:paraId="364D1FE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对于工程施工所需地材（碎石、砂等），承包人可自行决定采购方式，但在采购工作开展之前至少28天将主要地材的供应方案（包括采购地材的品种和数量、供应商的名单、选择该供应商的理由、质量证明文件、供货计划等）报监理人批准。永久工程用砂严禁使用海砂。</w:t>
      </w:r>
    </w:p>
    <w:p w14:paraId="47CD0F7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必须通过合法的方式获取石源和砂源，应确保材料的合法来源及品质要求，对材料的运输方式、供应强度及运距等自行测算并承担风险。</w:t>
      </w:r>
    </w:p>
    <w:p w14:paraId="20D75DC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（4）其他材料和工程设备的采购</w:t>
      </w:r>
    </w:p>
    <w:p w14:paraId="0135D72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除以上（1）～（3）条规定之外的其他材料和工程设备，承包人应将选定的各项材料和工程设备的供应商及品种、规格、质量证明文件、数量和供货计划等报送监理人和发包人核备。</w:t>
      </w:r>
    </w:p>
    <w:p w14:paraId="098B41D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（5）监理人和发包人对承包人采购材料和工程设备的审批、核备、监督等并不免除承包人的责任。</w:t>
      </w:r>
    </w:p>
    <w:p w14:paraId="3E6AA78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如果承包人采购的材料或设备是进口的，则承包人应向监理人提供由中华人民共和国进出口商品检验检疫局出具的检验证书，证明该材料或设备的质量、规格及合同规定的其他指标与合同规定相符，否则发包人有权向承包人提出索赔。</w:t>
      </w:r>
    </w:p>
    <w:p w14:paraId="1CAAE9F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为最大限度确保本合同工程的施工质量，满足工程施工机械化、自动化的要求，在合同履行过程中，发包人将结合国内桥梁、隧道等工程施工现状，以及工程实际需要，对部分施工流程或工艺等提出特殊的设备要求，承包人应无条件实施，由此所增加的设备购置费或租赁费用（合同另有约定除外）已包含在投标报价中，招标人不另行支付。</w:t>
      </w:r>
    </w:p>
    <w:p w14:paraId="63DF4036">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增加5.1.4项</w:t>
      </w:r>
    </w:p>
    <w:p w14:paraId="06AF4564">
      <w:pPr>
        <w:pStyle w:val="52"/>
        <w:spacing w:line="360" w:lineRule="auto"/>
        <w:ind w:firstLine="367" w:firstLineChars="175"/>
        <w:rPr>
          <w:rFonts w:hint="eastAsia" w:asciiTheme="minorEastAsia" w:hAnsiTheme="minorEastAsia" w:eastAsiaTheme="minorEastAsia" w:cstheme="minorEastAsia"/>
          <w:bCs/>
          <w:color w:val="000000" w:themeColor="text1"/>
          <w:szCs w:val="21"/>
          <w14:textFill>
            <w14:solidFill>
              <w14:schemeClr w14:val="tx1"/>
            </w14:solidFill>
          </w14:textFill>
        </w:rPr>
      </w:pPr>
      <w:r>
        <w:rPr>
          <w:rFonts w:hint="eastAsia" w:asciiTheme="minorEastAsia" w:hAnsiTheme="minorEastAsia" w:eastAsiaTheme="minorEastAsia" w:cstheme="minorEastAsia"/>
          <w:bCs/>
          <w:color w:val="000000" w:themeColor="text1"/>
          <w:szCs w:val="21"/>
          <w14:textFill>
            <w14:solidFill>
              <w14:schemeClr w14:val="tx1"/>
            </w14:solidFill>
          </w14:textFill>
        </w:rPr>
        <w:t>5.1.4项目的部分材料如采用甲控乙购的方式管理，则由承包人通过合法方式择优选择供货单位。由项目结合实际情况列明所需材料的技术指标。</w:t>
      </w:r>
    </w:p>
    <w:p w14:paraId="0D05C4C7">
      <w:pPr>
        <w:pStyle w:val="52"/>
        <w:spacing w:line="360" w:lineRule="auto"/>
        <w:ind w:firstLine="367" w:firstLineChars="175"/>
        <w:rPr>
          <w:rFonts w:hint="eastAsia" w:asciiTheme="minorEastAsia" w:hAnsiTheme="minorEastAsia" w:eastAsiaTheme="minorEastAsia" w:cstheme="minorEastAsia"/>
          <w:bCs/>
          <w:color w:val="000000" w:themeColor="text1"/>
          <w:szCs w:val="21"/>
          <w14:textFill>
            <w14:solidFill>
              <w14:schemeClr w14:val="tx1"/>
            </w14:solidFill>
          </w14:textFill>
        </w:rPr>
      </w:pPr>
    </w:p>
    <w:p w14:paraId="315AC9A8">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5.2发包人提供的材料和工程设备</w:t>
      </w:r>
    </w:p>
    <w:p w14:paraId="02F6F0D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将5.2.1款修改如下：</w:t>
      </w:r>
    </w:p>
    <w:p w14:paraId="56818A5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5.2.1为确保本项目的建设质量，发包人将按4.3.7款关于特殊分包人或供货人的规定，将本合同附件九《特殊材料设备供应一览表》（下称一览表）规定的材料设备通过招标方式选定材料设备供货人。材料设备供货人将按表列的价格向承包人提供材料设备。对于此类特殊材料的供货，应满足以下规定：</w:t>
      </w:r>
    </w:p>
    <w:p w14:paraId="42A62F7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（1）发包人按一览表约定的内容提供材料设备，并负责向承包人提供产品合格证明，对其真实性负责。但此项规定并不表明免除承包人检验材料设备质量的责任。</w:t>
      </w:r>
    </w:p>
    <w:p w14:paraId="7C76ACC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（2）工程开工后，承包人应根据进度计划向发包人提出本款规定的材料使用计划，由发包人按计划提供材料。</w:t>
      </w:r>
    </w:p>
    <w:p w14:paraId="6FCE7CD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（3）发包人在所供材料设备到货前24小时，以书面形式通知承包人；到货时，由承包人派人清点，必要时，发包人可派人参加。</w:t>
      </w:r>
    </w:p>
    <w:p w14:paraId="5F9859B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（4）材料设备办理清点交接手续后，承包人承担产品的储存、保管责任。</w:t>
      </w:r>
    </w:p>
    <w:p w14:paraId="72B7777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一览表约定的数量为暂定数量，发包人按施工图设计和变更图纸所需的数量（含合理损耗）供应并进行结算。在承包人所承担工程全部完工后，如承包人实际用量与施工图和变更图纸所需数量相差太大而无法提供合理解释，发包人有权对承包人处以超出部分100％价值的罚金。</w:t>
      </w:r>
    </w:p>
    <w:p w14:paraId="036EAE8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（6）一览表约定的到货地点不一致时，发包人负责运达一览表指定地点；发包人采购单价与一览表材料单价不符，发包人仅承担价差。</w:t>
      </w:r>
    </w:p>
    <w:p w14:paraId="48294D0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发包人供应的材料设备使用前，由承包人负责检验或试验，品种、规格、型号或质量与一览表不符的，承包人可拒绝接收，发包人应负责运出施工场地并重新采购；品种、规格或型号与一览表不符但质量经检验合格的，经监理人同意，可调剂串换使用。若上述不符是属于承包人责任造成的，则因此而增加的相应费用由承包人承担。若上述不符是属于非承包人责任造成的，并因此引起承包人工期延误或费用增加，则由发包人负责赔偿。</w:t>
      </w:r>
    </w:p>
    <w:p w14:paraId="737CC7E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（8）为恰当和正确地使用、安装和实施这些材料和工程设备所必需的但一览表中未列明的其他任何辅助性材料以及人工费应已经包含在承包人的合同价款中。</w:t>
      </w:r>
    </w:p>
    <w:p w14:paraId="150ECCC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（9）发包人供应的材料款，发包人将在供应后一个至两个月内从承包人工程进度款中扣回。但为保证材料款在交工验收时得到全额扣回，发包人与承包人确认后发文调整扣回时间及比例。</w:t>
      </w:r>
    </w:p>
    <w:p w14:paraId="73D1D31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如发包人需采用任何从国（境）外进口材料和工程设备，且这些进口的材料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误，承包人应就此通知监理人，监理人在收到此类通知并与承包人适当协商之后应决定：</w:t>
      </w:r>
    </w:p>
    <w:p w14:paraId="539CF8E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a.依据第11.3款规定承包人应得的延长工期；</w:t>
      </w:r>
    </w:p>
    <w:p w14:paraId="4806331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b.承包人由此而发生的额外费用增加到合同价中。</w:t>
      </w:r>
    </w:p>
    <w:p w14:paraId="30E33D38">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5.4禁止使用不合格的材料和工程设备</w:t>
      </w:r>
    </w:p>
    <w:p w14:paraId="18B05FD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在5.4.2款末尾增加：承包人还应承担由此带来的一切损失。</w:t>
      </w:r>
    </w:p>
    <w:p w14:paraId="4159946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在本条增加5.5款如下：</w:t>
      </w:r>
    </w:p>
    <w:p w14:paraId="249FBA7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5.5代用材料的使用</w:t>
      </w:r>
    </w:p>
    <w:p w14:paraId="1EC243A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5.5.1承包人需要使用代用材料时，应经监理人认可并由发包人同意后才能使用，由此增减的合同价款双方以书面形式议定。承包人需要使用代用材料，仅限于出现下列情况时：</w:t>
      </w:r>
    </w:p>
    <w:p w14:paraId="1DAA02E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（1）市场上无供应或在一定时间内突然供应短缺；</w:t>
      </w:r>
    </w:p>
    <w:p w14:paraId="1E3E62B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（2）政府或有关管理机构的后继规章、规定禁止使用；</w:t>
      </w:r>
    </w:p>
    <w:p w14:paraId="5A5CBCB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（3）发包人或监理人要求使用其他替代品；或者承包人提出，发包人和监理人批准使用其他替代品；</w:t>
      </w:r>
    </w:p>
    <w:p w14:paraId="32BFF2C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（4）任何其他可能的原因使得使用其他替代品成为必要。</w:t>
      </w:r>
    </w:p>
    <w:p w14:paraId="08D258C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没有发包人的书面同意，承包人不得自行采购5.2.1款规定的材料，否则监理人、发包人应拒收这些材料，承包人应赔偿由此带来的一切损失。无论出现任何情况，承包人均不得售卖发包人供应的材料，否则一经查实，发包人有权对承包人处以售卖材料金额两倍的违约金。</w:t>
      </w:r>
    </w:p>
    <w:p w14:paraId="08A5580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如果使用代用材料，承包人应至少在被代换品按批准的进度计划将被用于工程前14天以书面形式通知监理人并随此通知提交下列文件：</w:t>
      </w:r>
    </w:p>
    <w:p w14:paraId="4A2F278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（1）拟采用的替代品的名称、数量、规格、型号、品牌、性能、价格及其他必要的详细资料；</w:t>
      </w:r>
    </w:p>
    <w:p w14:paraId="0E0BA90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（2）替代品使用的工程部位；</w:t>
      </w:r>
    </w:p>
    <w:p w14:paraId="7061371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（3）采用替代品的理由和原因申述；</w:t>
      </w:r>
    </w:p>
    <w:p w14:paraId="5C8BE96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（4）替代品与合同中约定的产品之间的差异以及使用替代品后可能对工程产生任何方面的影响；</w:t>
      </w:r>
    </w:p>
    <w:p w14:paraId="7E8662D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（5）价格上的差异；</w:t>
      </w:r>
    </w:p>
    <w:p w14:paraId="048AE26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（6）监理人为作出适当的决定而随时要求承包人提供的任何其他文件。</w:t>
      </w:r>
    </w:p>
    <w:p w14:paraId="5F1CF6B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在收到此类通知及上述文件后，应在14天内作出审查意见，并报发包人批准。发包人对使用替代品的批准以及承包人据此使用替代品不应解除承包人合同约定的任何职责和义务。任何情况下，使用替代品都应遵守本合同中其他对材料和工程设备的任何约定。</w:t>
      </w:r>
    </w:p>
    <w:p w14:paraId="7531AE22">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5.5.2机制砂的使用</w:t>
      </w:r>
    </w:p>
    <w:p w14:paraId="0DF23E8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机制砂的使用应遵照省交通运输厅的粤交基[2013]898号文的规定执行。本项目不管使用机制砂或天然砂，其外购砂源、加工、运输、堆放等一切相关费用以及因此引起的材料消耗、施工工艺差别等因素，承包人应在投标报价中充分考虑并不得因此提出费用补偿要求。</w:t>
      </w:r>
    </w:p>
    <w:p w14:paraId="21554B0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602B6BA2">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5.6材料、工程设备和工程的试验和检验</w:t>
      </w:r>
    </w:p>
    <w:p w14:paraId="7CCD12D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5.6.1承包人应按合同约定和专用技术标准和要求的规定以及试验人关于工地试验室的相关要求，建立工地试验室，完善试验和检验体系，对材料、工程设备和工程的质量进行试验和检验，向监理履行报检程序，并为监理人、试验人对上述材料、工程设备和工程的质量检查提供必要的试验资料和原始记录。</w:t>
      </w:r>
    </w:p>
    <w:p w14:paraId="6259D9D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5.6.2承包人应于工程开工前完成工地试验室建设和资质认证工作，工地试验室建设、相关配置及管理应按专用项目管理制度规定执行。</w:t>
      </w:r>
    </w:p>
    <w:p w14:paraId="2C07E00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5.6.3承包人工地试验室不具备资质承担的试验和检验项目，经监理人和发包人同意可对外委托具有相应资质的检测试验机构进行试验，但承包人应将相关检测试验机构有关资料报备监理人和试验检测中心。</w:t>
      </w:r>
    </w:p>
    <w:p w14:paraId="452975B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5.6.4承包人根据合同约定或监理人指示进行的现场材料试验，应由承包人提供试验场所、试验人员、试验设备器材以及其他必要的试验条件。</w:t>
      </w:r>
    </w:p>
    <w:p w14:paraId="6295777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5.6.5如有必要，发包人、监理人、试验人可以免费使用承包人的试验场所、试验设备器材以及其他试验条件，进行以工程质量检查为目的的复核性材料试验，承包人应予以协助。</w:t>
      </w:r>
    </w:p>
    <w:p w14:paraId="1B1430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5.6.6承包人的试验和检验和外委试验应严格执行专用项目管理制度的相关规定和要求。由承包人、监理人、试验人三方共同委外的检查项目的检测费用由承包人承担。</w:t>
      </w:r>
    </w:p>
    <w:p w14:paraId="708EA6C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5.6.7承包人应根据材料、工程设备进场计划和工程施工计划，制订相应试验和检验计划，按计划开展试验检测工作，并将上述计划报送监理人和试验检测中心。</w:t>
      </w:r>
    </w:p>
    <w:p w14:paraId="2BA2380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5.6.8承包人的试验和检验过程须接受监理人的旁站监督；承包人应接受试验检测中心的监督指导，并按试验检测中心制定的管理制度开展试验检测工作。</w:t>
      </w:r>
    </w:p>
    <w:p w14:paraId="094D377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5.6.9监理人对承包人的试验和检验结果有疑问，或为查清承包人试验和检验成果的可靠性，要求承包人重新试验和检验时，可由监理人、试验人与承包人共同进行。重新试验和检验的结果证明该项材料、工程设备或工程的质量不符合合同要求的，由此增加的费用和（或）工期延误由承包人承担。</w:t>
      </w:r>
    </w:p>
    <w:p w14:paraId="7254D96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5.6.10发包人、监理人和发包人认可的相关政府部门或其它第三方机构有权对工程的所有部位及其施工工艺、工程设备和材料进行检查和检验。承包人应为上述人员的检查和检验提供方便，包括到施工现场，或制造、加工地点，或其它地方进行察看和查阅施工原始记录。承包人还应按发包人、监理人、试验人和发包人认可的人员指示，进行施工现场取样试验、工程复核测量和设备性能检测，提供试验样品，提交试验报告和测量成果，完成上述人员要求进行的其它检查和检验工作。</w:t>
      </w:r>
    </w:p>
    <w:p w14:paraId="3C24CE6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发包人、监理人、试验人和发包人认可的相关政府部门或其它第三方机构的检查和检验，不免除承包人合同约定的责任。</w:t>
      </w:r>
    </w:p>
    <w:p w14:paraId="6B0E659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225BF91F">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5.7标准试验</w:t>
      </w:r>
    </w:p>
    <w:p w14:paraId="3D70D4A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5.7.1对于混凝土配合比、标准干密度等标准试验，承包人应于相应分项工程开工前完成上述试验，并将试验结果报监理人，同时由试验检测中心进行相应的平行试验检验，履行审批程序后方可用于工程施工控制。</w:t>
      </w:r>
    </w:p>
    <w:p w14:paraId="2C9A116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5.7.2当用于工程施工的原材料发生变化时，承包人应重新进行上述标准试验，并履行平行试验和审批程序。</w:t>
      </w:r>
    </w:p>
    <w:p w14:paraId="2D9BAD36">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p>
    <w:p w14:paraId="4850BAF2">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5.8工艺试验</w:t>
      </w:r>
    </w:p>
    <w:p w14:paraId="5C20B6F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5.8.1承包人应按合同约定或监理人指示进行现场工艺试验。对大型的现场工艺试验，应编制工艺试验方案和计划，报送监理人审批后实施。</w:t>
      </w:r>
    </w:p>
    <w:p w14:paraId="6E17445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5.8.2对于特殊工艺质量检验，承包人应制定相应的检验方案和工艺，经评委评审和发包人审核确认后应用于现场工程质量控制和检验。</w:t>
      </w:r>
    </w:p>
    <w:p w14:paraId="0DA6BDE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50D085E9">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6.施工设备和临时设施</w:t>
      </w:r>
    </w:p>
    <w:p w14:paraId="6AAE158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6.3要求承包人增加或更换施工设备</w:t>
      </w:r>
    </w:p>
    <w:p w14:paraId="337DE79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在本款后增加一段文字：</w:t>
      </w:r>
    </w:p>
    <w:p w14:paraId="002A612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承包人在接到上述指令14天内未按要求执行，将按第22.1款视为承包人违约。</w:t>
      </w:r>
    </w:p>
    <w:p w14:paraId="74DCD73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5739944D">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增加6.5款如下：</w:t>
      </w:r>
    </w:p>
    <w:p w14:paraId="56FB3A18">
      <w:pPr>
        <w:pStyle w:val="52"/>
        <w:spacing w:line="360" w:lineRule="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6.5计算机系统配置</w:t>
      </w:r>
    </w:p>
    <w:p w14:paraId="7EF088A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发包人将采用信息化手段对本项目进行管理，对计算机网络管理的有关要求和配置，承包人应积极配合并无条件接受。</w:t>
      </w:r>
    </w:p>
    <w:p w14:paraId="6CB84C8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用于信息化的计算机软件配置由发包人统—购买，所需费用在100章中按暂估金额单列，并由发包人掌握使用。承包人应确保有专用计算机和一条专用网络连接线，同时应充分考虑可视化管理的手段，网络速度不小于10Mbps。</w:t>
      </w:r>
    </w:p>
    <w:p w14:paraId="755BF43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承包人项目管理系统专用计算机的管理要求：</w:t>
      </w:r>
    </w:p>
    <w:p w14:paraId="63B4A57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（1）项目管理系统专用的计算机应由熟悉计算机操作的管理人员专人管理，管理人员必须参加发包人举办的培训班。</w:t>
      </w:r>
    </w:p>
    <w:p w14:paraId="243D9F9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（2）严禁在专用的计算机上安装软驱、光驱或进行登录Internet网及其局域网的操作。</w:t>
      </w:r>
    </w:p>
    <w:p w14:paraId="6B1FAB3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（3）严禁在专用计算机上安装或卸载软件。</w:t>
      </w:r>
    </w:p>
    <w:p w14:paraId="38F8042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（4）本网络系统对操作者进行了权限设置，任何操作员的违规操作将按照有关规定处理。</w:t>
      </w:r>
    </w:p>
    <w:p w14:paraId="1DC4BF7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专用计算机访问登录服务器前，操作员应准备好所有要传送的资料，登录后，应立即进行传送的操作，以避免长时间占用通讯通道。严禁登录占用通讯通道后才开始整理资料或编制文档，若有此情况将视作霸用通讯通道处以经济惩罚。</w:t>
      </w:r>
    </w:p>
    <w:p w14:paraId="1FF1E38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1DB2FE86">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7.交通运输</w:t>
      </w:r>
    </w:p>
    <w:p w14:paraId="76DB28E7">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7.2场内施工道路</w:t>
      </w:r>
    </w:p>
    <w:p w14:paraId="50BD180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本款补充第7.2.3项：</w:t>
      </w:r>
    </w:p>
    <w:p w14:paraId="014FDD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负责对本项目包内施工便道进行建设和维护，包括便道硬底化及便桥加固等，并无条件允许发包人、监理人、试验人、本工程其他承包人及供应商使用。如该便道因各种原因损坏而未能及时修复，影响使用的，若招标人与承包人协调无果时，发包人有权委托第三方进行修复，所发生的费用从承包人工程款中扣回，承包人应无条件接受。</w:t>
      </w:r>
    </w:p>
    <w:p w14:paraId="6FEA7AA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116FB5FB">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7.3场外交通</w:t>
      </w:r>
    </w:p>
    <w:p w14:paraId="05A5197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本款补充第7.3.3项：</w:t>
      </w:r>
    </w:p>
    <w:p w14:paraId="29CE449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为保证道路交通安全及运输畅通，承包人应采取以下措施：</w:t>
      </w:r>
    </w:p>
    <w:p w14:paraId="692B343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（a）承包人必须在与市政、交通和交警等部门的协商下采取足够的交通引导措施，以防止施工期间出现道路堵塞。</w:t>
      </w:r>
    </w:p>
    <w:p w14:paraId="397E30F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（b）承包人制定施工材料运输计划时，应尽量避开现有道路交通高峰时的运输活动。</w:t>
      </w:r>
    </w:p>
    <w:p w14:paraId="392A370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（c）承包人须编制交通组织方案，报相关部门中审查批复，必要时组织评审，（合同另有约定除外）费用由承包人负责。</w:t>
      </w:r>
    </w:p>
    <w:p w14:paraId="238E98B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9.施工安全、治安保卫和环境保护</w:t>
      </w:r>
    </w:p>
    <w:p w14:paraId="308621D0">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9.2承包人的施工安全责任</w:t>
      </w:r>
    </w:p>
    <w:p w14:paraId="24CC074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第9.2.1补充以下内容：</w:t>
      </w:r>
    </w:p>
    <w:p w14:paraId="423FD2A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承包人应按《广东省高速公路工程施工安全标准化指南》的规定履行安全职责。</w:t>
      </w:r>
    </w:p>
    <w:p w14:paraId="25825DA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第9.2.4项细化为：</w:t>
      </w:r>
    </w:p>
    <w:p w14:paraId="154F1CC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承包人必须重视应急管理，在应急管理方面要做好但不限于以下工作：</w:t>
      </w:r>
    </w:p>
    <w:p w14:paraId="171064C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（1）建立和完善应急组织体系。</w:t>
      </w:r>
    </w:p>
    <w:p w14:paraId="6AF6CF4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结合工程特点建立完善的应急预案体系，承包人编制的应急预案必须和项目参建各方、项目所在地相关的应急预案体系相互衔接，互为呼应。按照应急预案的要求，组建和完善专兼职应急救援队伍、配备应急救援设施和装备，保证应急救援物资处于良好状态，确保正常使用。</w:t>
      </w:r>
    </w:p>
    <w:p w14:paraId="197ABE5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（3）承包人应经常组织应急预案演练，不断完善应急预案，提升应急管理水平。发生突发事件时，迅速启动应急预案，开展各项应急处置工作。</w:t>
      </w:r>
    </w:p>
    <w:p w14:paraId="14E5110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承包人应主动接受所在地人民政府安全生产监督管理部门和有关主管部门安全监督指导，并积极配合相关单位做好应急管理工作，因上述单位要求而增加的安全设备、措施、防护等费用，原则上由承包人从安全生产费用中列支，发包人不另行支付。</w:t>
      </w:r>
    </w:p>
    <w:p w14:paraId="32CA47CE">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第9.2.5项细化为：</w:t>
      </w:r>
    </w:p>
    <w:p w14:paraId="153167A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根据国家、省和厅《广东省公路水运建设工程安全生产费用管理办法》等规定要求，为督促承包人做好工程施工安全工作，本合同设立安全生产费。安全生产费以最高投标限价所包含的全部建筑安装工程费用为计算基数（工程量清单第100章至第900章费用之和，并扣除安全生产费本身和建筑工程一切险及第三者责任除的保险费）的1.5%(房建工程按2%)计入工程量清单支付子目102-3中。具体组成如下：</w:t>
      </w:r>
    </w:p>
    <w:tbl>
      <w:tblPr>
        <w:tblStyle w:val="21"/>
        <w:tblpPr w:leftFromText="180" w:rightFromText="180" w:vertAnchor="text" w:horzAnchor="page" w:tblpX="1840" w:tblpY="133"/>
        <w:tblOverlap w:val="never"/>
        <w:tblW w:w="84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1"/>
        <w:gridCol w:w="5505"/>
        <w:gridCol w:w="1282"/>
      </w:tblGrid>
      <w:tr w14:paraId="2EE0C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236245E4">
            <w:pPr>
              <w:pStyle w:val="34"/>
              <w:snapToGrid w:val="0"/>
              <w:spacing w:before="20"/>
              <w:ind w:left="419"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子目号</w:t>
            </w:r>
          </w:p>
        </w:tc>
        <w:tc>
          <w:tcPr>
            <w:tcW w:w="5505" w:type="dxa"/>
            <w:tcBorders>
              <w:top w:val="single" w:color="000000" w:sz="4" w:space="0"/>
              <w:left w:val="single" w:color="000000" w:sz="4" w:space="0"/>
              <w:bottom w:val="single" w:color="000000" w:sz="4" w:space="0"/>
              <w:right w:val="single" w:color="000000" w:sz="4" w:space="0"/>
            </w:tcBorders>
            <w:vAlign w:val="center"/>
          </w:tcPr>
          <w:p w14:paraId="0C1FF59A">
            <w:pPr>
              <w:pStyle w:val="34"/>
              <w:snapToGrid w:val="0"/>
              <w:spacing w:before="20"/>
              <w:ind w:left="2258" w:right="2251"/>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子目名称</w:t>
            </w:r>
          </w:p>
        </w:tc>
        <w:tc>
          <w:tcPr>
            <w:tcW w:w="1282" w:type="dxa"/>
            <w:tcBorders>
              <w:top w:val="single" w:color="000000" w:sz="4" w:space="0"/>
              <w:left w:val="single" w:color="000000" w:sz="4" w:space="0"/>
              <w:bottom w:val="single" w:color="000000" w:sz="4" w:space="0"/>
              <w:right w:val="single" w:color="000000" w:sz="4" w:space="0"/>
            </w:tcBorders>
            <w:vAlign w:val="center"/>
          </w:tcPr>
          <w:p w14:paraId="411DCA25">
            <w:pPr>
              <w:pStyle w:val="34"/>
              <w:snapToGrid w:val="0"/>
              <w:spacing w:before="20"/>
              <w:ind w:left="418"/>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单位</w:t>
            </w:r>
          </w:p>
        </w:tc>
      </w:tr>
      <w:tr w14:paraId="2BB5E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00162929">
            <w:pPr>
              <w:pStyle w:val="34"/>
              <w:snapToGrid w:val="0"/>
              <w:spacing w:before="21"/>
              <w:ind w:left="420"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w:t>
            </w:r>
          </w:p>
        </w:tc>
        <w:tc>
          <w:tcPr>
            <w:tcW w:w="5505" w:type="dxa"/>
            <w:tcBorders>
              <w:top w:val="single" w:color="000000" w:sz="4" w:space="0"/>
              <w:left w:val="single" w:color="000000" w:sz="4" w:space="0"/>
              <w:bottom w:val="single" w:color="000000" w:sz="4" w:space="0"/>
              <w:right w:val="single" w:color="000000" w:sz="4" w:space="0"/>
            </w:tcBorders>
            <w:vAlign w:val="center"/>
          </w:tcPr>
          <w:p w14:paraId="6D35BA5F">
            <w:pPr>
              <w:pStyle w:val="34"/>
              <w:snapToGrid w:val="0"/>
              <w:spacing w:before="21"/>
              <w:ind w:left="106"/>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安全生产经费</w:t>
            </w:r>
          </w:p>
        </w:tc>
        <w:tc>
          <w:tcPr>
            <w:tcW w:w="1282" w:type="dxa"/>
            <w:tcBorders>
              <w:top w:val="single" w:color="000000" w:sz="4" w:space="0"/>
              <w:left w:val="single" w:color="000000" w:sz="4" w:space="0"/>
              <w:bottom w:val="single" w:color="000000" w:sz="4" w:space="0"/>
              <w:right w:val="single" w:color="000000" w:sz="4" w:space="0"/>
            </w:tcBorders>
            <w:vAlign w:val="center"/>
          </w:tcPr>
          <w:p w14:paraId="413BBC5C">
            <w:pPr>
              <w:pStyle w:val="34"/>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r>
      <w:tr w14:paraId="1EAA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7B9D868C">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102-3-1</w:t>
            </w:r>
          </w:p>
        </w:tc>
        <w:tc>
          <w:tcPr>
            <w:tcW w:w="5505" w:type="dxa"/>
            <w:tcBorders>
              <w:top w:val="single" w:color="000000" w:sz="4" w:space="0"/>
              <w:left w:val="single" w:color="000000" w:sz="4" w:space="0"/>
              <w:bottom w:val="single" w:color="000000" w:sz="4" w:space="0"/>
              <w:right w:val="single" w:color="000000" w:sz="4" w:space="0"/>
            </w:tcBorders>
            <w:vAlign w:val="center"/>
          </w:tcPr>
          <w:p w14:paraId="653F9760">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设置、完善、改造和维护安全防护设施设备支出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539F3B14">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174E1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089C82F4">
            <w:pPr>
              <w:pStyle w:val="34"/>
              <w:snapToGrid w:val="0"/>
              <w:spacing w:before="9"/>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775889E1">
            <w:pPr>
              <w:pStyle w:val="34"/>
              <w:snapToGrid w:val="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102-3-2</w:t>
            </w:r>
          </w:p>
        </w:tc>
        <w:tc>
          <w:tcPr>
            <w:tcW w:w="5505" w:type="dxa"/>
            <w:tcBorders>
              <w:top w:val="single" w:color="000000" w:sz="4" w:space="0"/>
              <w:left w:val="single" w:color="000000" w:sz="4" w:space="0"/>
              <w:bottom w:val="single" w:color="000000" w:sz="4" w:space="0"/>
              <w:right w:val="single" w:color="000000" w:sz="4" w:space="0"/>
            </w:tcBorders>
            <w:vAlign w:val="center"/>
          </w:tcPr>
          <w:p w14:paraId="1AAE6245">
            <w:pPr>
              <w:pStyle w:val="34"/>
              <w:snapToGrid w:val="0"/>
              <w:spacing w:line="266" w:lineRule="exact"/>
              <w:ind w:left="106"/>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配备、维护、保养应急救援器材、设备支出和应急演练支</w:t>
            </w:r>
          </w:p>
          <w:p w14:paraId="2EFCA957">
            <w:pPr>
              <w:pStyle w:val="34"/>
              <w:snapToGrid w:val="0"/>
              <w:spacing w:before="139"/>
              <w:ind w:left="106"/>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2DF931E4">
            <w:pPr>
              <w:pStyle w:val="34"/>
              <w:snapToGrid w:val="0"/>
              <w:spacing w:before="9"/>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4BFBD603">
            <w:pPr>
              <w:pStyle w:val="34"/>
              <w:snapToGrid w:val="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77DBC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29E068CC">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102-3-3</w:t>
            </w:r>
          </w:p>
        </w:tc>
        <w:tc>
          <w:tcPr>
            <w:tcW w:w="5505" w:type="dxa"/>
            <w:tcBorders>
              <w:top w:val="single" w:color="000000" w:sz="4" w:space="0"/>
              <w:left w:val="single" w:color="000000" w:sz="4" w:space="0"/>
              <w:bottom w:val="single" w:color="000000" w:sz="4" w:space="0"/>
              <w:right w:val="single" w:color="000000" w:sz="4" w:space="0"/>
            </w:tcBorders>
            <w:vAlign w:val="center"/>
          </w:tcPr>
          <w:p w14:paraId="212117B4">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重大风险源和安全事故隐患评估、监控和整改支出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0D9713B5">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303CF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464FFAE7">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102-3-4</w:t>
            </w:r>
          </w:p>
        </w:tc>
        <w:tc>
          <w:tcPr>
            <w:tcW w:w="5505" w:type="dxa"/>
            <w:tcBorders>
              <w:top w:val="single" w:color="000000" w:sz="4" w:space="0"/>
              <w:left w:val="single" w:color="000000" w:sz="4" w:space="0"/>
              <w:bottom w:val="single" w:color="000000" w:sz="4" w:space="0"/>
              <w:right w:val="single" w:color="000000" w:sz="4" w:space="0"/>
            </w:tcBorders>
            <w:vAlign w:val="center"/>
          </w:tcPr>
          <w:p w14:paraId="0559530D">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安全生产检查、评价、咨询和标准化建设支出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4ED3D91D">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454F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2E681589">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102-3-5</w:t>
            </w:r>
          </w:p>
        </w:tc>
        <w:tc>
          <w:tcPr>
            <w:tcW w:w="5505" w:type="dxa"/>
            <w:tcBorders>
              <w:top w:val="single" w:color="000000" w:sz="4" w:space="0"/>
              <w:left w:val="single" w:color="000000" w:sz="4" w:space="0"/>
              <w:bottom w:val="single" w:color="000000" w:sz="4" w:space="0"/>
              <w:right w:val="single" w:color="000000" w:sz="4" w:space="0"/>
            </w:tcBorders>
            <w:vAlign w:val="center"/>
          </w:tcPr>
          <w:p w14:paraId="6A0EE5D5">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配备和更新现场作业人员安全防护用品支出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58941E01">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4554C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269DDAC9">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102-3-6</w:t>
            </w:r>
          </w:p>
        </w:tc>
        <w:tc>
          <w:tcPr>
            <w:tcW w:w="5505" w:type="dxa"/>
            <w:tcBorders>
              <w:top w:val="single" w:color="000000" w:sz="4" w:space="0"/>
              <w:left w:val="single" w:color="000000" w:sz="4" w:space="0"/>
              <w:bottom w:val="single" w:color="000000" w:sz="4" w:space="0"/>
              <w:right w:val="single" w:color="000000" w:sz="4" w:space="0"/>
            </w:tcBorders>
            <w:vAlign w:val="center"/>
          </w:tcPr>
          <w:p w14:paraId="10DF265E">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安全生产宣传、教育、培训支出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5BCF935A">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7D78F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617625BB">
            <w:pPr>
              <w:pStyle w:val="34"/>
              <w:snapToGrid w:val="0"/>
              <w:spacing w:before="9"/>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0C92562C">
            <w:pPr>
              <w:pStyle w:val="34"/>
              <w:snapToGrid w:val="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102-3-7</w:t>
            </w:r>
          </w:p>
        </w:tc>
        <w:tc>
          <w:tcPr>
            <w:tcW w:w="5505" w:type="dxa"/>
            <w:tcBorders>
              <w:top w:val="single" w:color="000000" w:sz="4" w:space="0"/>
              <w:left w:val="single" w:color="000000" w:sz="4" w:space="0"/>
              <w:bottom w:val="single" w:color="000000" w:sz="4" w:space="0"/>
              <w:right w:val="single" w:color="000000" w:sz="4" w:space="0"/>
            </w:tcBorders>
            <w:vAlign w:val="center"/>
          </w:tcPr>
          <w:p w14:paraId="6500844A">
            <w:pPr>
              <w:pStyle w:val="34"/>
              <w:snapToGrid w:val="0"/>
              <w:spacing w:line="266" w:lineRule="exact"/>
              <w:ind w:left="106"/>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安全生产试用的新技术、新标准、新工艺、新装备的推广</w:t>
            </w:r>
          </w:p>
          <w:p w14:paraId="5FDFEE76">
            <w:pPr>
              <w:pStyle w:val="34"/>
              <w:snapToGrid w:val="0"/>
              <w:spacing w:before="139"/>
              <w:ind w:left="106"/>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应用支出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2CCC0E11">
            <w:pPr>
              <w:pStyle w:val="34"/>
              <w:snapToGrid w:val="0"/>
              <w:spacing w:before="9"/>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2B447CEA">
            <w:pPr>
              <w:pStyle w:val="34"/>
              <w:snapToGrid w:val="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589F4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2471D6B4">
            <w:pPr>
              <w:pStyle w:val="34"/>
              <w:snapToGrid w:val="0"/>
              <w:spacing w:before="20"/>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102-3-8</w:t>
            </w:r>
          </w:p>
        </w:tc>
        <w:tc>
          <w:tcPr>
            <w:tcW w:w="5505" w:type="dxa"/>
            <w:tcBorders>
              <w:top w:val="single" w:color="000000" w:sz="4" w:space="0"/>
              <w:left w:val="single" w:color="000000" w:sz="4" w:space="0"/>
              <w:bottom w:val="single" w:color="000000" w:sz="4" w:space="0"/>
              <w:right w:val="single" w:color="000000" w:sz="4" w:space="0"/>
            </w:tcBorders>
            <w:vAlign w:val="center"/>
          </w:tcPr>
          <w:p w14:paraId="3E468A30">
            <w:pPr>
              <w:pStyle w:val="34"/>
              <w:snapToGrid w:val="0"/>
              <w:spacing w:before="20"/>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安全设施及特种设备安装及维护支出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33302243">
            <w:pPr>
              <w:pStyle w:val="34"/>
              <w:snapToGrid w:val="0"/>
              <w:spacing w:before="20"/>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r w14:paraId="5CC27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51" w:type="dxa"/>
            <w:tcBorders>
              <w:top w:val="single" w:color="000000" w:sz="4" w:space="0"/>
              <w:left w:val="single" w:color="000000" w:sz="4" w:space="0"/>
              <w:bottom w:val="single" w:color="000000" w:sz="4" w:space="0"/>
              <w:right w:val="single" w:color="000000" w:sz="4" w:space="0"/>
            </w:tcBorders>
            <w:vAlign w:val="center"/>
          </w:tcPr>
          <w:p w14:paraId="709FB6B1">
            <w:pPr>
              <w:pStyle w:val="34"/>
              <w:snapToGrid w:val="0"/>
              <w:spacing w:before="21"/>
              <w:ind w:left="421" w:right="414"/>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102-3-9</w:t>
            </w:r>
          </w:p>
        </w:tc>
        <w:tc>
          <w:tcPr>
            <w:tcW w:w="5505" w:type="dxa"/>
            <w:tcBorders>
              <w:top w:val="single" w:color="000000" w:sz="4" w:space="0"/>
              <w:left w:val="single" w:color="000000" w:sz="4" w:space="0"/>
              <w:bottom w:val="single" w:color="000000" w:sz="4" w:space="0"/>
              <w:right w:val="single" w:color="000000" w:sz="4" w:space="0"/>
            </w:tcBorders>
            <w:vAlign w:val="center"/>
          </w:tcPr>
          <w:p w14:paraId="3A30882E">
            <w:pPr>
              <w:pStyle w:val="34"/>
              <w:snapToGrid w:val="0"/>
              <w:spacing w:before="21"/>
              <w:ind w:left="107"/>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其他安全生产费用支出</w:t>
            </w:r>
          </w:p>
        </w:tc>
        <w:tc>
          <w:tcPr>
            <w:tcW w:w="1282" w:type="dxa"/>
            <w:tcBorders>
              <w:top w:val="single" w:color="000000" w:sz="4" w:space="0"/>
              <w:left w:val="single" w:color="000000" w:sz="4" w:space="0"/>
              <w:bottom w:val="single" w:color="000000" w:sz="4" w:space="0"/>
              <w:right w:val="single" w:color="000000" w:sz="4" w:space="0"/>
            </w:tcBorders>
            <w:vAlign w:val="center"/>
          </w:tcPr>
          <w:p w14:paraId="72E52B7E">
            <w:pPr>
              <w:pStyle w:val="34"/>
              <w:snapToGrid w:val="0"/>
              <w:spacing w:before="21"/>
              <w:ind w:left="317"/>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总额</w:t>
            </w:r>
          </w:p>
        </w:tc>
      </w:tr>
    </w:tbl>
    <w:p w14:paraId="2B90375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56A8D1B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2583092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2F03715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发生较大、重大设计变更造成施工单位实际投入安全生产费总额与合同约定不一致时，差额部分的安全生产费由发包人按批复变更金额和规定提取比例同时调整，调整比例为变更增减金额的1.5%（房建工程按2%）。</w:t>
      </w:r>
    </w:p>
    <w:p w14:paraId="3220E63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获得支付的额度取决于承包人施工安全防护用具及设施的采购和更新、安全施工措施的落实、安全生产条件的改善，安全生产检查、评价、咨询和标准化建设的支出，安全生产宣传、教育、培训的支出，安全生产适用的新技术、新标准、新工艺、新装备的推广应用支出，安全设施及特种设备检测检验支出，其它与安全生产直接相关支出等。安全生产经费由发包人根据监理人和发包人代表对安全费用清单的签字确认进行支付。承包人应制订安全经费总体计划，有详细的安全经费使用台账，按有关规定及时申请安全经费的计量和支付。</w:t>
      </w:r>
    </w:p>
    <w:p w14:paraId="332C6EE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有权要求承包人完善安全生产设施、措施和条件，对不主动投入的承包人，发包人有权直接为其追加安全生产投入，费用从承包人安全生产费中支出。如在项目开工前或施工过程中，发包人及上级主管单位对承包人的安全生产设施、设备进行检查，发现隐患而承包人未能在限期内完成整改的，发包人有权请第三方协助承包人代为整改，所需费用在计提的安全生产费中支付。若整改费用超过计提的安全生产费，发包人有权向承包人追讨整改费用与计提的安全生产费的差额部分。</w:t>
      </w:r>
    </w:p>
    <w:p w14:paraId="4AA739C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0C5F96E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第9.2.6项细化为：</w:t>
      </w:r>
    </w:p>
    <w:p w14:paraId="4A2CE41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承包人对其分包施工现场的安全生产负总责。分包合同中应当明确各自的安全生产方面的权利、义务，承包人和分包人对分包工程的安全生产承担连带责任。</w:t>
      </w:r>
    </w:p>
    <w:p w14:paraId="373683A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第9.2.8（4）目细化为：</w:t>
      </w:r>
    </w:p>
    <w:p w14:paraId="41661DF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根据本合同各单位工程的施工特点，严格执行《公路水运工程安全生产监督管理办法》、《公路工程施工安全技术规范》等有关规定。承包人须成立安全生产组织机构和独立的安全生产管理部门，配备安全专职副经理和专职安全生产管理人员，明确安全生产第一责任人、直接责任人及其职责，如责任人和专职安全管理人员发生变动，必须立即书面通知监理人和发包人。</w:t>
      </w:r>
    </w:p>
    <w:p w14:paraId="0599A88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72E374F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在本款增加第9.2.12项～第9.2.13项：</w:t>
      </w:r>
    </w:p>
    <w:p w14:paraId="1B0C43B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9.2.12凡是与已建公路、铁路、航道等有交叉、干扰的地段，承包人应合理安排施工组织计划，采取有效措施保证施工安全及交通的畅通；凡是与其他在建工程有互扰的地段，承包人应做好与其它施工单位、当地有关部门的协调工作；承包人应对上述所有工作负责，发包人将根据承包人的要求给予适当协助。承包人应将其采取上述措施而可能发生的全部费用计入投标报价中，发包人将不另行支付。如因承包人采取措施不力，影响公路、铁路、航道正常安全运营而给其他部门或个人造成的一切损失，或由上述原因造成本工程工期的拖延或费用的增加，均由承包人自行负责。由于承包人原因所导致的安全事故，造成的一切损失、赔偿和责任（包括对项目本身及参建各方造成的损害赔偿、对项目邻近区域造成的损害赔偿等）均由承包人承担。</w:t>
      </w:r>
    </w:p>
    <w:p w14:paraId="408D83E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9.2.13施工安全风险评估</w:t>
      </w:r>
    </w:p>
    <w:p w14:paraId="10098A3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必须加强对重大危险源的管理，施工阶段风险源辨识与评价依据《公路桥梁和隧道工程施工安全风险评估指南》（试行）及《高速公路路堑高边坡工程施工安全风险评估指南》（试行）操作。承包人在工程开工前，必须进行重大危险源识别，建立危险源清单，对重大危险源建立管理方案和档案，过程中对危险源实行动态管理。</w:t>
      </w:r>
    </w:p>
    <w:p w14:paraId="5907FEE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承包人应严格按照交通运输部《关于开展公路桥梁和隧道工程施工安全风险评估试行工作的通知》（交质监发〔2011〕217号）文及《关于发布高速公路路堑边坡工程施工安全风险评估指南（试行）的通知》（交安监发〔2014〕266号）文的要求，在施工期间开展安全风险评估工作，相关费用按照《企业安全生产费用提取和使用管理办法》（财企〔2012〕16号）第十三条安全生产费用使用范围的规定，公路桥梁和隧道工程、高速公路路堑高边坡施工安全风险评估工作费用在项目安全生产费用中列支，发包人不另行支付。</w:t>
      </w:r>
    </w:p>
    <w:p w14:paraId="22CBA49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7976DEB1">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9.4环境保护</w:t>
      </w:r>
    </w:p>
    <w:p w14:paraId="604A2D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在第9.4.7（2）目增加以下内容：</w:t>
      </w:r>
    </w:p>
    <w:p w14:paraId="18B9C14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e.隧道出渣、钻孔灌注桩施工时排山的泥浆等施工废弃物要妥善处理，弃置形式及地点须经相关主管部门的批准，严禁向海洋、河流、荒地或市政管道等排放。</w:t>
      </w:r>
    </w:p>
    <w:p w14:paraId="293807B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F.承包人必须依照《广东省交通运输厅关于加强公路水运建设项目施工现场扬尘管理的通知》（粤交基函[2017]3242号），加强施工现场管理，防止工程周边扬尘污染，运输车辆经冲洗干净后方可驶出建设工地。</w:t>
      </w:r>
    </w:p>
    <w:p w14:paraId="658C282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在9.4.10项未增加以下内容：</w:t>
      </w:r>
    </w:p>
    <w:p w14:paraId="4CEC6C7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根据广东省国土资源厅关于印发《非农建设占用水田耕作层剥离再利用工作指引》的通知（粤国土资耕保发[2018]37号）要求，本项目按照《耕作层土壤剥离利用技术规范》（TD/T1048---2016）对占用水田耕作层进行剥离再利用，发包人将根据相关政策及地方政府制定的实施方案，推进本项目占用水田耕作层剥离工作，承包人应无条件配合。</w:t>
      </w:r>
    </w:p>
    <w:p w14:paraId="250A732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在9.4款下增加9.4.12～9.4.16项：</w:t>
      </w:r>
    </w:p>
    <w:p w14:paraId="1CEFF85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9.4.12承包人应落实环境保护及水土保持的责任人，施工过程及施工结束后应严格按照有关环保及水土保持的规定执行。自觉接受监理人的环保及水土保持教育，落实实施施工场地符合相关环保要求布设；施工组织设计应按“水土保持方案报告书”有关要求制定施工中的水保措施，认真做好项目实施过程及工程结束后的水土保持的防御措施，做好有关水土保持的资料的记录。</w:t>
      </w:r>
    </w:p>
    <w:p w14:paraId="3D17917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9.4.13承包人依法取得砍伐许可后方可按照砍伐许可的面积、株数、树种进行砍伐，并注意保护野生动植物；施工结束后，对施工期占用的施工便道、料场、拌和场及施工场地等临时用地，按“破坏一处，恢复一处”的原则，进行全面恢复。</w:t>
      </w:r>
    </w:p>
    <w:p w14:paraId="4C33D32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9.4.14承包人必须采取有效预防措施，防止雨水对施工场所占有的土地、临时用地、路基土石方、取弃土场等冲刷而造成对河流、水道、灌溉渠、排水系统产生淤积、堵塞，对农田造成污染、淹没。同时也应采取措施防止在施工过程中因材料运输、混合料拌和、现场施工而对项目沿线的建筑、既有道路、农田、林地、河流、水道、灌溉渠、排水系统等产生破坏，从而造成索赔、施工停工或工程质量隐患。如承包人未采取有效措施，由此产生的一切损失由承包人自行负责。</w:t>
      </w:r>
    </w:p>
    <w:p w14:paraId="7B393C7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9.4.15除合同有另外规定外，以上工作均视为承包人已经在合同报价中计入其影响而可能发生的一切费用，对承包人采取的一切措施，发包人和监理人有权监督，如果承包人未能对上述事项采取各种必要的措施而导致或发生与此有关的违约金、索赔、损失赔偿、诉讼费用以及其他一切责任由承包人负责。</w:t>
      </w:r>
    </w:p>
    <w:p w14:paraId="5DD26AC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9.4.16文明、环保施工价款</w:t>
      </w:r>
    </w:p>
    <w:p w14:paraId="6C56B5A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督促承包人在施工过程中，做到文明施工，加强环境保护、水土保持等工作，本合同设立文明、环保施工价款。该金额按技术规范100章规定的方式在工程量清单中单列。承包人获得支付的额度取决于其施工环保情况及相关检查评比中的名次。有关评比方案发包人将在承包人进场后予以制定。</w:t>
      </w:r>
    </w:p>
    <w:p w14:paraId="55836FF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2E6BBF89">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10.进度计划</w:t>
      </w:r>
    </w:p>
    <w:p w14:paraId="769FABF4">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10.1合同进度计划</w:t>
      </w:r>
    </w:p>
    <w:p w14:paraId="6694B0E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编制施工方案说明的内容包括：按照关键线路网络图和主要工作横道图两种形式分别编绘合同进度计划，列出各主要工程项目的计划开工、完工时间，并应包括每个阶段预计完成的工作量和形象进度。计划中应包括工程的施工时间、方法和顺序，资源的安排，材料、设备及人员的获得和运输等。</w:t>
      </w:r>
    </w:p>
    <w:p w14:paraId="71530167">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10.3年度施工计划</w:t>
      </w:r>
    </w:p>
    <w:p w14:paraId="1869BFC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在本款末增加以下内容：</w:t>
      </w:r>
    </w:p>
    <w:p w14:paraId="2BF0378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在年度施工计划的基础上，承包人应根据发包人及监理人的具体安排编制和落实其它阶段性施工计划。</w:t>
      </w:r>
    </w:p>
    <w:p w14:paraId="398FDD6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增加10.5款如下：</w:t>
      </w:r>
    </w:p>
    <w:p w14:paraId="5F2DE008">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10.5工程进度记录</w:t>
      </w:r>
    </w:p>
    <w:p w14:paraId="7DF8796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承包人应保持每日、每月和其他定期的工程进度记录和报告，这些记录和报告包括下列有关资料：</w:t>
      </w:r>
    </w:p>
    <w:p w14:paraId="4056773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（a）气象条件；</w:t>
      </w:r>
    </w:p>
    <w:p w14:paraId="5027D96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（b）施工记录；</w:t>
      </w:r>
    </w:p>
    <w:p w14:paraId="23CD657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（c）施工设施和设备状况；</w:t>
      </w:r>
    </w:p>
    <w:p w14:paraId="19BA86E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（d）承包人人员统计；</w:t>
      </w:r>
    </w:p>
    <w:p w14:paraId="23D5613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（e）现场材料，材料搬移记录、交货期、发票及有关资料；</w:t>
      </w:r>
    </w:p>
    <w:p w14:paraId="4BFF885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（f）环境保护、水土保持实施记录；</w:t>
      </w:r>
    </w:p>
    <w:p w14:paraId="251F74F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（g）安全生产实施记录；</w:t>
      </w:r>
    </w:p>
    <w:p w14:paraId="42D7C48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（h）所有在施工过程中发生的其它事项。</w:t>
      </w:r>
    </w:p>
    <w:p w14:paraId="6A9B7F3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6A6BDA03">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11.开工和竣工</w:t>
      </w:r>
    </w:p>
    <w:p w14:paraId="4697830D">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11.3发包人的工期延误</w:t>
      </w:r>
    </w:p>
    <w:p w14:paraId="3D8B5B0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本款细化为：</w:t>
      </w:r>
    </w:p>
    <w:p w14:paraId="262FABB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在履行合同过程中，由于发包人的下列原因造成工期延误的，承包人在满足发包人的项目总体工期目标前提下，有权要求发包人顺延工期，需要修订合同进度计划的，按照第10.2款的约定办理。</w:t>
      </w:r>
    </w:p>
    <w:p w14:paraId="0DDBE16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（1）由于征地拆迁的原因造成关键工程的施工人员、机械设备闲置；</w:t>
      </w:r>
    </w:p>
    <w:p w14:paraId="4762F64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（2）未按合同约定及时支付预付款、进度款。</w:t>
      </w:r>
    </w:p>
    <w:p w14:paraId="3A8F9F3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如顺延合同工期在个月以内的，发包人将不予增加费用；</w:t>
      </w:r>
    </w:p>
    <w:p w14:paraId="32DB15F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如顺延合同工期在个月以上的，发包人将按如下原则给予补偿：</w:t>
      </w:r>
    </w:p>
    <w:p w14:paraId="19E72FB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1）驻地建设场地租金；</w:t>
      </w:r>
    </w:p>
    <w:p w14:paraId="551DC6F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2）合同承诺投入且已进场的机械设备停置费，停置费按以下两种情况计算：</w:t>
      </w:r>
    </w:p>
    <w:p w14:paraId="72678D0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a.《公路工程机械台班费用定额》包含的机械设备停置费按如下公式计算：</w:t>
      </w:r>
    </w:p>
    <w:p w14:paraId="099A63C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停置费=（折旧费+经常修理费）*50%+人工费+机上人员管理费+养路费及车船使用税</w:t>
      </w:r>
    </w:p>
    <w:p w14:paraId="02F32E3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其中：机上人员管理费按人工费的10%计算；养路费及车船使用税按规定的广东省养路费及车船使用税标准计算。</w:t>
      </w:r>
    </w:p>
    <w:p w14:paraId="464030F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b.《公路工程机械台班费用定额》未包含的机械设备停置费按如下公式计算：</w:t>
      </w:r>
    </w:p>
    <w:p w14:paraId="27A471A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按照年限平均法直线计提折旧，折旧年限为10年，年折旧额=固定资产原值×（1-残值率）/折旧年限，残值率为4%;月折旧额=年折旧额/12，末月的天数≥16时，按1个月计算，否则末月不计。</w:t>
      </w:r>
    </w:p>
    <w:p w14:paraId="6AA88A9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3）已进场的主要管理人员的工资费用，人员数量不得超过合同承诺投入的相应数量（以统计局公布的项目所在地上一年度平均月收入为基数进行补偿；</w:t>
      </w:r>
    </w:p>
    <w:p w14:paraId="5EDA109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4）仅对超过</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个月以上部分进行补偿；</w:t>
      </w:r>
    </w:p>
    <w:p w14:paraId="6EBC024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5）除上述规定的补偿项目之外，其余由于工期顺延增加的费用由承包人承担。</w:t>
      </w:r>
    </w:p>
    <w:p w14:paraId="3DAFE37D">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11.4异常恶劣的气候条件</w:t>
      </w:r>
    </w:p>
    <w:p w14:paraId="1FB704C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异常恶劣的气候条件是指六级以上地震、十级以上强风暴、龙卷风或五十年一遇以上洪水造成重大破坏等情况无法施工持续30天以上者。</w:t>
      </w:r>
    </w:p>
    <w:p w14:paraId="4B3E51DB">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11.5承包人的工期延误</w:t>
      </w:r>
    </w:p>
    <w:p w14:paraId="30D70E0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在本款后增加第（6）项：</w:t>
      </w:r>
    </w:p>
    <w:p w14:paraId="45432493">
      <w:pPr>
        <w:pStyle w:val="52"/>
        <w:numPr>
          <w:ilvl w:val="0"/>
          <w:numId w:val="8"/>
        </w:numPr>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由于承包人的原因连续三个月未能完成发包人下发（批复）的月计划任务的80%或累计未能完成发包人下发（批复）的季度计划任务的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80</w:t>
      </w:r>
      <w:r>
        <w:rPr>
          <w:rFonts w:hint="eastAsia" w:asciiTheme="minorEastAsia" w:hAnsiTheme="minorEastAsia" w:eastAsiaTheme="minorEastAsia" w:cstheme="minorEastAsia"/>
          <w:color w:val="000000" w:themeColor="text1"/>
          <w:szCs w:val="21"/>
          <w14:textFill>
            <w14:solidFill>
              <w14:schemeClr w14:val="tx1"/>
            </w14:solidFill>
          </w14:textFill>
        </w:rPr>
        <w:t>%，发包人和监理人将认为该承包人没有能力在招标文件规定的施工工期内完成合同工程量。若在施工过程中，经发包人评估因承包人的责任造成工程进度滞后且可能将导致该项目的总体通车时间拖后的，属承包人违约，发包人有权单方终止合同，发包人将视承包人的实际施工能力情况，可按4.3.8款将该项目包内剩余工程的部分或全部进行特殊分包，另选施工单位进行剩余工程的施工，对此，承包人须无条件接受，并由发包人决定是否对承包人的合同价做相应调整，因此而增加的一切费用由承包人承担。发包人按照承包人自开工以来，至发包人发出终止合同的函件止所完成的工程量扣除相应违约违约金等后与承包人清算，因承包人退场产生的所有费用由承包人自行负责，发包人不因此额外补偿任何费用。在发包人向承包人发出终止合同28天内，承包人应将剩余工程移交予发包人或发包人重新选定的承包人，并撤离所有的施工人员、机械、设备，不得阻挠、干扰发包人重新选定的承包人进场施工，如承包人逾期不退场的，发包人有权委托第三方清理，所需费用由承包人承担。只有承包人退场后，发包人才支付应付工程款。但无论如何，承包人应按发包人要求提供已有的临时设施（如便道、电力线路等）供新选定的承包人使用，承包人不得为此要求增加任何费用。</w:t>
      </w:r>
    </w:p>
    <w:p w14:paraId="3BDEEE0D">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p w14:paraId="725F299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12.暂停施工</w:t>
      </w:r>
    </w:p>
    <w:p w14:paraId="47CC2B0D">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12.1承包人暂停施工的责任</w:t>
      </w:r>
    </w:p>
    <w:p w14:paraId="7E9C626B">
      <w:pPr>
        <w:pStyle w:val="52"/>
        <w:spacing w:line="360" w:lineRule="auto"/>
        <w:ind w:firstLine="420" w:firstLineChars="200"/>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12.1（6）由承包人承担的其他暂停施工：</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p w14:paraId="507894C3">
      <w:pPr>
        <w:pStyle w:val="52"/>
        <w:spacing w:line="360" w:lineRule="auto"/>
        <w:ind w:firstLine="420" w:firstLineChars="200"/>
        <w:rPr>
          <w:rFonts w:hint="eastAsia" w:asciiTheme="minorEastAsia" w:hAnsiTheme="minorEastAsia" w:eastAsiaTheme="minorEastAsia" w:cstheme="minorEastAsia"/>
          <w:color w:val="000000" w:themeColor="text1"/>
          <w:szCs w:val="21"/>
          <w:u w:val="single"/>
          <w14:textFill>
            <w14:solidFill>
              <w14:schemeClr w14:val="tx1"/>
            </w14:solidFill>
          </w14:textFill>
        </w:rPr>
      </w:pPr>
    </w:p>
    <w:p w14:paraId="3CEFDA47">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13.工程质量</w:t>
      </w:r>
    </w:p>
    <w:p w14:paraId="58959CAD">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13.1工程质量要求</w:t>
      </w:r>
    </w:p>
    <w:p w14:paraId="7EA86C3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在本款第13.1.2项后增加以下内容：</w:t>
      </w:r>
    </w:p>
    <w:p w14:paraId="1E4D66B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工程经过验收并计量之后的任何时候，因任何方式（包括政府质量监督部门、发包人或监理人组织的各类检查）发现的关键工程质量不合格、工序不规范造成质量隐患，承包人应负责自费返工并接受按本篇附件十三《工程质量、安全及文明施工处罚项目一览表》的规定进行的处罚。该处罚不免除承包人自费进行返工或修复的责任。</w:t>
      </w:r>
    </w:p>
    <w:p w14:paraId="1A6AF678">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增加第13.7～13.11款：</w:t>
      </w:r>
    </w:p>
    <w:p w14:paraId="147E079A">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13.7承包人偷工减料</w:t>
      </w:r>
    </w:p>
    <w:p w14:paraId="41F666A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施工过程中存在偷工减料，有意降低工程质量，企图蒙骗发包人、监理人的，属于承包人违约，经发包人发现确认，情节严重的，发包人有权单方终止合同，另选承包人进行剩余工程的施工。发包人按照承包人自开工以来，至发包人发出终止合同的函件止所完成的工程量与承包人清算，因承包人退场产生的所有费用由承包人自行负责，发包人不因此额外补偿任何费用。同时，发包人单方终止合同并不免除承包人修复已施工的不合格工程的责任。</w:t>
      </w:r>
    </w:p>
    <w:p w14:paraId="24CCE7FD">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13.8承包人质量自检</w:t>
      </w:r>
    </w:p>
    <w:p w14:paraId="63ECAE2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必须建立完善的质量自检体系，对已完工程进行严格的质量自检，只有自检合格的工程才能向监理人、发包人提出验收和计量的申请。监理人在收到验收申请后的48小时内对工程进行抽检和验收，对抽检不合格的工程由承包人自费修复或返工。</w:t>
      </w:r>
    </w:p>
    <w:p w14:paraId="09E1CE76">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13.9不定期现场检查</w:t>
      </w:r>
    </w:p>
    <w:p w14:paraId="36BA328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发包人和监理人将不定期进行现场检查，并按本篇附件的规定进行处罚，承包人必须接受。</w:t>
      </w:r>
    </w:p>
    <w:p w14:paraId="203023BB">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13.10施工误差</w:t>
      </w:r>
    </w:p>
    <w:p w14:paraId="71D77E7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严格执行交通运输部《公路工程质量检验评定标准》以及发包人制定的工程管理手册，不满足要求的一切返工费用由承包人负责并无条件接受发包人相关条例违约金。</w:t>
      </w:r>
    </w:p>
    <w:p w14:paraId="731CA58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13.11优质优价价款</w:t>
      </w:r>
    </w:p>
    <w:p w14:paraId="2D0617E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项目建设全过程中，全面推行“双标管理”（标准化管理、标杆管理），建立工程质量优质优价奖罚制度，激励承包人提高工程质量和管理水平，具体按发包人根据广东省交通运输厅“关于印发广东省高速公路工程优质优价和施工监理优监优酬实施意见的通知”（粤交基[2010]1893号）等文件制订的实施细则执行。</w:t>
      </w:r>
    </w:p>
    <w:p w14:paraId="5DD01B9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发包人将根据工程实际开展各项工程的质量评比和奖罚，项目（如项目采用分段管理，则按项目段计列）用于奖励的金额原则上不能超过项目（或项目段）各项目包200章～900章合计金额的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2.5%或1.5%</w:t>
      </w:r>
      <w:r>
        <w:rPr>
          <w:rFonts w:hint="eastAsia" w:asciiTheme="minorEastAsia" w:hAnsiTheme="minorEastAsia" w:eastAsiaTheme="minorEastAsia" w:cstheme="minorEastAsia"/>
          <w:color w:val="000000" w:themeColor="text1"/>
          <w:szCs w:val="21"/>
          <w14:textFill>
            <w14:solidFill>
              <w14:schemeClr w14:val="tx1"/>
            </w14:solidFill>
          </w14:textFill>
        </w:rPr>
        <w:t>（含税金，招标人根据项目实际情况自行确定比例），由项目统筹使用。</w:t>
      </w:r>
    </w:p>
    <w:p w14:paraId="13BF3072">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13.12未解除承包人的义务和责任</w:t>
      </w:r>
    </w:p>
    <w:p w14:paraId="28B24EE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质量缺陷或质量事故，除应承担上述责任和处罚外，视为承包人违约，发包人有权单方终止合同。</w:t>
      </w:r>
    </w:p>
    <w:p w14:paraId="5B8A6E7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68BD27B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15.变更</w:t>
      </w:r>
    </w:p>
    <w:p w14:paraId="3BAA93AB">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15.3变更程序</w:t>
      </w:r>
    </w:p>
    <w:p w14:paraId="19EFD35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本款第15.3.4项后增加以下内容：</w:t>
      </w:r>
    </w:p>
    <w:p w14:paraId="208AE69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同时工程变更还应执行广东省交通运输厅及发包人颁布的相关变更管理办法规定。</w:t>
      </w:r>
    </w:p>
    <w:p w14:paraId="0BBC83ED">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15.4变更的估价原则</w:t>
      </w:r>
    </w:p>
    <w:p w14:paraId="5A1DCB8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将本款第15.4.1～15.4.5项删除，并用以下内容代替：</w:t>
      </w:r>
    </w:p>
    <w:p w14:paraId="4414D46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因变更引起的价格调楚，应按以下优先顺序所列原则进行处理：</w:t>
      </w:r>
    </w:p>
    <w:p w14:paraId="6E244FC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15.4.1如果取消某项工作，则该项工作的总额价不予支付；</w:t>
      </w:r>
    </w:p>
    <w:p w14:paraId="0215442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15.4.2本项目包工程量清单中有相同或相似工程细目单价的，经发包人同意可直接套用该单价。本项目包内没有相同或适用合同单价的，原则上应套用项目全线（如项目采用分段管理，则按项目段计划）项目包相应单价的平均值；</w:t>
      </w:r>
    </w:p>
    <w:p w14:paraId="04E49BA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15.4.3以综合单价报价的计量项目，如果只是由于使用材料或局部尺寸调整，则原支付单价不变，而只在原合同单价基础上，调整相应的材料价差和合理的工效增减费用。</w:t>
      </w:r>
    </w:p>
    <w:p w14:paraId="51344FC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15.4.4如果投标文件报价中没有相应综合单价的，则参照最高投标限价编制时选用的有关定额及补充的定额，人工、材料、机械单价按最高投标限价采用月份（××年××月），广东省交通运输工程造价事务中心发布的“广东省交通建设工程主要外购材料信息价、主要地方材料信息价（工程所在地）、常用地方材料信息价（工程所在地）”中的项目施工所在地区材料信息价编制预算（如无相应信息价，由发包人另行确定），并按本项目包投标人中标价较招标时最高投标限价之下浮比例下浮确定。变更预算以发包人按相关程序确认的为准。</w:t>
      </w:r>
    </w:p>
    <w:p w14:paraId="5EE65F2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15.4.5如果双方对变更工程价款有争议，则请政府主管部门或发包人和承包人双方认可的机构按15.4.4款要求编制预算，由发包人委托，委托费用由发包人和承包人各负责一半，变更工程造价或单价按本项目包投标人中标价较招标时最高投标限价之下浮比例下浮确定。</w:t>
      </w:r>
    </w:p>
    <w:p w14:paraId="46DD371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发包人与承包人如按上述原则协商未果，发包人有权根据实际情况按上述某一原则进行处理，承包人必须无条件接受。</w:t>
      </w:r>
    </w:p>
    <w:p w14:paraId="2F97DBC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所有的变更设计都必须按发包人及其上级主管部门颁布的变更设计管理办法进行审批。</w:t>
      </w:r>
    </w:p>
    <w:p w14:paraId="6FD73A61">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16.价格调整</w:t>
      </w:r>
    </w:p>
    <w:p w14:paraId="2EE79A51">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16.1物价波动引起的价格调整</w:t>
      </w:r>
    </w:p>
    <w:p w14:paraId="0617F1AB">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16.1.2采用造价信息调整价格差额</w:t>
      </w:r>
      <w:r>
        <w:rPr>
          <w:rFonts w:hint="eastAsia" w:asciiTheme="minorEastAsia" w:hAnsiTheme="minorEastAsia" w:eastAsiaTheme="minorEastAsia" w:cstheme="minorEastAsia"/>
          <w:b/>
          <w:color w:val="000000" w:themeColor="text1"/>
          <w:szCs w:val="21"/>
          <w14:textFill>
            <w14:solidFill>
              <w14:schemeClr w14:val="tx1"/>
            </w14:solidFill>
          </w14:textFill>
        </w:rPr>
        <w:tab/>
      </w:r>
    </w:p>
    <w:p w14:paraId="5F9ED13C">
      <w:pPr>
        <w:pStyle w:val="52"/>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将本款内容细化和修改如下：</w:t>
      </w:r>
    </w:p>
    <w:p w14:paraId="6ACDD9C3">
      <w:pPr>
        <w:pStyle w:val="52"/>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除本项目专用条款及项目专用条款前附表规定允许调整价格差额的材料以外，其他由承包人自行采购的材料、燃油、设备等不进行价差调整，承包人应将上述风险考虑在投标报价中。</w:t>
      </w:r>
    </w:p>
    <w:p w14:paraId="76280E6A">
      <w:pPr>
        <w:pStyle w:val="52"/>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由材料调差所产生的营业税、城市维护建设税、教育费附加和地方教育附加税增减额由发包人承担，其他税费由承包人承担。</w:t>
      </w:r>
    </w:p>
    <w:p w14:paraId="79BDED05">
      <w:pPr>
        <w:pStyle w:val="52"/>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材料价差调整按月度信息价计算，每季度调整一次，当季度的材料价差最迟应在下一季度最后一个月的计量支付中予以调整到位。</w:t>
      </w:r>
    </w:p>
    <w:p w14:paraId="063AC40B">
      <w:pPr>
        <w:pStyle w:val="52"/>
        <w:spacing w:line="400" w:lineRule="exact"/>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16.1.2.1施工期间，发包人将对路基土石方工程、隧道开挖土石方机械所消耗的外购柴油，以及桥梁、隧道工程中水泥混凝土所消耗的外购的砂、碎石进行价差调整，其中项目加工利用的碎石和机制砂不予调整，数量按下表所列用量指标计算（除表中所列项目及材料，其余地材及油料均不予调整）。</w:t>
      </w:r>
    </w:p>
    <w:p w14:paraId="177F8AC7">
      <w:pPr>
        <w:pStyle w:val="52"/>
        <w:spacing w:line="269" w:lineRule="auto"/>
        <w:ind w:firstLine="420" w:firstLineChars="20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调价材料单位用量指标表</w:t>
      </w:r>
    </w:p>
    <w:tbl>
      <w:tblPr>
        <w:tblStyle w:val="21"/>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520"/>
        <w:gridCol w:w="1800"/>
        <w:gridCol w:w="2131"/>
      </w:tblGrid>
      <w:tr w14:paraId="7D33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8" w:type="dxa"/>
            <w:tcBorders>
              <w:top w:val="single" w:color="auto" w:sz="4" w:space="0"/>
              <w:left w:val="single" w:color="auto" w:sz="4" w:space="0"/>
              <w:bottom w:val="single" w:color="auto" w:sz="4" w:space="0"/>
              <w:right w:val="single" w:color="auto" w:sz="4" w:space="0"/>
            </w:tcBorders>
            <w:vAlign w:val="center"/>
          </w:tcPr>
          <w:p w14:paraId="12FBB14A">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调价的材料名称</w:t>
            </w:r>
          </w:p>
        </w:tc>
        <w:tc>
          <w:tcPr>
            <w:tcW w:w="2520" w:type="dxa"/>
            <w:tcBorders>
              <w:top w:val="single" w:color="auto" w:sz="4" w:space="0"/>
              <w:left w:val="single" w:color="auto" w:sz="4" w:space="0"/>
              <w:bottom w:val="single" w:color="auto" w:sz="4" w:space="0"/>
              <w:right w:val="single" w:color="auto" w:sz="4" w:space="0"/>
            </w:tcBorders>
            <w:vAlign w:val="center"/>
          </w:tcPr>
          <w:p w14:paraId="5CCD11D0">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调价的清单子目编号</w:t>
            </w:r>
          </w:p>
        </w:tc>
        <w:tc>
          <w:tcPr>
            <w:tcW w:w="1800" w:type="dxa"/>
            <w:tcBorders>
              <w:top w:val="single" w:color="auto" w:sz="4" w:space="0"/>
              <w:left w:val="single" w:color="auto" w:sz="4" w:space="0"/>
              <w:bottom w:val="single" w:color="auto" w:sz="4" w:space="0"/>
              <w:right w:val="single" w:color="auto" w:sz="4" w:space="0"/>
            </w:tcBorders>
            <w:vAlign w:val="center"/>
          </w:tcPr>
          <w:p w14:paraId="42313FAA">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调价的项目名称</w:t>
            </w:r>
          </w:p>
        </w:tc>
        <w:tc>
          <w:tcPr>
            <w:tcW w:w="2131" w:type="dxa"/>
            <w:tcBorders>
              <w:top w:val="single" w:color="auto" w:sz="4" w:space="0"/>
              <w:left w:val="single" w:color="auto" w:sz="4" w:space="0"/>
              <w:bottom w:val="single" w:color="auto" w:sz="4" w:space="0"/>
              <w:right w:val="single" w:color="auto" w:sz="4" w:space="0"/>
            </w:tcBorders>
            <w:vAlign w:val="center"/>
          </w:tcPr>
          <w:p w14:paraId="76643432">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计算调价材料数量的单位用量指标</w:t>
            </w:r>
          </w:p>
        </w:tc>
      </w:tr>
      <w:tr w14:paraId="1F6B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op w:val="single" w:color="auto" w:sz="4" w:space="0"/>
              <w:left w:val="single" w:color="auto" w:sz="4" w:space="0"/>
              <w:bottom w:val="single" w:color="auto" w:sz="4" w:space="0"/>
              <w:right w:val="single" w:color="auto" w:sz="4" w:space="0"/>
            </w:tcBorders>
            <w:vAlign w:val="center"/>
          </w:tcPr>
          <w:p w14:paraId="372C23A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碎石</w:t>
            </w:r>
          </w:p>
        </w:tc>
        <w:tc>
          <w:tcPr>
            <w:tcW w:w="2520" w:type="dxa"/>
            <w:tcBorders>
              <w:top w:val="single" w:color="auto" w:sz="4" w:space="0"/>
              <w:left w:val="single" w:color="auto" w:sz="4" w:space="0"/>
              <w:bottom w:val="single" w:color="auto" w:sz="4" w:space="0"/>
              <w:right w:val="single" w:color="auto" w:sz="4" w:space="0"/>
            </w:tcBorders>
            <w:vAlign w:val="center"/>
          </w:tcPr>
          <w:p w14:paraId="33608DEB">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桥梁、隧道工程所有含水泥混凝土的清单子目编号</w:t>
            </w:r>
          </w:p>
        </w:tc>
        <w:tc>
          <w:tcPr>
            <w:tcW w:w="1800" w:type="dxa"/>
            <w:tcBorders>
              <w:top w:val="single" w:color="auto" w:sz="4" w:space="0"/>
              <w:left w:val="single" w:color="auto" w:sz="4" w:space="0"/>
              <w:bottom w:val="single" w:color="auto" w:sz="4" w:space="0"/>
              <w:right w:val="single" w:color="auto" w:sz="4" w:space="0"/>
            </w:tcBorders>
            <w:vAlign w:val="center"/>
          </w:tcPr>
          <w:p w14:paraId="1A313874">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水泥混凝土中的碎石</w:t>
            </w:r>
          </w:p>
        </w:tc>
        <w:tc>
          <w:tcPr>
            <w:tcW w:w="2131" w:type="dxa"/>
            <w:tcBorders>
              <w:top w:val="single" w:color="auto" w:sz="4" w:space="0"/>
              <w:left w:val="single" w:color="auto" w:sz="4" w:space="0"/>
              <w:bottom w:val="single" w:color="auto" w:sz="4" w:space="0"/>
              <w:right w:val="single" w:color="auto" w:sz="4" w:space="0"/>
            </w:tcBorders>
            <w:vAlign w:val="center"/>
          </w:tcPr>
          <w:p w14:paraId="6D4F89F0">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0.85m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（各标号水泥混凝土取此同一单位用量）</w:t>
            </w:r>
          </w:p>
        </w:tc>
      </w:tr>
      <w:tr w14:paraId="55EB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tcBorders>
              <w:top w:val="single" w:color="auto" w:sz="4" w:space="0"/>
              <w:left w:val="single" w:color="auto" w:sz="4" w:space="0"/>
              <w:bottom w:val="single" w:color="auto" w:sz="4" w:space="0"/>
              <w:right w:val="single" w:color="auto" w:sz="4" w:space="0"/>
            </w:tcBorders>
            <w:vAlign w:val="center"/>
          </w:tcPr>
          <w:p w14:paraId="7FF99E98">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砂</w:t>
            </w:r>
          </w:p>
        </w:tc>
        <w:tc>
          <w:tcPr>
            <w:tcW w:w="2520" w:type="dxa"/>
            <w:tcBorders>
              <w:top w:val="single" w:color="auto" w:sz="4" w:space="0"/>
              <w:left w:val="single" w:color="auto" w:sz="4" w:space="0"/>
              <w:bottom w:val="single" w:color="auto" w:sz="4" w:space="0"/>
              <w:right w:val="single" w:color="auto" w:sz="4" w:space="0"/>
            </w:tcBorders>
            <w:vAlign w:val="center"/>
          </w:tcPr>
          <w:p w14:paraId="26463C55">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桥梁、隧道工程中所有含水泥混凝土的清单子目编号</w:t>
            </w:r>
          </w:p>
        </w:tc>
        <w:tc>
          <w:tcPr>
            <w:tcW w:w="1800" w:type="dxa"/>
            <w:tcBorders>
              <w:top w:val="single" w:color="auto" w:sz="4" w:space="0"/>
              <w:left w:val="single" w:color="auto" w:sz="4" w:space="0"/>
              <w:bottom w:val="single" w:color="auto" w:sz="4" w:space="0"/>
              <w:right w:val="single" w:color="auto" w:sz="4" w:space="0"/>
            </w:tcBorders>
            <w:vAlign w:val="center"/>
          </w:tcPr>
          <w:p w14:paraId="6F856051">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水泥混凝土中的砂</w:t>
            </w:r>
          </w:p>
        </w:tc>
        <w:tc>
          <w:tcPr>
            <w:tcW w:w="2131" w:type="dxa"/>
            <w:tcBorders>
              <w:top w:val="single" w:color="auto" w:sz="4" w:space="0"/>
              <w:left w:val="single" w:color="auto" w:sz="4" w:space="0"/>
              <w:bottom w:val="single" w:color="auto" w:sz="4" w:space="0"/>
              <w:right w:val="single" w:color="auto" w:sz="4" w:space="0"/>
            </w:tcBorders>
            <w:vAlign w:val="center"/>
          </w:tcPr>
          <w:p w14:paraId="6ACD02A7">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0.46m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（各标号水泥混凝土取此同一单位用量）</w:t>
            </w:r>
          </w:p>
        </w:tc>
      </w:tr>
      <w:tr w14:paraId="6924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14:paraId="4D0BA285">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柴油</w:t>
            </w:r>
          </w:p>
          <w:p w14:paraId="5266B6C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（定额材料代号：863）</w:t>
            </w:r>
          </w:p>
        </w:tc>
        <w:tc>
          <w:tcPr>
            <w:tcW w:w="2520" w:type="dxa"/>
            <w:tcBorders>
              <w:top w:val="single" w:color="auto" w:sz="4" w:space="0"/>
              <w:left w:val="single" w:color="auto" w:sz="4" w:space="0"/>
              <w:bottom w:val="single" w:color="auto" w:sz="4" w:space="0"/>
              <w:right w:val="single" w:color="auto" w:sz="4" w:space="0"/>
            </w:tcBorders>
            <w:vAlign w:val="center"/>
          </w:tcPr>
          <w:p w14:paraId="497E26A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203-1-1-1</w:t>
            </w:r>
          </w:p>
        </w:tc>
        <w:tc>
          <w:tcPr>
            <w:tcW w:w="1800" w:type="dxa"/>
            <w:tcBorders>
              <w:top w:val="single" w:color="auto" w:sz="4" w:space="0"/>
              <w:left w:val="single" w:color="auto" w:sz="4" w:space="0"/>
              <w:bottom w:val="single" w:color="auto" w:sz="4" w:space="0"/>
              <w:right w:val="single" w:color="auto" w:sz="4" w:space="0"/>
            </w:tcBorders>
            <w:vAlign w:val="center"/>
          </w:tcPr>
          <w:p w14:paraId="079D263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挖弃土方</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14:paraId="32CFCE25">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5D5A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2A7F534F">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71ABC8A0">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203-1-1-2</w:t>
            </w:r>
          </w:p>
        </w:tc>
        <w:tc>
          <w:tcPr>
            <w:tcW w:w="1800" w:type="dxa"/>
            <w:tcBorders>
              <w:top w:val="single" w:color="auto" w:sz="4" w:space="0"/>
              <w:left w:val="single" w:color="auto" w:sz="4" w:space="0"/>
              <w:bottom w:val="single" w:color="auto" w:sz="4" w:space="0"/>
              <w:right w:val="single" w:color="auto" w:sz="4" w:space="0"/>
            </w:tcBorders>
            <w:vAlign w:val="center"/>
          </w:tcPr>
          <w:p w14:paraId="663C948A">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挖利用土方</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14:paraId="3D1B5A0F">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p>
        </w:tc>
      </w:tr>
      <w:tr w14:paraId="18D1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7ED6CBD2">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1156259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203-1-2-1</w:t>
            </w:r>
          </w:p>
        </w:tc>
        <w:tc>
          <w:tcPr>
            <w:tcW w:w="1800" w:type="dxa"/>
            <w:tcBorders>
              <w:top w:val="single" w:color="auto" w:sz="4" w:space="0"/>
              <w:left w:val="single" w:color="auto" w:sz="4" w:space="0"/>
              <w:bottom w:val="single" w:color="auto" w:sz="4" w:space="0"/>
              <w:right w:val="single" w:color="auto" w:sz="4" w:space="0"/>
            </w:tcBorders>
            <w:vAlign w:val="center"/>
          </w:tcPr>
          <w:p w14:paraId="30ECAD5B">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挖弃石方</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14:paraId="02C348F0">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56AD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46A23D61">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59197D04">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203-1-2-2</w:t>
            </w:r>
          </w:p>
        </w:tc>
        <w:tc>
          <w:tcPr>
            <w:tcW w:w="1800" w:type="dxa"/>
            <w:tcBorders>
              <w:top w:val="single" w:color="auto" w:sz="4" w:space="0"/>
              <w:left w:val="single" w:color="auto" w:sz="4" w:space="0"/>
              <w:bottom w:val="single" w:color="auto" w:sz="4" w:space="0"/>
              <w:right w:val="single" w:color="auto" w:sz="4" w:space="0"/>
            </w:tcBorders>
            <w:vAlign w:val="center"/>
          </w:tcPr>
          <w:p w14:paraId="41DDE6EF">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挖利用石方</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14:paraId="78F1288D">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p>
        </w:tc>
      </w:tr>
      <w:tr w14:paraId="09F1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5DC29DEE">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0E31AB3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204-1-2</w:t>
            </w:r>
          </w:p>
        </w:tc>
        <w:tc>
          <w:tcPr>
            <w:tcW w:w="1800" w:type="dxa"/>
            <w:tcBorders>
              <w:top w:val="single" w:color="auto" w:sz="4" w:space="0"/>
              <w:left w:val="single" w:color="auto" w:sz="4" w:space="0"/>
              <w:bottom w:val="single" w:color="auto" w:sz="4" w:space="0"/>
              <w:right w:val="single" w:color="auto" w:sz="4" w:space="0"/>
            </w:tcBorders>
            <w:vAlign w:val="center"/>
          </w:tcPr>
          <w:p w14:paraId="2281810C">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利用石方</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14:paraId="5D4061B4">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15FC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037251CB">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53B898F5">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204-1-3</w:t>
            </w:r>
          </w:p>
        </w:tc>
        <w:tc>
          <w:tcPr>
            <w:tcW w:w="1800" w:type="dxa"/>
            <w:tcBorders>
              <w:top w:val="single" w:color="auto" w:sz="4" w:space="0"/>
              <w:left w:val="single" w:color="auto" w:sz="4" w:space="0"/>
              <w:bottom w:val="single" w:color="auto" w:sz="4" w:space="0"/>
              <w:right w:val="single" w:color="auto" w:sz="4" w:space="0"/>
            </w:tcBorders>
            <w:vAlign w:val="center"/>
          </w:tcPr>
          <w:p w14:paraId="6BD0E264">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利用石方</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14:paraId="478A0C0A">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p>
        </w:tc>
      </w:tr>
      <w:tr w14:paraId="6852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1CDB9CD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301C79C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502-1-1</w:t>
            </w:r>
          </w:p>
        </w:tc>
        <w:tc>
          <w:tcPr>
            <w:tcW w:w="1800" w:type="dxa"/>
            <w:tcBorders>
              <w:top w:val="single" w:color="auto" w:sz="4" w:space="0"/>
              <w:left w:val="single" w:color="auto" w:sz="4" w:space="0"/>
              <w:bottom w:val="single" w:color="auto" w:sz="4" w:space="0"/>
              <w:right w:val="single" w:color="auto" w:sz="4" w:space="0"/>
            </w:tcBorders>
            <w:vAlign w:val="center"/>
          </w:tcPr>
          <w:p w14:paraId="4F77F44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土方</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14:paraId="47E2F161">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2D4B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4FBA2D7B">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346FB12F">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503-1-1</w:t>
            </w:r>
          </w:p>
        </w:tc>
        <w:tc>
          <w:tcPr>
            <w:tcW w:w="1800" w:type="dxa"/>
            <w:tcBorders>
              <w:top w:val="single" w:color="auto" w:sz="4" w:space="0"/>
              <w:left w:val="single" w:color="auto" w:sz="4" w:space="0"/>
              <w:bottom w:val="single" w:color="auto" w:sz="4" w:space="0"/>
              <w:right w:val="single" w:color="auto" w:sz="4" w:space="0"/>
            </w:tcBorders>
            <w:vAlign w:val="center"/>
          </w:tcPr>
          <w:p w14:paraId="3BED285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土方</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14:paraId="1430C03D">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p>
        </w:tc>
      </w:tr>
      <w:tr w14:paraId="5DF6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4683EB3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4DE38581">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502-1-2</w:t>
            </w:r>
          </w:p>
        </w:tc>
        <w:tc>
          <w:tcPr>
            <w:tcW w:w="1800" w:type="dxa"/>
            <w:tcBorders>
              <w:top w:val="single" w:color="auto" w:sz="4" w:space="0"/>
              <w:left w:val="single" w:color="auto" w:sz="4" w:space="0"/>
              <w:bottom w:val="single" w:color="auto" w:sz="4" w:space="0"/>
              <w:right w:val="single" w:color="auto" w:sz="4" w:space="0"/>
            </w:tcBorders>
            <w:vAlign w:val="center"/>
          </w:tcPr>
          <w:p w14:paraId="2C858E9D">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石方</w:t>
            </w:r>
          </w:p>
        </w:tc>
        <w:tc>
          <w:tcPr>
            <w:tcW w:w="2131" w:type="dxa"/>
            <w:vMerge w:val="restart"/>
            <w:tcBorders>
              <w:top w:val="single" w:color="auto" w:sz="4" w:space="0"/>
              <w:left w:val="single" w:color="auto" w:sz="4" w:space="0"/>
              <w:bottom w:val="single" w:color="auto" w:sz="4" w:space="0"/>
              <w:right w:val="single" w:color="auto" w:sz="4" w:space="0"/>
            </w:tcBorders>
            <w:vAlign w:val="center"/>
          </w:tcPr>
          <w:p w14:paraId="1ABCF454">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3A7B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14:paraId="423BB27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2520" w:type="dxa"/>
            <w:tcBorders>
              <w:top w:val="single" w:color="auto" w:sz="4" w:space="0"/>
              <w:left w:val="single" w:color="auto" w:sz="4" w:space="0"/>
              <w:bottom w:val="single" w:color="auto" w:sz="4" w:space="0"/>
              <w:right w:val="single" w:color="auto" w:sz="4" w:space="0"/>
            </w:tcBorders>
            <w:vAlign w:val="center"/>
          </w:tcPr>
          <w:p w14:paraId="073A671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503-1-2</w:t>
            </w:r>
          </w:p>
        </w:tc>
        <w:tc>
          <w:tcPr>
            <w:tcW w:w="1800" w:type="dxa"/>
            <w:tcBorders>
              <w:top w:val="single" w:color="auto" w:sz="4" w:space="0"/>
              <w:left w:val="single" w:color="auto" w:sz="4" w:space="0"/>
              <w:bottom w:val="single" w:color="auto" w:sz="4" w:space="0"/>
              <w:right w:val="single" w:color="auto" w:sz="4" w:space="0"/>
            </w:tcBorders>
            <w:vAlign w:val="center"/>
          </w:tcPr>
          <w:p w14:paraId="6691610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石方</w:t>
            </w:r>
          </w:p>
        </w:tc>
        <w:tc>
          <w:tcPr>
            <w:tcW w:w="2131" w:type="dxa"/>
            <w:vMerge w:val="continue"/>
            <w:tcBorders>
              <w:top w:val="single" w:color="auto" w:sz="4" w:space="0"/>
              <w:left w:val="single" w:color="auto" w:sz="4" w:space="0"/>
              <w:bottom w:val="single" w:color="auto" w:sz="4" w:space="0"/>
              <w:right w:val="single" w:color="auto" w:sz="4" w:space="0"/>
            </w:tcBorders>
            <w:vAlign w:val="center"/>
          </w:tcPr>
          <w:p w14:paraId="72441F8F">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p>
        </w:tc>
      </w:tr>
    </w:tbl>
    <w:p w14:paraId="338A9679">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注：1、单位用量指标中0.85m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代表每计量1立方米实体工程消耗的碎石数量为0.85立方米；其余以此类推。</w:t>
      </w:r>
    </w:p>
    <w:p w14:paraId="66BB620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2、水泥混凝土中的碎石统一按照定额材料代号952号“碎石（4cm）”价格进行调整；水泥混凝土中的砂统一按照定额材料代号899号“中（粗）砂”价格进行调整。</w:t>
      </w:r>
    </w:p>
    <w:p w14:paraId="3DAD21C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35F5AAB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16.1.2.2施工期间，发包人将对路面工程所消耗的柴油、路面用石料进行价差调整，其中项目加工利用的碎石和机制砂不予调整，数量按下表所列用量指标计算（除表中所列项目及材料，其余地材及油料均不予调整）：</w:t>
      </w:r>
    </w:p>
    <w:p w14:paraId="2B0F20A4">
      <w:pPr>
        <w:pStyle w:val="52"/>
        <w:spacing w:line="269" w:lineRule="auto"/>
        <w:ind w:firstLine="422" w:firstLineChars="200"/>
        <w:jc w:val="center"/>
        <w:rPr>
          <w:rFonts w:hint="eastAsia" w:asciiTheme="minorEastAsia" w:hAnsiTheme="minorEastAsia" w:eastAsiaTheme="minorEastAsia" w:cstheme="minorEastAsia"/>
          <w:b/>
          <w:color w:val="000000" w:themeColor="text1"/>
          <w:szCs w:val="21"/>
          <w14:textFill>
            <w14:solidFill>
              <w14:schemeClr w14:val="tx1"/>
            </w14:solidFill>
          </w14:textFill>
        </w:rPr>
        <w:sectPr>
          <w:footerReference r:id="rId8" w:type="default"/>
          <w:pgSz w:w="11911" w:h="16838"/>
          <w:pgMar w:top="1440" w:right="1080" w:bottom="1440" w:left="1080" w:header="0" w:footer="998" w:gutter="0"/>
          <w:pgNumType w:fmt="numberInDash"/>
          <w:cols w:space="0" w:num="1"/>
        </w:sectPr>
      </w:pPr>
    </w:p>
    <w:p w14:paraId="77B92245">
      <w:pPr>
        <w:pStyle w:val="52"/>
        <w:spacing w:line="269" w:lineRule="auto"/>
        <w:ind w:firstLine="422" w:firstLineChars="200"/>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路面工程调价材料单位用量指标表</w:t>
      </w:r>
    </w:p>
    <w:tbl>
      <w:tblPr>
        <w:tblStyle w:val="21"/>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860"/>
        <w:gridCol w:w="2669"/>
        <w:gridCol w:w="2265"/>
      </w:tblGrid>
      <w:tr w14:paraId="44DE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64" w:type="dxa"/>
            <w:tcBorders>
              <w:top w:val="single" w:color="auto" w:sz="4" w:space="0"/>
              <w:left w:val="single" w:color="auto" w:sz="4" w:space="0"/>
              <w:bottom w:val="single" w:color="auto" w:sz="4" w:space="0"/>
              <w:right w:val="single" w:color="auto" w:sz="4" w:space="0"/>
            </w:tcBorders>
            <w:vAlign w:val="center"/>
          </w:tcPr>
          <w:p w14:paraId="1464AD86">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调价的材料名称</w:t>
            </w:r>
          </w:p>
        </w:tc>
        <w:tc>
          <w:tcPr>
            <w:tcW w:w="1860" w:type="dxa"/>
            <w:tcBorders>
              <w:top w:val="single" w:color="auto" w:sz="4" w:space="0"/>
              <w:left w:val="single" w:color="auto" w:sz="4" w:space="0"/>
              <w:bottom w:val="single" w:color="auto" w:sz="4" w:space="0"/>
              <w:right w:val="single" w:color="auto" w:sz="4" w:space="0"/>
            </w:tcBorders>
            <w:vAlign w:val="center"/>
          </w:tcPr>
          <w:p w14:paraId="7561BC4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调价的清单子目编号</w:t>
            </w:r>
          </w:p>
        </w:tc>
        <w:tc>
          <w:tcPr>
            <w:tcW w:w="2669" w:type="dxa"/>
            <w:tcBorders>
              <w:top w:val="single" w:color="auto" w:sz="4" w:space="0"/>
              <w:left w:val="single" w:color="auto" w:sz="4" w:space="0"/>
              <w:bottom w:val="single" w:color="auto" w:sz="4" w:space="0"/>
              <w:right w:val="single" w:color="auto" w:sz="4" w:space="0"/>
            </w:tcBorders>
            <w:vAlign w:val="center"/>
          </w:tcPr>
          <w:p w14:paraId="4180DE63">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调价的项目名称</w:t>
            </w:r>
          </w:p>
        </w:tc>
        <w:tc>
          <w:tcPr>
            <w:tcW w:w="2265" w:type="dxa"/>
            <w:tcBorders>
              <w:top w:val="single" w:color="auto" w:sz="4" w:space="0"/>
              <w:left w:val="single" w:color="auto" w:sz="4" w:space="0"/>
              <w:bottom w:val="single" w:color="auto" w:sz="4" w:space="0"/>
              <w:right w:val="single" w:color="auto" w:sz="4" w:space="0"/>
            </w:tcBorders>
            <w:vAlign w:val="center"/>
          </w:tcPr>
          <w:p w14:paraId="07E059B4">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计算调价材料数量的单位用量指标</w:t>
            </w:r>
          </w:p>
        </w:tc>
      </w:tr>
      <w:tr w14:paraId="72AF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64" w:type="dxa"/>
            <w:vMerge w:val="restart"/>
            <w:tcBorders>
              <w:top w:val="single" w:color="auto" w:sz="4" w:space="0"/>
              <w:left w:val="single" w:color="auto" w:sz="4" w:space="0"/>
              <w:bottom w:val="single" w:color="auto" w:sz="4" w:space="0"/>
              <w:right w:val="single" w:color="auto" w:sz="4" w:space="0"/>
            </w:tcBorders>
            <w:vAlign w:val="center"/>
          </w:tcPr>
          <w:p w14:paraId="155083EF">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柴油（定额材料代号863）</w:t>
            </w:r>
          </w:p>
        </w:tc>
        <w:tc>
          <w:tcPr>
            <w:tcW w:w="1860" w:type="dxa"/>
            <w:tcBorders>
              <w:top w:val="single" w:color="auto" w:sz="4" w:space="0"/>
              <w:left w:val="single" w:color="auto" w:sz="4" w:space="0"/>
              <w:bottom w:val="single" w:color="auto" w:sz="4" w:space="0"/>
              <w:right w:val="single" w:color="auto" w:sz="4" w:space="0"/>
            </w:tcBorders>
            <w:vAlign w:val="center"/>
          </w:tcPr>
          <w:p w14:paraId="4CE2232B">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304节</w:t>
            </w:r>
          </w:p>
        </w:tc>
        <w:tc>
          <w:tcPr>
            <w:tcW w:w="2669" w:type="dxa"/>
            <w:tcBorders>
              <w:top w:val="single" w:color="auto" w:sz="4" w:space="0"/>
              <w:left w:val="single" w:color="auto" w:sz="4" w:space="0"/>
              <w:bottom w:val="single" w:color="auto" w:sz="4" w:space="0"/>
              <w:right w:val="single" w:color="auto" w:sz="4" w:space="0"/>
            </w:tcBorders>
          </w:tcPr>
          <w:p w14:paraId="1A6BFD11">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水泥稳定土底基层、基层，不分厚度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3BD843DA">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5E26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5E00E94E">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64033877">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306节</w:t>
            </w:r>
          </w:p>
        </w:tc>
        <w:tc>
          <w:tcPr>
            <w:tcW w:w="2669" w:type="dxa"/>
            <w:tcBorders>
              <w:top w:val="single" w:color="auto" w:sz="4" w:space="0"/>
              <w:left w:val="single" w:color="auto" w:sz="4" w:space="0"/>
              <w:bottom w:val="single" w:color="auto" w:sz="4" w:space="0"/>
              <w:right w:val="single" w:color="auto" w:sz="4" w:space="0"/>
            </w:tcBorders>
          </w:tcPr>
          <w:p w14:paraId="6A9A12FB">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级配碎（砾）石底基导、基层，不分厚度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33D71AA6">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070A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78F13F30">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5A121610">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309节</w:t>
            </w:r>
          </w:p>
        </w:tc>
        <w:tc>
          <w:tcPr>
            <w:tcW w:w="2669" w:type="dxa"/>
            <w:tcBorders>
              <w:top w:val="single" w:color="auto" w:sz="4" w:space="0"/>
              <w:left w:val="single" w:color="auto" w:sz="4" w:space="0"/>
              <w:bottom w:val="single" w:color="auto" w:sz="4" w:space="0"/>
              <w:right w:val="single" w:color="auto" w:sz="4" w:space="0"/>
            </w:tcBorders>
          </w:tcPr>
          <w:p w14:paraId="02E546F2">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热拌沥青混合料面层，不分厚度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30DF714E">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35BE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3A6DD802">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23049F18">
            <w:pPr>
              <w:pStyle w:val="52"/>
              <w:spacing w:line="269"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311节</w:t>
            </w:r>
          </w:p>
        </w:tc>
        <w:tc>
          <w:tcPr>
            <w:tcW w:w="2669" w:type="dxa"/>
            <w:tcBorders>
              <w:top w:val="single" w:color="auto" w:sz="4" w:space="0"/>
              <w:left w:val="single" w:color="auto" w:sz="4" w:space="0"/>
              <w:bottom w:val="single" w:color="auto" w:sz="4" w:space="0"/>
              <w:right w:val="single" w:color="auto" w:sz="4" w:space="0"/>
            </w:tcBorders>
          </w:tcPr>
          <w:p w14:paraId="03581172">
            <w:pPr>
              <w:pStyle w:val="52"/>
              <w:spacing w:line="269"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改性沥青及改性沥青混合料，不分厚度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64A1FEF4">
            <w:pPr>
              <w:pStyle w:val="52"/>
              <w:spacing w:line="269"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21F6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4" w:type="dxa"/>
            <w:tcBorders>
              <w:top w:val="single" w:color="auto" w:sz="4" w:space="0"/>
              <w:left w:val="single" w:color="auto" w:sz="4" w:space="0"/>
              <w:bottom w:val="single" w:color="auto" w:sz="4" w:space="0"/>
              <w:right w:val="single" w:color="auto" w:sz="4" w:space="0"/>
            </w:tcBorders>
          </w:tcPr>
          <w:p w14:paraId="73EBFDA8">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重油（定额材料代号861）</w:t>
            </w:r>
          </w:p>
        </w:tc>
        <w:tc>
          <w:tcPr>
            <w:tcW w:w="1860" w:type="dxa"/>
            <w:tcBorders>
              <w:top w:val="single" w:color="auto" w:sz="4" w:space="0"/>
              <w:left w:val="single" w:color="auto" w:sz="4" w:space="0"/>
              <w:bottom w:val="single" w:color="auto" w:sz="4" w:space="0"/>
              <w:right w:val="single" w:color="auto" w:sz="4" w:space="0"/>
            </w:tcBorders>
            <w:vAlign w:val="center"/>
          </w:tcPr>
          <w:p w14:paraId="3F6F1197">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309节</w:t>
            </w:r>
          </w:p>
        </w:tc>
        <w:tc>
          <w:tcPr>
            <w:tcW w:w="2669" w:type="dxa"/>
            <w:tcBorders>
              <w:top w:val="single" w:color="auto" w:sz="4" w:space="0"/>
              <w:left w:val="single" w:color="auto" w:sz="4" w:space="0"/>
              <w:bottom w:val="single" w:color="auto" w:sz="4" w:space="0"/>
              <w:right w:val="single" w:color="auto" w:sz="4" w:space="0"/>
            </w:tcBorders>
          </w:tcPr>
          <w:p w14:paraId="2302959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热拌沥青混合料面层，不分厚度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353088A2">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7116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64" w:type="dxa"/>
            <w:tcBorders>
              <w:top w:val="single" w:color="auto" w:sz="4" w:space="0"/>
              <w:left w:val="single" w:color="auto" w:sz="4" w:space="0"/>
              <w:bottom w:val="single" w:color="auto" w:sz="4" w:space="0"/>
              <w:right w:val="single" w:color="auto" w:sz="4" w:space="0"/>
            </w:tcBorders>
          </w:tcPr>
          <w:p w14:paraId="09CFC103">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022C3DBA">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311节</w:t>
            </w:r>
          </w:p>
        </w:tc>
        <w:tc>
          <w:tcPr>
            <w:tcW w:w="2669" w:type="dxa"/>
            <w:tcBorders>
              <w:top w:val="single" w:color="auto" w:sz="4" w:space="0"/>
              <w:left w:val="single" w:color="auto" w:sz="4" w:space="0"/>
              <w:bottom w:val="single" w:color="auto" w:sz="4" w:space="0"/>
              <w:right w:val="single" w:color="auto" w:sz="4" w:space="0"/>
            </w:tcBorders>
          </w:tcPr>
          <w:p w14:paraId="7648AD6F">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改性沥青及改性沥青混合料，不分厚度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5D326340">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kg/m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17A0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64" w:type="dxa"/>
            <w:vMerge w:val="restart"/>
            <w:tcBorders>
              <w:top w:val="single" w:color="auto" w:sz="4" w:space="0"/>
              <w:left w:val="single" w:color="auto" w:sz="4" w:space="0"/>
              <w:bottom w:val="single" w:color="auto" w:sz="4" w:space="0"/>
              <w:right w:val="single" w:color="auto" w:sz="4" w:space="0"/>
            </w:tcBorders>
            <w:vAlign w:val="center"/>
          </w:tcPr>
          <w:p w14:paraId="06B7A899">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路面碎石</w:t>
            </w:r>
          </w:p>
        </w:tc>
        <w:tc>
          <w:tcPr>
            <w:tcW w:w="1860" w:type="dxa"/>
            <w:tcBorders>
              <w:top w:val="single" w:color="auto" w:sz="4" w:space="0"/>
              <w:left w:val="single" w:color="auto" w:sz="4" w:space="0"/>
              <w:bottom w:val="single" w:color="auto" w:sz="4" w:space="0"/>
              <w:right w:val="single" w:color="auto" w:sz="4" w:space="0"/>
            </w:tcBorders>
            <w:vAlign w:val="center"/>
          </w:tcPr>
          <w:p w14:paraId="4ECB97F9">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302节</w:t>
            </w:r>
          </w:p>
        </w:tc>
        <w:tc>
          <w:tcPr>
            <w:tcW w:w="2669" w:type="dxa"/>
            <w:tcBorders>
              <w:top w:val="single" w:color="auto" w:sz="4" w:space="0"/>
              <w:left w:val="single" w:color="auto" w:sz="4" w:space="0"/>
              <w:bottom w:val="single" w:color="auto" w:sz="4" w:space="0"/>
              <w:right w:val="single" w:color="auto" w:sz="4" w:space="0"/>
            </w:tcBorders>
          </w:tcPr>
          <w:p w14:paraId="7392139B">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碎石垫层，不分厚度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46070D94">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1.24</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7FA5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0FC16CB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0A734F1E">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304节</w:t>
            </w:r>
          </w:p>
        </w:tc>
        <w:tc>
          <w:tcPr>
            <w:tcW w:w="2669" w:type="dxa"/>
            <w:tcBorders>
              <w:top w:val="single" w:color="auto" w:sz="4" w:space="0"/>
              <w:left w:val="single" w:color="auto" w:sz="4" w:space="0"/>
              <w:bottom w:val="single" w:color="auto" w:sz="4" w:space="0"/>
              <w:right w:val="single" w:color="auto" w:sz="4" w:space="0"/>
            </w:tcBorders>
          </w:tcPr>
          <w:p w14:paraId="04AEE7B3">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水泥稳定土底基层、基层，不分厚度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44FB818A">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1.47</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5F49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05286CC4">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7AE14695">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306节</w:t>
            </w:r>
          </w:p>
        </w:tc>
        <w:tc>
          <w:tcPr>
            <w:tcW w:w="2669" w:type="dxa"/>
            <w:tcBorders>
              <w:top w:val="single" w:color="auto" w:sz="4" w:space="0"/>
              <w:left w:val="single" w:color="auto" w:sz="4" w:space="0"/>
              <w:bottom w:val="single" w:color="auto" w:sz="4" w:space="0"/>
              <w:right w:val="single" w:color="auto" w:sz="4" w:space="0"/>
            </w:tcBorders>
          </w:tcPr>
          <w:p w14:paraId="2F5DC8DA">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级配碎（砾）石底基层、基层，不分厚度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3BEF1D73">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1.47</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6B96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265F84AF">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3971FA9A">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309节</w:t>
            </w:r>
          </w:p>
        </w:tc>
        <w:tc>
          <w:tcPr>
            <w:tcW w:w="2669" w:type="dxa"/>
            <w:tcBorders>
              <w:top w:val="single" w:color="auto" w:sz="4" w:space="0"/>
              <w:left w:val="single" w:color="auto" w:sz="4" w:space="0"/>
              <w:bottom w:val="single" w:color="auto" w:sz="4" w:space="0"/>
              <w:right w:val="single" w:color="auto" w:sz="4" w:space="0"/>
            </w:tcBorders>
          </w:tcPr>
          <w:p w14:paraId="64A7B54B">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热拌沥青混合料面层，不分厚度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10E2E5CD">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1.1</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r w14:paraId="68CF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264" w:type="dxa"/>
            <w:vMerge w:val="continue"/>
            <w:tcBorders>
              <w:top w:val="single" w:color="auto" w:sz="4" w:space="0"/>
              <w:left w:val="single" w:color="auto" w:sz="4" w:space="0"/>
              <w:bottom w:val="single" w:color="auto" w:sz="4" w:space="0"/>
              <w:right w:val="single" w:color="auto" w:sz="4" w:space="0"/>
            </w:tcBorders>
          </w:tcPr>
          <w:p w14:paraId="0C382624">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860" w:type="dxa"/>
            <w:tcBorders>
              <w:top w:val="single" w:color="auto" w:sz="4" w:space="0"/>
              <w:left w:val="single" w:color="auto" w:sz="4" w:space="0"/>
              <w:bottom w:val="single" w:color="auto" w:sz="4" w:space="0"/>
              <w:right w:val="single" w:color="auto" w:sz="4" w:space="0"/>
            </w:tcBorders>
            <w:vAlign w:val="center"/>
          </w:tcPr>
          <w:p w14:paraId="611BF922">
            <w:pPr>
              <w:pStyle w:val="52"/>
              <w:spacing w:line="36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311节</w:t>
            </w:r>
          </w:p>
        </w:tc>
        <w:tc>
          <w:tcPr>
            <w:tcW w:w="2669" w:type="dxa"/>
            <w:tcBorders>
              <w:top w:val="single" w:color="auto" w:sz="4" w:space="0"/>
              <w:left w:val="single" w:color="auto" w:sz="4" w:space="0"/>
              <w:bottom w:val="single" w:color="auto" w:sz="4" w:space="0"/>
              <w:right w:val="single" w:color="auto" w:sz="4" w:space="0"/>
            </w:tcBorders>
          </w:tcPr>
          <w:p w14:paraId="09318730">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改性沥青及改性沥青混合料，不分厚度</w:t>
            </w:r>
          </w:p>
        </w:tc>
        <w:tc>
          <w:tcPr>
            <w:tcW w:w="2265" w:type="dxa"/>
            <w:tcBorders>
              <w:top w:val="single" w:color="auto" w:sz="4" w:space="0"/>
              <w:left w:val="single" w:color="auto" w:sz="4" w:space="0"/>
              <w:bottom w:val="single" w:color="auto" w:sz="4" w:space="0"/>
              <w:right w:val="single" w:color="auto" w:sz="4" w:space="0"/>
            </w:tcBorders>
            <w:vAlign w:val="center"/>
          </w:tcPr>
          <w:p w14:paraId="4C1BFD40">
            <w:pPr>
              <w:pStyle w:val="52"/>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1.1</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p>
        </w:tc>
      </w:tr>
    </w:tbl>
    <w:p w14:paraId="766F4E2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注：1、单位用量指标中单位0.85m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/m</w:t>
      </w:r>
      <w:r>
        <w:rPr>
          <w:rFonts w:hint="eastAsia" w:asciiTheme="minorEastAsia" w:hAnsiTheme="minorEastAsia" w:eastAsiaTheme="minorEastAsia" w:cstheme="minorEastAsia"/>
          <w:color w:val="000000" w:themeColor="text1"/>
          <w:szCs w:val="2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代表毎计量1立方米实体工程消耗的石料（或砂）堆方数量为0.85立方米；2.07kg/m3代表每计量1立方米实体工程消耗的柴油数量为2.07公斤。其余以此类推。</w:t>
      </w:r>
    </w:p>
    <w:p w14:paraId="27157F4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2、垫层石料及基层石料统一按照定额材枓代号958号“碎石”价格进行调整；沥青面层集料按照定额材料代号966“路面用碎石（2.5cm）”价格进行调整。</w:t>
      </w:r>
    </w:p>
    <w:p w14:paraId="7EC0129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3、水泥混凝土中的碎石统一按照定额材料代号952号“碎石（4cm）”价格进行调整；水泥混凝土中的砂统一按照定额材料代号899号“中（粗）砂”价格进行调整。</w:t>
      </w:r>
    </w:p>
    <w:p w14:paraId="29952DB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4、利用隧道洞渣加工生产的碎石不参与价差调整。</w:t>
      </w:r>
    </w:p>
    <w:p w14:paraId="5B08058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5、其中上面层碎石价差调整按16.1.2.4款规定的调整办法进行调整。</w:t>
      </w:r>
    </w:p>
    <w:p w14:paraId="5DC8AE0F">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p>
    <w:p w14:paraId="76CA611E">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16.1.2.3价差调整费计算</w:t>
      </w:r>
    </w:p>
    <w:p w14:paraId="4CFCBCC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价差调整费用（△Ct）：△Ct=（△C-Co×r%）×V。其中：</w:t>
      </w:r>
    </w:p>
    <w:p w14:paraId="16E2E1F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△C=Ci—Co</w:t>
      </w:r>
    </w:p>
    <w:p w14:paraId="1903284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基准价（Co）：指招标人发布控制价当期的广东省交通运输工程造价管理站公布的工程所在地的材料月度信息价。</w:t>
      </w:r>
    </w:p>
    <w:p w14:paraId="292E09E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信息价（Ci）：指计量时当期度广东省交通运输工程造价管理站公布的工程所在地的材料信息价。</w:t>
      </w:r>
    </w:p>
    <w:p w14:paraId="663FE83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数觉（V）：以承包人当月度完成并已完成计量支付的实体工程过为基础，按照上表的单位用量的标准计算得出调价数量。</w:t>
      </w:r>
    </w:p>
    <w:p w14:paraId="3CBD8B3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风险幅度（r%）：基准价（Co）一定幅度内价差作为项目发包人、承包人风险，不予调差且不列入结算。风险幅度系数：砂、碎石，r=±4；柴油，r=±3。</w:t>
      </w:r>
    </w:p>
    <w:p w14:paraId="4E93482D">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16.1.2.4沥青混凝土路面上面层用碎石运输费用调差</w:t>
      </w:r>
    </w:p>
    <w:p w14:paraId="0344B5D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合同工程量清单中的沥青混凝土路面上面层用碎石材料单价包含了X公里运输费用（其中：水路运输Y公里，公路运输Z公里），如实际运输方式和运输距离与清单预算不一致时，运输费用按如下原则进行调整：</w:t>
      </w:r>
    </w:p>
    <w:p w14:paraId="7E0114F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（1）本项目实际运距指单个沥青拌和场至单个石场的运输距离，运输距离及碎石用量以承包人、监理人、发包人三方确定为准；</w:t>
      </w:r>
    </w:p>
    <w:p w14:paraId="0A8DCDA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从不冋石场采购的碎石按各自的实际运距计算调整费用，公路运输单价0.8元/m3.km，水运单价0.3元/m3.km，调整运输费用=（（水路运输实际运距-Y-A）×0.3+（公路运输实际运距-Z-B）×0.8）×碎石运输数量，正数为发包人向承包人支付调差（承包人应向发包人提供等额的完税发票），负数为发包人向承包人扣加调差（从应付工程款中扣除）。其中：</w:t>
      </w:r>
    </w:p>
    <w:p w14:paraId="7D17578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①当水路运输实际运距在（Y-</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）～（Y+</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）公里之间（含界值）时，水路运输费用不作调整；小于（Y-</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）公里时，A=-</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；大于（Y+</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）公里时，A=</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0386E54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②当公路运输实际运距在（Z-</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）～（Z+</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）公里之间（含界值）时，公路运输费用不作调整；小于（Z-</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）公里时，B=-</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；大于（Z+</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）公里时，B=</w:t>
      </w:r>
      <w:r>
        <w:rPr>
          <w:rFonts w:hint="eastAsia" w:asciiTheme="minorEastAsia" w:hAnsiTheme="minorEastAsia" w:eastAsiaTheme="minorEastAsia" w:cstheme="minorEastAsia"/>
          <w:color w:val="000000" w:themeColor="text1"/>
          <w:szCs w:val="21"/>
          <w:u w:val="single"/>
          <w14:textFill>
            <w14:solidFill>
              <w14:schemeClr w14:val="tx1"/>
            </w14:solidFill>
          </w14:textFill>
        </w:rPr>
        <w:t>30</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69160CC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③运输运距以公里为单位，运输数量以m3为单位；</w:t>
      </w:r>
    </w:p>
    <w:p w14:paraId="0DF565D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④如采用铁路运输，铁路运输单价及运输费用调整同水路运输；</w:t>
      </w:r>
    </w:p>
    <w:p w14:paraId="1A51D03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⑤可补偿的实际运距费用按其对应数量计算最多不超过M元/m3。</w:t>
      </w:r>
    </w:p>
    <w:p w14:paraId="4FAE7EC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（3）按以下原则计算的调整费用为包干费用，不再考虑路桥费、装卸费、转运、仓储、管理费。</w:t>
      </w:r>
    </w:p>
    <w:p w14:paraId="7442E1EC">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16.2法律变化引起的价格调整</w:t>
      </w:r>
    </w:p>
    <w:p w14:paraId="44E2131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将本款内容修改如下：</w:t>
      </w:r>
    </w:p>
    <w:p w14:paraId="3002689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除非本合同专用条款另有规定，如果在送交投标文件截止日28天之后，国家或省颁布的法律、法规出现修改或变更，因采用上述法律、法规使承包人在履行合同中的费用发生第16.1款规定的价格调整以外的增加或减少，则此项增加或减少的费用应由监理人在与承包人协商并报经发包人批准后确定，增加到合同价格上或从合同价格中扣除，监理人应通知承包人，并抄送发包人。</w:t>
      </w:r>
    </w:p>
    <w:p w14:paraId="6773348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在工程实施过程中，所引用的国家标准和规范如果有修改或新颁，应由发包人决定是否用新标准或新规范，承包人应在监理人的监督下按发包人的决定执行。采用新标准、新规范（相对于本招标文件）所增加的相应部分费用由发包人承担。</w:t>
      </w:r>
    </w:p>
    <w:p w14:paraId="49B330C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增加第16.3款～第16.4款</w:t>
      </w:r>
    </w:p>
    <w:p w14:paraId="7A63274B">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16.3执行国家和行业标准</w:t>
      </w:r>
    </w:p>
    <w:p w14:paraId="48E762C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除非发包人和监理人专门批准，如果木工程技术规范和图纸标准低于国家和行业标准，则应按国家和行业标准执行，承包人不能因此提出增加费用的要求和索赔。</w:t>
      </w:r>
    </w:p>
    <w:p w14:paraId="6FC45F5A">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16.4工期拖期的价格调整</w:t>
      </w:r>
    </w:p>
    <w:p w14:paraId="5B8AE65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果承包人原因未能在投标书附录中写明的工期完成本合同工程，则在该交工日期以后施工的工程，承包人不能因此提出调整合同单价要求。即使某种延期符合第11.4条及本合同条款相关规定，在该延长的交工日期到期以后施工的工程，承包人也不能因此提出调整合同单价要求。</w:t>
      </w:r>
    </w:p>
    <w:p w14:paraId="7AB3B87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5BB8F97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17.计量与支付</w:t>
      </w:r>
    </w:p>
    <w:p w14:paraId="6247E9E1">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17.1计量</w:t>
      </w:r>
    </w:p>
    <w:p w14:paraId="7BE442C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本款补充第17.1.6项：</w:t>
      </w:r>
    </w:p>
    <w:p w14:paraId="7EE3285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17.1.5总价子目的计量</w:t>
      </w:r>
    </w:p>
    <w:p w14:paraId="6B90175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本项目工程量清单中要求承包人以“总额”方式报价的子目，各子目的支付原则和支付进度按本合同文件工程量清单计量规则中的规定执行。</w:t>
      </w:r>
    </w:p>
    <w:p w14:paraId="11DBDD7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17.1.6变更工程的暂定计量和支付</w:t>
      </w:r>
    </w:p>
    <w:p w14:paraId="3ACCD48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需报发包人上级主管部门审批的变更工程项目，在发包人审核完成而尚未获得上级主管部门审批时，可采用暂定计量，暂定计量金额不超过发包人审核后的合同变更金额的85%。待上级主管部门审批后按审批结果进行实际计量，并扣回已暂计量的金额。</w:t>
      </w:r>
    </w:p>
    <w:p w14:paraId="5F015FB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17.2预付款</w:t>
      </w:r>
    </w:p>
    <w:p w14:paraId="52C2875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17.2.3预付款的扣回与还清</w:t>
      </w:r>
    </w:p>
    <w:p w14:paraId="0BCED87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本款补充第（3）项如下：</w:t>
      </w:r>
    </w:p>
    <w:p w14:paraId="195422F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（3）如有需要，发包人可根据实际情况制定更符合工程需要的预付款月扣款比例。</w:t>
      </w:r>
    </w:p>
    <w:p w14:paraId="4BCEBC6B">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17.3工程进度付款</w:t>
      </w:r>
    </w:p>
    <w:p w14:paraId="551F286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将本款第17.3.5项细化如下:</w:t>
      </w:r>
    </w:p>
    <w:p w14:paraId="275E58A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17.3.5农民工工资保证金</w:t>
      </w:r>
    </w:p>
    <w:p w14:paraId="697BD8F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农民工工资保证金的缴存时间：承包人应在收到中标通知书后且合同签署前按规定向发包人缴纳缴存农民工工资保证金。</w:t>
      </w:r>
    </w:p>
    <w:p w14:paraId="4F3F041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农民工工资保证金的缴存方式：可采用保函形式。</w:t>
      </w:r>
    </w:p>
    <w:p w14:paraId="3F8E004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农民工工资保证金的缴存金额：建设工程农民工工资支付保证书中规定的金额。</w:t>
      </w:r>
    </w:p>
    <w:p w14:paraId="45ADE75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农民工工资保证金的扣留条件：若承包人拖欠民工工资，发包人有权利直接从承包人按规定缴纳的工资保证金中扣除相应费用后向民工进行支付。</w:t>
      </w:r>
    </w:p>
    <w:p w14:paraId="3B916B0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农民工工资保证金的返还时间：满足建设工程农民工工资支付保证书的规定，在项目交工验收合格，工程结算完成未拖欠农民工工资时，由发包人一次性退还给承包人。</w:t>
      </w:r>
    </w:p>
    <w:p w14:paraId="54C46EC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本款补充第17.3.6项：</w:t>
      </w:r>
    </w:p>
    <w:p w14:paraId="0EDB4DD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17.3.6工程款代支付</w:t>
      </w:r>
    </w:p>
    <w:p w14:paraId="0E471B9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承包人有需要，并在取得发包人的同意后，可以委托发包人将其计量可支付的工程款代为支付给与其有合法合同关系的单位，但承包人需提供委托支付函、合同及相关资料，经发包人审核后，代为支付给相应的单位。</w:t>
      </w:r>
    </w:p>
    <w:p w14:paraId="58FB00F8">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17.4质量保证金</w:t>
      </w:r>
    </w:p>
    <w:p w14:paraId="3061070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将本款第17.4.2项修改如下：</w:t>
      </w:r>
    </w:p>
    <w:p w14:paraId="1556943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17.4.2发包人已与承包人签订结算协议，已交工验收且通车试运营已满2年，缺陷责任期内承包人已按合同约定履行了质量缺陷责任期义务，经验收质量合格后，同时已完成竣工决算审查和审计，根据最终的审查和审计结果进行结算金额调整，计算出应退还的质量保证金的总金额，将应退还的质量保证金的总金额的80%返还给承包人，同时，发包人应严格按照《公路工程竣（交）工验收办法》规定，及时申请竣工验收，通过竣工验收后一个月内，将剩余的20%一次性返还给承包人。质量保证金的退还应符合《广东省交通运输厅印发关于进一步加强公路工程质量保证金管理的若干意见的通知》（粤交基[2016]1072）号的要求。</w:t>
      </w:r>
    </w:p>
    <w:p w14:paraId="35800C0B">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本款补充第17.4.4项：</w:t>
      </w:r>
    </w:p>
    <w:p w14:paraId="0C5ADF9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17.4.4竣工验收时，如果竣工验收委员会对承包人评定的工程质量评分小于分，发包人将从承包人的质量保证金中扣除10%，以此作为承包人工程质量达不到合同规定的工程质量目标的惩罚金。</w:t>
      </w:r>
    </w:p>
    <w:p w14:paraId="15402BF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59E2D46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17.6最终结清</w:t>
      </w:r>
    </w:p>
    <w:p w14:paraId="6DFC60EA">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17.6.1最终结清申请单</w:t>
      </w:r>
    </w:p>
    <w:p w14:paraId="061EF2D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本项（1）日约定为：</w:t>
      </w:r>
    </w:p>
    <w:p w14:paraId="6C57B38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按交通运输部及广东省交通运输厅关于交通基本建设项目竣工决算编制和省级造价信息化平台的有关规定，及时编制相应的工程结算文件，报监理人审核，发包人确认。承包人向监理人提交最终结清申请单(包括相关证明材料)的份数在项目专用合同条款数据表中约定；期限：缺陷责任期终止证书签发后28天内。</w:t>
      </w:r>
    </w:p>
    <w:p w14:paraId="7B8EC7B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最终结清申请单中的总金额应认为是代表了根据合同规定应付给承包人的全部款项的最后结算。</w:t>
      </w:r>
    </w:p>
    <w:p w14:paraId="2F917002">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竣工决算报告经财政局审计、交通行业主管部门审查后，发包人将按以下原则作为调整承包人最终合同费用的依据，承包人需无条件接受：行业主管部门和财政部门对不同内容进行核减的，综合行业主管部门和财政部门的意见进行调整。</w:t>
      </w:r>
    </w:p>
    <w:p w14:paraId="7982C82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2946632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18.交工验收</w:t>
      </w:r>
    </w:p>
    <w:p w14:paraId="0C57A6DE">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18.9竣工文件</w:t>
      </w:r>
    </w:p>
    <w:p w14:paraId="19A94D3F">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在本款后增加以下内容：</w:t>
      </w:r>
    </w:p>
    <w:p w14:paraId="0F051F0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工程实施过程中及在项目完工后，承包人应按照《广东省交通运输厅关于公路建设项目档案的管理办法》和发包人制定的竣工文件资料管理办法的规定开展竣工文件材料的编制、收集、整理、立卷、归档及信息化平台上传等工作，相应的竣工档案编制费按指定金额在工程量清单第100章中以总额报价。</w:t>
      </w:r>
    </w:p>
    <w:p w14:paraId="5283879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1AF65D7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19.缺陷责任与保修责任</w:t>
      </w:r>
    </w:p>
    <w:p w14:paraId="786D5AE0">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19.2缺陷责任</w:t>
      </w:r>
    </w:p>
    <w:p w14:paraId="164434B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在19.2.2项后增加以下内容：</w:t>
      </w:r>
    </w:p>
    <w:p w14:paraId="51A8301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承包人应在缺陷责任期内安排专人负责缺陷责任期的管理工作，并确保在接到发包人要求处理有关缺陷事项的通知后24小时内到达现场，到达现场后随即采取有效措施解决工程遗留的缺陷或其它问题。</w:t>
      </w:r>
    </w:p>
    <w:p w14:paraId="3C4AD99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承包人未履行本款规定的缺陷责任义务，将按照22.1款承包人违约处理。</w:t>
      </w:r>
    </w:p>
    <w:p w14:paraId="1E8A8F3C">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本款补充第19.2.5项：</w:t>
      </w:r>
    </w:p>
    <w:p w14:paraId="44A5C3A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19.2.5工程完工后，承包人所在项目包遗留的问题，承包人应积极主动地进行处理和解决并承担所有费用。如上述问题特别是与地方有关的遗留问题，承包人在发包人规定的期限内不能妥善处理的，发包人有权单独或委托相关单位进行处理，发生的全部费用从承包人质量保证金中相应扣回，承包人应无条件接受。</w:t>
      </w:r>
    </w:p>
    <w:p w14:paraId="26504CE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71A38605">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20.保险</w:t>
      </w:r>
    </w:p>
    <w:p w14:paraId="295965EE">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20.1工程保险</w:t>
      </w:r>
    </w:p>
    <w:p w14:paraId="65A8158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删除原20.1款的全部内容，代之以：</w:t>
      </w:r>
    </w:p>
    <w:p w14:paraId="7C4ED37A">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20.1建筑工程一切险及第三者责任险</w:t>
      </w:r>
    </w:p>
    <w:p w14:paraId="7713DDB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20.1.1建筑工程一切险的投保内容：为本合同工程的永久工程、临时工程和设备及已运至施工工地用于永久工程的材料和设备所投的保险。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502C983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保险金额：工程量清单第100章（不含安全生产费、建筑工程一切险及第三者责任险的保险费、暂定金总额，机电工程招标时不含设备购置费）至900章的合计金额。</w:t>
      </w:r>
    </w:p>
    <w:p w14:paraId="59D7F90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保险费率：在项目专用合同条款数据表中约定。</w:t>
      </w:r>
    </w:p>
    <w:p w14:paraId="4D7A52B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保险期限：开工日起直至本合同工程签发缺陷责任期终止证书止（即合同工期＋缺陷责任期）。</w:t>
      </w:r>
    </w:p>
    <w:p w14:paraId="68C4455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或承包人应以发包人和承包人的共同名义投保建筑工程一切险及第三者责任险。建筑工程一切险及第三者责任险的保险费由承包人报价时按项目专用合同条款数据表规定的费率计算并列入工程量清单100章内。不论实际投保费用是高于或低于按上述办法计算的保费，发包人都不作调整。上述保险费，将由发包人从承包人的应付款中代扣，统一向保险公司支付；或先由承包人支付，在接到保险公司的保险单并经监理人签证后，发包人将按照保险单的费用直接向承包人支付，但不得高于投标文件该项所报总额价。</w:t>
      </w:r>
    </w:p>
    <w:p w14:paraId="4CA60FE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20.1.2保险标的出险后，承包人应自行向保险人报案、登记、索赔并报告发包人，并做好资料整理、工程损失计算等。上述工作所产生的费用由承包人承担。</w:t>
      </w:r>
    </w:p>
    <w:p w14:paraId="19BCC1D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20.1.3因保险事故产生的修复、索赔等责任由承包人承担。若承包人放弃索赔或因自身原因延误索赔，发包人保留索赔的权利，保险索赔所得费用归发包人所有。</w:t>
      </w:r>
    </w:p>
    <w:p w14:paraId="79656CC2">
      <w:pPr>
        <w:pStyle w:val="52"/>
        <w:spacing w:line="360" w:lineRule="auto"/>
        <w:ind w:firstLine="422"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pPr>
    </w:p>
    <w:p w14:paraId="430A40E4">
      <w:pPr>
        <w:pStyle w:val="52"/>
        <w:spacing w:line="360" w:lineRule="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20.4第三者责任险</w:t>
      </w:r>
    </w:p>
    <w:p w14:paraId="7B6852C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将20.4.2款最后一段文字修改如下：</w:t>
      </w:r>
    </w:p>
    <w:p w14:paraId="6C3B8D7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第三者责任险的保险费由承包人报价时按项目专用合同条款数据表规定的费率和最低投保金额计算并列入工程量清单100章内。上述保险费，将由发包人从承包人的应付款中代扣，统一向保险公司支付。</w:t>
      </w:r>
    </w:p>
    <w:p w14:paraId="43AF79BB">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p>
    <w:p w14:paraId="3DDDD0E0">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21.不可抗力</w:t>
      </w:r>
    </w:p>
    <w:p w14:paraId="01A30855">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21.1不可抗力的确认</w:t>
      </w:r>
    </w:p>
    <w:p w14:paraId="66834805">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21.1.1（6）不可抗力的其他情形：</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p w14:paraId="556EC8EC">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21.3不可抗力后果及其处理</w:t>
      </w:r>
    </w:p>
    <w:p w14:paraId="161EFAA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21.3.1不可抗力造成损害的责任</w:t>
      </w:r>
    </w:p>
    <w:p w14:paraId="3D818D6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本款补充如下内容：本款中凡是约定由发包人承担损失和赔偿责任的，均按照第20条的约定，属保险范围内的均由承保人承担。如保险金不足以补偿上述损失，则按照第20.6.4款约定执行。</w:t>
      </w:r>
    </w:p>
    <w:p w14:paraId="2E19F0D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34388AAC">
      <w:pPr>
        <w:pStyle w:val="52"/>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22.违约</w:t>
      </w:r>
    </w:p>
    <w:p w14:paraId="782CAEEA">
      <w:pPr>
        <w:pStyle w:val="52"/>
        <w:spacing w:line="36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22.1承包人违约</w:t>
      </w:r>
    </w:p>
    <w:p w14:paraId="653F3D51">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第22.1.1(4)目补充为：承包人未能按合同进度计划及时完成合同约定的工作，或未切实履行第4.1.7款的约定，导致发生工程阻工、停工，已造成或预期造成工期延误；</w:t>
      </w:r>
    </w:p>
    <w:p w14:paraId="4620456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22.1.2对承包人违约的处理</w:t>
      </w:r>
    </w:p>
    <w:p w14:paraId="5F149A9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将本款第(4)目修改如下：</w:t>
      </w:r>
    </w:p>
    <w:p w14:paraId="347ADEC8">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承包人发生第22.1.1项约定的违约情况时，无论发包人是否解除合同，发包人均有权按本合同附件十二的规定向承包人课以违约金，并由发包人将其违约行为上报上级交通运输主管部门，作为不良记录纳入公路建设市场信用信息管理系统。</w:t>
      </w:r>
    </w:p>
    <w:p w14:paraId="68C16F4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在本款下增加第(5)～第(7)目如下：</w:t>
      </w:r>
    </w:p>
    <w:p w14:paraId="5FD6E1B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发包人按合同规定向承包人开出的任何违约惩罚金，除合同另有规定外，均从发包人应向承包人支付的工程款中直接扣除。除非合同另有规定，发包人向承包人开出的任何违约惩罚金将导致承包人最终的应得结算价款相应地减少。承包人必须完全接受上述条款。</w:t>
      </w:r>
    </w:p>
    <w:p w14:paraId="519E0B0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发包人按合同规定向承包人开出的任何违约惩罚金的扣除时间，可以在发包人认为合适的任何一个期中支付月份中扣除。发包人扣除违约惩罚金时间的延迟或滞后并不代表对承包人当时各种行为的认可或默认。</w:t>
      </w:r>
    </w:p>
    <w:p w14:paraId="371A452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（7）本项目所有承包人的违约金均由业主掌握使用，可用于本项目的各项评比和奖励。</w:t>
      </w:r>
    </w:p>
    <w:p w14:paraId="05DB4D0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4925A116">
      <w:pPr>
        <w:pStyle w:val="52"/>
        <w:spacing w:line="360" w:lineRule="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22.2发包人违约</w:t>
      </w:r>
    </w:p>
    <w:p w14:paraId="43A1A9A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本款细化为：</w:t>
      </w:r>
    </w:p>
    <w:p w14:paraId="2BF62B49">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22.2.1如果发包人无合理的理由去阻挠或拒绝符合合同规定的付款证书颁发所需的批准，则可视为发包人违约。承包人有权终止合同，并在通知发包人和将通知副本提交监理人的28天后，合同终止生效。</w:t>
      </w:r>
    </w:p>
    <w:p w14:paraId="1DE74B2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22.2.2如果合同因发包人违约而终止，承包人可要求发包人支付以下费用：</w:t>
      </w:r>
    </w:p>
    <w:p w14:paraId="4D3B5436">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（a）发包人需向承包人支付合同终止之日前已完成的全部工程费用。</w:t>
      </w:r>
    </w:p>
    <w:p w14:paraId="781A802B">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（b）即将交付承包人的，或承包人依法有责任接收的为该工程合理订购的材料、工程设备或货物的费用，发包人一经支付此项费用，该材料、工程设备或货物即成为发包人的财产。</w:t>
      </w:r>
    </w:p>
    <w:p w14:paraId="2BB3E8AF">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（c）已合理开支的确定属于承包人为完成整个工程而合理发生的其它费用，而该费用未在本条款的其它各项下支付。</w:t>
      </w:r>
    </w:p>
    <w:p w14:paraId="2FF24D2E">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（d）考虑已完工程的付款比例，给予适当人员、设备等的退场费</w:t>
      </w:r>
    </w:p>
    <w:p w14:paraId="7D879BC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22.2.3发包人除按本款规定支付上述费用给承包人外，亦有权要求承包人偿还按合同条款规定的或未结清的承包人欠发包人的各种款项。</w:t>
      </w:r>
    </w:p>
    <w:p w14:paraId="566EFDE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22.2.4承包人（包括其分包人）出于追索本合同条款以外的利益，以有违社会规范的行为构成对发包人骚扰的，承包人须承担法律和经济责任。</w:t>
      </w:r>
    </w:p>
    <w:p w14:paraId="7B0E4E3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增加第25条</w:t>
      </w:r>
    </w:p>
    <w:p w14:paraId="6EDB9DFF">
      <w:pPr>
        <w:pStyle w:val="52"/>
        <w:spacing w:line="360" w:lineRule="auto"/>
        <w:ind w:firstLine="211" w:firstLineChars="1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25本项目需增加的专用合同条款</w:t>
      </w:r>
    </w:p>
    <w:p w14:paraId="7A492FF3">
      <w:pPr>
        <w:pStyle w:val="52"/>
        <w:spacing w:line="360" w:lineRule="auto"/>
        <w:ind w:firstLine="211" w:firstLineChars="1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25.1劳动竞赛</w:t>
      </w:r>
    </w:p>
    <w:p w14:paraId="64C1884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激励承包人加快工程进度，确保合同工期，本合同将开展劳动竞赛，对承包人提前或确保进度的奖励。该金额按技术规范100章规定的方式在工程量清单中单列，该部分费用仅限于本项目包使用（或整个项目统筹使用，具体以评比方案为准）。承包人获得支付的额度取决于其完成进度的情况及在评比中的名次。有关评比方案发包人将在承包人进场后予以制定。</w:t>
      </w:r>
    </w:p>
    <w:p w14:paraId="6F9596CE">
      <w:pPr>
        <w:pStyle w:val="52"/>
        <w:spacing w:line="360" w:lineRule="auto"/>
        <w:ind w:firstLine="211" w:firstLineChars="1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25.2承包人退出机制</w:t>
      </w:r>
    </w:p>
    <w:p w14:paraId="58C75193">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发包人对不能满足各阶段工作目标的承包人实行强制退出本项目建设的办法。</w:t>
      </w:r>
    </w:p>
    <w:p w14:paraId="71914E3D">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将视承包人的实际施工能力情况，可按4.3.8款将该项目包内剩余工程的部分或全部进行特殊分包，强制部分或整体退出。由发包人在本项目选择履约情况好的承包人完成剩余工程或采用招标方式选择承包人。</w:t>
      </w:r>
    </w:p>
    <w:p w14:paraId="6E737231">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25.2.1部分退出</w:t>
      </w:r>
    </w:p>
    <w:p w14:paraId="5DF0C1B4">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（1）人员退出：承包人的主要管理人员和技术骨干如不满足要求的，按4.6.3项的规定进行处罚。</w:t>
      </w:r>
    </w:p>
    <w:p w14:paraId="7843F2A0">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（2）机械退出：机械设备达不到额定产能的85%者退出，并按监理人或发包人的要求及时组织性能良好的同类型的机械进驻施工现场。</w:t>
      </w:r>
    </w:p>
    <w:p w14:paraId="61BFD4F7">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（3）专业队伍退出：在施工过程中累计发生两次较大质量问题者强制退出。</w:t>
      </w:r>
    </w:p>
    <w:p w14:paraId="1759F6DA">
      <w:pPr>
        <w:pStyle w:val="52"/>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（4）工程进度达不到上述要求，承包人增加人员、设备仍达不到进度要求的，发包人有权对相应分项工程进行强制分割处理。</w:t>
      </w:r>
    </w:p>
    <w:p w14:paraId="715FCAFB">
      <w:pPr>
        <w:pStyle w:val="52"/>
        <w:spacing w:line="360"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25.2.2整体退出</w:t>
      </w:r>
    </w:p>
    <w:p w14:paraId="02FAEB76">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（1）出现转包、非法分包；</w:t>
      </w:r>
    </w:p>
    <w:p w14:paraId="6F27AD1C">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（2）出现重大安全责任，造成严重社会影响；</w:t>
      </w:r>
    </w:p>
    <w:p w14:paraId="6029018F">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（3）出现重大质量事故，严重影响工程质量和进度，造成严重社会影响；</w:t>
      </w:r>
    </w:p>
    <w:p w14:paraId="202DBB92">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（4）由承包人自身原因导致使上述计划任务无法完成的；</w:t>
      </w:r>
    </w:p>
    <w:p w14:paraId="158183BE">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整体退出的施工企业，发包人将建议交通主管部门降低其信用等级。</w:t>
      </w:r>
    </w:p>
    <w:p w14:paraId="24A7D03D">
      <w:pPr>
        <w:pStyle w:val="52"/>
        <w:adjustRightInd w:val="0"/>
        <w:snapToGrid w:val="0"/>
        <w:spacing w:line="312" w:lineRule="auto"/>
        <w:ind w:firstLine="422" w:firstLineChars="200"/>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25.2.3退出清算</w:t>
      </w:r>
    </w:p>
    <w:p w14:paraId="54EC812F">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（1）发包人对承包人整体退出本项目工程建设进行公示，并要求承包人对拖欠款项的单位和个人及时清算。</w:t>
      </w:r>
    </w:p>
    <w:p w14:paraId="1024DDCA">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（2）发包人扣押履约保证金、质量保证金、停止计量支付。</w:t>
      </w:r>
    </w:p>
    <w:p w14:paraId="715D4F91">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（3）承包人必须向发包人提交已完成工程的齐全的施工资料。</w:t>
      </w:r>
    </w:p>
    <w:p w14:paraId="23C26EEE">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（4）清算后特殊分包单位及分包价的确定原则：</w:t>
      </w:r>
    </w:p>
    <w:p w14:paraId="752660AC">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由发包人选择本项目实力较强、质量进度评比排名前5名的承包单位。</w:t>
      </w:r>
    </w:p>
    <w:p w14:paraId="5C5799DF">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对承包人进行询价，并将分包单位选择情况上报上级行政主管部门；</w:t>
      </w:r>
    </w:p>
    <w:p w14:paraId="27B6F5BA">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特殊分包单位应具备特殊分包工程相对应的资质要求。</w:t>
      </w:r>
    </w:p>
    <w:p w14:paraId="30FDA1C2">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（5）清算后费用承担：特殊分包范围内的项目，由于上述（4）确定的分包价与承包人合同价产生的价差由承包人承担。</w:t>
      </w:r>
    </w:p>
    <w:p w14:paraId="0D336A5E">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（6）承包人应无条件接受，指定特殊分包单位无须向承包人交纳管理费。</w:t>
      </w:r>
    </w:p>
    <w:p w14:paraId="0884584A">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但无论如何，承包人应按发包人要求提供已有的临设施（如便道、电力线路等）供特殊分包人使用，承包人不得为此要求增加任何费用。</w:t>
      </w:r>
    </w:p>
    <w:p w14:paraId="583BD4F1">
      <w:pPr>
        <w:pStyle w:val="52"/>
        <w:adjustRightInd w:val="0"/>
        <w:snapToGrid w:val="0"/>
        <w:spacing w:line="312"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25.3工程管理要求</w:t>
      </w:r>
    </w:p>
    <w:p w14:paraId="0A64F506">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鉴于发包人在项目建设管理过程中将全面推行高速公路建设“双标管理”（标准化管理、标杆管理），实行精细化管理，开展“平安工地”建设标准化活动，为确保对项目生产一线的有效管理，承包人在进场施工时应配备足够的车辆用于项目管理现场，直至本项目建成通车。承包人应针对上述管理要求制定相应的工作方案，相应的人员、车辆应报监理人及发包人审批。</w:t>
      </w:r>
    </w:p>
    <w:p w14:paraId="5E18A7FE">
      <w:pPr>
        <w:pStyle w:val="52"/>
        <w:adjustRightInd w:val="0"/>
        <w:snapToGrid w:val="0"/>
        <w:spacing w:line="312"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25.4电子文件归档和电子档案管理</w:t>
      </w:r>
    </w:p>
    <w:p w14:paraId="72F199AE">
      <w:pPr>
        <w:pStyle w:val="52"/>
        <w:adjustRightInd w:val="0"/>
        <w:snapToGrid w:val="0"/>
        <w:spacing w:line="312"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Cs/>
          <w:color w:val="000000" w:themeColor="text1"/>
          <w:szCs w:val="21"/>
          <w14:textFill>
            <w14:solidFill>
              <w14:schemeClr w14:val="tx1"/>
            </w14:solidFill>
          </w14:textFill>
        </w:rPr>
        <w:t>发包人在与承包人签订施工合同时，应在合同条款中明确项目电子文件归档和电子档案的管理责任，包括质量要求、归档范围、整理标准、归档时间、储存介质、文件格式、相关费用及违约责任等内容。</w:t>
      </w:r>
    </w:p>
    <w:p w14:paraId="39A1A352">
      <w:pPr>
        <w:pStyle w:val="52"/>
        <w:adjustRightInd w:val="0"/>
        <w:snapToGrid w:val="0"/>
        <w:spacing w:line="312"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25.5合同单方结算</w:t>
      </w:r>
    </w:p>
    <w:p w14:paraId="0903450D">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本合同工程交工验收后，为了按期完成工程竣工决算审查、审计及竣工验收工作，如发包人和承包人对结算确实存在分歧，经双方协商未果情况下，发包人有权进行合同单方结算，承包人须无条件接受。</w:t>
      </w:r>
    </w:p>
    <w:p w14:paraId="5D7CC968">
      <w:pPr>
        <w:pStyle w:val="52"/>
        <w:adjustRightInd w:val="0"/>
        <w:snapToGrid w:val="0"/>
        <w:spacing w:line="312"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25.6本合同未尽事宜</w:t>
      </w:r>
    </w:p>
    <w:p w14:paraId="174771C7">
      <w:pPr>
        <w:pStyle w:val="52"/>
        <w:adjustRightInd w:val="0"/>
        <w:snapToGrid w:val="0"/>
        <w:spacing w:line="312"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合同未能明确的有关规记，如质量管理、计划管理、计量与支付管理、台帐管理办法、变更管理、材料管理、安全管理、有关评比方案以及奖征办法等，按发包人在项目建设管理过程中颁发的项目管理手册或另行发布的相关管理办法执行。</w:t>
      </w:r>
    </w:p>
    <w:p w14:paraId="0E219606">
      <w:pPr>
        <w:autoSpaceDE w:val="0"/>
        <w:autoSpaceDN w:val="0"/>
        <w:adjustRightInd w:val="0"/>
        <w:snapToGrid w:val="0"/>
        <w:spacing w:before="62" w:line="312" w:lineRule="auto"/>
        <w:ind w:firstLine="420" w:firstLineChars="200"/>
        <w:jc w:val="left"/>
        <w:rPr>
          <w:rFonts w:hint="eastAsia" w:asciiTheme="minorEastAsia" w:hAnsiTheme="minorEastAsia" w:eastAsiaTheme="minorEastAsia" w:cstheme="minorEastAsia"/>
          <w:color w:val="000000" w:themeColor="text1"/>
          <w:szCs w:val="21"/>
          <w14:textFill>
            <w14:solidFill>
              <w14:schemeClr w14:val="tx1"/>
            </w14:solidFill>
          </w14:textFill>
        </w:rPr>
        <w:sectPr>
          <w:pgSz w:w="11911" w:h="16838"/>
          <w:pgMar w:top="1440" w:right="1080" w:bottom="1440" w:left="1080" w:header="0" w:footer="998" w:gutter="0"/>
          <w:pgNumType w:fmt="numberInDash"/>
          <w:cols w:space="0" w:num="1"/>
        </w:sectPr>
      </w:pPr>
      <w:r>
        <w:rPr>
          <w:rFonts w:hint="eastAsia" w:asciiTheme="minorEastAsia" w:hAnsiTheme="minorEastAsia" w:eastAsiaTheme="minorEastAsia" w:cstheme="minorEastAsia"/>
          <w:color w:val="000000" w:themeColor="text1"/>
          <w:szCs w:val="21"/>
          <w14:textFill>
            <w14:solidFill>
              <w14:schemeClr w14:val="tx1"/>
            </w14:solidFill>
          </w14:textFill>
        </w:rPr>
        <w:t>发包人对项目实施动态管理，根据工程进展情况及项目目标实现情况，通过修正专用项目管理制度，不断建设完善项目管理责任体系，承包人须积极配合并无条件的接受。</w:t>
      </w:r>
    </w:p>
    <w:p w14:paraId="1D35C8DF">
      <w:pPr>
        <w:autoSpaceDE w:val="0"/>
        <w:autoSpaceDN w:val="0"/>
        <w:spacing w:before="62"/>
        <w:ind w:left="3138"/>
        <w:jc w:val="left"/>
        <w:rPr>
          <w:rFonts w:hint="eastAsia" w:asciiTheme="minorEastAsia" w:hAnsiTheme="minorEastAsia" w:eastAsiaTheme="minorEastAsia" w:cstheme="minorEastAsia"/>
          <w:b/>
          <w:bCs/>
          <w:color w:val="000000" w:themeColor="text1"/>
          <w:sz w:val="28"/>
          <w:szCs w:val="28"/>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CN" w:bidi="zh-CN"/>
          <w14:textFill>
            <w14:solidFill>
              <w14:schemeClr w14:val="tx1"/>
            </w14:solidFill>
          </w14:textFill>
        </w:rPr>
        <w:t>第三节合同附件格式</w:t>
      </w:r>
    </w:p>
    <w:p w14:paraId="3367D300">
      <w:pPr>
        <w:autoSpaceDE w:val="0"/>
        <w:autoSpaceDN w:val="0"/>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3116857C">
      <w:pPr>
        <w:autoSpaceDE w:val="0"/>
        <w:autoSpaceDN w:val="0"/>
        <w:spacing w:before="12" w:line="360" w:lineRule="auto"/>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480BC1C2">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附件一：合同协议书（格式）</w:t>
      </w:r>
    </w:p>
    <w:p w14:paraId="061515E8">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附件二：廉政合同（格式）</w:t>
      </w:r>
    </w:p>
    <w:p w14:paraId="71F6245E">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附件三：安全生产合同（格式）</w:t>
      </w:r>
    </w:p>
    <w:p w14:paraId="0ADE281B">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附件四：拟投入本项目其他管理人员和技术人员最低要求</w:t>
      </w:r>
    </w:p>
    <w:p w14:paraId="07B55453">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附件五：</w:t>
      </w:r>
      <w:r>
        <w:rPr>
          <w:rFonts w:hint="eastAsia" w:asciiTheme="minorEastAsia" w:hAnsiTheme="minorEastAsia" w:eastAsiaTheme="minorEastAsia" w:cstheme="minorEastAsia"/>
          <w:color w:val="000000" w:themeColor="text1"/>
          <w:sz w:val="24"/>
          <w14:textFill>
            <w14:solidFill>
              <w14:schemeClr w14:val="tx1"/>
            </w14:solidFill>
          </w14:textFill>
        </w:rPr>
        <w:t>拟投入</w:t>
      </w:r>
      <w:r>
        <w:rPr>
          <w:rFonts w:hint="eastAsia" w:asciiTheme="minorEastAsia" w:hAnsiTheme="minorEastAsia" w:eastAsiaTheme="minorEastAsia" w:cstheme="minorEastAsia"/>
          <w:color w:val="000000" w:themeColor="text1"/>
          <w:sz w:val="24"/>
          <w:lang w:val="zh-CN"/>
          <w14:textFill>
            <w14:solidFill>
              <w14:schemeClr w14:val="tx1"/>
            </w14:solidFill>
          </w14:textFill>
        </w:rPr>
        <w:t>主要设备最低要求</w:t>
      </w:r>
    </w:p>
    <w:p w14:paraId="5270B6B0">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附件六：项目经理委任书</w:t>
      </w:r>
    </w:p>
    <w:p w14:paraId="491D632A">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附件七：履约保证金格式</w:t>
      </w:r>
    </w:p>
    <w:p w14:paraId="07722B50">
      <w:pPr>
        <w:spacing w:line="360" w:lineRule="auto"/>
        <w:ind w:firstLine="480" w:firstLineChars="200"/>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附件八：建设工程农民工工资支付保证书</w:t>
      </w:r>
    </w:p>
    <w:p w14:paraId="41F44280">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br w:type="page"/>
      </w:r>
    </w:p>
    <w:p w14:paraId="5C81C201">
      <w:pPr>
        <w:jc w:val="center"/>
        <w:rPr>
          <w:rFonts w:hint="eastAsia" w:asciiTheme="minorEastAsia" w:hAnsiTheme="minorEastAsia" w:eastAsiaTheme="minorEastAsia" w:cstheme="minorEastAsia"/>
          <w:color w:val="000000" w:themeColor="text1"/>
          <w:sz w:val="52"/>
          <w:szCs w:val="52"/>
          <w14:textFill>
            <w14:solidFill>
              <w14:schemeClr w14:val="tx1"/>
            </w14:solidFill>
          </w14:textFill>
        </w:rPr>
        <w:sectPr>
          <w:pgSz w:w="11911" w:h="16838"/>
          <w:pgMar w:top="1440" w:right="1080" w:bottom="1440" w:left="1080" w:header="0" w:footer="998" w:gutter="0"/>
          <w:pgNumType w:fmt="numberInDash"/>
          <w:cols w:space="0" w:num="1"/>
        </w:sectPr>
      </w:pPr>
      <w:bookmarkStart w:id="41" w:name="_Toc13636"/>
    </w:p>
    <w:p w14:paraId="1379E941">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bookmarkStart w:id="42" w:name="_Toc11957"/>
      <w:bookmarkStart w:id="43" w:name="_Toc22040"/>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附件一：合同协议书</w:t>
      </w:r>
      <w:bookmarkEnd w:id="42"/>
      <w:bookmarkEnd w:id="43"/>
    </w:p>
    <w:p w14:paraId="46F61604">
      <w:pPr>
        <w:autoSpaceDE w:val="0"/>
        <w:autoSpaceDN w:val="0"/>
        <w:spacing w:before="206"/>
        <w:ind w:left="3769" w:firstLine="482" w:firstLineChars="200"/>
        <w:jc w:val="left"/>
        <w:rPr>
          <w:rFonts w:hint="eastAsia" w:asciiTheme="minorEastAsia" w:hAnsiTheme="minorEastAsia" w:eastAsiaTheme="minorEastAsia" w:cstheme="minorEastAsia"/>
          <w:b/>
          <w:bCs/>
          <w:color w:val="000000" w:themeColor="text1"/>
          <w:w w:val="99"/>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合同协议书</w:t>
      </w:r>
    </w:p>
    <w:p w14:paraId="69B76228">
      <w:pPr>
        <w:autoSpaceDE w:val="0"/>
        <w:autoSpaceDN w:val="0"/>
        <w:jc w:val="left"/>
        <w:rPr>
          <w:rFonts w:hint="eastAsia" w:asciiTheme="minorEastAsia" w:hAnsiTheme="minorEastAsia" w:eastAsiaTheme="minorEastAsia" w:cstheme="minorEastAsia"/>
          <w:b/>
          <w:bCs/>
          <w:color w:val="000000" w:themeColor="text1"/>
          <w:w w:val="99"/>
          <w:sz w:val="24"/>
          <w:lang w:val="zh-CN" w:bidi="zh-CN"/>
          <w14:textFill>
            <w14:solidFill>
              <w14:schemeClr w14:val="tx1"/>
            </w14:solidFill>
          </w14:textFill>
        </w:rPr>
      </w:pPr>
    </w:p>
    <w:p w14:paraId="3B3D760B">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（发包人名称，以下简称“发包人”）为实施</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（项目名称）</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，已接受</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（承包人名称，以下简称“承包人”）</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对该项目设计施工总承包投标。发包人和承包人共同达成如下协议。</w:t>
      </w:r>
    </w:p>
    <w:p w14:paraId="3FE651D9">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本协议书与下列文件一起构成合同文件：</w:t>
      </w:r>
    </w:p>
    <w:p w14:paraId="01DEC11C">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1</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）协议书及各种合同附件（含评标期间和合同谈判过程中的澄清文件和补充资料，履行本合同的相关补充协议）；</w:t>
      </w:r>
    </w:p>
    <w:p w14:paraId="59A30964">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color w:val="000000" w:themeColor="text1"/>
          <w:szCs w:val="21"/>
          <w:lang w:val="zh-CN"/>
          <w14:textFill>
            <w14:solidFill>
              <w14:schemeClr w14:val="tx1"/>
            </w14:solidFill>
          </w14:textFill>
        </w:rPr>
        <w:t>）中标通知书；</w:t>
      </w:r>
    </w:p>
    <w:p w14:paraId="5EAC2057">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3</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）投标函；</w:t>
      </w:r>
    </w:p>
    <w:p w14:paraId="0C618060">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4</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）合同条款；</w:t>
      </w:r>
    </w:p>
    <w:p w14:paraId="1386A364">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5</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）发包人要求；</w:t>
      </w:r>
    </w:p>
    <w:p w14:paraId="2F36F5DE">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6</w:t>
      </w:r>
      <w:r>
        <w:rPr>
          <w:rFonts w:hint="eastAsia" w:asciiTheme="minorEastAsia" w:hAnsiTheme="minorEastAsia" w:eastAsiaTheme="minorEastAsia" w:cstheme="minorEastAsia"/>
          <w:color w:val="000000" w:themeColor="text1"/>
          <w:szCs w:val="21"/>
          <w:lang w:val="zh-CN"/>
          <w14:textFill>
            <w14:solidFill>
              <w14:schemeClr w14:val="tx1"/>
            </w14:solidFill>
          </w14:textFill>
        </w:rPr>
        <w:t>）已标价工程量清单（含施工图批复后经审核确定的合同清单）；</w:t>
      </w:r>
    </w:p>
    <w:p w14:paraId="6A830483">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7</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）承包人有关人员、设备投入的承诺及投标文件中的建设总承包方案和施工图设计；</w:t>
      </w:r>
    </w:p>
    <w:p w14:paraId="3F50FEA4">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8</w:t>
      </w:r>
      <w:r>
        <w:rPr>
          <w:rFonts w:hint="eastAsia" w:asciiTheme="minorEastAsia" w:hAnsiTheme="minorEastAsia" w:eastAsiaTheme="minorEastAsia" w:cstheme="minorEastAsia"/>
          <w:color w:val="000000" w:themeColor="text1"/>
          <w:szCs w:val="21"/>
          <w:lang w:val="zh-CN"/>
          <w14:textFill>
            <w14:solidFill>
              <w14:schemeClr w14:val="tx1"/>
            </w14:solidFill>
          </w14:textFill>
        </w:rPr>
        <w:t>）组成合同的其他文件。</w:t>
      </w:r>
    </w:p>
    <w:p w14:paraId="2145A662">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r>
        <w:rPr>
          <w:rFonts w:hint="eastAsia" w:asciiTheme="minorEastAsia" w:hAnsiTheme="minorEastAsia" w:eastAsiaTheme="minorEastAsia" w:cstheme="minorEastAsia"/>
          <w:color w:val="000000" w:themeColor="text1"/>
          <w:szCs w:val="21"/>
          <w:lang w:val="zh-CN"/>
          <w14:textFill>
            <w14:solidFill>
              <w14:schemeClr w14:val="tx1"/>
            </w14:solidFill>
          </w14:textFill>
        </w:rPr>
        <w:t>上述文件互相补充和解释，如有不明确或不一致之处，以合同约定次序在先者为准。</w:t>
      </w:r>
    </w:p>
    <w:p w14:paraId="080CB80D">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3.签约合同价：人民币（大写）（¥）（中标下浮率：</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color w:val="000000" w:themeColor="text1"/>
          <w:szCs w:val="21"/>
          <w:lang w:val="zh-CN"/>
          <w14:textFill>
            <w14:solidFill>
              <w14:schemeClr w14:val="tx1"/>
            </w14:solidFill>
          </w14:textFill>
        </w:rPr>
        <w:t>）。</w:t>
      </w:r>
    </w:p>
    <w:p w14:paraId="6AFD71E8">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4.承包人项目经理：；项目总工:；设计负责人：。</w:t>
      </w:r>
    </w:p>
    <w:p w14:paraId="1807D169">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5.工程质量符合标准，工程安全目标：。</w:t>
      </w:r>
    </w:p>
    <w:p w14:paraId="7EF973FF">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承包人承诺按合同约定承担工程的设计、实施、竣工及缺陷修复。</w:t>
      </w:r>
    </w:p>
    <w:p w14:paraId="42E3E916">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发包人承诺按合同约定的条件、时间和方式向承包人支付合同价款。</w:t>
      </w:r>
    </w:p>
    <w:p w14:paraId="3C71B6C0">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承包人计划开始工作时间：</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szCs w:val="21"/>
          <w:lang w:val="zh-CN"/>
          <w14:textFill>
            <w14:solidFill>
              <w14:schemeClr w14:val="tx1"/>
            </w14:solidFill>
          </w14:textFill>
        </w:rPr>
        <w:t>，工期为日历天，其中，设计工期：日历天，施工工期：日历天。</w:t>
      </w:r>
    </w:p>
    <w:p w14:paraId="717CC1B5">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本协议书在建设总承包单位提供履约担保后，由双方法定代表人或其委托代理人签署并加盖单位章后生效。全部工程完工后经竣（交）工验收合格、缺陷责任期满签发缺陷责任终止证书后失效。</w:t>
      </w:r>
    </w:p>
    <w:p w14:paraId="5A20346A">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10.本协议书一式份，合同双方各执一份。</w:t>
      </w:r>
    </w:p>
    <w:p w14:paraId="2087A37F">
      <w:pPr>
        <w:spacing w:line="360" w:lineRule="auto"/>
        <w:ind w:firstLine="420" w:firstLineChars="200"/>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11.合同未尽事宜，双方另行签订补充协议。补充协议是合同的组成部分。</w:t>
      </w:r>
    </w:p>
    <w:p w14:paraId="0E980293">
      <w:pPr>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发包人：</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(盖单位章)</w:t>
      </w:r>
      <w:r>
        <w:rPr>
          <w:rFonts w:hint="eastAsia" w:asciiTheme="minorEastAsia" w:hAnsiTheme="minorEastAsia" w:eastAsiaTheme="minorEastAsia" w:cstheme="minorEastAsia"/>
          <w:color w:val="000000" w:themeColor="text1"/>
          <w:szCs w:val="21"/>
          <w:lang w:val="zh-CN"/>
          <w14:textFill>
            <w14:solidFill>
              <w14:schemeClr w14:val="tx1"/>
            </w14:solidFill>
          </w14:textFill>
        </w:rPr>
        <w:t>设计总承包单位：</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(盖单位章)</w:t>
      </w:r>
    </w:p>
    <w:p w14:paraId="78A78728">
      <w:pPr>
        <w:spacing w:line="36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(签字)</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Cs w:val="21"/>
          <w:u w:val="single"/>
          <w:lang w:val="zh-CN"/>
          <w14:textFill>
            <w14:solidFill>
              <w14:schemeClr w14:val="tx1"/>
            </w14:solidFill>
          </w14:textFill>
        </w:rPr>
        <w:t>(签字)</w:t>
      </w:r>
    </w:p>
    <w:p w14:paraId="4DF90DDB">
      <w:pPr>
        <w:spacing w:line="360" w:lineRule="auto"/>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66955C01">
      <w:pPr>
        <w:spacing w:line="360" w:lineRule="auto"/>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年</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月</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lang w:val="zh-CN"/>
          <w14:textFill>
            <w14:solidFill>
              <w14:schemeClr w14:val="tx1"/>
            </w14:solidFill>
          </w14:textFill>
        </w:rPr>
        <w:t>日</w:t>
      </w:r>
    </w:p>
    <w:p w14:paraId="0AF77D37">
      <w:pPr>
        <w:spacing w:line="360" w:lineRule="auto"/>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135F4AE5">
      <w:pPr>
        <w:spacing w:line="360" w:lineRule="auto"/>
        <w:rPr>
          <w:rFonts w:hint="eastAsia" w:asciiTheme="minorEastAsia" w:hAnsiTheme="minorEastAsia" w:eastAsiaTheme="minorEastAsia" w:cstheme="minorEastAsia"/>
          <w:color w:val="000000" w:themeColor="text1"/>
          <w:szCs w:val="21"/>
          <w:lang w:val="zh-CN"/>
          <w14:textFill>
            <w14:solidFill>
              <w14:schemeClr w14:val="tx1"/>
            </w14:solidFill>
          </w14:textFill>
        </w:rPr>
        <w:sectPr>
          <w:pgSz w:w="11911" w:h="16838"/>
          <w:pgMar w:top="1440" w:right="1080" w:bottom="1440" w:left="1080" w:header="0" w:footer="998" w:gutter="0"/>
          <w:pgNumType w:fmt="numberInDash"/>
          <w:cols w:space="0" w:num="1"/>
        </w:sectPr>
      </w:pPr>
      <w:r>
        <w:rPr>
          <w:rFonts w:hint="eastAsia" w:asciiTheme="minorEastAsia" w:hAnsiTheme="minorEastAsia" w:eastAsiaTheme="minorEastAsia" w:cstheme="minorEastAsia"/>
          <w:color w:val="000000" w:themeColor="text1"/>
          <w:szCs w:val="21"/>
          <w:lang w:val="zh-CN"/>
          <w14:textFill>
            <w14:solidFill>
              <w14:schemeClr w14:val="tx1"/>
            </w14:solidFill>
          </w14:textFill>
        </w:rPr>
        <w:t>联合体中标的，联合体各方应共同与招标人签订安全生产合同，就中标项目向招标人承担连带责任。</w:t>
      </w:r>
    </w:p>
    <w:p w14:paraId="2436CAE2">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bookmarkStart w:id="44" w:name="_Toc30137"/>
      <w:bookmarkStart w:id="45" w:name="_Toc27764"/>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附件二：廉政合同</w:t>
      </w:r>
      <w:bookmarkEnd w:id="44"/>
      <w:bookmarkEnd w:id="45"/>
    </w:p>
    <w:p w14:paraId="651216A4">
      <w:pPr>
        <w:autoSpaceDE w:val="0"/>
        <w:autoSpaceDN w:val="0"/>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01FB89EB">
      <w:pPr>
        <w:autoSpaceDE w:val="0"/>
        <w:autoSpaceDN w:val="0"/>
        <w:spacing w:before="34" w:line="360" w:lineRule="auto"/>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廉政合同</w:t>
      </w:r>
    </w:p>
    <w:p w14:paraId="29E6A4E9">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（项目名称）</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的项目法人（项目法人名称，以下简称“发包人”）与该项目的承包单位（承包单位名称，以下简称“承包人”），特订立如下合同。</w:t>
      </w:r>
    </w:p>
    <w:p w14:paraId="10513C64">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1.发包人和承包人双方的权利和义务</w:t>
      </w:r>
    </w:p>
    <w:p w14:paraId="17868639">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（1）严格遵守党的政策规定和国家有关法律法规及交通运输部的有关规定。</w:t>
      </w:r>
    </w:p>
    <w:p w14:paraId="1ED7ED89">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（2）严格执行</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（项目名称）</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合同文件，自觉按合同办事。</w:t>
      </w:r>
    </w:p>
    <w:p w14:paraId="5CC0566B">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（3）双方的业务活动坚持公开、公正、诚信、透明的原则（法律认定的商业秘密和合同文件另有规定除外），不得损害国家和集体利益，不得违反工程建设管理规章制度。</w:t>
      </w:r>
    </w:p>
    <w:p w14:paraId="59C022CF">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（4）建立健全廉政制度，开展廉政教育，设立廉政告示牌，公布举报电话，监督并认真查处违法违纪行为。</w:t>
      </w:r>
    </w:p>
    <w:p w14:paraId="3B04342B">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（5）发现对方在业务活动中有违反廉政规定的行为，有及时提醒对方纠正的权利和义务。</w:t>
      </w:r>
    </w:p>
    <w:p w14:paraId="2B522EB6">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（6）发现对方严重违反本合同义务条款的行为，有向其上级有关部门举报、建议给予处理并要求告知处理结果的权利。</w:t>
      </w:r>
    </w:p>
    <w:p w14:paraId="0AD6D4D6">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2.发包人的义务</w:t>
      </w:r>
    </w:p>
    <w:p w14:paraId="6EAFCB9D">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（1）发包人及其工作人员不得索要或接受承包人的礼金、有价证券和贵重物品，不得让承包人报销任何应由发包人或发包人工作人员个人支付的费用等。</w:t>
      </w:r>
    </w:p>
    <w:p w14:paraId="692336E0">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（2）发包人工作人员不得参加承包人安排的超标准宴请和娱乐活动；不得接受承包人提供的通讯工具、交通工具和高档办公用品等。</w:t>
      </w:r>
    </w:p>
    <w:p w14:paraId="06FD1E7F">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（3）发包人及其工作人员不得要求或者接受承包人为其住房装修、婚丧嫁娶活动、配偶子女的工作安排以及出国出境、旅游等提供方便等。</w:t>
      </w:r>
    </w:p>
    <w:p w14:paraId="3787AFED">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（4）发包人工作人员及其配偶、子女不得从事与发包人工程有关的材料设备供应、工程分包、劳务等经济活动等。</w:t>
      </w:r>
    </w:p>
    <w:p w14:paraId="6B74DD01">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（5）发包人及其工作人员不得以任何理由向承包人推荐分包单位或推销材料，不得要求承包人购买合同规定外的材料和设备。</w:t>
      </w:r>
    </w:p>
    <w:p w14:paraId="7D4F5B42">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（6）发包人工作人员要秉公办事，不准营私舞弊，不准利用职权从事各种个人有偿中介活动和安排个人施工队伍。</w:t>
      </w:r>
    </w:p>
    <w:p w14:paraId="686CE265">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3.承包人的义务</w:t>
      </w:r>
    </w:p>
    <w:p w14:paraId="34361A6E">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（1）承包人不得以任何理由向发包人及其工作人员行贿或馈赠礼金、有价证券、贵重礼品。</w:t>
      </w:r>
    </w:p>
    <w:p w14:paraId="1AA0AA5B">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（2）承包人不得以任何名义为发包人及其工作人员报销应由发包人单位或个人支付的任何费用。</w:t>
      </w:r>
    </w:p>
    <w:p w14:paraId="20B427F9">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（3）承包人不得以任何理由安排发包人工作人员参加超标准宴请及娱乐活动。</w:t>
      </w:r>
    </w:p>
    <w:p w14:paraId="3A6E36CD">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（4）承包人不得为发包人单位和个人购置或提供通讯工具、交通工具和高档办公用品等。</w:t>
      </w:r>
    </w:p>
    <w:p w14:paraId="31392AEB">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4.违约责任</w:t>
      </w:r>
    </w:p>
    <w:p w14:paraId="7930480B">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（1）发包人及其工作人员违反本合同第1、2条，按管理权限，依据有关规定给予党纪、政纪或组织处理；涉嫌犯罪的，移交司法机关追究刑事责任；给承包人单位造成经济损失的，应予以赔偿。</w:t>
      </w:r>
    </w:p>
    <w:p w14:paraId="4C48C38F">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2）承包人及其工作人员违反本合同等1、3条，按管理权限，依据有关规定给予党纪、政纪或组织处理；给发包人单位造成经济损失的，应予以赔偿；情节严重的，发包人建议交通主管部门给予承包人一至三年内不得进入其主管的公路建设市场的处罚。</w:t>
      </w:r>
    </w:p>
    <w:p w14:paraId="1E831EA4">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273B3D51">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6.本合同有效期为发包人和承包人签署之日起至该工程项目竣工验收后止。</w:t>
      </w:r>
    </w:p>
    <w:p w14:paraId="26AC07B2">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7.本合同作为</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（项目名称）</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建设总承包合同的附件，与工程施工合同具有同等的法律效力，经合同双方签署后立即生效。</w:t>
      </w:r>
    </w:p>
    <w:p w14:paraId="30B00524">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8.本合同一式份，由发包人和承包人各执份，送交发包人和承包人的监督单位各一份。</w:t>
      </w:r>
    </w:p>
    <w:p w14:paraId="6BC208DF">
      <w:pPr>
        <w:autoSpaceDE w:val="0"/>
        <w:autoSpaceDN w:val="0"/>
        <w:spacing w:before="9" w:line="360" w:lineRule="auto"/>
        <w:ind w:firstLine="420" w:firstLineChars="200"/>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p>
    <w:p w14:paraId="0DDB4834">
      <w:pPr>
        <w:autoSpaceDE w:val="0"/>
        <w:autoSpaceDN w:val="0"/>
        <w:spacing w:before="9"/>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p>
    <w:p w14:paraId="306DA9AA">
      <w:pPr>
        <w:autoSpaceDE w:val="0"/>
        <w:autoSpaceDN w:val="0"/>
        <w:spacing w:before="9"/>
        <w:jc w:val="left"/>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发包人：</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(盖单位章)</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建设总承包人：</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（盖单位章）</w:t>
      </w:r>
    </w:p>
    <w:p w14:paraId="7A12B020">
      <w:pPr>
        <w:autoSpaceDE w:val="0"/>
        <w:autoSpaceDN w:val="0"/>
        <w:spacing w:before="9"/>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p>
    <w:p w14:paraId="39FBC5DE">
      <w:pPr>
        <w:autoSpaceDE w:val="0"/>
        <w:autoSpaceDN w:val="0"/>
        <w:spacing w:before="9"/>
        <w:jc w:val="left"/>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法定代表人或其委托代理人：</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（签字）</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法定代表人或其委托代理人：</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（签字）</w:t>
      </w:r>
    </w:p>
    <w:p w14:paraId="0AE2B470">
      <w:pPr>
        <w:autoSpaceDE w:val="0"/>
        <w:autoSpaceDN w:val="0"/>
        <w:spacing w:before="9"/>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p>
    <w:p w14:paraId="3630D78C">
      <w:pPr>
        <w:autoSpaceDE w:val="0"/>
        <w:autoSpaceDN w:val="0"/>
        <w:spacing w:before="9"/>
        <w:jc w:val="left"/>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年月日年月日</w:t>
      </w:r>
    </w:p>
    <w:p w14:paraId="0AC9EBCE">
      <w:pPr>
        <w:autoSpaceDE w:val="0"/>
        <w:autoSpaceDN w:val="0"/>
        <w:spacing w:before="9"/>
        <w:jc w:val="left"/>
        <w:rPr>
          <w:rFonts w:hint="eastAsia" w:asciiTheme="minorEastAsia" w:hAnsiTheme="minorEastAsia" w:eastAsiaTheme="minorEastAsia" w:cstheme="minorEastAsia"/>
          <w:bCs/>
          <w:color w:val="000000" w:themeColor="text1"/>
          <w:szCs w:val="21"/>
          <w:lang w:bidi="zh-CN"/>
          <w14:textFill>
            <w14:solidFill>
              <w14:schemeClr w14:val="tx1"/>
            </w14:solidFill>
          </w14:textFill>
        </w:rPr>
      </w:pPr>
    </w:p>
    <w:p w14:paraId="7F67FE6C">
      <w:pPr>
        <w:autoSpaceDE w:val="0"/>
        <w:autoSpaceDN w:val="0"/>
        <w:spacing w:before="9"/>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发包人监督单位：</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（全称）（盖单位章）</w:t>
      </w:r>
      <w:r>
        <w:rPr>
          <w:rFonts w:hint="eastAsia" w:asciiTheme="minorEastAsia" w:hAnsiTheme="minorEastAsia" w:eastAsiaTheme="minorEastAsia" w:cstheme="minorEastAsia"/>
          <w:bCs/>
          <w:color w:val="000000" w:themeColor="text1"/>
          <w:szCs w:val="21"/>
          <w:lang w:val="zh-CN" w:bidi="zh-CN"/>
          <w14:textFill>
            <w14:solidFill>
              <w14:schemeClr w14:val="tx1"/>
            </w14:solidFill>
          </w14:textFill>
        </w:rPr>
        <w:t>设计施工总承包人监督单位：</w:t>
      </w:r>
      <w:r>
        <w:rPr>
          <w:rFonts w:hint="eastAsia" w:asciiTheme="minorEastAsia" w:hAnsiTheme="minorEastAsia" w:eastAsiaTheme="minorEastAsia" w:cstheme="minorEastAsia"/>
          <w:bCs/>
          <w:color w:val="000000" w:themeColor="text1"/>
          <w:szCs w:val="21"/>
          <w:u w:val="single"/>
          <w:lang w:val="zh-CN" w:bidi="zh-CN"/>
          <w14:textFill>
            <w14:solidFill>
              <w14:schemeClr w14:val="tx1"/>
            </w14:solidFill>
          </w14:textFill>
        </w:rPr>
        <w:t>（全称）（盖单位章）</w:t>
      </w:r>
    </w:p>
    <w:p w14:paraId="5398651A">
      <w:pPr>
        <w:autoSpaceDE w:val="0"/>
        <w:autoSpaceDN w:val="0"/>
        <w:spacing w:before="9"/>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186B77A1">
      <w:pPr>
        <w:autoSpaceDE w:val="0"/>
        <w:autoSpaceDN w:val="0"/>
        <w:spacing w:before="9"/>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6DD92584">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3E81247A">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B6128F8">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96DAB54">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F528B75">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CBCEE74">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714C801">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349D5E8">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2A015BF">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026F32F5">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F028A23">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1F7A5635">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3349F29E">
      <w:pPr>
        <w:autoSpaceDE w:val="0"/>
        <w:autoSpaceDN w:val="0"/>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联合体中标的，联合体各方应共同与招标人签订安全生产合同，就中标项目向招标人承担连带责任。</w:t>
      </w:r>
    </w:p>
    <w:p w14:paraId="36ED5630">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A105185">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1546C00">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sectPr>
          <w:footerReference r:id="rId9" w:type="default"/>
          <w:pgSz w:w="11911" w:h="16838"/>
          <w:pgMar w:top="1440" w:right="1080" w:bottom="1440" w:left="1080" w:header="0" w:footer="998" w:gutter="0"/>
          <w:pgNumType w:fmt="numberInDash"/>
          <w:cols w:space="0" w:num="1"/>
        </w:sectPr>
      </w:pPr>
      <w:bookmarkStart w:id="46" w:name="_Toc11892"/>
      <w:bookmarkStart w:id="47" w:name="_Toc11557"/>
    </w:p>
    <w:p w14:paraId="73F20097">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附件三：</w:t>
      </w: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ab/>
      </w: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安全生产合同</w:t>
      </w:r>
      <w:bookmarkEnd w:id="46"/>
      <w:bookmarkEnd w:id="47"/>
    </w:p>
    <w:p w14:paraId="260D985E">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29B1D32">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3BBF934">
      <w:pPr>
        <w:autoSpaceDE w:val="0"/>
        <w:autoSpaceDN w:val="0"/>
        <w:spacing w:before="206" w:line="360" w:lineRule="auto"/>
        <w:ind w:left="3769" w:firstLine="241" w:firstLineChars="100"/>
        <w:jc w:val="left"/>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安全生产合同</w:t>
      </w:r>
    </w:p>
    <w:p w14:paraId="1D542B6A">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为在</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（项目名称）</w:t>
      </w: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建设总承包的实施过程中创造安全、高效的施工环境，切实搞好本项目的安全管理工作，本项目发包人（发包人名称，以下简称“发包人”）与承包人（承包人名称，以下简称“承包人”）特此签订安全生产合同：</w:t>
      </w:r>
    </w:p>
    <w:p w14:paraId="41124E16">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1.发包人职责</w:t>
      </w:r>
    </w:p>
    <w:p w14:paraId="764A6DE4">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（1）严格遵守国家有关安全生产的法律法规，认真执行工程承包合同中的有关安全要求。</w:t>
      </w:r>
    </w:p>
    <w:p w14:paraId="2066C41C">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（2）按照“安全第一、预防为主”和坚持“管生产必须管安全”的原则进行安全生产管理，做到生产与安全工作同时计划、布置、检查、总结和评比。</w:t>
      </w:r>
    </w:p>
    <w:p w14:paraId="217E1873">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（3）重要的安全设施必须坚持与主体工程“三同时”的原则，即：同时设计、审批，同时施工，同时验收、投入使用。</w:t>
      </w:r>
    </w:p>
    <w:p w14:paraId="7D7CC90B">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（4）定期召开安全生产调度会，及时传达中央及地方有关安全生产的精神。</w:t>
      </w:r>
    </w:p>
    <w:p w14:paraId="37399FF6">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（5）组织对承包人施工现场进行安全生产检查，监督承包人及时处理发现的各种安全隐患。</w:t>
      </w:r>
    </w:p>
    <w:p w14:paraId="38BA68AC">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2.承包人职责</w:t>
      </w:r>
    </w:p>
    <w:p w14:paraId="624E7330">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（1）严格遵守《中华人民共和国安全生产法》、《建设工程安全生产管理条例》等国家有关安全生产的法律法规、《公路水运工程安全生产监督管理办法》、</w:t>
      </w:r>
    </w:p>
    <w:p w14:paraId="76A5D712">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《公路工程施工安全技术规程》和《公路筑养路机械操作规程》等有关安全生产的规定。认真执行工程承包合同中的有关安全要求。</w:t>
      </w:r>
    </w:p>
    <w:p w14:paraId="5338B730">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41D88AC6">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3）建立健全安全生产责任制。从派往项目实施的项目经理到生产人员（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与预防事故的发生。安全机构人员有权按有关规定发布指令，并采取保护性措施防止事故发生。</w:t>
      </w:r>
    </w:p>
    <w:p w14:paraId="2B509BB5">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（4）承包人在任何时候都应采取各种合理的预防措施，防止其员工发生任何违法、违禁、暴力或妨碍治安的行为。</w:t>
      </w:r>
    </w:p>
    <w:p w14:paraId="4E72370F">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EB71F28">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6）对于易燃易爆的材料除应专门妥善保管之外，还应配备足够的消防设施，所有施工人员都应熟悉消防设备的性能和使用方法；承包人不得将任何种类的爆炸物给予、易货或以其他方式转让给任何其他人，或允许、容忍上述同样行为。</w:t>
      </w:r>
    </w:p>
    <w:p w14:paraId="2232F9CE">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（7）操作人员上岗，必须按规定穿戴防护用品。项目经理和安全检查员应随时检查劳动防护用品的穿戴情况，不按规定穿戴防护用品的人员不得上岗。</w:t>
      </w:r>
    </w:p>
    <w:p w14:paraId="18A61720">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（8）所有施工机具设备和高空作业的设备均应定期检查，并有安全员的签字记录，保证其经常处于完好状态；不合格的机具、设备和劳动保护用品严禁使用。</w:t>
      </w:r>
    </w:p>
    <w:p w14:paraId="36D1DE73">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（9）施工中采用新技术、新工艺、新设备、新材料时，必须制定相应的安全技术措施，施工现场必须具有相关的安全标志牌。</w:t>
      </w:r>
    </w:p>
    <w:p w14:paraId="2C4FA19E">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05F7FAF3">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（11）安全生产费用按照《公路水运工程安全生产监督管理办法》的相关规定使用和管理。</w:t>
      </w:r>
    </w:p>
    <w:p w14:paraId="1562F9DF">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3.违约责任</w:t>
      </w:r>
    </w:p>
    <w:p w14:paraId="11189F54">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如因发包人或承包人违约造成安全事故，将依法追究责任。</w:t>
      </w:r>
    </w:p>
    <w:p w14:paraId="78A51FA5">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4.本合同由双方法定代表人或其授权的代理人签署并加盖单位章后生效，全部工程竣工验收后失效。</w:t>
      </w:r>
    </w:p>
    <w:p w14:paraId="71BBFDBE">
      <w:pPr>
        <w:autoSpaceDE w:val="0"/>
        <w:autoSpaceDN w:val="0"/>
        <w:spacing w:line="360" w:lineRule="auto"/>
        <w:ind w:firstLine="42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5.本合同一式份，合同双方各执份。</w:t>
      </w:r>
    </w:p>
    <w:p w14:paraId="54024527">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623CEFE">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6C8E0B5">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3615219">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7977AD2">
      <w:pPr>
        <w:autoSpaceDE w:val="0"/>
        <w:autoSpaceDN w:val="0"/>
        <w:jc w:val="left"/>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发包人：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(盖单位章)</w:t>
      </w: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承包人：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（盖单位章）</w:t>
      </w:r>
    </w:p>
    <w:p w14:paraId="094FC04E">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391271C">
      <w:pPr>
        <w:autoSpaceDE w:val="0"/>
        <w:autoSpaceDN w:val="0"/>
        <w:jc w:val="left"/>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（签字）</w:t>
      </w: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（签字）</w:t>
      </w:r>
    </w:p>
    <w:p w14:paraId="02962E8C">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6846E60">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年月日年月日</w:t>
      </w:r>
    </w:p>
    <w:p w14:paraId="318B3797">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4E056C0">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6D6CD4BF">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032A8ACB">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121B3456">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38B38FA0">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联合体中标的，联合体各方应共同与招标人签订安全生产合同，就中标项目向招标人承担连带责任。</w:t>
      </w:r>
    </w:p>
    <w:p w14:paraId="5B99C96F">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35D19F23">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45D2C633">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420A6D1E">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2508E287">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032D4A89">
      <w:pPr>
        <w:jc w:val="center"/>
        <w:rPr>
          <w:rFonts w:hint="eastAsia" w:asciiTheme="minorEastAsia" w:hAnsiTheme="minorEastAsia" w:eastAsiaTheme="minorEastAsia" w:cstheme="minorEastAsia"/>
          <w:color w:val="000000" w:themeColor="text1"/>
          <w:sz w:val="24"/>
          <w14:textFill>
            <w14:solidFill>
              <w14:schemeClr w14:val="tx1"/>
            </w14:solidFill>
          </w14:textFill>
        </w:rPr>
        <w:sectPr>
          <w:pgSz w:w="11911" w:h="16838"/>
          <w:pgMar w:top="1440" w:right="1080" w:bottom="1440" w:left="1080" w:header="0" w:footer="998" w:gutter="0"/>
          <w:pgNumType w:fmt="numberInDash"/>
          <w:cols w:space="0" w:num="1"/>
        </w:sectPr>
      </w:pPr>
    </w:p>
    <w:p w14:paraId="1F7FEB77">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bidi="zh-CN"/>
          <w14:textFill>
            <w14:solidFill>
              <w14:schemeClr w14:val="tx1"/>
            </w14:solidFill>
          </w14:textFill>
        </w:rPr>
        <w:t>附件四：</w:t>
      </w: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其他管理人员和技术人员最低要求</w:t>
      </w:r>
    </w:p>
    <w:p w14:paraId="09790322">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p>
    <w:p w14:paraId="0279ED19">
      <w:pPr>
        <w:autoSpaceDE w:val="0"/>
        <w:autoSpaceDN w:val="0"/>
        <w:spacing w:line="360" w:lineRule="auto"/>
        <w:jc w:val="center"/>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其他管理人员和技术人员最低要求</w:t>
      </w:r>
    </w:p>
    <w:tbl>
      <w:tblPr>
        <w:tblStyle w:val="21"/>
        <w:tblW w:w="97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54"/>
        <w:gridCol w:w="2239"/>
        <w:gridCol w:w="4766"/>
      </w:tblGrid>
      <w:tr w14:paraId="641F8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vAlign w:val="center"/>
          </w:tcPr>
          <w:p w14:paraId="1A897EF9">
            <w:pPr>
              <w:jc w:val="cente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人员</w:t>
            </w:r>
          </w:p>
        </w:tc>
        <w:tc>
          <w:tcPr>
            <w:tcW w:w="2239" w:type="dxa"/>
            <w:vAlign w:val="center"/>
          </w:tcPr>
          <w:p w14:paraId="27D8D45A">
            <w:pPr>
              <w:jc w:val="cente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数量</w:t>
            </w:r>
          </w:p>
        </w:tc>
        <w:tc>
          <w:tcPr>
            <w:tcW w:w="4766" w:type="dxa"/>
            <w:vAlign w:val="center"/>
          </w:tcPr>
          <w:p w14:paraId="44574C86">
            <w:pPr>
              <w:jc w:val="cente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资格要求</w:t>
            </w:r>
          </w:p>
        </w:tc>
      </w:tr>
      <w:tr w14:paraId="29C24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shd w:val="clear" w:color="auto" w:fill="auto"/>
            <w:vAlign w:val="center"/>
          </w:tcPr>
          <w:p w14:paraId="637F3FEA">
            <w:pPr>
              <w:jc w:val="cente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勘察负责人</w:t>
            </w:r>
          </w:p>
        </w:tc>
        <w:tc>
          <w:tcPr>
            <w:tcW w:w="2239" w:type="dxa"/>
            <w:shd w:val="clear" w:color="auto" w:fill="auto"/>
            <w:vAlign w:val="center"/>
          </w:tcPr>
          <w:p w14:paraId="57DEF3CB">
            <w:pPr>
              <w:jc w:val="cente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1</w:t>
            </w:r>
          </w:p>
        </w:tc>
        <w:tc>
          <w:tcPr>
            <w:tcW w:w="4766" w:type="dxa"/>
            <w:shd w:val="clear" w:color="auto" w:fill="auto"/>
            <w:vAlign w:val="center"/>
          </w:tcPr>
          <w:p w14:paraId="00EAD74D">
            <w:pPr>
              <w:jc w:val="left"/>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路桥相关专业工程师或以上职称，至少5年从事路桥工程勘察管理工作。</w:t>
            </w:r>
          </w:p>
        </w:tc>
      </w:tr>
      <w:tr w14:paraId="3822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shd w:val="clear" w:color="auto" w:fill="auto"/>
            <w:vAlign w:val="center"/>
          </w:tcPr>
          <w:p w14:paraId="28096DE3">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质检工程师</w:t>
            </w:r>
          </w:p>
        </w:tc>
        <w:tc>
          <w:tcPr>
            <w:tcW w:w="2239" w:type="dxa"/>
            <w:shd w:val="clear" w:color="auto" w:fill="auto"/>
            <w:vAlign w:val="center"/>
          </w:tcPr>
          <w:p w14:paraId="0CC9725D">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2735058C">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路桥相关专业工程师，至少3年工作经验。</w:t>
            </w:r>
          </w:p>
        </w:tc>
      </w:tr>
      <w:tr w14:paraId="049B8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2754" w:type="dxa"/>
            <w:shd w:val="clear" w:color="auto" w:fill="auto"/>
            <w:vAlign w:val="center"/>
          </w:tcPr>
          <w:p w14:paraId="1EEED2BE">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道路工程师</w:t>
            </w:r>
          </w:p>
        </w:tc>
        <w:tc>
          <w:tcPr>
            <w:tcW w:w="2239" w:type="dxa"/>
            <w:shd w:val="clear" w:color="auto" w:fill="auto"/>
            <w:vAlign w:val="center"/>
          </w:tcPr>
          <w:p w14:paraId="4B179106">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62237064">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路桥相关专业工程师，至少3年工作经验。</w:t>
            </w:r>
          </w:p>
        </w:tc>
      </w:tr>
      <w:tr w14:paraId="54975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shd w:val="clear" w:color="auto" w:fill="auto"/>
            <w:vAlign w:val="center"/>
          </w:tcPr>
          <w:p w14:paraId="5D3D73E1">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桥梁工程师</w:t>
            </w:r>
          </w:p>
        </w:tc>
        <w:tc>
          <w:tcPr>
            <w:tcW w:w="2239" w:type="dxa"/>
            <w:shd w:val="clear" w:color="auto" w:fill="auto"/>
            <w:vAlign w:val="center"/>
          </w:tcPr>
          <w:p w14:paraId="19935DD3">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45832E62">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路桥相关专业工程师，至少3年工作经验。</w:t>
            </w:r>
          </w:p>
        </w:tc>
      </w:tr>
      <w:tr w14:paraId="7FBF7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8" w:hRule="atLeast"/>
          <w:jc w:val="center"/>
        </w:trPr>
        <w:tc>
          <w:tcPr>
            <w:tcW w:w="2754" w:type="dxa"/>
            <w:shd w:val="clear" w:color="auto" w:fill="auto"/>
            <w:vAlign w:val="center"/>
          </w:tcPr>
          <w:p w14:paraId="4C1B84AF">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计划工程师</w:t>
            </w:r>
          </w:p>
        </w:tc>
        <w:tc>
          <w:tcPr>
            <w:tcW w:w="2239" w:type="dxa"/>
            <w:shd w:val="clear" w:color="auto" w:fill="auto"/>
            <w:vAlign w:val="center"/>
          </w:tcPr>
          <w:p w14:paraId="56BE0F5B">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545FF178">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具有住房和城乡建设部颁发的注册造价工程师证书或二级造价工程师注册证（土木建筑工程专业），或交通运输部（原交通部）颁发的乙级造价人员证书或二级造价工程师注册证（交通运输工程专业）。</w:t>
            </w:r>
          </w:p>
        </w:tc>
      </w:tr>
      <w:tr w14:paraId="2FA12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2754" w:type="dxa"/>
            <w:shd w:val="clear" w:color="auto" w:fill="auto"/>
            <w:vAlign w:val="center"/>
          </w:tcPr>
          <w:p w14:paraId="6FA56629">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测量工程师</w:t>
            </w:r>
          </w:p>
        </w:tc>
        <w:tc>
          <w:tcPr>
            <w:tcW w:w="2239" w:type="dxa"/>
            <w:shd w:val="clear" w:color="auto" w:fill="auto"/>
            <w:vAlign w:val="center"/>
          </w:tcPr>
          <w:p w14:paraId="374D2F80">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27241E0A">
            <w:pPr>
              <w:jc w:val="left"/>
              <w:rPr>
                <w:rFonts w:hint="eastAsia" w:asciiTheme="minorEastAsia" w:hAnsiTheme="minorEastAsia" w:eastAsiaTheme="minorEastAsia" w:cstheme="minorEastAsia"/>
                <w:bCs/>
                <w:color w:val="000000" w:themeColor="text1"/>
                <w:kern w:val="0"/>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w:t>
            </w:r>
          </w:p>
        </w:tc>
      </w:tr>
      <w:tr w14:paraId="78609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2754" w:type="dxa"/>
            <w:shd w:val="clear" w:color="auto" w:fill="auto"/>
            <w:vAlign w:val="center"/>
          </w:tcPr>
          <w:p w14:paraId="542D233F">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专职安全生产管理人员</w:t>
            </w:r>
          </w:p>
        </w:tc>
        <w:tc>
          <w:tcPr>
            <w:tcW w:w="2239" w:type="dxa"/>
            <w:shd w:val="clear" w:color="auto" w:fill="auto"/>
            <w:vAlign w:val="center"/>
          </w:tcPr>
          <w:p w14:paraId="62AE0399">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48CCEB02">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具有交通主管部门颁发的有效安全生产“三类人员”C类证书。</w:t>
            </w:r>
          </w:p>
        </w:tc>
      </w:tr>
      <w:tr w14:paraId="41278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shd w:val="clear" w:color="auto" w:fill="auto"/>
            <w:vAlign w:val="center"/>
          </w:tcPr>
          <w:p w14:paraId="2BAE694E">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路线设计人员</w:t>
            </w:r>
          </w:p>
        </w:tc>
        <w:tc>
          <w:tcPr>
            <w:tcW w:w="2239" w:type="dxa"/>
            <w:shd w:val="clear" w:color="auto" w:fill="auto"/>
            <w:vAlign w:val="center"/>
          </w:tcPr>
          <w:p w14:paraId="5D0A95D9">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7A238EBA">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w:t>
            </w:r>
          </w:p>
        </w:tc>
      </w:tr>
      <w:tr w14:paraId="507A4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754" w:type="dxa"/>
            <w:shd w:val="clear" w:color="auto" w:fill="auto"/>
            <w:vAlign w:val="center"/>
          </w:tcPr>
          <w:p w14:paraId="2392EB05">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路基路面设计人员</w:t>
            </w:r>
          </w:p>
        </w:tc>
        <w:tc>
          <w:tcPr>
            <w:tcW w:w="2239" w:type="dxa"/>
            <w:shd w:val="clear" w:color="auto" w:fill="auto"/>
            <w:vAlign w:val="center"/>
          </w:tcPr>
          <w:p w14:paraId="564EF296">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2DBD412E">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w:t>
            </w:r>
          </w:p>
        </w:tc>
      </w:tr>
      <w:tr w14:paraId="614EC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2754" w:type="dxa"/>
            <w:shd w:val="clear" w:color="auto" w:fill="auto"/>
            <w:vAlign w:val="center"/>
          </w:tcPr>
          <w:p w14:paraId="7F4DF674">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桥涵设计人员</w:t>
            </w:r>
          </w:p>
        </w:tc>
        <w:tc>
          <w:tcPr>
            <w:tcW w:w="2239" w:type="dxa"/>
            <w:shd w:val="clear" w:color="auto" w:fill="auto"/>
            <w:vAlign w:val="center"/>
          </w:tcPr>
          <w:p w14:paraId="6CF4C2F7">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04E85D45">
            <w:pPr>
              <w:jc w:val="left"/>
              <w:rPr>
                <w:rFonts w:hint="eastAsia" w:asciiTheme="minorEastAsia" w:hAnsiTheme="minorEastAsia" w:eastAsiaTheme="minorEastAsia" w:cstheme="minorEastAsia"/>
                <w:bCs/>
                <w:color w:val="000000" w:themeColor="text1"/>
                <w:kern w:val="0"/>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w:t>
            </w:r>
          </w:p>
        </w:tc>
      </w:tr>
      <w:tr w14:paraId="24FCF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2754" w:type="dxa"/>
            <w:shd w:val="clear" w:color="auto" w:fill="auto"/>
            <w:vAlign w:val="center"/>
          </w:tcPr>
          <w:p w14:paraId="25C06812">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设计造价人员</w:t>
            </w:r>
          </w:p>
        </w:tc>
        <w:tc>
          <w:tcPr>
            <w:tcW w:w="2239" w:type="dxa"/>
            <w:shd w:val="clear" w:color="auto" w:fill="auto"/>
            <w:vAlign w:val="center"/>
          </w:tcPr>
          <w:p w14:paraId="61653AC0">
            <w:pPr>
              <w:jc w:val="center"/>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4766" w:type="dxa"/>
            <w:shd w:val="clear" w:color="auto" w:fill="auto"/>
            <w:vAlign w:val="center"/>
          </w:tcPr>
          <w:p w14:paraId="038BCB25">
            <w:pPr>
              <w:jc w:val="left"/>
              <w:rPr>
                <w:rFonts w:hint="eastAsia" w:asciiTheme="minorEastAsia" w:hAnsiTheme="minorEastAsia" w:eastAsiaTheme="minorEastAsia" w:cstheme="minorEastAsia"/>
                <w:color w:val="000000" w:themeColor="text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路桥相关专业工程师。</w:t>
            </w:r>
          </w:p>
        </w:tc>
      </w:tr>
    </w:tbl>
    <w:p w14:paraId="17138427">
      <w:pPr>
        <w:jc w:val="left"/>
        <w:rPr>
          <w:rFonts w:hint="eastAsia" w:asciiTheme="minorEastAsia" w:hAnsiTheme="minorEastAsia" w:eastAsiaTheme="minorEastAsia" w:cstheme="minorEastAsia"/>
          <w:color w:val="000000" w:themeColor="text1"/>
          <w:szCs w:val="21"/>
          <w14:textFill>
            <w14:solidFill>
              <w14:schemeClr w14:val="tx1"/>
            </w14:solidFill>
          </w14:textFill>
        </w:rPr>
      </w:pPr>
    </w:p>
    <w:p w14:paraId="62C180B1">
      <w:pPr>
        <w:ind w:firstLine="301" w:firstLineChars="143"/>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注：1、本表所要求人员须按投标文件投标函的格式承诺，投标阶段无需提供证明材料，中标人在进场前向招标人提交实际投入的人员。</w:t>
      </w:r>
    </w:p>
    <w:p w14:paraId="3472ECCE">
      <w:pPr>
        <w:ind w:firstLine="301" w:firstLineChars="143"/>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2、投标人中标后专职安全生产管理人员的配备应按照交通部《公路水运工程安全生产监督管理办法》的要求执行。招标人可根据项目的工期和进度，按规定设置最低的专职安全生产管理人员数量要求。</w:t>
      </w:r>
    </w:p>
    <w:p w14:paraId="37F360E5">
      <w:pPr>
        <w:ind w:firstLine="301" w:firstLineChars="143"/>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3、试验相关人员的配备应符合《广东省公路工程施工标准化指南》的要求。</w:t>
      </w:r>
    </w:p>
    <w:p w14:paraId="64432D89">
      <w:pPr>
        <w:autoSpaceDE w:val="0"/>
        <w:autoSpaceDN w:val="0"/>
        <w:spacing w:before="34"/>
        <w:jc w:val="left"/>
        <w:outlineLvl w:val="2"/>
        <w:rPr>
          <w:rFonts w:hint="eastAsia" w:asciiTheme="minorEastAsia" w:hAnsiTheme="minorEastAsia" w:eastAsiaTheme="minorEastAsia" w:cstheme="minorEastAsia"/>
          <w:b/>
          <w:bCs/>
          <w:color w:val="000000" w:themeColor="text1"/>
          <w:szCs w:val="21"/>
          <w:lang w:bidi="zh-CN"/>
          <w14:textFill>
            <w14:solidFill>
              <w14:schemeClr w14:val="tx1"/>
            </w14:solidFill>
          </w14:textFill>
        </w:rPr>
        <w:sectPr>
          <w:pgSz w:w="11911" w:h="16838"/>
          <w:pgMar w:top="1440" w:right="1080" w:bottom="1440" w:left="1080" w:header="0" w:footer="998" w:gutter="0"/>
          <w:pgNumType w:fmt="numberInDash"/>
          <w:cols w:space="0" w:num="1"/>
        </w:sectPr>
      </w:pPr>
    </w:p>
    <w:p w14:paraId="5D25EAB7">
      <w:pPr>
        <w:autoSpaceDE w:val="0"/>
        <w:autoSpaceDN w:val="0"/>
        <w:spacing w:line="360" w:lineRule="auto"/>
        <w:jc w:val="center"/>
        <w:rPr>
          <w:rFonts w:hint="eastAsia" w:asciiTheme="minorEastAsia" w:hAnsiTheme="minorEastAsia" w:eastAsiaTheme="minorEastAsia" w:cstheme="minorEastAsia"/>
          <w:b/>
          <w:bCs/>
          <w:color w:val="000000" w:themeColor="text1"/>
          <w:sz w:val="24"/>
          <w:lang w:val="zh-CN" w:eastAsia="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eastAsia="zh-CN" w:bidi="zh-CN"/>
          <w14:textFill>
            <w14:solidFill>
              <w14:schemeClr w14:val="tx1"/>
            </w14:solidFill>
          </w14:textFill>
        </w:rPr>
        <w:t>拟投入本项目的其他管理人员和技术人员表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4"/>
        <w:gridCol w:w="1532"/>
        <w:gridCol w:w="3260"/>
        <w:gridCol w:w="1998"/>
      </w:tblGrid>
      <w:tr w14:paraId="1366A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14E63486">
            <w:pPr>
              <w:widowControl w:val="0"/>
              <w:autoSpaceDE w:val="0"/>
              <w:autoSpaceDN w:val="0"/>
              <w:adjustRightInd w:val="0"/>
              <w:spacing w:before="142"/>
              <w:ind w:left="764" w:right="649"/>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sz w:val="21"/>
                <w:szCs w:val="21"/>
                <w:highlight w:val="none"/>
                <w:lang w:val="zh-CN" w:eastAsia="zh-CN" w:bidi="zh-CN"/>
                <w14:textFill>
                  <w14:solidFill>
                    <w14:schemeClr w14:val="tx1"/>
                  </w14:solidFill>
                </w14:textFill>
              </w:rPr>
              <w:t xml:space="preserve">岗位 </w:t>
            </w:r>
          </w:p>
        </w:tc>
        <w:tc>
          <w:tcPr>
            <w:tcW w:w="1532" w:type="dxa"/>
          </w:tcPr>
          <w:p w14:paraId="70547A05">
            <w:pPr>
              <w:widowControl w:val="0"/>
              <w:autoSpaceDE w:val="0"/>
              <w:autoSpaceDN w:val="0"/>
              <w:adjustRightInd w:val="0"/>
              <w:spacing w:before="142"/>
              <w:ind w:left="587" w:right="474"/>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sz w:val="21"/>
                <w:szCs w:val="21"/>
                <w:highlight w:val="none"/>
                <w:lang w:val="zh-CN" w:eastAsia="zh-CN" w:bidi="zh-CN"/>
                <w14:textFill>
                  <w14:solidFill>
                    <w14:schemeClr w14:val="tx1"/>
                  </w14:solidFill>
                </w14:textFill>
              </w:rPr>
              <w:t xml:space="preserve">姓名 </w:t>
            </w:r>
          </w:p>
        </w:tc>
        <w:tc>
          <w:tcPr>
            <w:tcW w:w="3260" w:type="dxa"/>
          </w:tcPr>
          <w:p w14:paraId="0BD0A135">
            <w:pPr>
              <w:widowControl w:val="0"/>
              <w:autoSpaceDE w:val="0"/>
              <w:autoSpaceDN w:val="0"/>
              <w:adjustRightInd w:val="0"/>
              <w:spacing w:before="142"/>
              <w:ind w:left="1242" w:right="1128"/>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sz w:val="21"/>
                <w:szCs w:val="21"/>
                <w:highlight w:val="none"/>
                <w:lang w:val="zh-CN" w:eastAsia="zh-CN" w:bidi="zh-CN"/>
                <w14:textFill>
                  <w14:solidFill>
                    <w14:schemeClr w14:val="tx1"/>
                  </w14:solidFill>
                </w14:textFill>
              </w:rPr>
              <w:t xml:space="preserve">身份证号 </w:t>
            </w:r>
          </w:p>
        </w:tc>
        <w:tc>
          <w:tcPr>
            <w:tcW w:w="1998" w:type="dxa"/>
          </w:tcPr>
          <w:p w14:paraId="56FFBD06">
            <w:pPr>
              <w:widowControl w:val="0"/>
              <w:autoSpaceDE w:val="0"/>
              <w:autoSpaceDN w:val="0"/>
              <w:adjustRightInd w:val="0"/>
              <w:spacing w:before="142"/>
              <w:ind w:left="819" w:right="709"/>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sz w:val="21"/>
                <w:szCs w:val="21"/>
                <w:highlight w:val="none"/>
                <w:lang w:val="zh-CN" w:eastAsia="zh-CN" w:bidi="zh-CN"/>
                <w14:textFill>
                  <w14:solidFill>
                    <w14:schemeClr w14:val="tx1"/>
                  </w14:solidFill>
                </w14:textFill>
              </w:rPr>
              <w:t xml:space="preserve">备注 </w:t>
            </w:r>
          </w:p>
        </w:tc>
      </w:tr>
      <w:tr w14:paraId="5287D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78291714">
            <w:pPr>
              <w:widowControl w:val="0"/>
              <w:autoSpaceDE w:val="0"/>
              <w:autoSpaceDN w:val="0"/>
              <w:adjustRightInd w:val="0"/>
              <w:spacing w:before="145"/>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5DF28799">
            <w:pPr>
              <w:widowControl w:val="0"/>
              <w:autoSpaceDE w:val="0"/>
              <w:autoSpaceDN w:val="0"/>
              <w:adjustRightInd w:val="0"/>
              <w:spacing w:before="145"/>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0A88253D">
            <w:pPr>
              <w:widowControl w:val="0"/>
              <w:autoSpaceDE w:val="0"/>
              <w:autoSpaceDN w:val="0"/>
              <w:adjustRightInd w:val="0"/>
              <w:spacing w:before="145"/>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15EA4884">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47FDA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884" w:type="dxa"/>
          </w:tcPr>
          <w:p w14:paraId="2426EF42">
            <w:pPr>
              <w:widowControl w:val="0"/>
              <w:autoSpaceDE w:val="0"/>
              <w:autoSpaceDN w:val="0"/>
              <w:adjustRightInd w:val="0"/>
              <w:spacing w:before="145"/>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3D7C0521">
            <w:pPr>
              <w:widowControl w:val="0"/>
              <w:autoSpaceDE w:val="0"/>
              <w:autoSpaceDN w:val="0"/>
              <w:adjustRightInd w:val="0"/>
              <w:spacing w:before="145"/>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26F3BAFB">
            <w:pPr>
              <w:widowControl w:val="0"/>
              <w:autoSpaceDE w:val="0"/>
              <w:autoSpaceDN w:val="0"/>
              <w:adjustRightInd w:val="0"/>
              <w:spacing w:before="145"/>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49496115">
            <w:pPr>
              <w:widowControl w:val="0"/>
              <w:autoSpaceDE w:val="0"/>
              <w:autoSpaceDN w:val="0"/>
              <w:adjustRightInd w:val="0"/>
              <w:spacing w:before="3"/>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64C95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0FF54DEF">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669AC770">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369F9CAC">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0AC4A245">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0FC3C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5ADAB176">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7271CD27">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2A27BAEB">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0DF9A2F4">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0AE25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1884" w:type="dxa"/>
          </w:tcPr>
          <w:p w14:paraId="618AEBE9">
            <w:pPr>
              <w:widowControl w:val="0"/>
              <w:autoSpaceDE w:val="0"/>
              <w:autoSpaceDN w:val="0"/>
              <w:adjustRightInd w:val="0"/>
              <w:spacing w:before="145"/>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56E3F946">
            <w:pPr>
              <w:widowControl w:val="0"/>
              <w:autoSpaceDE w:val="0"/>
              <w:autoSpaceDN w:val="0"/>
              <w:adjustRightInd w:val="0"/>
              <w:spacing w:before="145"/>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19DFACD0">
            <w:pPr>
              <w:widowControl w:val="0"/>
              <w:autoSpaceDE w:val="0"/>
              <w:autoSpaceDN w:val="0"/>
              <w:adjustRightInd w:val="0"/>
              <w:spacing w:before="145"/>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78F6EFDE">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08F11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55B95712">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620F9081">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564F05C3">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4A00D03E">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04A1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6E1FE611">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31FE5A9D">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22D011BA">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70A83FE7">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3A44E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61B8AD83">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45B0F8F2">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22162C7B">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56C4DDE5">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36802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884" w:type="dxa"/>
          </w:tcPr>
          <w:p w14:paraId="5CA5F710">
            <w:pPr>
              <w:widowControl w:val="0"/>
              <w:autoSpaceDE w:val="0"/>
              <w:autoSpaceDN w:val="0"/>
              <w:adjustRightInd w:val="0"/>
              <w:spacing w:before="145"/>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14D304CC">
            <w:pPr>
              <w:widowControl w:val="0"/>
              <w:autoSpaceDE w:val="0"/>
              <w:autoSpaceDN w:val="0"/>
              <w:adjustRightInd w:val="0"/>
              <w:spacing w:before="145"/>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46D7162A">
            <w:pPr>
              <w:widowControl w:val="0"/>
              <w:autoSpaceDE w:val="0"/>
              <w:autoSpaceDN w:val="0"/>
              <w:adjustRightInd w:val="0"/>
              <w:spacing w:before="145"/>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1B952AEB">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r w14:paraId="52DD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1884" w:type="dxa"/>
          </w:tcPr>
          <w:p w14:paraId="449F23C0">
            <w:pPr>
              <w:widowControl w:val="0"/>
              <w:autoSpaceDE w:val="0"/>
              <w:autoSpaceDN w:val="0"/>
              <w:adjustRightInd w:val="0"/>
              <w:spacing w:before="142"/>
              <w:ind w:left="112"/>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532" w:type="dxa"/>
          </w:tcPr>
          <w:p w14:paraId="0BAE607F">
            <w:pPr>
              <w:widowControl w:val="0"/>
              <w:autoSpaceDE w:val="0"/>
              <w:autoSpaceDN w:val="0"/>
              <w:adjustRightInd w:val="0"/>
              <w:spacing w:before="142"/>
              <w:ind w:left="115"/>
              <w:jc w:val="center"/>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3260" w:type="dxa"/>
          </w:tcPr>
          <w:p w14:paraId="16D73C7E">
            <w:pPr>
              <w:widowControl w:val="0"/>
              <w:autoSpaceDE w:val="0"/>
              <w:autoSpaceDN w:val="0"/>
              <w:adjustRightInd w:val="0"/>
              <w:spacing w:before="142"/>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c>
          <w:tcPr>
            <w:tcW w:w="1998" w:type="dxa"/>
          </w:tcPr>
          <w:p w14:paraId="6ABEC69D">
            <w:pPr>
              <w:widowControl w:val="0"/>
              <w:autoSpaceDE w:val="0"/>
              <w:autoSpaceDN w:val="0"/>
              <w:adjustRightInd w:val="0"/>
              <w:spacing w:before="1"/>
              <w:ind w:left="107"/>
              <w:rPr>
                <w:rFonts w:hint="eastAsia" w:ascii="宋体" w:hAnsi="宋体" w:eastAsia="宋体" w:cs="宋体"/>
                <w:color w:val="000000" w:themeColor="text1"/>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w w:val="100"/>
                <w:sz w:val="21"/>
                <w:szCs w:val="21"/>
                <w:highlight w:val="none"/>
                <w:lang w:val="zh-CN" w:eastAsia="zh-CN" w:bidi="zh-CN"/>
                <w14:textFill>
                  <w14:solidFill>
                    <w14:schemeClr w14:val="tx1"/>
                  </w14:solidFill>
                </w14:textFill>
              </w:rPr>
              <w:t xml:space="preserve"> </w:t>
            </w:r>
          </w:p>
        </w:tc>
      </w:tr>
    </w:tbl>
    <w:p w14:paraId="3362B5E6">
      <w:pPr>
        <w:widowControl w:val="0"/>
        <w:autoSpaceDE w:val="0"/>
        <w:autoSpaceDN w:val="0"/>
        <w:spacing w:before="7" w:after="0" w:line="240" w:lineRule="auto"/>
        <w:ind w:left="0" w:right="0"/>
        <w:jc w:val="left"/>
        <w:rPr>
          <w:rFonts w:hint="eastAsia" w:ascii="宋体" w:hAnsi="宋体" w:eastAsia="宋体" w:cs="宋体"/>
          <w:b/>
          <w:color w:val="000000" w:themeColor="text1"/>
          <w:sz w:val="21"/>
          <w:szCs w:val="21"/>
          <w:highlight w:val="none"/>
          <w:lang w:val="zh-CN" w:eastAsia="zh-CN" w:bidi="zh-CN"/>
          <w14:textFill>
            <w14:solidFill>
              <w14:schemeClr w14:val="tx1"/>
            </w14:solidFill>
          </w14:textFill>
        </w:rPr>
      </w:pPr>
    </w:p>
    <w:p w14:paraId="6B7DEB0B">
      <w:pPr>
        <w:ind w:firstLine="422"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sectPr>
          <w:pgSz w:w="11911" w:h="16838"/>
          <w:pgMar w:top="1440" w:right="1080" w:bottom="1440" w:left="1080" w:header="0" w:footer="998" w:gutter="0"/>
          <w:pgNumType w:fmt="numberInDash"/>
          <w:cols w:space="0" w:num="1"/>
        </w:sectPr>
      </w:pPr>
    </w:p>
    <w:p w14:paraId="3694AE92">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bidi="zh-CN"/>
          <w14:textFill>
            <w14:solidFill>
              <w14:schemeClr w14:val="tx1"/>
            </w14:solidFill>
          </w14:textFill>
        </w:rPr>
        <w:t>附件五：主要设备最低要求</w:t>
      </w:r>
    </w:p>
    <w:p w14:paraId="00F9F574">
      <w:pPr>
        <w:autoSpaceDE w:val="0"/>
        <w:autoSpaceDN w:val="0"/>
        <w:spacing w:line="360" w:lineRule="auto"/>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p>
    <w:p w14:paraId="104A1186">
      <w:pPr>
        <w:autoSpaceDE w:val="0"/>
        <w:autoSpaceDN w:val="0"/>
        <w:spacing w:line="360" w:lineRule="auto"/>
        <w:jc w:val="center"/>
        <w:rPr>
          <w:rFonts w:hint="eastAsia" w:asciiTheme="minorEastAsia" w:hAnsiTheme="minorEastAsia" w:eastAsiaTheme="minorEastAsia" w:cstheme="minorEastAsia"/>
          <w:b/>
          <w:bCs/>
          <w:color w:val="000000" w:themeColor="text1"/>
          <w:sz w:val="24"/>
          <w:lang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bidi="zh-CN"/>
          <w14:textFill>
            <w14:solidFill>
              <w14:schemeClr w14:val="tx1"/>
            </w14:solidFill>
          </w14:textFill>
        </w:rPr>
        <w:t>主要设备表最低要求</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0"/>
        <w:gridCol w:w="3249"/>
        <w:gridCol w:w="3011"/>
        <w:gridCol w:w="890"/>
        <w:gridCol w:w="1561"/>
      </w:tblGrid>
      <w:tr w14:paraId="1C96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538" w:type="pct"/>
            <w:vAlign w:val="center"/>
          </w:tcPr>
          <w:p w14:paraId="048F05D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序号</w:t>
            </w:r>
          </w:p>
        </w:tc>
        <w:tc>
          <w:tcPr>
            <w:tcW w:w="1664" w:type="pct"/>
            <w:vAlign w:val="center"/>
          </w:tcPr>
          <w:p w14:paraId="7DE0DFD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设备名称</w:t>
            </w:r>
          </w:p>
        </w:tc>
        <w:tc>
          <w:tcPr>
            <w:tcW w:w="1542" w:type="pct"/>
            <w:vAlign w:val="center"/>
          </w:tcPr>
          <w:p w14:paraId="36F90B0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规格、功率及容量</w:t>
            </w:r>
          </w:p>
        </w:tc>
        <w:tc>
          <w:tcPr>
            <w:tcW w:w="456" w:type="pct"/>
            <w:vAlign w:val="center"/>
          </w:tcPr>
          <w:p w14:paraId="0B29A0DB">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单位</w:t>
            </w:r>
          </w:p>
        </w:tc>
        <w:tc>
          <w:tcPr>
            <w:tcW w:w="799" w:type="pct"/>
            <w:vAlign w:val="center"/>
          </w:tcPr>
          <w:p w14:paraId="570CAEB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最低数量</w:t>
            </w:r>
          </w:p>
        </w:tc>
      </w:tr>
      <w:tr w14:paraId="2D4D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4CC21D5">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063AE6F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双钢轮振动压路机</w:t>
            </w:r>
          </w:p>
        </w:tc>
        <w:tc>
          <w:tcPr>
            <w:tcW w:w="1542" w:type="pct"/>
            <w:shd w:val="clear" w:color="auto" w:fill="auto"/>
            <w:vAlign w:val="center"/>
          </w:tcPr>
          <w:p w14:paraId="1CBA30A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≥10T</w:t>
            </w:r>
          </w:p>
        </w:tc>
        <w:tc>
          <w:tcPr>
            <w:tcW w:w="456" w:type="pct"/>
            <w:shd w:val="clear" w:color="auto" w:fill="auto"/>
            <w:vAlign w:val="center"/>
          </w:tcPr>
          <w:p w14:paraId="2DE9114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61484A0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r>
      <w:tr w14:paraId="12A0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62EF302">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22D4B6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轮胎式压路机</w:t>
            </w:r>
          </w:p>
        </w:tc>
        <w:tc>
          <w:tcPr>
            <w:tcW w:w="1542" w:type="pct"/>
            <w:shd w:val="clear" w:color="auto" w:fill="auto"/>
            <w:vAlign w:val="center"/>
          </w:tcPr>
          <w:p w14:paraId="3EB2605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≥25T</w:t>
            </w:r>
          </w:p>
        </w:tc>
        <w:tc>
          <w:tcPr>
            <w:tcW w:w="456" w:type="pct"/>
            <w:shd w:val="clear" w:color="auto" w:fill="auto"/>
            <w:vAlign w:val="center"/>
          </w:tcPr>
          <w:p w14:paraId="5C26029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93DCAF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61EA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3147B2E8">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6A744FA">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混凝土搅拌运输车</w:t>
            </w:r>
          </w:p>
        </w:tc>
        <w:tc>
          <w:tcPr>
            <w:tcW w:w="1542" w:type="pct"/>
            <w:shd w:val="clear" w:color="auto" w:fill="auto"/>
            <w:vAlign w:val="center"/>
          </w:tcPr>
          <w:p w14:paraId="7A0DE45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≥6m³</w:t>
            </w:r>
          </w:p>
        </w:tc>
        <w:tc>
          <w:tcPr>
            <w:tcW w:w="456" w:type="pct"/>
            <w:shd w:val="clear" w:color="auto" w:fill="auto"/>
            <w:vAlign w:val="center"/>
          </w:tcPr>
          <w:p w14:paraId="01FEB0C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辆</w:t>
            </w:r>
          </w:p>
        </w:tc>
        <w:tc>
          <w:tcPr>
            <w:tcW w:w="799" w:type="pct"/>
            <w:shd w:val="clear" w:color="auto" w:fill="FFFFFF"/>
            <w:vAlign w:val="center"/>
          </w:tcPr>
          <w:p w14:paraId="22D1B3C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r>
      <w:tr w14:paraId="2EAE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70C20486">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5E34854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装载机</w:t>
            </w:r>
          </w:p>
        </w:tc>
        <w:tc>
          <w:tcPr>
            <w:tcW w:w="1542" w:type="pct"/>
            <w:shd w:val="clear" w:color="auto" w:fill="auto"/>
            <w:vAlign w:val="center"/>
          </w:tcPr>
          <w:p w14:paraId="1FEA1E0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≥2m³</w:t>
            </w:r>
          </w:p>
        </w:tc>
        <w:tc>
          <w:tcPr>
            <w:tcW w:w="456" w:type="pct"/>
            <w:shd w:val="clear" w:color="auto" w:fill="auto"/>
            <w:vAlign w:val="center"/>
          </w:tcPr>
          <w:p w14:paraId="738FE56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261D82B">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4004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0797D20A">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6618B9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挖掘机</w:t>
            </w:r>
          </w:p>
        </w:tc>
        <w:tc>
          <w:tcPr>
            <w:tcW w:w="1542" w:type="pct"/>
            <w:shd w:val="clear" w:color="auto" w:fill="auto"/>
            <w:vAlign w:val="center"/>
          </w:tcPr>
          <w:p w14:paraId="473433E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1.0m³</w:t>
            </w:r>
          </w:p>
        </w:tc>
        <w:tc>
          <w:tcPr>
            <w:tcW w:w="456" w:type="pct"/>
            <w:shd w:val="clear" w:color="auto" w:fill="auto"/>
            <w:vAlign w:val="center"/>
          </w:tcPr>
          <w:p w14:paraId="38B748C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6A6F044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3399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779DC8DE">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7B2FDDC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自卸汽车</w:t>
            </w:r>
          </w:p>
        </w:tc>
        <w:tc>
          <w:tcPr>
            <w:tcW w:w="1542" w:type="pct"/>
            <w:shd w:val="clear" w:color="auto" w:fill="auto"/>
            <w:vAlign w:val="center"/>
          </w:tcPr>
          <w:p w14:paraId="765C730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≥8t</w:t>
            </w:r>
          </w:p>
        </w:tc>
        <w:tc>
          <w:tcPr>
            <w:tcW w:w="456" w:type="pct"/>
            <w:shd w:val="clear" w:color="auto" w:fill="auto"/>
            <w:vAlign w:val="center"/>
          </w:tcPr>
          <w:p w14:paraId="53B511D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辆</w:t>
            </w:r>
          </w:p>
        </w:tc>
        <w:tc>
          <w:tcPr>
            <w:tcW w:w="799" w:type="pct"/>
            <w:shd w:val="clear" w:color="auto" w:fill="FFFFFF"/>
            <w:vAlign w:val="center"/>
          </w:tcPr>
          <w:p w14:paraId="6479E6D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w:t>
            </w:r>
          </w:p>
        </w:tc>
      </w:tr>
      <w:tr w14:paraId="3C67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7603377">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0A317D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推土机</w:t>
            </w:r>
          </w:p>
        </w:tc>
        <w:tc>
          <w:tcPr>
            <w:tcW w:w="1542" w:type="pct"/>
            <w:shd w:val="clear" w:color="auto" w:fill="auto"/>
            <w:vAlign w:val="center"/>
          </w:tcPr>
          <w:p w14:paraId="6BD7B65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≥150KW</w:t>
            </w:r>
          </w:p>
        </w:tc>
        <w:tc>
          <w:tcPr>
            <w:tcW w:w="456" w:type="pct"/>
            <w:shd w:val="clear" w:color="auto" w:fill="auto"/>
            <w:vAlign w:val="center"/>
          </w:tcPr>
          <w:p w14:paraId="4D7A991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34F186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r>
      <w:tr w14:paraId="43F4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5F7BC4D">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BFFD1E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平地机</w:t>
            </w:r>
          </w:p>
        </w:tc>
        <w:tc>
          <w:tcPr>
            <w:tcW w:w="1542" w:type="pct"/>
            <w:shd w:val="clear" w:color="auto" w:fill="auto"/>
            <w:vAlign w:val="center"/>
          </w:tcPr>
          <w:p w14:paraId="5024756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≥125KW</w:t>
            </w:r>
          </w:p>
        </w:tc>
        <w:tc>
          <w:tcPr>
            <w:tcW w:w="456" w:type="pct"/>
            <w:shd w:val="clear" w:color="auto" w:fill="auto"/>
            <w:vAlign w:val="center"/>
          </w:tcPr>
          <w:p w14:paraId="21B85B8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89B96CB">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3484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E9BB334">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5636913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载货汽车</w:t>
            </w:r>
          </w:p>
        </w:tc>
        <w:tc>
          <w:tcPr>
            <w:tcW w:w="1542" w:type="pct"/>
            <w:shd w:val="clear" w:color="auto" w:fill="auto"/>
            <w:vAlign w:val="center"/>
          </w:tcPr>
          <w:p w14:paraId="066D646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≥4t</w:t>
            </w:r>
          </w:p>
        </w:tc>
        <w:tc>
          <w:tcPr>
            <w:tcW w:w="456" w:type="pct"/>
            <w:shd w:val="clear" w:color="auto" w:fill="auto"/>
            <w:vAlign w:val="center"/>
          </w:tcPr>
          <w:p w14:paraId="2DB1046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辆</w:t>
            </w:r>
          </w:p>
        </w:tc>
        <w:tc>
          <w:tcPr>
            <w:tcW w:w="799" w:type="pct"/>
            <w:shd w:val="clear" w:color="auto" w:fill="FFFFFF"/>
            <w:vAlign w:val="center"/>
          </w:tcPr>
          <w:p w14:paraId="7B02C67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w:t>
            </w:r>
          </w:p>
        </w:tc>
      </w:tr>
      <w:tr w14:paraId="557F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AC7C051">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0C29E6B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洒水车</w:t>
            </w:r>
          </w:p>
        </w:tc>
        <w:tc>
          <w:tcPr>
            <w:tcW w:w="1542" w:type="pct"/>
            <w:shd w:val="clear" w:color="auto" w:fill="auto"/>
            <w:vAlign w:val="center"/>
          </w:tcPr>
          <w:p w14:paraId="3E8443D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≥10000L</w:t>
            </w:r>
          </w:p>
        </w:tc>
        <w:tc>
          <w:tcPr>
            <w:tcW w:w="456" w:type="pct"/>
            <w:shd w:val="clear" w:color="auto" w:fill="auto"/>
            <w:vAlign w:val="center"/>
          </w:tcPr>
          <w:p w14:paraId="732C18C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辆</w:t>
            </w:r>
          </w:p>
        </w:tc>
        <w:tc>
          <w:tcPr>
            <w:tcW w:w="799" w:type="pct"/>
            <w:shd w:val="clear" w:color="auto" w:fill="FFFFFF"/>
            <w:vAlign w:val="center"/>
          </w:tcPr>
          <w:p w14:paraId="7DC04E0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662F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41F842B">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181E231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沥青混合料摊铺机</w:t>
            </w:r>
          </w:p>
        </w:tc>
        <w:tc>
          <w:tcPr>
            <w:tcW w:w="1542" w:type="pct"/>
            <w:shd w:val="clear" w:color="auto" w:fill="auto"/>
            <w:vAlign w:val="center"/>
          </w:tcPr>
          <w:p w14:paraId="5733F48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≥4.5m</w:t>
            </w:r>
          </w:p>
        </w:tc>
        <w:tc>
          <w:tcPr>
            <w:tcW w:w="456" w:type="pct"/>
            <w:shd w:val="clear" w:color="auto" w:fill="auto"/>
            <w:vAlign w:val="center"/>
          </w:tcPr>
          <w:p w14:paraId="7F39B9F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649FEC0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7168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50C92F93">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51330A1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轨道式水泥混凝土摊铺机</w:t>
            </w:r>
          </w:p>
        </w:tc>
        <w:tc>
          <w:tcPr>
            <w:tcW w:w="1542" w:type="pct"/>
            <w:shd w:val="clear" w:color="auto" w:fill="auto"/>
            <w:vAlign w:val="center"/>
          </w:tcPr>
          <w:p w14:paraId="2E181A6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≥2.5m</w:t>
            </w:r>
          </w:p>
        </w:tc>
        <w:tc>
          <w:tcPr>
            <w:tcW w:w="456" w:type="pct"/>
            <w:shd w:val="clear" w:color="auto" w:fill="auto"/>
            <w:vAlign w:val="center"/>
          </w:tcPr>
          <w:p w14:paraId="6DBADFA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521EC0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2303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9ADEB15">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30206F8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沥青洒布车</w:t>
            </w:r>
          </w:p>
        </w:tc>
        <w:tc>
          <w:tcPr>
            <w:tcW w:w="1542" w:type="pct"/>
            <w:shd w:val="clear" w:color="auto" w:fill="auto"/>
            <w:vAlign w:val="center"/>
          </w:tcPr>
          <w:p w14:paraId="676455C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≥8000L</w:t>
            </w:r>
          </w:p>
        </w:tc>
        <w:tc>
          <w:tcPr>
            <w:tcW w:w="456" w:type="pct"/>
            <w:shd w:val="clear" w:color="auto" w:fill="auto"/>
            <w:vAlign w:val="center"/>
          </w:tcPr>
          <w:p w14:paraId="0F3BA02B">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D7C422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533D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595720D7">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7E93C50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路面铣刨机</w:t>
            </w:r>
          </w:p>
        </w:tc>
        <w:tc>
          <w:tcPr>
            <w:tcW w:w="1542" w:type="pct"/>
            <w:shd w:val="clear" w:color="auto" w:fill="auto"/>
            <w:vAlign w:val="center"/>
          </w:tcPr>
          <w:p w14:paraId="05FB619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≥2000mm</w:t>
            </w:r>
          </w:p>
        </w:tc>
        <w:tc>
          <w:tcPr>
            <w:tcW w:w="456" w:type="pct"/>
            <w:shd w:val="clear" w:color="auto" w:fill="auto"/>
            <w:vAlign w:val="center"/>
          </w:tcPr>
          <w:p w14:paraId="17DC681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D9188E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79FF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086A5F78">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73DD278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沟槽开挖机</w:t>
            </w:r>
          </w:p>
        </w:tc>
        <w:tc>
          <w:tcPr>
            <w:tcW w:w="1542" w:type="pct"/>
            <w:shd w:val="clear" w:color="auto" w:fill="auto"/>
            <w:vAlign w:val="center"/>
          </w:tcPr>
          <w:p w14:paraId="0641607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WG-200</w:t>
            </w:r>
          </w:p>
        </w:tc>
        <w:tc>
          <w:tcPr>
            <w:tcW w:w="456" w:type="pct"/>
            <w:shd w:val="clear" w:color="auto" w:fill="auto"/>
            <w:vAlign w:val="center"/>
          </w:tcPr>
          <w:p w14:paraId="151DD48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46DF93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7FED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F1DFE10">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4CA88DB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新标准土壤筛</w:t>
            </w:r>
          </w:p>
        </w:tc>
        <w:tc>
          <w:tcPr>
            <w:tcW w:w="1542" w:type="pct"/>
            <w:shd w:val="clear" w:color="auto" w:fill="auto"/>
            <w:vAlign w:val="center"/>
          </w:tcPr>
          <w:p w14:paraId="79529B5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711F742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5EB925D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2D25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F75D844">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76F6905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摇筛机</w:t>
            </w:r>
          </w:p>
        </w:tc>
        <w:tc>
          <w:tcPr>
            <w:tcW w:w="1542" w:type="pct"/>
            <w:shd w:val="clear" w:color="auto" w:fill="auto"/>
            <w:vAlign w:val="center"/>
          </w:tcPr>
          <w:p w14:paraId="6C0BC85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1B12C70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A6AC57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2DE2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0B4A04C6">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31A5D32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烘箱</w:t>
            </w:r>
          </w:p>
        </w:tc>
        <w:tc>
          <w:tcPr>
            <w:tcW w:w="1542" w:type="pct"/>
            <w:shd w:val="clear" w:color="auto" w:fill="auto"/>
            <w:vAlign w:val="center"/>
          </w:tcPr>
          <w:p w14:paraId="41A36ED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35E013D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066AC0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0978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5A9E4391">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0492ECF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电动击实仪</w:t>
            </w:r>
          </w:p>
        </w:tc>
        <w:tc>
          <w:tcPr>
            <w:tcW w:w="1542" w:type="pct"/>
            <w:shd w:val="clear" w:color="auto" w:fill="auto"/>
            <w:vAlign w:val="center"/>
          </w:tcPr>
          <w:p w14:paraId="1398962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重型</w:t>
            </w:r>
          </w:p>
        </w:tc>
        <w:tc>
          <w:tcPr>
            <w:tcW w:w="456" w:type="pct"/>
            <w:shd w:val="clear" w:color="auto" w:fill="auto"/>
            <w:vAlign w:val="center"/>
          </w:tcPr>
          <w:p w14:paraId="5FC5C76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4180E90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4DA3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75A3E56D">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BA58B1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CBR试验装置</w:t>
            </w:r>
          </w:p>
        </w:tc>
        <w:tc>
          <w:tcPr>
            <w:tcW w:w="1542" w:type="pct"/>
            <w:shd w:val="clear" w:color="auto" w:fill="auto"/>
            <w:vAlign w:val="center"/>
          </w:tcPr>
          <w:p w14:paraId="08D510C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70F1509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74ADE12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751E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FB61268">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6ECD4D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电子天平</w:t>
            </w:r>
          </w:p>
        </w:tc>
        <w:tc>
          <w:tcPr>
            <w:tcW w:w="1542" w:type="pct"/>
            <w:shd w:val="clear" w:color="auto" w:fill="auto"/>
            <w:vAlign w:val="center"/>
          </w:tcPr>
          <w:p w14:paraId="66ADB9E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500g、2kg、1Kg、5Kg</w:t>
            </w:r>
          </w:p>
        </w:tc>
        <w:tc>
          <w:tcPr>
            <w:tcW w:w="456" w:type="pct"/>
            <w:shd w:val="clear" w:color="auto" w:fill="auto"/>
            <w:vAlign w:val="center"/>
          </w:tcPr>
          <w:p w14:paraId="31C2D56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套</w:t>
            </w:r>
          </w:p>
        </w:tc>
        <w:tc>
          <w:tcPr>
            <w:tcW w:w="799" w:type="pct"/>
            <w:shd w:val="clear" w:color="auto" w:fill="FFFFFF"/>
            <w:vAlign w:val="center"/>
          </w:tcPr>
          <w:p w14:paraId="1A81802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7B57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AFF7E25">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56970D0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电子秤</w:t>
            </w:r>
          </w:p>
        </w:tc>
        <w:tc>
          <w:tcPr>
            <w:tcW w:w="1542" w:type="pct"/>
            <w:shd w:val="clear" w:color="auto" w:fill="auto"/>
            <w:vAlign w:val="center"/>
          </w:tcPr>
          <w:p w14:paraId="7BDAEF1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15kg、20kg</w:t>
            </w:r>
          </w:p>
        </w:tc>
        <w:tc>
          <w:tcPr>
            <w:tcW w:w="456" w:type="pct"/>
            <w:shd w:val="clear" w:color="auto" w:fill="auto"/>
            <w:vAlign w:val="center"/>
          </w:tcPr>
          <w:p w14:paraId="1912949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套</w:t>
            </w:r>
          </w:p>
        </w:tc>
        <w:tc>
          <w:tcPr>
            <w:tcW w:w="799" w:type="pct"/>
            <w:shd w:val="clear" w:color="auto" w:fill="FFFFFF"/>
            <w:vAlign w:val="center"/>
          </w:tcPr>
          <w:p w14:paraId="78DAC22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016D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AECBA59">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16B5D42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重型动力触探仪</w:t>
            </w:r>
          </w:p>
        </w:tc>
        <w:tc>
          <w:tcPr>
            <w:tcW w:w="1542" w:type="pct"/>
            <w:shd w:val="clear" w:color="auto" w:fill="auto"/>
            <w:vAlign w:val="center"/>
          </w:tcPr>
          <w:p w14:paraId="5898C4B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77BEA30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6782010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4A4F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AA37886">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1C53906A">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坍落度筒</w:t>
            </w:r>
          </w:p>
        </w:tc>
        <w:tc>
          <w:tcPr>
            <w:tcW w:w="1542" w:type="pct"/>
            <w:shd w:val="clear" w:color="auto" w:fill="auto"/>
            <w:vAlign w:val="center"/>
          </w:tcPr>
          <w:p w14:paraId="4CD7E861">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11FAC21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个</w:t>
            </w:r>
          </w:p>
        </w:tc>
        <w:tc>
          <w:tcPr>
            <w:tcW w:w="799" w:type="pct"/>
            <w:shd w:val="clear" w:color="auto" w:fill="FFFFFF"/>
            <w:vAlign w:val="center"/>
          </w:tcPr>
          <w:p w14:paraId="5BF4683C">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r>
      <w:tr w14:paraId="60FD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6BBA613D">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8314C4E">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2000KN压力机</w:t>
            </w:r>
          </w:p>
        </w:tc>
        <w:tc>
          <w:tcPr>
            <w:tcW w:w="1542" w:type="pct"/>
            <w:shd w:val="clear" w:color="auto" w:fill="auto"/>
            <w:vAlign w:val="center"/>
          </w:tcPr>
          <w:p w14:paraId="464942F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电脑数显，具有打印功能</w:t>
            </w:r>
          </w:p>
        </w:tc>
        <w:tc>
          <w:tcPr>
            <w:tcW w:w="456" w:type="pct"/>
            <w:shd w:val="clear" w:color="auto" w:fill="auto"/>
            <w:vAlign w:val="center"/>
          </w:tcPr>
          <w:p w14:paraId="039A2C5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4CA4953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097B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75CBA221">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017B4BE">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水泥混凝土抗压试模</w:t>
            </w:r>
          </w:p>
        </w:tc>
        <w:tc>
          <w:tcPr>
            <w:tcW w:w="1542" w:type="pct"/>
            <w:shd w:val="clear" w:color="auto" w:fill="auto"/>
            <w:vAlign w:val="center"/>
          </w:tcPr>
          <w:p w14:paraId="487D8E1A">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lang w:eastAsia="en-US"/>
                <w14:textFill>
                  <w14:solidFill>
                    <w14:schemeClr w14:val="tx1"/>
                  </w14:solidFill>
                </w14:textFill>
              </w:rPr>
              <w:t>150×150×150mm</w:t>
            </w:r>
          </w:p>
        </w:tc>
        <w:tc>
          <w:tcPr>
            <w:tcW w:w="456" w:type="pct"/>
            <w:shd w:val="clear" w:color="auto" w:fill="auto"/>
            <w:vAlign w:val="center"/>
          </w:tcPr>
          <w:p w14:paraId="13C1545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个</w:t>
            </w:r>
          </w:p>
        </w:tc>
        <w:tc>
          <w:tcPr>
            <w:tcW w:w="799" w:type="pct"/>
            <w:shd w:val="clear" w:color="auto" w:fill="FFFFFF"/>
            <w:vAlign w:val="center"/>
          </w:tcPr>
          <w:p w14:paraId="7ACC44D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30</w:t>
            </w:r>
          </w:p>
        </w:tc>
      </w:tr>
      <w:tr w14:paraId="3B40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FDFDB64">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59F05E7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砂浆试模</w:t>
            </w:r>
          </w:p>
        </w:tc>
        <w:tc>
          <w:tcPr>
            <w:tcW w:w="1542" w:type="pct"/>
            <w:shd w:val="clear" w:color="auto" w:fill="auto"/>
            <w:vAlign w:val="center"/>
          </w:tcPr>
          <w:p w14:paraId="75661FC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70.7×70.7×70.7mm</w:t>
            </w:r>
          </w:p>
        </w:tc>
        <w:tc>
          <w:tcPr>
            <w:tcW w:w="456" w:type="pct"/>
            <w:shd w:val="clear" w:color="auto" w:fill="auto"/>
            <w:vAlign w:val="center"/>
          </w:tcPr>
          <w:p w14:paraId="69DEEA5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个</w:t>
            </w:r>
          </w:p>
        </w:tc>
        <w:tc>
          <w:tcPr>
            <w:tcW w:w="799" w:type="pct"/>
            <w:shd w:val="clear" w:color="auto" w:fill="FFFFFF"/>
            <w:vAlign w:val="center"/>
          </w:tcPr>
          <w:p w14:paraId="27D1EB65">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w:t>
            </w:r>
          </w:p>
        </w:tc>
      </w:tr>
      <w:tr w14:paraId="1DF2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2DE1EF24">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4FA00BB3">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钢筋保护层厚度测定仪</w:t>
            </w:r>
          </w:p>
        </w:tc>
        <w:tc>
          <w:tcPr>
            <w:tcW w:w="1542" w:type="pct"/>
            <w:shd w:val="clear" w:color="auto" w:fill="auto"/>
            <w:vAlign w:val="center"/>
          </w:tcPr>
          <w:p w14:paraId="49EDA0C7">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3C3DC87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29402C5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0067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01476E55">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C606B60">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回弹仪</w:t>
            </w:r>
          </w:p>
        </w:tc>
        <w:tc>
          <w:tcPr>
            <w:tcW w:w="1542" w:type="pct"/>
            <w:shd w:val="clear" w:color="auto" w:fill="auto"/>
            <w:vAlign w:val="center"/>
          </w:tcPr>
          <w:p w14:paraId="0A041A1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5A68DB7F">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03B98D1E">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7406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17A6950C">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CB09991">
            <w:pPr>
              <w:adjustRightInd w:val="0"/>
              <w:snapToGrid w:val="0"/>
              <w:jc w:val="center"/>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RTK</w:t>
            </w:r>
          </w:p>
        </w:tc>
        <w:tc>
          <w:tcPr>
            <w:tcW w:w="1542" w:type="pct"/>
            <w:shd w:val="clear" w:color="auto" w:fill="auto"/>
            <w:vAlign w:val="center"/>
          </w:tcPr>
          <w:p w14:paraId="4E003E53">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7A63E2B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64FDB49D">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r>
      <w:tr w14:paraId="6423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37F0E41">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7C52A176">
            <w:pPr>
              <w:adjustRightInd w:val="0"/>
              <w:snapToGrid w:val="0"/>
              <w:jc w:val="center"/>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全站仪</w:t>
            </w:r>
          </w:p>
        </w:tc>
        <w:tc>
          <w:tcPr>
            <w:tcW w:w="1542" w:type="pct"/>
            <w:shd w:val="clear" w:color="auto" w:fill="auto"/>
            <w:vAlign w:val="center"/>
          </w:tcPr>
          <w:p w14:paraId="0909218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3E573299">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323CDE2A">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6EB3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4CCE88C5">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2A61CE9A">
            <w:pPr>
              <w:adjustRightInd w:val="0"/>
              <w:snapToGrid w:val="0"/>
              <w:jc w:val="center"/>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自动安平水准仪</w:t>
            </w:r>
          </w:p>
        </w:tc>
        <w:tc>
          <w:tcPr>
            <w:tcW w:w="1542" w:type="pct"/>
            <w:shd w:val="clear" w:color="auto" w:fill="auto"/>
            <w:vAlign w:val="center"/>
          </w:tcPr>
          <w:p w14:paraId="053FA60B">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75D19B08">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台</w:t>
            </w:r>
          </w:p>
        </w:tc>
        <w:tc>
          <w:tcPr>
            <w:tcW w:w="799" w:type="pct"/>
            <w:shd w:val="clear" w:color="auto" w:fill="FFFFFF"/>
            <w:vAlign w:val="center"/>
          </w:tcPr>
          <w:p w14:paraId="0535741A">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r>
      <w:tr w14:paraId="1095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shd w:val="clear" w:color="auto" w:fill="auto"/>
            <w:vAlign w:val="center"/>
          </w:tcPr>
          <w:p w14:paraId="7F5B074D">
            <w:pPr>
              <w:pStyle w:val="57"/>
              <w:numPr>
                <w:ilvl w:val="0"/>
                <w:numId w:val="9"/>
              </w:numPr>
              <w:adjustRightInd w:val="0"/>
              <w:snapToGrid w:val="0"/>
              <w:ind w:firstLineChars="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664" w:type="pct"/>
            <w:shd w:val="clear" w:color="auto" w:fill="auto"/>
            <w:vAlign w:val="center"/>
          </w:tcPr>
          <w:p w14:paraId="62341061">
            <w:pPr>
              <w:adjustRightInd w:val="0"/>
              <w:snapToGrid w:val="0"/>
              <w:jc w:val="center"/>
              <w:rPr>
                <w:rFonts w:hint="eastAsia" w:asciiTheme="minorEastAsia" w:hAnsiTheme="minorEastAsia" w:eastAsiaTheme="minorEastAsia" w:cstheme="minorEastAsia"/>
                <w:color w:val="000000" w:themeColor="text1"/>
                <w:spacing w:val="-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弯沉仪</w:t>
            </w:r>
          </w:p>
        </w:tc>
        <w:tc>
          <w:tcPr>
            <w:tcW w:w="1542" w:type="pct"/>
            <w:shd w:val="clear" w:color="auto" w:fill="auto"/>
            <w:vAlign w:val="center"/>
          </w:tcPr>
          <w:p w14:paraId="02653960">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shd w:val="clear" w:color="auto" w:fill="auto"/>
            <w:vAlign w:val="center"/>
          </w:tcPr>
          <w:p w14:paraId="0056CD14">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套</w:t>
            </w:r>
          </w:p>
        </w:tc>
        <w:tc>
          <w:tcPr>
            <w:tcW w:w="799" w:type="pct"/>
            <w:shd w:val="clear" w:color="auto" w:fill="FFFFFF"/>
            <w:vAlign w:val="center"/>
          </w:tcPr>
          <w:p w14:paraId="1D062A66">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r>
      <w:tr w14:paraId="178A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8" w:type="pct"/>
            <w:vAlign w:val="center"/>
          </w:tcPr>
          <w:p w14:paraId="4938FAB2">
            <w:pPr>
              <w:adjustRightInd w:val="0"/>
              <w:snapToGrid w:val="0"/>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w:t>
            </w:r>
          </w:p>
        </w:tc>
        <w:tc>
          <w:tcPr>
            <w:tcW w:w="1664" w:type="pct"/>
            <w:vAlign w:val="center"/>
          </w:tcPr>
          <w:p w14:paraId="29F65D60">
            <w:pPr>
              <w:adjustRightInd w:val="0"/>
              <w:snapToGrid w:val="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1542" w:type="pct"/>
            <w:vAlign w:val="center"/>
          </w:tcPr>
          <w:p w14:paraId="6B68F620">
            <w:pPr>
              <w:adjustRightInd w:val="0"/>
              <w:snapToGrid w:val="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456" w:type="pct"/>
            <w:vAlign w:val="center"/>
          </w:tcPr>
          <w:p w14:paraId="34B72A0E">
            <w:pPr>
              <w:adjustRightInd w:val="0"/>
              <w:snapToGrid w:val="0"/>
              <w:rPr>
                <w:rFonts w:hint="eastAsia" w:asciiTheme="minorEastAsia" w:hAnsiTheme="minorEastAsia" w:eastAsiaTheme="minorEastAsia" w:cstheme="minorEastAsia"/>
                <w:color w:val="000000" w:themeColor="text1"/>
                <w:szCs w:val="21"/>
                <w14:textFill>
                  <w14:solidFill>
                    <w14:schemeClr w14:val="tx1"/>
                  </w14:solidFill>
                </w14:textFill>
              </w:rPr>
            </w:pPr>
          </w:p>
        </w:tc>
        <w:tc>
          <w:tcPr>
            <w:tcW w:w="799" w:type="pct"/>
            <w:vAlign w:val="center"/>
          </w:tcPr>
          <w:p w14:paraId="71D51B72">
            <w:pPr>
              <w:adjustRightInd w:val="0"/>
              <w:snapToGrid w:val="0"/>
              <w:rPr>
                <w:rFonts w:hint="eastAsia" w:asciiTheme="minorEastAsia" w:hAnsiTheme="minorEastAsia" w:eastAsiaTheme="minorEastAsia" w:cstheme="minorEastAsia"/>
                <w:color w:val="000000" w:themeColor="text1"/>
                <w:szCs w:val="21"/>
                <w14:textFill>
                  <w14:solidFill>
                    <w14:schemeClr w14:val="tx1"/>
                  </w14:solidFill>
                </w14:textFill>
              </w:rPr>
            </w:pPr>
          </w:p>
        </w:tc>
      </w:tr>
    </w:tbl>
    <w:p w14:paraId="469C7148">
      <w:pPr>
        <w:autoSpaceDE w:val="0"/>
        <w:autoSpaceDN w:val="0"/>
        <w:adjustRightInd w:val="0"/>
        <w:snapToGrid w:val="0"/>
        <w:spacing w:before="71"/>
        <w:ind w:left="320"/>
        <w:jc w:val="center"/>
        <w:rPr>
          <w:rFonts w:hint="eastAsia" w:asciiTheme="minorEastAsia" w:hAnsiTheme="minorEastAsia" w:eastAsiaTheme="minorEastAsia" w:cstheme="minorEastAsia"/>
          <w:b/>
          <w:bCs/>
          <w:color w:val="000000" w:themeColor="text1"/>
          <w:szCs w:val="21"/>
          <w:lang w:bidi="zh-CN"/>
          <w14:textFill>
            <w14:solidFill>
              <w14:schemeClr w14:val="tx1"/>
            </w14:solidFill>
          </w14:textFill>
        </w:rPr>
      </w:pPr>
    </w:p>
    <w:p w14:paraId="7AB2A707">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注：1、投标人须按投标文件投标函的格式承诺。</w:t>
      </w:r>
    </w:p>
    <w:p w14:paraId="70744929">
      <w:pPr>
        <w:ind w:firstLine="422" w:firstLineChars="200"/>
        <w:rPr>
          <w:rFonts w:hint="eastAsia" w:asciiTheme="minorEastAsia" w:hAnsiTheme="minorEastAsia" w:eastAsiaTheme="minorEastAsia" w:cstheme="minorEastAsia"/>
          <w:b/>
          <w:bCs/>
          <w:color w:val="000000" w:themeColor="text1"/>
          <w:szCs w:val="21"/>
          <w14:textFill>
            <w14:solidFill>
              <w14:schemeClr w14:val="tx1"/>
            </w14:solidFill>
          </w14:textFill>
        </w:rPr>
        <w:sectPr>
          <w:pgSz w:w="11911" w:h="16838"/>
          <w:pgMar w:top="1440" w:right="1080" w:bottom="1440" w:left="1080" w:header="0" w:footer="998" w:gutter="0"/>
          <w:pgNumType w:fmt="numberInDash"/>
          <w:cols w:space="0" w:num="1"/>
        </w:sectPr>
      </w:pPr>
      <w:r>
        <w:rPr>
          <w:rFonts w:hint="eastAsia" w:asciiTheme="minorEastAsia" w:hAnsiTheme="minorEastAsia" w:eastAsiaTheme="minorEastAsia" w:cstheme="minorEastAsia"/>
          <w:b/>
          <w:bCs/>
          <w:color w:val="000000" w:themeColor="text1"/>
          <w:szCs w:val="21"/>
          <w14:textFill>
            <w14:solidFill>
              <w14:schemeClr w14:val="tx1"/>
            </w14:solidFill>
          </w14:textFill>
        </w:rPr>
        <w:t>2、招标人有权根据标段的工程特点、工程量及工程进度情况要求增加或调整相应的施工设备。</w:t>
      </w:r>
    </w:p>
    <w:p w14:paraId="5779C4B4">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附件六：项目经理委任书</w:t>
      </w:r>
    </w:p>
    <w:p w14:paraId="757C1D7B">
      <w:pPr>
        <w:autoSpaceDE w:val="0"/>
        <w:autoSpaceDN w:val="0"/>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3583EDB2">
      <w:pPr>
        <w:autoSpaceDE w:val="0"/>
        <w:autoSpaceDN w:val="0"/>
        <w:spacing w:before="3"/>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2142A2CD">
      <w:pPr>
        <w:autoSpaceDE w:val="0"/>
        <w:autoSpaceDN w:val="0"/>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w:t>
      </w:r>
      <w:r>
        <w:rPr>
          <w:rFonts w:hint="eastAsia" w:asciiTheme="minorEastAsia" w:hAnsiTheme="minorEastAsia" w:eastAsiaTheme="minorEastAsia" w:cstheme="minorEastAsia"/>
          <w:b/>
          <w:bCs/>
          <w:color w:val="000000" w:themeColor="text1"/>
          <w:sz w:val="24"/>
          <w:u w:val="single"/>
          <w:lang w:val="zh-CN" w:bidi="zh-CN"/>
          <w14:textFill>
            <w14:solidFill>
              <w14:schemeClr w14:val="tx1"/>
            </w14:solidFill>
          </w14:textFill>
        </w:rPr>
        <w:t>承包人全称）</w:t>
      </w:r>
    </w:p>
    <w:p w14:paraId="146C63D9">
      <w:pPr>
        <w:autoSpaceDE w:val="0"/>
        <w:autoSpaceDN w:val="0"/>
        <w:jc w:val="center"/>
        <w:rPr>
          <w:rFonts w:hint="eastAsia" w:asciiTheme="minorEastAsia" w:hAnsiTheme="minorEastAsia" w:eastAsiaTheme="minorEastAsia" w:cstheme="minorEastAsia"/>
          <w:b/>
          <w:color w:val="000000" w:themeColor="text1"/>
          <w:sz w:val="24"/>
          <w:lang w:val="zh-CN" w:bidi="zh-CN"/>
          <w14:textFill>
            <w14:solidFill>
              <w14:schemeClr w14:val="tx1"/>
            </w14:solidFill>
          </w14:textFill>
        </w:rPr>
      </w:pPr>
    </w:p>
    <w:p w14:paraId="1D3F395A">
      <w:pPr>
        <w:autoSpaceDE w:val="0"/>
        <w:autoSpaceDN w:val="0"/>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w:t>
      </w:r>
      <w:r>
        <w:rPr>
          <w:rFonts w:hint="eastAsia" w:asciiTheme="minorEastAsia" w:hAnsiTheme="minorEastAsia" w:eastAsiaTheme="minorEastAsia" w:cstheme="minorEastAsia"/>
          <w:b/>
          <w:bCs/>
          <w:color w:val="000000" w:themeColor="text1"/>
          <w:sz w:val="24"/>
          <w:u w:val="single"/>
          <w:lang w:val="zh-CN" w:bidi="zh-CN"/>
          <w14:textFill>
            <w14:solidFill>
              <w14:schemeClr w14:val="tx1"/>
            </w14:solidFill>
          </w14:textFill>
        </w:rPr>
        <w:t>合同工程名称）</w:t>
      </w: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项目经理委任书</w:t>
      </w:r>
    </w:p>
    <w:p w14:paraId="1D87EA0B">
      <w:pPr>
        <w:autoSpaceDE w:val="0"/>
        <w:autoSpaceDN w:val="0"/>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022A7241">
      <w:pPr>
        <w:autoSpaceDE w:val="0"/>
        <w:autoSpaceDN w:val="0"/>
        <w:spacing w:before="11"/>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316DDB51">
      <w:pPr>
        <w:autoSpaceDE w:val="0"/>
        <w:autoSpaceDN w:val="0"/>
        <w:spacing w:line="360" w:lineRule="auto"/>
        <w:jc w:val="left"/>
        <w:rPr>
          <w:rFonts w:hint="eastAsia" w:asciiTheme="minorEastAsia" w:hAnsiTheme="minorEastAsia" w:eastAsiaTheme="minorEastAsia" w:cstheme="minorEastAsia"/>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bidi="zh-CN"/>
          <w14:textFill>
            <w14:solidFill>
              <w14:schemeClr w14:val="tx1"/>
            </w14:solidFill>
          </w14:textFill>
        </w:rPr>
        <w:t>致：</w:t>
      </w:r>
      <w:r>
        <w:rPr>
          <w:rFonts w:hint="eastAsia" w:asciiTheme="minorEastAsia" w:hAnsiTheme="minorEastAsia" w:eastAsiaTheme="minorEastAsia" w:cstheme="minorEastAsia"/>
          <w:color w:val="000000" w:themeColor="text1"/>
          <w:sz w:val="24"/>
          <w:u w:val="single"/>
          <w:lang w:val="zh-CN" w:bidi="zh-CN"/>
          <w14:textFill>
            <w14:solidFill>
              <w14:schemeClr w14:val="tx1"/>
            </w14:solidFill>
          </w14:textFill>
        </w:rPr>
        <w:t>（发包人全称）</w:t>
      </w:r>
    </w:p>
    <w:p w14:paraId="5E8372A4">
      <w:pPr>
        <w:autoSpaceDE w:val="0"/>
        <w:autoSpaceDN w:val="0"/>
        <w:spacing w:line="360" w:lineRule="auto"/>
        <w:ind w:firstLine="480" w:firstLineChars="2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 w:val="24"/>
          <w:u w:val="single"/>
          <w:lang w:val="zh-CN" w:bidi="zh-CN"/>
          <w14:textFill>
            <w14:solidFill>
              <w14:schemeClr w14:val="tx1"/>
            </w14:solidFill>
          </w14:textFill>
        </w:rPr>
        <w:t>（承包人全称</w:t>
      </w:r>
      <w:r>
        <w:rPr>
          <w:rFonts w:hint="eastAsia" w:asciiTheme="minorEastAsia" w:hAnsiTheme="minorEastAsia" w:eastAsiaTheme="minorEastAsia" w:cstheme="minorEastAsia"/>
          <w:color w:val="000000" w:themeColor="text1"/>
          <w:spacing w:val="-14"/>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4"/>
          <w:sz w:val="24"/>
          <w:lang w:val="zh-CN" w:bidi="zh-CN"/>
          <w14:textFill>
            <w14:solidFill>
              <w14:schemeClr w14:val="tx1"/>
            </w14:solidFill>
          </w14:textFill>
        </w:rPr>
        <w:t>法定代表人</w:t>
      </w:r>
      <w:r>
        <w:rPr>
          <w:rFonts w:hint="eastAsia" w:asciiTheme="minorEastAsia" w:hAnsiTheme="minorEastAsia" w:eastAsiaTheme="minorEastAsia" w:cstheme="minorEastAsia"/>
          <w:color w:val="000000" w:themeColor="text1"/>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4"/>
          <w:sz w:val="24"/>
          <w:u w:val="single"/>
          <w:lang w:val="zh-CN" w:bidi="zh-CN"/>
          <w14:textFill>
            <w14:solidFill>
              <w14:schemeClr w14:val="tx1"/>
            </w14:solidFill>
          </w14:textFill>
        </w:rPr>
        <w:t>职务、姓名</w:t>
      </w:r>
      <w:r>
        <w:rPr>
          <w:rFonts w:hint="eastAsia" w:asciiTheme="minorEastAsia" w:hAnsiTheme="minorEastAsia" w:eastAsiaTheme="minorEastAsia" w:cstheme="minorEastAsia"/>
          <w:color w:val="000000" w:themeColor="text1"/>
          <w:spacing w:val="-17"/>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3"/>
          <w:sz w:val="24"/>
          <w:lang w:val="zh-CN" w:bidi="zh-CN"/>
          <w14:textFill>
            <w14:solidFill>
              <w14:schemeClr w14:val="tx1"/>
            </w14:solidFill>
          </w14:textFill>
        </w:rPr>
        <w:t>代表本单位委任</w:t>
      </w:r>
      <w:r>
        <w:rPr>
          <w:rFonts w:hint="eastAsia" w:asciiTheme="minorEastAsia" w:hAnsiTheme="minorEastAsia" w:eastAsiaTheme="minorEastAsia" w:cstheme="minorEastAsia"/>
          <w:color w:val="000000" w:themeColor="text1"/>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4"/>
          <w:sz w:val="24"/>
          <w:u w:val="single"/>
          <w:lang w:val="zh-CN" w:bidi="zh-CN"/>
          <w14:textFill>
            <w14:solidFill>
              <w14:schemeClr w14:val="tx1"/>
            </w14:solidFill>
          </w14:textFill>
        </w:rPr>
        <w:t>职务、姓名</w:t>
      </w:r>
      <w:r>
        <w:rPr>
          <w:rFonts w:hint="eastAsia" w:asciiTheme="minorEastAsia" w:hAnsiTheme="minorEastAsia" w:eastAsiaTheme="minorEastAsia" w:cstheme="minorEastAsia"/>
          <w:color w:val="000000" w:themeColor="text1"/>
          <w:spacing w:val="-14"/>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20"/>
          <w:sz w:val="24"/>
          <w:lang w:val="zh-CN" w:bidi="zh-CN"/>
          <w14:textFill>
            <w14:solidFill>
              <w14:schemeClr w14:val="tx1"/>
            </w14:solidFill>
          </w14:textFill>
        </w:rPr>
        <w:t>为</w:t>
      </w:r>
      <w:r>
        <w:rPr>
          <w:rFonts w:hint="eastAsia" w:asciiTheme="minorEastAsia" w:hAnsiTheme="minorEastAsia" w:eastAsiaTheme="minorEastAsia" w:cstheme="minorEastAsia"/>
          <w:color w:val="000000" w:themeColor="text1"/>
          <w:spacing w:val="-20"/>
          <w:sz w:val="24"/>
          <w:u w:val="single"/>
          <w:lang w:bidi="zh-CN"/>
          <w14:textFill>
            <w14:solidFill>
              <w14:schemeClr w14:val="tx1"/>
            </w14:solidFill>
          </w14:textFill>
        </w:rPr>
        <w:t>（</w:t>
      </w:r>
      <w:r>
        <w:rPr>
          <w:rFonts w:hint="eastAsia" w:asciiTheme="minorEastAsia" w:hAnsiTheme="minorEastAsia" w:eastAsiaTheme="minorEastAsia" w:cstheme="minorEastAsia"/>
          <w:color w:val="000000" w:themeColor="text1"/>
          <w:sz w:val="24"/>
          <w:u w:val="single"/>
          <w:lang w:val="zh-CN" w:bidi="zh-CN"/>
          <w14:textFill>
            <w14:solidFill>
              <w14:schemeClr w14:val="tx1"/>
            </w14:solidFill>
          </w14:textFill>
        </w:rPr>
        <w:t>合同工程名称</w:t>
      </w:r>
      <w:r>
        <w:rPr>
          <w:rFonts w:hint="eastAsia" w:asciiTheme="minorEastAsia" w:hAnsiTheme="minorEastAsia" w:eastAsiaTheme="minorEastAsia" w:cstheme="minorEastAsia"/>
          <w:color w:val="000000" w:themeColor="text1"/>
          <w:spacing w:val="-20"/>
          <w:sz w:val="24"/>
          <w:u w:val="single"/>
          <w:lang w:val="zh-CN" w:bidi="zh-CN"/>
          <w14:textFill>
            <w14:solidFill>
              <w14:schemeClr w14:val="tx1"/>
            </w14:solidFill>
          </w14:textFill>
        </w:rPr>
        <w:t>）</w:t>
      </w:r>
      <w:r>
        <w:rPr>
          <w:rFonts w:hint="eastAsia" w:asciiTheme="minorEastAsia" w:hAnsiTheme="minorEastAsia" w:eastAsiaTheme="minorEastAsia" w:cstheme="minorEastAsia"/>
          <w:color w:val="000000" w:themeColor="text1"/>
          <w:spacing w:val="-6"/>
          <w:sz w:val="24"/>
          <w:lang w:val="zh-CN" w:bidi="zh-CN"/>
          <w14:textFill>
            <w14:solidFill>
              <w14:schemeClr w14:val="tx1"/>
            </w14:solidFill>
          </w14:textFill>
        </w:rPr>
        <w:t>的项目经理。凡本合同执行中的有关技术、工程进度、现场管理、质量检验、结算与支付等方面工作，由</w:t>
      </w:r>
      <w:r>
        <w:rPr>
          <w:rFonts w:hint="eastAsia" w:asciiTheme="minorEastAsia" w:hAnsiTheme="minorEastAsia" w:eastAsiaTheme="minorEastAsia" w:cstheme="minorEastAsia"/>
          <w:color w:val="000000" w:themeColor="text1"/>
          <w:spacing w:val="-6"/>
          <w:sz w:val="24"/>
          <w:u w:val="single"/>
          <w:lang w:val="zh-CN" w:bidi="zh-CN"/>
          <w14:textFill>
            <w14:solidFill>
              <w14:schemeClr w14:val="tx1"/>
            </w14:solidFill>
          </w14:textFill>
        </w:rPr>
        <w:t>（姓名）</w:t>
      </w:r>
      <w:r>
        <w:rPr>
          <w:rFonts w:hint="eastAsia" w:asciiTheme="minorEastAsia" w:hAnsiTheme="minorEastAsia" w:eastAsiaTheme="minorEastAsia" w:cstheme="minorEastAsia"/>
          <w:color w:val="000000" w:themeColor="text1"/>
          <w:spacing w:val="-6"/>
          <w:sz w:val="24"/>
          <w:lang w:val="zh-CN" w:bidi="zh-CN"/>
          <w14:textFill>
            <w14:solidFill>
              <w14:schemeClr w14:val="tx1"/>
            </w14:solidFill>
          </w14:textFill>
        </w:rPr>
        <w:t>代表本单位全面负责</w:t>
      </w:r>
      <w:r>
        <w:rPr>
          <w:rFonts w:hint="eastAsia" w:asciiTheme="minorEastAsia" w:hAnsiTheme="minorEastAsia" w:eastAsiaTheme="minorEastAsia" w:cstheme="minorEastAsia"/>
          <w:color w:val="000000" w:themeColor="text1"/>
          <w:spacing w:val="-6"/>
          <w:szCs w:val="21"/>
          <w:lang w:val="zh-CN" w:bidi="zh-CN"/>
          <w14:textFill>
            <w14:solidFill>
              <w14:schemeClr w14:val="tx1"/>
            </w14:solidFill>
          </w14:textFill>
        </w:rPr>
        <w:t>。</w:t>
      </w:r>
    </w:p>
    <w:p w14:paraId="73D1E19B">
      <w:pPr>
        <w:autoSpaceDE w:val="0"/>
        <w:autoSpaceDN w:val="0"/>
        <w:spacing w:before="3"/>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5C8E3F4">
      <w:pPr>
        <w:autoSpaceDE w:val="0"/>
        <w:autoSpaceDN w:val="0"/>
        <w:spacing w:before="160"/>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16DDF02B">
      <w:pPr>
        <w:autoSpaceDE w:val="0"/>
        <w:autoSpaceDN w:val="0"/>
        <w:spacing w:before="161"/>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B536402">
      <w:pPr>
        <w:autoSpaceDE w:val="0"/>
        <w:autoSpaceDN w:val="0"/>
        <w:spacing w:before="160"/>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29307805">
      <w:pPr>
        <w:autoSpaceDE w:val="0"/>
        <w:autoSpaceDN w:val="0"/>
        <w:spacing w:before="161"/>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37922BF">
      <w:pPr>
        <w:autoSpaceDE w:val="0"/>
        <w:autoSpaceDN w:val="0"/>
        <w:spacing w:before="160"/>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1936C571">
      <w:pPr>
        <w:autoSpaceDE w:val="0"/>
        <w:autoSpaceDN w:val="0"/>
        <w:spacing w:before="161"/>
        <w:ind w:right="1556"/>
        <w:jc w:val="righ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承包人：（盖单位章）</w:t>
      </w:r>
    </w:p>
    <w:p w14:paraId="65414189">
      <w:pPr>
        <w:autoSpaceDE w:val="0"/>
        <w:autoSpaceDN w:val="0"/>
        <w:spacing w:before="161"/>
        <w:ind w:right="1570"/>
        <w:jc w:val="righ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法定代表人：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（职务）</w:t>
      </w:r>
    </w:p>
    <w:p w14:paraId="137C1B89">
      <w:pPr>
        <w:autoSpaceDE w:val="0"/>
        <w:autoSpaceDN w:val="0"/>
        <w:spacing w:before="160"/>
        <w:ind w:right="998"/>
        <w:jc w:val="cente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（姓名）</w:t>
      </w:r>
    </w:p>
    <w:p w14:paraId="1B39066D">
      <w:pPr>
        <w:autoSpaceDE w:val="0"/>
        <w:autoSpaceDN w:val="0"/>
        <w:spacing w:before="161"/>
        <w:ind w:right="997"/>
        <w:jc w:val="cente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（签字）</w:t>
      </w:r>
    </w:p>
    <w:p w14:paraId="75B84B27">
      <w:pPr>
        <w:autoSpaceDE w:val="0"/>
        <w:autoSpaceDN w:val="0"/>
        <w:spacing w:before="160"/>
        <w:ind w:right="1556"/>
        <w:jc w:val="righ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年月日</w:t>
      </w:r>
    </w:p>
    <w:p w14:paraId="3A2802EA">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2C04ACA4">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A5FDD0E">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AB034E1">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34E990ED">
      <w:pPr>
        <w:autoSpaceDE w:val="0"/>
        <w:autoSpaceDN w:val="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F69B13B">
      <w:pPr>
        <w:autoSpaceDE w:val="0"/>
        <w:autoSpaceDN w:val="0"/>
        <w:spacing w:before="12"/>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14C11C2C">
      <w:pPr>
        <w:autoSpaceDE w:val="0"/>
        <w:autoSpaceDN w:val="0"/>
        <w:spacing w:before="66"/>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抄送：</w:t>
      </w:r>
    </w:p>
    <w:p w14:paraId="4F6281A6">
      <w:pPr>
        <w:autoSpaceDE w:val="0"/>
        <w:autoSpaceDN w:val="0"/>
        <w:spacing w:before="105"/>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1114A9F4">
      <w:pPr>
        <w:autoSpaceDE w:val="0"/>
        <w:autoSpaceDN w:val="0"/>
        <w:spacing w:before="43"/>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60C8B7A7">
      <w:pPr>
        <w:autoSpaceDE w:val="0"/>
        <w:autoSpaceDN w:val="0"/>
        <w:spacing w:before="43"/>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0F3A5C7C">
      <w:pPr>
        <w:autoSpaceDE w:val="0"/>
        <w:autoSpaceDN w:val="0"/>
        <w:spacing w:before="43"/>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4CFABA37">
      <w:pPr>
        <w:autoSpaceDE w:val="0"/>
        <w:autoSpaceDN w:val="0"/>
        <w:spacing w:before="43"/>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49C6C086">
      <w:pPr>
        <w:autoSpaceDE w:val="0"/>
        <w:autoSpaceDN w:val="0"/>
        <w:spacing w:before="43"/>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7F94D5D1">
      <w:pPr>
        <w:jc w:val="left"/>
        <w:rPr>
          <w:rFonts w:hint="eastAsia" w:asciiTheme="minorEastAsia" w:hAnsiTheme="minorEastAsia" w:eastAsiaTheme="minorEastAsia" w:cstheme="minorEastAsia"/>
          <w:color w:val="000000" w:themeColor="text1"/>
          <w:szCs w:val="21"/>
          <w14:textFill>
            <w14:solidFill>
              <w14:schemeClr w14:val="tx1"/>
            </w14:solidFill>
          </w14:textFill>
        </w:rPr>
        <w:sectPr>
          <w:pgSz w:w="11911" w:h="16838"/>
          <w:pgMar w:top="1440" w:right="1080" w:bottom="1440" w:left="1080" w:header="0" w:footer="998" w:gutter="0"/>
          <w:pgNumType w:fmt="numberInDash"/>
          <w:cols w:space="0" w:num="1"/>
        </w:sectPr>
      </w:pPr>
    </w:p>
    <w:p w14:paraId="413541A1">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附件七：履约保证金格式</w:t>
      </w:r>
    </w:p>
    <w:p w14:paraId="33238A24">
      <w:pPr>
        <w:autoSpaceDE w:val="0"/>
        <w:autoSpaceDN w:val="0"/>
        <w:spacing w:before="155"/>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757759F2">
      <w:pPr>
        <w:autoSpaceDE w:val="0"/>
        <w:autoSpaceDN w:val="0"/>
        <w:spacing w:before="20"/>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如采用银行保函，</w:t>
      </w:r>
      <w:r>
        <w:rPr>
          <w:rFonts w:hint="eastAsia" w:asciiTheme="minorEastAsia" w:hAnsiTheme="minorEastAsia" w:cstheme="minorEastAsia"/>
          <w:color w:val="000000" w:themeColor="text1"/>
          <w:szCs w:val="21"/>
          <w:lang w:val="en-US" w:bidi="zh-CN"/>
          <w14:textFill>
            <w14:solidFill>
              <w14:schemeClr w14:val="tx1"/>
            </w14:solidFill>
          </w14:textFill>
        </w:rPr>
        <w:t>参考</w:t>
      </w: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格式如下</w:t>
      </w:r>
      <w:r>
        <w:rPr>
          <w:rFonts w:hint="eastAsia" w:asciiTheme="minorEastAsia" w:hAnsiTheme="minorEastAsia" w:cstheme="minorEastAsia"/>
          <w:color w:val="000000" w:themeColor="text1"/>
          <w:szCs w:val="21"/>
          <w:lang w:val="zh-CN" w:bidi="zh-CN"/>
          <w14:textFill>
            <w14:solidFill>
              <w14:schemeClr w14:val="tx1"/>
            </w14:solidFill>
          </w14:textFill>
        </w:rPr>
        <w:t>：</w:t>
      </w:r>
    </w:p>
    <w:p w14:paraId="7EC29511">
      <w:pPr>
        <w:autoSpaceDE w:val="0"/>
        <w:autoSpaceDN w:val="0"/>
        <w:spacing w:before="27"/>
        <w:ind w:left="320"/>
        <w:jc w:val="left"/>
        <w:rPr>
          <w:rFonts w:hint="eastAsia" w:asciiTheme="minorEastAsia" w:hAnsiTheme="minorEastAsia" w:eastAsiaTheme="minorEastAsia" w:cstheme="minorEastAsia"/>
          <w:color w:val="000000" w:themeColor="text1"/>
          <w:kern w:val="0"/>
          <w:szCs w:val="21"/>
          <w:lang w:val="zh-CN" w:bidi="zh-CN"/>
          <w14:textFill>
            <w14:solidFill>
              <w14:schemeClr w14:val="tx1"/>
            </w14:solidFill>
          </w14:textFill>
        </w:rPr>
      </w:pPr>
    </w:p>
    <w:p w14:paraId="09DDACA2">
      <w:pPr>
        <w:autoSpaceDE w:val="0"/>
        <w:autoSpaceDN w:val="0"/>
        <w:spacing w:before="153"/>
        <w:ind w:right="1217"/>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cstheme="minorEastAsia"/>
          <w:b/>
          <w:bCs/>
          <w:color w:val="000000" w:themeColor="text1"/>
          <w:sz w:val="24"/>
          <w:lang w:val="en-US" w:bidi="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履约保证金</w:t>
      </w:r>
    </w:p>
    <w:p w14:paraId="18347548">
      <w:pPr>
        <w:autoSpaceDE w:val="0"/>
        <w:autoSpaceDN w:val="0"/>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2F840800">
      <w:pPr>
        <w:autoSpaceDE w:val="0"/>
        <w:autoSpaceDN w:val="0"/>
        <w:spacing w:before="9"/>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7733AE5B">
      <w:pPr>
        <w:autoSpaceDE w:val="0"/>
        <w:autoSpaceDN w:val="0"/>
        <w:spacing w:before="66"/>
        <w:ind w:left="8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（发包人名称）：</w:t>
      </w:r>
    </w:p>
    <w:p w14:paraId="14B4C868">
      <w:pPr>
        <w:autoSpaceDE w:val="0"/>
        <w:autoSpaceDN w:val="0"/>
        <w:spacing w:before="161"/>
        <w:ind w:left="80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678EE4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鉴于（发包人名称，以下简称“发包人”）接受（承包人名称）（以下称“承包人”）于年月日参加（项目名称）建设总承包的投标。我方愿意无条件地、不可撤销地就承包人履行与你方订立的合同，向你方提供担保。</w:t>
      </w:r>
    </w:p>
    <w:p w14:paraId="185947D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1.担保金额人民币（大写）元（¥）</w:t>
      </w:r>
    </w:p>
    <w:p w14:paraId="3425283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zh-CN"/>
          <w14:textFill>
            <w14:solidFill>
              <w14:schemeClr w14:val="tx1"/>
            </w14:solidFill>
          </w14:textFill>
        </w:rPr>
        <w:t>担保有效期自发包人与承包人签订的合同生效之日起至签发交工验收证书止。</w:t>
      </w:r>
    </w:p>
    <w:p w14:paraId="1084B986">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在本担保有效期内，因承包人违反合同约定的义务给你方造成经济损失时，我方在收到你方以书面形式提出的在担保金额内的赔偿要求后，在7天内无条件支付，无须你方出具证明或陈述理由。</w:t>
      </w:r>
    </w:p>
    <w:p w14:paraId="4ECE009A">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发包人和承包人按合同条款变更合同时，无论我方是否收到该变更，我方承担本担保规定的义务不变。</w:t>
      </w:r>
    </w:p>
    <w:p w14:paraId="4FF9F341">
      <w:pPr>
        <w:autoSpaceDE w:val="0"/>
        <w:autoSpaceDN w:val="0"/>
        <w:spacing w:before="1"/>
        <w:ind w:left="320"/>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42F5E040">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担保人名称：（盖单位章）</w:t>
      </w:r>
    </w:p>
    <w:p w14:paraId="6DA8D6B5">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法定代表人或其委托代理人：（签字）</w:t>
      </w:r>
    </w:p>
    <w:p w14:paraId="0141C755">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地址：</w:t>
      </w:r>
    </w:p>
    <w:p w14:paraId="5388B8CE">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邮政编码：</w:t>
      </w:r>
    </w:p>
    <w:p w14:paraId="3F26A821">
      <w:pPr>
        <w:spacing w:line="360" w:lineRule="auto"/>
        <w:ind w:left="3150" w:leftChars="1500"/>
        <w:rPr>
          <w:rFonts w:hint="eastAsia" w:asciiTheme="minorEastAsia" w:hAnsiTheme="minorEastAsia" w:eastAsiaTheme="minorEastAsia" w:cstheme="minorEastAsia"/>
          <w:color w:val="000000" w:themeColor="text1"/>
          <w:u w:val="single"/>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电话：</w:t>
      </w:r>
    </w:p>
    <w:p w14:paraId="490CD181">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传真：</w:t>
      </w:r>
    </w:p>
    <w:p w14:paraId="0BCE21B3">
      <w:pPr>
        <w:spacing w:line="360" w:lineRule="auto"/>
        <w:ind w:left="3150" w:leftChars="15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年月日</w:t>
      </w:r>
    </w:p>
    <w:p w14:paraId="63D0B888">
      <w:pPr>
        <w:spacing w:line="360" w:lineRule="auto"/>
        <w:ind w:left="3150" w:leftChars="1500"/>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6A694874">
      <w:pPr>
        <w:autoSpaceDE w:val="0"/>
        <w:autoSpaceDN w:val="0"/>
        <w:spacing w:before="34"/>
        <w:jc w:val="left"/>
        <w:outlineLvl w:val="2"/>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附件八：建设工程农民工工资支付保证书</w:t>
      </w:r>
    </w:p>
    <w:p w14:paraId="640D7669">
      <w:pPr>
        <w:autoSpaceDE w:val="0"/>
        <w:autoSpaceDN w:val="0"/>
        <w:spacing w:before="11"/>
        <w:jc w:val="left"/>
        <w:rPr>
          <w:rFonts w:hint="eastAsia" w:asciiTheme="minorEastAsia" w:hAnsiTheme="minorEastAsia" w:eastAsiaTheme="minorEastAsia" w:cstheme="minorEastAsia"/>
          <w:b/>
          <w:color w:val="000000" w:themeColor="text1"/>
          <w:szCs w:val="21"/>
          <w:lang w:val="zh-CN" w:bidi="zh-CN"/>
          <w14:textFill>
            <w14:solidFill>
              <w14:schemeClr w14:val="tx1"/>
            </w14:solidFill>
          </w14:textFill>
        </w:rPr>
      </w:pPr>
    </w:p>
    <w:p w14:paraId="7384860A">
      <w:pPr>
        <w:autoSpaceDE w:val="0"/>
        <w:autoSpaceDN w:val="0"/>
        <w:spacing w:before="62"/>
        <w:jc w:val="cente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pPr>
      <w:r>
        <w:rPr>
          <w:rFonts w:hint="eastAsia" w:asciiTheme="minorEastAsia" w:hAnsiTheme="minorEastAsia" w:eastAsiaTheme="minorEastAsia" w:cstheme="minorEastAsia"/>
          <w:b/>
          <w:bCs/>
          <w:color w:val="000000" w:themeColor="text1"/>
          <w:sz w:val="24"/>
          <w:lang w:val="zh-CN" w:bidi="zh-CN"/>
          <w14:textFill>
            <w14:solidFill>
              <w14:schemeClr w14:val="tx1"/>
            </w14:solidFill>
          </w14:textFill>
        </w:rPr>
        <w:t>建设工程农民工工资支付保证书</w:t>
      </w:r>
    </w:p>
    <w:p w14:paraId="3E171D0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17C25976">
      <w:pPr>
        <w:spacing w:line="360" w:lineRule="auto"/>
        <w:ind w:firstLine="420" w:firstLineChars="200"/>
        <w:rPr>
          <w:rFonts w:hint="eastAsia" w:asciiTheme="minorEastAsia" w:hAnsiTheme="minorEastAsia" w:eastAsiaTheme="minorEastAsia" w:cstheme="minorEastAsia"/>
          <w:color w:val="000000" w:themeColor="text1"/>
          <w:u w:val="single"/>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致：</w:t>
      </w:r>
    </w:p>
    <w:p w14:paraId="15EEC043">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鉴于（以下简称“承包人”）拟与（以下简称“发包人”）签订（项目名称）建设总承包的承包合同，为规范本项目农民工工资的支付行为，预防和解决施工承包人拖欠或克扣农民工工资问题，切实保障农民工的合法利益，维护社会稳定，根据《中华人民共和国劳动合同法》、《建筑法》、《国务院关于解决农民工问题的若干意见》、《工资支付暂行规定》和《广东省建设领域工人工资支付分账管理暂行办法》等有关法律、法规，结合本项目建设管理的具体情况，承包人在此承诺：</w:t>
      </w:r>
    </w:p>
    <w:p w14:paraId="03528D41">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承包人承担所有的民事及刑事法律责任。</w:t>
      </w:r>
    </w:p>
    <w:p w14:paraId="1101B1F6">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二、决不违反有关规定，将工程转包、分包给不具备用工主体资格的组织或个人，并独自承担因违反上述规定而引发的民工工资纠纷等所有民事及刑事的法律连带责任。</w:t>
      </w:r>
    </w:p>
    <w:p w14:paraId="0914D87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承诺开展劳动法、建筑法等普法学习教育活动，建立健全承包人农民工用工制度，制定农民工劳动保护措施，实施劳动工资支付监控机制，建立劳动用工的举报投诉制度，设立专门的举报投诉电话，受理相关单位和个人的举报及投诉，监督并认真查处合同范围内的侵害农民工按劳取酬合法权益的行为。</w:t>
      </w:r>
    </w:p>
    <w:p w14:paraId="7FC0997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四、承诺在工地现场宣传栏中公布发包人关于农民工工资管理的有关法律法规、制度，公开发包人的投诉电话。</w:t>
      </w:r>
    </w:p>
    <w:p w14:paraId="1ACBE3A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五、承诺在本项目工程开工前承包人制定内部工资支付办法，并抄报监理、发包人，同时告知全体农民工。内部工资支付办法包括以下内容：支付项目、支付标准、支付方式、支付周期和日期、加班工资计算基数、特殊情况下的工资支付以及其他工资支付等。支付程序也将明文规定，且严格按章办事。工资支付管理接受监理、发包人及上级主管单位的监督和检查。</w:t>
      </w:r>
    </w:p>
    <w:p w14:paraId="1AE8BEA8">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六、承诺指定专人负责对农民工工资进行发放，实行专户管理，以银行转账方式按月直接支付工资（原则上是当月支付，最多不超过拖欠两个月）。</w:t>
      </w:r>
    </w:p>
    <w:p w14:paraId="6DE6EFB8">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七、在合同工程范围内，一旦承包人发现任何下属单位、分包单位、施工班组等在劳动用工与工资结算支付活动中存在有违反法律法规规定的行为，承包人将以最快的速度、采取最得力的措施就地予以纠正，同时将有关问题抄报监理单位及发包人，在监理单位、发包人或劳动监察部门有要求或规定时，将处理结果上报备案。</w:t>
      </w:r>
    </w:p>
    <w:p w14:paraId="4F876AFE">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八、承诺在收到中标通知书后且合同签署前，按规定向发包人缴纳工资保障金，金额为元人民币，用于支付拖欠的农民工工资，如工资保障金不足，发包人有权利在应支付给承包人的工程款或是履约保证金中划扣支付。该保障金余额发包人将于本项目施工完毕，并交工验收合格后退还。</w:t>
      </w:r>
    </w:p>
    <w:p w14:paraId="19206393">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九、承诺建立农民工工资支付台帐，如实记录支付时间、支付对象、支付数额等工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按规定缴纳的工资保障金或应支付给承包人的工程款或是履约保证金中直接扣除相应费用后向民工进行支付，承包人均无异议。</w:t>
      </w:r>
    </w:p>
    <w:p w14:paraId="0A98B4F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十、在合同工程实施过程中如有发生</w:t>
      </w:r>
    </w:p>
    <w:p w14:paraId="1F62B11C">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不按规定签订劳动合同或签订劳动合同不规范情况；或拖欠农民工工资、侵害农民工合法权益、农民工劳动安全保护欠缺的情况；或因欠薪导致的闹事、打斗、死伤、上访事件，承包人愿接受监理单位和/或发包人按合同或下发的管理办法规定的违约金。如果发生上述情况是因为我方违法分包、转包或出让资质、挂靠投标造成的，承包人对发包人或发包人的上级主管部门、政府机构提出的取消中标资格、终止合同、通报批评等违约金表示理解并无条件接受。</w:t>
      </w:r>
    </w:p>
    <w:p w14:paraId="2831490E">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十一、本保证书作为本项目施工承包合同的有效组成部分，纳入合同一并签署，在承包人法定代表人或委托代理人签署并加盖公章后生效，并保证在施工承包合同有效期内一直保持有效。</w:t>
      </w:r>
    </w:p>
    <w:p w14:paraId="05CC5550">
      <w:pPr>
        <w:spacing w:line="360" w:lineRule="auto"/>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p>
    <w:p w14:paraId="0AF18C86">
      <w:pPr>
        <w:spacing w:line="360" w:lineRule="auto"/>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pPr>
    </w:p>
    <w:p w14:paraId="6FA89578">
      <w:pPr>
        <w:autoSpaceDE w:val="0"/>
        <w:autoSpaceDN w:val="0"/>
        <w:spacing w:before="99"/>
        <w:ind w:left="4288"/>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承包人（盖章）：</w:t>
      </w:r>
    </w:p>
    <w:p w14:paraId="317AFD8D">
      <w:pPr>
        <w:autoSpaceDE w:val="0"/>
        <w:autoSpaceDN w:val="0"/>
        <w:spacing w:before="95"/>
        <w:ind w:left="6458"/>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565DE5DC">
      <w:pPr>
        <w:autoSpaceDE w:val="0"/>
        <w:autoSpaceDN w:val="0"/>
        <w:spacing w:before="98"/>
        <w:ind w:left="4288"/>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法定代表人或其委托代理人：</w:t>
      </w:r>
      <w:r>
        <w:rPr>
          <w:rFonts w:hint="eastAsia" w:asciiTheme="minorEastAsia" w:hAnsiTheme="minorEastAsia" w:eastAsiaTheme="minorEastAsia" w:cstheme="minorEastAsia"/>
          <w:color w:val="000000" w:themeColor="text1"/>
          <w:szCs w:val="21"/>
          <w:u w:val="single"/>
          <w:lang w:val="zh-CN" w:bidi="zh-CN"/>
          <w14:textFill>
            <w14:solidFill>
              <w14:schemeClr w14:val="tx1"/>
            </w14:solidFill>
          </w14:textFill>
        </w:rPr>
        <w:t>（签字</w:t>
      </w:r>
      <w:r>
        <w:rPr>
          <w:rFonts w:hint="eastAsia" w:asciiTheme="minorEastAsia" w:hAnsiTheme="minorEastAsia" w:eastAsiaTheme="minorEastAsia" w:cstheme="minorEastAsia"/>
          <w:color w:val="000000" w:themeColor="text1"/>
          <w:spacing w:val="-43"/>
          <w:szCs w:val="21"/>
          <w:u w:val="single"/>
          <w:lang w:val="zh-CN" w:bidi="zh-CN"/>
          <w14:textFill>
            <w14:solidFill>
              <w14:schemeClr w14:val="tx1"/>
            </w14:solidFill>
          </w14:textFill>
        </w:rPr>
        <w:t>）</w:t>
      </w:r>
    </w:p>
    <w:p w14:paraId="6B480861">
      <w:pPr>
        <w:autoSpaceDE w:val="0"/>
        <w:autoSpaceDN w:val="0"/>
        <w:spacing w:before="96"/>
        <w:ind w:left="4288"/>
        <w:jc w:val="left"/>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pPr>
    </w:p>
    <w:p w14:paraId="75E9A384">
      <w:pPr>
        <w:spacing w:line="360" w:lineRule="auto"/>
        <w:ind w:firstLine="420" w:firstLineChars="200"/>
        <w:jc w:val="right"/>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r>
        <w:rPr>
          <w:rFonts w:hint="eastAsia" w:asciiTheme="minorEastAsia" w:hAnsiTheme="minorEastAsia" w:eastAsiaTheme="minorEastAsia" w:cstheme="minorEastAsia"/>
          <w:color w:val="000000" w:themeColor="text1"/>
          <w:szCs w:val="21"/>
          <w:lang w:val="zh-CN" w:bidi="zh-CN"/>
          <w14:textFill>
            <w14:solidFill>
              <w14:schemeClr w14:val="tx1"/>
            </w14:solidFill>
          </w14:textFill>
        </w:rPr>
        <w:t>年月日</w:t>
      </w:r>
    </w:p>
    <w:bookmarkEnd w:id="41"/>
    <w:p w14:paraId="6886B4DA">
      <w:pPr>
        <w:spacing w:before="88" w:line="226" w:lineRule="auto"/>
        <w:ind w:left="45"/>
        <w:outlineLvl w:val="2"/>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附件九：建设管理责任书</w:t>
      </w:r>
    </w:p>
    <w:p w14:paraId="12D5007D">
      <w:pPr>
        <w:spacing w:before="233" w:line="226" w:lineRule="auto"/>
        <w:ind w:left="3196" w:firstLine="723" w:firstLineChars="3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建设管理责任书</w:t>
      </w:r>
    </w:p>
    <w:p w14:paraId="10808777">
      <w:pPr>
        <w:spacing w:before="112" w:line="220" w:lineRule="auto"/>
        <w:ind w:left="26"/>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发包人（甲方）：</w:t>
      </w:r>
    </w:p>
    <w:p w14:paraId="2DD9A1B8">
      <w:pPr>
        <w:spacing w:before="181" w:line="220" w:lineRule="auto"/>
        <w:ind w:left="28"/>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总承包方（乙方）：</w:t>
      </w:r>
    </w:p>
    <w:p w14:paraId="111DE03F">
      <w:pPr>
        <w:spacing w:before="181" w:line="220" w:lineRule="auto"/>
        <w:ind w:left="23"/>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县级交通运输主管部门（丙方）：</w:t>
      </w:r>
    </w:p>
    <w:p w14:paraId="4230808B">
      <w:pPr>
        <w:spacing w:before="182" w:line="351" w:lineRule="auto"/>
        <w:ind w:left="21" w:right="58" w:firstLine="483"/>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为明确</w:t>
      </w:r>
      <w:r>
        <w:rPr>
          <w:rFonts w:hint="eastAsia" w:asciiTheme="minorEastAsia" w:hAnsiTheme="minorEastAsia" w:eastAsiaTheme="minorEastAsia" w:cstheme="minorEastAsia"/>
          <w:color w:val="000000" w:themeColor="text1"/>
          <w:szCs w:val="21"/>
          <w:u w:val="single"/>
          <w14:textFill>
            <w14:solidFill>
              <w14:schemeClr w14:val="tx1"/>
            </w14:solidFill>
          </w14:textFill>
        </w:rPr>
        <w:t xml:space="preserve">  （项目名称）   建设项目包工程总承包招标（项目包号）</w:t>
      </w:r>
      <w:r>
        <w:rPr>
          <w:rFonts w:hint="eastAsia" w:asciiTheme="minorEastAsia" w:hAnsiTheme="minorEastAsia" w:eastAsiaTheme="minorEastAsia" w:cstheme="minorEastAsia"/>
          <w:color w:val="000000" w:themeColor="text1"/>
          <w:szCs w:val="21"/>
          <w14:textFill>
            <w14:solidFill>
              <w14:schemeClr w14:val="tx1"/>
            </w14:solidFill>
          </w14:textFill>
        </w:rPr>
        <w:t>三方责任，按照《中华人民共和国民法典》等相关法律法规的规定， 结合本项目招标文 件约定和项目包具体情况，经三方协商一致，签订本责任书，以兹共同遵守。</w:t>
      </w:r>
    </w:p>
    <w:p w14:paraId="59C01C0D">
      <w:pPr>
        <w:spacing w:before="35" w:line="220" w:lineRule="auto"/>
        <w:ind w:left="50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第一条</w:t>
      </w:r>
      <w:r>
        <w:rPr>
          <w:rFonts w:hint="eastAsia" w:asciiTheme="minorEastAsia" w:hAnsiTheme="minorEastAsia" w:eastAsiaTheme="minorEastAsia" w:cstheme="minorEastAsia"/>
          <w:color w:val="000000" w:themeColor="text1"/>
          <w:spacing w:val="-3"/>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项目名称</w:t>
      </w:r>
    </w:p>
    <w:p w14:paraId="3A010A78">
      <w:pPr>
        <w:tabs>
          <w:tab w:val="left" w:pos="868"/>
        </w:tabs>
        <w:spacing w:before="182" w:line="220" w:lineRule="auto"/>
        <w:ind w:left="493"/>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ab/>
      </w:r>
      <w:r>
        <w:rPr>
          <w:rFonts w:hint="eastAsia" w:asciiTheme="minorEastAsia" w:hAnsiTheme="minorEastAsia" w:eastAsiaTheme="minorEastAsia" w:cstheme="minorEastAsia"/>
          <w:color w:val="000000" w:themeColor="text1"/>
          <w:spacing w:val="-5"/>
          <w:szCs w:val="21"/>
          <w:u w:val="single"/>
          <w14:textFill>
            <w14:solidFill>
              <w14:schemeClr w14:val="tx1"/>
            </w14:solidFill>
          </w14:textFill>
        </w:rPr>
        <w:t>（项目名称）   建设项目包工程总承包招标（项目包号）</w:t>
      </w:r>
      <w:r>
        <w:rPr>
          <w:rFonts w:hint="eastAsia" w:asciiTheme="minorEastAsia" w:hAnsiTheme="minorEastAsia" w:eastAsiaTheme="minorEastAsia" w:cstheme="minorEastAsia"/>
          <w:color w:val="000000" w:themeColor="text1"/>
          <w:spacing w:val="-5"/>
          <w:szCs w:val="21"/>
          <w14:textFill>
            <w14:solidFill>
              <w14:schemeClr w14:val="tx1"/>
            </w14:solidFill>
          </w14:textFill>
        </w:rPr>
        <w:t>。</w:t>
      </w:r>
    </w:p>
    <w:p w14:paraId="54FB7F13">
      <w:pPr>
        <w:spacing w:before="182" w:line="220" w:lineRule="auto"/>
        <w:ind w:left="50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第二条</w:t>
      </w:r>
      <w:r>
        <w:rPr>
          <w:rFonts w:hint="eastAsia" w:asciiTheme="minorEastAsia" w:hAnsiTheme="minorEastAsia" w:eastAsiaTheme="minorEastAsia" w:cstheme="minorEastAsia"/>
          <w:color w:val="000000" w:themeColor="text1"/>
          <w:spacing w:val="-3"/>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项目地点</w:t>
      </w:r>
    </w:p>
    <w:p w14:paraId="4F46E1CE">
      <w:pPr>
        <w:pStyle w:val="8"/>
        <w:spacing w:line="309" w:lineRule="auto"/>
        <w:rPr>
          <w:rFonts w:hint="eastAsia" w:asciiTheme="minorEastAsia" w:hAnsiTheme="minorEastAsia" w:eastAsiaTheme="minorEastAsia" w:cstheme="minorEastAsia"/>
          <w:color w:val="000000" w:themeColor="text1"/>
          <w:szCs w:val="21"/>
          <w14:textFill>
            <w14:solidFill>
              <w14:schemeClr w14:val="tx1"/>
            </w14:solidFill>
          </w14:textFill>
        </w:rPr>
      </w:pPr>
    </w:p>
    <w:p w14:paraId="6D5176DF">
      <w:pPr>
        <w:tabs>
          <w:tab w:val="left" w:pos="3732"/>
        </w:tabs>
        <w:spacing w:before="27" w:line="173" w:lineRule="auto"/>
        <w:ind w:left="493"/>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u w:val="single"/>
          <w14:textFill>
            <w14:solidFill>
              <w14:schemeClr w14:val="tx1"/>
            </w14:solidFill>
          </w14:textFill>
        </w:rPr>
        <w:tab/>
      </w:r>
      <w:r>
        <w:rPr>
          <w:rFonts w:hint="eastAsia" w:asciiTheme="minorEastAsia" w:hAnsiTheme="minorEastAsia" w:eastAsiaTheme="minorEastAsia" w:cstheme="minorEastAsia"/>
          <w:color w:val="000000" w:themeColor="text1"/>
          <w:spacing w:val="-7"/>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2"/>
          <w:szCs w:val="21"/>
          <w14:textFill>
            <w14:solidFill>
              <w14:schemeClr w14:val="tx1"/>
            </w14:solidFill>
          </w14:textFill>
        </w:rPr>
        <w:t>。</w:t>
      </w:r>
    </w:p>
    <w:p w14:paraId="694A3D73">
      <w:pPr>
        <w:spacing w:before="237" w:line="220" w:lineRule="auto"/>
        <w:ind w:left="50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第三条</w:t>
      </w:r>
      <w:r>
        <w:rPr>
          <w:rFonts w:hint="eastAsia" w:asciiTheme="minorEastAsia" w:hAnsiTheme="minorEastAsia" w:eastAsiaTheme="minorEastAsia" w:cstheme="minorEastAsia"/>
          <w:color w:val="000000" w:themeColor="text1"/>
          <w:spacing w:val="-3"/>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项目范围</w:t>
      </w:r>
    </w:p>
    <w:p w14:paraId="6024491B">
      <w:pPr>
        <w:spacing w:before="182" w:line="347" w:lineRule="auto"/>
        <w:ind w:left="30" w:right="56" w:firstLine="47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3"/>
          <w:szCs w:val="21"/>
          <w:u w:val="single"/>
          <w14:textFill>
            <w14:solidFill>
              <w14:schemeClr w14:val="tx1"/>
            </w14:solidFill>
          </w14:textFill>
        </w:rPr>
        <w:t>本项目包建设范围内工程的勘察、设计、施工、监理、检测、竣（</w:t>
      </w:r>
      <w:r>
        <w:rPr>
          <w:rFonts w:hint="eastAsia" w:asciiTheme="minorEastAsia" w:hAnsiTheme="minorEastAsia" w:eastAsiaTheme="minorEastAsia" w:cstheme="minorEastAsia"/>
          <w:color w:val="000000" w:themeColor="text1"/>
          <w:spacing w:val="-4"/>
          <w:szCs w:val="21"/>
          <w:u w:val="single"/>
          <w14:textFill>
            <w14:solidFill>
              <w14:schemeClr w14:val="tx1"/>
            </w14:solidFill>
          </w14:textFill>
        </w:rPr>
        <w:t>交）工验</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
          <w:szCs w:val="21"/>
          <w:u w:val="single"/>
          <w14:textFill>
            <w14:solidFill>
              <w14:schemeClr w14:val="tx1"/>
            </w14:solidFill>
          </w14:textFill>
        </w:rPr>
        <w:t>收、缺陷修复以及质量保修、养护期内的养护工程等。</w:t>
      </w:r>
    </w:p>
    <w:p w14:paraId="6B1572F6">
      <w:pPr>
        <w:spacing w:before="34" w:line="220" w:lineRule="auto"/>
        <w:ind w:left="50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6"/>
          <w:szCs w:val="21"/>
          <w14:textFill>
            <w14:solidFill>
              <w14:schemeClr w14:val="tx1"/>
            </w14:solidFill>
          </w14:textFill>
        </w:rPr>
        <w:t>第四条</w:t>
      </w:r>
      <w:r>
        <w:rPr>
          <w:rFonts w:hint="eastAsia" w:asciiTheme="minorEastAsia" w:hAnsiTheme="minorEastAsia" w:eastAsiaTheme="minorEastAsia" w:cstheme="minorEastAsia"/>
          <w:color w:val="000000" w:themeColor="text1"/>
          <w:spacing w:val="44"/>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6"/>
          <w:szCs w:val="21"/>
          <w14:textFill>
            <w14:solidFill>
              <w14:schemeClr w14:val="tx1"/>
            </w14:solidFill>
          </w14:textFill>
        </w:rPr>
        <w:t>甲、乙、丙三方责任</w:t>
      </w:r>
    </w:p>
    <w:p w14:paraId="30E8459F">
      <w:pPr>
        <w:spacing w:before="182" w:line="220"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8"/>
          <w:szCs w:val="21"/>
          <w14:textFill>
            <w14:solidFill>
              <w14:schemeClr w14:val="tx1"/>
            </w14:solidFill>
          </w14:textFill>
        </w:rPr>
        <w:t>4.1</w:t>
      </w:r>
      <w:r>
        <w:rPr>
          <w:rFonts w:hint="eastAsia" w:asciiTheme="minorEastAsia" w:hAnsiTheme="minorEastAsia" w:eastAsiaTheme="minorEastAsia" w:cstheme="minorEastAsia"/>
          <w:color w:val="000000" w:themeColor="text1"/>
          <w:spacing w:val="43"/>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8"/>
          <w:szCs w:val="21"/>
          <w14:textFill>
            <w14:solidFill>
              <w14:schemeClr w14:val="tx1"/>
            </w14:solidFill>
          </w14:textFill>
        </w:rPr>
        <w:t>甲方责任</w:t>
      </w:r>
    </w:p>
    <w:p w14:paraId="59C3C126">
      <w:pPr>
        <w:spacing w:before="182" w:line="219" w:lineRule="auto"/>
        <w:ind w:left="505"/>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u w:val="single"/>
          <w14:textFill>
            <w14:solidFill>
              <w14:schemeClr w14:val="tx1"/>
            </w14:solidFill>
          </w14:textFill>
        </w:rPr>
        <w:t>详见《第四章合同条款及格式》第二节合同条款第三条甲方职责。</w:t>
      </w:r>
    </w:p>
    <w:p w14:paraId="45D5A738">
      <w:pPr>
        <w:spacing w:before="183" w:line="220"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7"/>
          <w:szCs w:val="21"/>
          <w14:textFill>
            <w14:solidFill>
              <w14:schemeClr w14:val="tx1"/>
            </w14:solidFill>
          </w14:textFill>
        </w:rPr>
        <w:t>4.2</w:t>
      </w:r>
      <w:r>
        <w:rPr>
          <w:rFonts w:hint="eastAsia" w:asciiTheme="minorEastAsia" w:hAnsiTheme="minorEastAsia" w:eastAsiaTheme="minorEastAsia" w:cstheme="minorEastAsia"/>
          <w:color w:val="000000" w:themeColor="text1"/>
          <w:spacing w:val="34"/>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7"/>
          <w:szCs w:val="21"/>
          <w14:textFill>
            <w14:solidFill>
              <w14:schemeClr w14:val="tx1"/>
            </w14:solidFill>
          </w14:textFill>
        </w:rPr>
        <w:t>乙方责任</w:t>
      </w:r>
    </w:p>
    <w:p w14:paraId="307CF612">
      <w:pPr>
        <w:spacing w:before="183" w:line="219" w:lineRule="auto"/>
        <w:ind w:left="505"/>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u w:val="single"/>
          <w14:textFill>
            <w14:solidFill>
              <w14:schemeClr w14:val="tx1"/>
            </w14:solidFill>
          </w14:textFill>
        </w:rPr>
        <w:t>详见《第四章合同条款及格式》第二节合同条款第四条乙方职责。</w:t>
      </w:r>
    </w:p>
    <w:p w14:paraId="44F8EB81">
      <w:pPr>
        <w:spacing w:before="182" w:line="220"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5"/>
          <w:szCs w:val="21"/>
          <w14:textFill>
            <w14:solidFill>
              <w14:schemeClr w14:val="tx1"/>
            </w14:solidFill>
          </w14:textFill>
        </w:rPr>
        <w:t>4.3</w:t>
      </w:r>
      <w:r>
        <w:rPr>
          <w:rFonts w:hint="eastAsia" w:asciiTheme="minorEastAsia" w:hAnsiTheme="minorEastAsia" w:eastAsiaTheme="minorEastAsia" w:cstheme="minorEastAsia"/>
          <w:color w:val="000000" w:themeColor="text1"/>
          <w:spacing w:val="-45"/>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5"/>
          <w:szCs w:val="21"/>
          <w14:textFill>
            <w14:solidFill>
              <w14:schemeClr w14:val="tx1"/>
            </w14:solidFill>
          </w14:textFill>
        </w:rPr>
        <w:t>丙方责任</w:t>
      </w:r>
    </w:p>
    <w:p w14:paraId="1C6F7AF9">
      <w:pPr>
        <w:spacing w:before="182" w:line="220"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4.3.1</w:t>
      </w:r>
      <w:r>
        <w:rPr>
          <w:rFonts w:hint="eastAsia" w:asciiTheme="minorEastAsia" w:hAnsiTheme="minorEastAsia" w:eastAsiaTheme="minorEastAsia" w:cstheme="minorEastAsia"/>
          <w:color w:val="000000" w:themeColor="text1"/>
          <w:spacing w:val="-49"/>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编制（审核）建设资金方案，落实地方配套资金。</w:t>
      </w:r>
    </w:p>
    <w:p w14:paraId="7BCD6464">
      <w:pPr>
        <w:spacing w:before="184" w:line="289" w:lineRule="auto"/>
        <w:ind w:left="25" w:right="58" w:firstLine="476"/>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5"/>
          <w:szCs w:val="21"/>
          <w14:textFill>
            <w14:solidFill>
              <w14:schemeClr w14:val="tx1"/>
            </w14:solidFill>
          </w14:textFill>
        </w:rPr>
        <w:t>4.3.2</w:t>
      </w:r>
      <w:r>
        <w:rPr>
          <w:rFonts w:hint="eastAsia" w:asciiTheme="minorEastAsia" w:hAnsiTheme="minorEastAsia" w:eastAsiaTheme="minorEastAsia" w:cstheme="minorEastAsia"/>
          <w:color w:val="000000" w:themeColor="text1"/>
          <w:spacing w:val="-43"/>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5"/>
          <w:szCs w:val="21"/>
          <w14:textFill>
            <w14:solidFill>
              <w14:schemeClr w14:val="tx1"/>
            </w14:solidFill>
          </w14:textFill>
        </w:rPr>
        <w:t>组织完成项目包工程设计、施工图审查审批； 会同本级财政部门进一</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Cs w:val="21"/>
          <w14:textFill>
            <w14:solidFill>
              <w14:schemeClr w14:val="tx1"/>
            </w14:solidFill>
          </w14:textFill>
        </w:rPr>
        <w:t>步简化财政资金审查和资金支付等程序。</w:t>
      </w:r>
    </w:p>
    <w:p w14:paraId="11914A8A">
      <w:pPr>
        <w:spacing w:before="182" w:line="325" w:lineRule="auto"/>
        <w:ind w:left="22" w:firstLine="479"/>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6"/>
          <w:szCs w:val="21"/>
          <w14:textFill>
            <w14:solidFill>
              <w14:schemeClr w14:val="tx1"/>
            </w14:solidFill>
          </w14:textFill>
        </w:rPr>
        <w:t>4.3.3</w:t>
      </w:r>
      <w:r>
        <w:rPr>
          <w:rFonts w:hint="eastAsia" w:asciiTheme="minorEastAsia" w:hAnsiTheme="minorEastAsia" w:eastAsiaTheme="minorEastAsia" w:cstheme="minorEastAsia"/>
          <w:color w:val="000000" w:themeColor="text1"/>
          <w:spacing w:val="-49"/>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szCs w:val="21"/>
          <w14:textFill>
            <w14:solidFill>
              <w14:schemeClr w14:val="tx1"/>
            </w14:solidFill>
          </w14:textFill>
        </w:rPr>
        <w:t>落实项目包工程设计造价管理。集约节</w:t>
      </w:r>
      <w:r>
        <w:rPr>
          <w:rFonts w:hint="eastAsia" w:asciiTheme="minorEastAsia" w:hAnsiTheme="minorEastAsia" w:eastAsiaTheme="minorEastAsia" w:cstheme="minorEastAsia"/>
          <w:color w:val="000000" w:themeColor="text1"/>
          <w:spacing w:val="-7"/>
          <w:szCs w:val="21"/>
          <w14:textFill>
            <w14:solidFill>
              <w14:schemeClr w14:val="tx1"/>
            </w14:solidFill>
          </w14:textFill>
        </w:rPr>
        <w:t>约利用省级补助资金，</w:t>
      </w:r>
      <w:r>
        <w:rPr>
          <w:rFonts w:hint="eastAsia" w:asciiTheme="minorEastAsia" w:hAnsiTheme="minorEastAsia" w:eastAsiaTheme="minorEastAsia" w:cstheme="minorEastAsia"/>
          <w:color w:val="000000" w:themeColor="text1"/>
          <w:spacing w:val="49"/>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7"/>
          <w:szCs w:val="21"/>
          <w14:textFill>
            <w14:solidFill>
              <w14:schemeClr w14:val="tx1"/>
            </w14:solidFill>
          </w14:textFill>
        </w:rPr>
        <w:t>按资金</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Cs w:val="21"/>
          <w14:textFill>
            <w14:solidFill>
              <w14:schemeClr w14:val="tx1"/>
            </w14:solidFill>
          </w14:textFill>
        </w:rPr>
        <w:t>计划合理设计，以设计控制节省造价，以造价推动设计优化。严格方案设计和招</w:t>
      </w:r>
      <w:r>
        <w:rPr>
          <w:rFonts w:hint="eastAsia" w:asciiTheme="minorEastAsia" w:hAnsiTheme="minorEastAsia" w:eastAsiaTheme="minorEastAsia" w:cstheme="minorEastAsia"/>
          <w:color w:val="000000" w:themeColor="text1"/>
          <w:spacing w:val="2"/>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
          <w:szCs w:val="21"/>
          <w14:textFill>
            <w14:solidFill>
              <w14:schemeClr w14:val="tx1"/>
            </w14:solidFill>
          </w14:textFill>
        </w:rPr>
        <w:t>标控制价审查，严格执行部省相关计价标准，为筹措建</w:t>
      </w:r>
      <w:r>
        <w:rPr>
          <w:rFonts w:hint="eastAsia" w:asciiTheme="minorEastAsia" w:hAnsiTheme="minorEastAsia" w:eastAsiaTheme="minorEastAsia" w:cstheme="minorEastAsia"/>
          <w:color w:val="000000" w:themeColor="text1"/>
          <w:spacing w:val="-2"/>
          <w:szCs w:val="21"/>
          <w14:textFill>
            <w14:solidFill>
              <w14:schemeClr w14:val="tx1"/>
            </w14:solidFill>
          </w14:textFill>
        </w:rPr>
        <w:t>设资金及地方配套资金、</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Cs w:val="21"/>
          <w14:textFill>
            <w14:solidFill>
              <w14:schemeClr w14:val="tx1"/>
            </w14:solidFill>
          </w14:textFill>
        </w:rPr>
        <w:t>合理确定招标项目提供依据。</w:t>
      </w:r>
    </w:p>
    <w:p w14:paraId="0DE54D81">
      <w:pPr>
        <w:spacing w:before="184" w:line="218"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4.3.4</w:t>
      </w:r>
      <w:r>
        <w:rPr>
          <w:rFonts w:hint="eastAsia" w:asciiTheme="minorEastAsia" w:hAnsiTheme="minorEastAsia" w:eastAsiaTheme="minorEastAsia" w:cstheme="minorEastAsia"/>
          <w:color w:val="000000" w:themeColor="text1"/>
          <w:spacing w:val="-30"/>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负责接收开工报告备案，质量安全监管，竣（交）工验收，并协调总</w:t>
      </w:r>
    </w:p>
    <w:p w14:paraId="62CCFBE3">
      <w:pPr>
        <w:spacing w:line="218" w:lineRule="auto"/>
        <w:rPr>
          <w:rFonts w:hint="eastAsia" w:asciiTheme="minorEastAsia" w:hAnsiTheme="minorEastAsia" w:eastAsiaTheme="minorEastAsia" w:cstheme="minorEastAsia"/>
          <w:color w:val="000000" w:themeColor="text1"/>
          <w:szCs w:val="21"/>
          <w14:textFill>
            <w14:solidFill>
              <w14:schemeClr w14:val="tx1"/>
            </w14:solidFill>
          </w14:textFill>
        </w:rPr>
        <w:sectPr>
          <w:footerReference r:id="rId10" w:type="default"/>
          <w:pgSz w:w="11905" w:h="16840"/>
          <w:pgMar w:top="1440" w:right="1080" w:bottom="1440" w:left="1080" w:header="0" w:footer="995" w:gutter="0"/>
          <w:pgNumType w:fmt="numberInDash"/>
          <w:cols w:space="720" w:num="1"/>
        </w:sectPr>
      </w:pPr>
    </w:p>
    <w:p w14:paraId="5B7367ED">
      <w:pPr>
        <w:spacing w:before="122" w:line="219" w:lineRule="auto"/>
        <w:ind w:left="2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3"/>
          <w:szCs w:val="21"/>
          <w14:textFill>
            <w14:solidFill>
              <w14:schemeClr w14:val="tx1"/>
            </w14:solidFill>
          </w14:textFill>
        </w:rPr>
        <w:t>承包单位与地方关系，提供便利条件。</w:t>
      </w:r>
    </w:p>
    <w:p w14:paraId="7566C869">
      <w:pPr>
        <w:spacing w:before="183" w:line="313" w:lineRule="auto"/>
        <w:ind w:left="25" w:right="66" w:firstLine="476"/>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4.3.5</w:t>
      </w:r>
      <w:r>
        <w:rPr>
          <w:rFonts w:hint="eastAsia" w:asciiTheme="minorEastAsia" w:hAnsiTheme="minorEastAsia" w:eastAsiaTheme="minorEastAsia" w:cstheme="minorEastAsia"/>
          <w:color w:val="000000" w:themeColor="text1"/>
          <w:spacing w:val="-33"/>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负责日常质量监督检查工作，发挥县级交通运输主管部门对农村公路</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5"/>
          <w:szCs w:val="21"/>
          <w14:textFill>
            <w14:solidFill>
              <w14:schemeClr w14:val="tx1"/>
            </w14:solidFill>
          </w14:textFill>
        </w:rPr>
        <w:t>建设监管的主体责任。结合项目建设实际，</w:t>
      </w:r>
      <w:r>
        <w:rPr>
          <w:rFonts w:hint="eastAsia" w:asciiTheme="minorEastAsia" w:hAnsiTheme="minorEastAsia" w:eastAsiaTheme="minorEastAsia" w:cstheme="minorEastAsia"/>
          <w:color w:val="000000" w:themeColor="text1"/>
          <w:spacing w:val="-52"/>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5"/>
          <w:szCs w:val="21"/>
          <w14:textFill>
            <w14:solidFill>
              <w14:schemeClr w14:val="tx1"/>
            </w14:solidFill>
          </w14:textFill>
        </w:rPr>
        <w:t>进一步制定农村公路质量监督实施细</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则，加强镇、村负责组织实施乡道、村道工程质量监督，确保工程质量。</w:t>
      </w:r>
    </w:p>
    <w:p w14:paraId="032351C5">
      <w:pPr>
        <w:spacing w:before="184" w:line="313" w:lineRule="auto"/>
        <w:ind w:left="26" w:right="65" w:firstLine="475"/>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4.3.6</w:t>
      </w:r>
      <w:r>
        <w:rPr>
          <w:rFonts w:hint="eastAsia" w:asciiTheme="minorEastAsia" w:hAnsiTheme="minorEastAsia" w:eastAsiaTheme="minorEastAsia" w:cstheme="minorEastAsia"/>
          <w:color w:val="000000" w:themeColor="text1"/>
          <w:spacing w:val="-32"/>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加强数字农村公路管理系统的应用，按职责分工，把计划资金、方案</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Cs w:val="21"/>
          <w14:textFill>
            <w14:solidFill>
              <w14:schemeClr w14:val="tx1"/>
            </w14:solidFill>
          </w14:textFill>
        </w:rPr>
        <w:t>设计、施工图设计、招投标备案、质量安全监管、施工进度和竣（交）工</w:t>
      </w:r>
      <w:r>
        <w:rPr>
          <w:rFonts w:hint="eastAsia" w:asciiTheme="minorEastAsia" w:hAnsiTheme="minorEastAsia" w:eastAsiaTheme="minorEastAsia" w:cstheme="minorEastAsia"/>
          <w:color w:val="000000" w:themeColor="text1"/>
          <w:spacing w:val="-4"/>
          <w:szCs w:val="21"/>
          <w14:textFill>
            <w14:solidFill>
              <w14:schemeClr w14:val="tx1"/>
            </w14:solidFill>
          </w14:textFill>
        </w:rPr>
        <w:t>验收等</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管理程序数字化，在管理系统上实施项目全过程管理。</w:t>
      </w:r>
    </w:p>
    <w:p w14:paraId="7D049C26">
      <w:pPr>
        <w:spacing w:before="181" w:line="313" w:lineRule="auto"/>
        <w:ind w:left="22" w:right="66" w:firstLine="479"/>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4.3.7</w:t>
      </w:r>
      <w:r>
        <w:rPr>
          <w:rFonts w:hint="eastAsia" w:asciiTheme="minorEastAsia" w:hAnsiTheme="minorEastAsia" w:eastAsiaTheme="minorEastAsia" w:cstheme="minorEastAsia"/>
          <w:color w:val="000000" w:themeColor="text1"/>
          <w:spacing w:val="-34"/>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负责协助开展征地拆迁、原有线路桥梁既有的管线光缆电力设施等拆</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Cs w:val="21"/>
          <w14:textFill>
            <w14:solidFill>
              <w14:schemeClr w14:val="tx1"/>
            </w14:solidFill>
          </w14:textFill>
        </w:rPr>
        <w:t>除、旧桥既有的水电管线及光缆等拆除。协助开展项目实施过程中涉及的项目通</w:t>
      </w:r>
      <w:r>
        <w:rPr>
          <w:rFonts w:hint="eastAsia" w:asciiTheme="minorEastAsia" w:hAnsiTheme="minorEastAsia" w:eastAsiaTheme="minorEastAsia" w:cstheme="minorEastAsia"/>
          <w:color w:val="000000" w:themeColor="text1"/>
          <w:spacing w:val="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Cs w:val="21"/>
          <w14:textFill>
            <w14:solidFill>
              <w14:schemeClr w14:val="tx1"/>
            </w14:solidFill>
          </w14:textFill>
        </w:rPr>
        <w:t>航论证、项目防洪评价等工作。</w:t>
      </w:r>
    </w:p>
    <w:p w14:paraId="34E756BE">
      <w:pPr>
        <w:spacing w:before="303" w:line="220" w:lineRule="auto"/>
        <w:ind w:left="501"/>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4.3.8</w:t>
      </w:r>
      <w:r>
        <w:rPr>
          <w:rFonts w:hint="eastAsia" w:asciiTheme="minorEastAsia" w:hAnsiTheme="minorEastAsia" w:eastAsiaTheme="minorEastAsia" w:cstheme="minorEastAsia"/>
          <w:color w:val="000000" w:themeColor="text1"/>
          <w:spacing w:val="-32"/>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因地方需求，项目工程规模发生变</w:t>
      </w:r>
      <w:r>
        <w:rPr>
          <w:rFonts w:hint="eastAsia" w:asciiTheme="minorEastAsia" w:hAnsiTheme="minorEastAsia" w:eastAsiaTheme="minorEastAsia" w:cstheme="minorEastAsia"/>
          <w:color w:val="000000" w:themeColor="text1"/>
          <w:spacing w:val="-3"/>
          <w:szCs w:val="21"/>
          <w14:textFill>
            <w14:solidFill>
              <w14:schemeClr w14:val="tx1"/>
            </w14:solidFill>
          </w14:textFill>
        </w:rPr>
        <w:t>化的，负责筹措资金。</w:t>
      </w:r>
    </w:p>
    <w:p w14:paraId="29F78806">
      <w:pPr>
        <w:spacing w:before="302" w:line="219" w:lineRule="auto"/>
        <w:ind w:left="502"/>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第五条</w:t>
      </w:r>
      <w:r>
        <w:rPr>
          <w:rFonts w:hint="eastAsia" w:asciiTheme="minorEastAsia" w:hAnsiTheme="minorEastAsia" w:eastAsiaTheme="minorEastAsia" w:cstheme="minorEastAsia"/>
          <w:color w:val="000000" w:themeColor="text1"/>
          <w:spacing w:val="-3"/>
          <w:szCs w:val="21"/>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3"/>
          <w:szCs w:val="21"/>
          <w14:textFill>
            <w14:solidFill>
              <w14:schemeClr w14:val="tx1"/>
            </w14:solidFill>
          </w14:textFill>
        </w:rPr>
        <w:t>责任书生效及其他</w:t>
      </w:r>
    </w:p>
    <w:p w14:paraId="182A0F38">
      <w:pPr>
        <w:spacing w:before="184" w:line="219" w:lineRule="auto"/>
        <w:ind w:left="507"/>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5.1</w:t>
      </w:r>
      <w:r>
        <w:rPr>
          <w:rFonts w:hint="eastAsia" w:asciiTheme="minorEastAsia" w:hAnsiTheme="minorEastAsia" w:eastAsiaTheme="minorEastAsia" w:cstheme="minorEastAsia"/>
          <w:color w:val="000000" w:themeColor="text1"/>
          <w:spacing w:val="-47"/>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本责任书经三方法人代表或其授权代表签字并加盖公章后生效。</w:t>
      </w:r>
    </w:p>
    <w:p w14:paraId="2096A44C">
      <w:pPr>
        <w:spacing w:before="183" w:line="290" w:lineRule="auto"/>
        <w:ind w:left="119" w:firstLine="36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9"/>
          <w:szCs w:val="21"/>
          <w14:textFill>
            <w14:solidFill>
              <w14:schemeClr w14:val="tx1"/>
            </w14:solidFill>
          </w14:textFill>
        </w:rPr>
        <w:t>5.2</w:t>
      </w:r>
      <w:r>
        <w:rPr>
          <w:rFonts w:hint="eastAsia" w:asciiTheme="minorEastAsia" w:hAnsiTheme="minorEastAsia" w:eastAsiaTheme="minorEastAsia" w:cstheme="minorEastAsia"/>
          <w:color w:val="000000" w:themeColor="text1"/>
          <w:spacing w:val="-43"/>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Cs w:val="21"/>
          <w14:textFill>
            <w14:solidFill>
              <w14:schemeClr w14:val="tx1"/>
            </w14:solidFill>
          </w14:textFill>
        </w:rPr>
        <w:t>本责任书一式</w:t>
      </w:r>
      <w:r>
        <w:rPr>
          <w:rFonts w:hint="eastAsia" w:asciiTheme="minorEastAsia" w:hAnsiTheme="minorEastAsia" w:eastAsiaTheme="minorEastAsia" w:cstheme="minorEastAsia"/>
          <w:color w:val="000000" w:themeColor="text1"/>
          <w:spacing w:val="-9"/>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1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Cs w:val="21"/>
          <w14:textFill>
            <w14:solidFill>
              <w14:schemeClr w14:val="tx1"/>
            </w14:solidFill>
          </w14:textFill>
        </w:rPr>
        <w:t>份，具同等法律效力。其中甲方执</w:t>
      </w:r>
      <w:r>
        <w:rPr>
          <w:rFonts w:hint="eastAsia" w:asciiTheme="minorEastAsia" w:hAnsiTheme="minorEastAsia" w:eastAsiaTheme="minorEastAsia" w:cstheme="minorEastAsia"/>
          <w:color w:val="000000" w:themeColor="text1"/>
          <w:spacing w:val="-9"/>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1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Cs w:val="21"/>
          <w14:textFill>
            <w14:solidFill>
              <w14:schemeClr w14:val="tx1"/>
            </w14:solidFill>
          </w14:textFill>
        </w:rPr>
        <w:t>份，乙方执</w:t>
      </w:r>
      <w:r>
        <w:rPr>
          <w:rFonts w:hint="eastAsia" w:asciiTheme="minorEastAsia" w:hAnsiTheme="minorEastAsia" w:eastAsiaTheme="minorEastAsia" w:cstheme="minorEastAsia"/>
          <w:color w:val="000000" w:themeColor="text1"/>
          <w:spacing w:val="-9"/>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10"/>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Cs w:val="21"/>
          <w14:textFill>
            <w14:solidFill>
              <w14:schemeClr w14:val="tx1"/>
            </w14:solidFill>
          </w14:textFill>
        </w:rPr>
        <w:t>份，</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8"/>
          <w:szCs w:val="21"/>
          <w14:textFill>
            <w14:solidFill>
              <w14:schemeClr w14:val="tx1"/>
            </w14:solidFill>
          </w14:textFill>
        </w:rPr>
        <w:t>丙方执</w:t>
      </w:r>
      <w:r>
        <w:rPr>
          <w:rFonts w:hint="eastAsia" w:asciiTheme="minorEastAsia" w:hAnsiTheme="minorEastAsia" w:eastAsiaTheme="minorEastAsia" w:cstheme="minorEastAsia"/>
          <w:color w:val="000000" w:themeColor="text1"/>
          <w:spacing w:val="-118"/>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10"/>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8"/>
          <w:szCs w:val="21"/>
          <w14:textFill>
            <w14:solidFill>
              <w14:schemeClr w14:val="tx1"/>
            </w14:solidFill>
          </w14:textFill>
        </w:rPr>
        <w:t>份。</w:t>
      </w:r>
    </w:p>
    <w:p w14:paraId="4E29BFFD">
      <w:pPr>
        <w:spacing w:before="183" w:line="289" w:lineRule="auto"/>
        <w:ind w:left="27" w:right="65" w:firstLine="48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5.3</w:t>
      </w:r>
      <w:r>
        <w:rPr>
          <w:rFonts w:hint="eastAsia" w:asciiTheme="minorEastAsia" w:hAnsiTheme="minorEastAsia" w:eastAsiaTheme="minorEastAsia" w:cstheme="minorEastAsia"/>
          <w:color w:val="000000" w:themeColor="text1"/>
          <w:spacing w:val="-40"/>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
          <w:szCs w:val="21"/>
          <w14:textFill>
            <w14:solidFill>
              <w14:schemeClr w14:val="tx1"/>
            </w14:solidFill>
          </w14:textFill>
        </w:rPr>
        <w:t>本责任书未尽事宜，经三方协商一致，再行签订补充责任书，补充责任</w:t>
      </w:r>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Cs w:val="21"/>
          <w14:textFill>
            <w14:solidFill>
              <w14:schemeClr w14:val="tx1"/>
            </w14:solidFill>
          </w14:textFill>
        </w:rPr>
        <w:t>书与本责任书具有同等效力。</w:t>
      </w:r>
    </w:p>
    <w:p w14:paraId="32B73895">
      <w:pPr>
        <w:pStyle w:val="8"/>
        <w:spacing w:line="284" w:lineRule="auto"/>
        <w:rPr>
          <w:rFonts w:hint="eastAsia" w:asciiTheme="minorEastAsia" w:hAnsiTheme="minorEastAsia" w:eastAsiaTheme="minorEastAsia" w:cstheme="minorEastAsia"/>
          <w:color w:val="000000" w:themeColor="text1"/>
          <w:szCs w:val="21"/>
          <w14:textFill>
            <w14:solidFill>
              <w14:schemeClr w14:val="tx1"/>
            </w14:solidFill>
          </w14:textFill>
        </w:rPr>
      </w:pPr>
    </w:p>
    <w:p w14:paraId="3A0286A5">
      <w:pPr>
        <w:pStyle w:val="8"/>
        <w:spacing w:line="285" w:lineRule="auto"/>
        <w:rPr>
          <w:rFonts w:hint="eastAsia" w:asciiTheme="minorEastAsia" w:hAnsiTheme="minorEastAsia" w:eastAsiaTheme="minorEastAsia" w:cstheme="minorEastAsia"/>
          <w:color w:val="000000" w:themeColor="text1"/>
          <w:szCs w:val="21"/>
          <w14:textFill>
            <w14:solidFill>
              <w14:schemeClr w14:val="tx1"/>
            </w14:solidFill>
          </w14:textFill>
        </w:rPr>
      </w:pPr>
    </w:p>
    <w:p w14:paraId="0DF42B9B">
      <w:pPr>
        <w:spacing w:before="183" w:line="289" w:lineRule="auto"/>
        <w:ind w:right="65" w:firstLine="618" w:firstLineChars="30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甲方（盖章）：                                     乙方（盖章）：</w:t>
      </w:r>
    </w:p>
    <w:p w14:paraId="6B398D9B">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法定代表人：或授权委托人：                          法定代表人：或授权委托人：</w:t>
      </w:r>
    </w:p>
    <w:p w14:paraId="19FA6B45">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单位地址：                                          单位地址：</w:t>
      </w:r>
    </w:p>
    <w:p w14:paraId="36F20890">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电话：                                              电话：</w:t>
      </w:r>
    </w:p>
    <w:p w14:paraId="7E3F55A0">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邮政编码：                                          邮政编码：</w:t>
      </w:r>
    </w:p>
    <w:p w14:paraId="5EC4C8BE">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签订日期：       年     月     日                   签订日期：       年     月     日</w:t>
      </w:r>
    </w:p>
    <w:p w14:paraId="3E561756">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p>
    <w:p w14:paraId="07CA10D1">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丙方（盖章）：</w:t>
      </w:r>
    </w:p>
    <w:p w14:paraId="6DF3DBD8">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法定代表人（或授权委托人）： 单位地址：</w:t>
      </w:r>
    </w:p>
    <w:p w14:paraId="3F45D6F8">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电话：</w:t>
      </w:r>
    </w:p>
    <w:p w14:paraId="7554B857">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邮政编码：</w:t>
      </w:r>
    </w:p>
    <w:p w14:paraId="4E30D00D">
      <w:pPr>
        <w:spacing w:before="183" w:line="289" w:lineRule="auto"/>
        <w:ind w:left="27" w:right="65" w:firstLine="480"/>
        <w:rPr>
          <w:rFonts w:hint="eastAsia" w:asciiTheme="minorEastAsia" w:hAnsiTheme="minorEastAsia" w:eastAsiaTheme="minorEastAsia" w:cstheme="minorEastAsia"/>
          <w:color w:val="000000" w:themeColor="text1"/>
          <w:spacing w:val="-2"/>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签订日期：       年     月     日</w:t>
      </w:r>
    </w:p>
    <w:p w14:paraId="112DBD4A">
      <w:pPr>
        <w:spacing w:line="220" w:lineRule="auto"/>
        <w:rPr>
          <w:rFonts w:hint="eastAsia" w:asciiTheme="minorEastAsia" w:hAnsiTheme="minorEastAsia" w:eastAsiaTheme="minorEastAsia" w:cstheme="minorEastAsia"/>
          <w:color w:val="000000" w:themeColor="text1"/>
          <w:sz w:val="24"/>
          <w14:textFill>
            <w14:solidFill>
              <w14:schemeClr w14:val="tx1"/>
            </w14:solidFill>
          </w14:textFill>
        </w:rPr>
        <w:sectPr>
          <w:footerReference r:id="rId11" w:type="default"/>
          <w:pgSz w:w="11905" w:h="16840"/>
          <w:pgMar w:top="1440" w:right="1080" w:bottom="1440" w:left="1080" w:header="0" w:footer="995" w:gutter="0"/>
          <w:pgNumType w:fmt="numberInDash"/>
          <w:cols w:space="720" w:num="1"/>
        </w:sectPr>
      </w:pPr>
    </w:p>
    <w:p w14:paraId="3E32630E">
      <w:pPr>
        <w:spacing w:before="140" w:line="224" w:lineRule="auto"/>
        <w:ind w:left="3521"/>
        <w:outlineLvl w:val="0"/>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pPr>
    </w:p>
    <w:p w14:paraId="2E0EF05F">
      <w:pPr>
        <w:spacing w:before="140" w:line="224" w:lineRule="auto"/>
        <w:ind w:left="3521"/>
        <w:outlineLvl w:val="0"/>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pPr>
    </w:p>
    <w:p w14:paraId="0E282FA7">
      <w:pPr>
        <w:spacing w:before="140" w:line="224" w:lineRule="auto"/>
        <w:ind w:left="3521"/>
        <w:outlineLvl w:val="0"/>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pPr>
    </w:p>
    <w:p w14:paraId="36B8C38E">
      <w:pPr>
        <w:spacing w:before="140" w:line="224" w:lineRule="auto"/>
        <w:ind w:left="3521"/>
        <w:outlineLvl w:val="0"/>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pPr>
    </w:p>
    <w:p w14:paraId="6932E6AA">
      <w:pPr>
        <w:spacing w:before="140" w:line="224" w:lineRule="auto"/>
        <w:ind w:left="3521"/>
        <w:outlineLvl w:val="0"/>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pPr>
    </w:p>
    <w:p w14:paraId="60C7FDEB">
      <w:pPr>
        <w:spacing w:before="140" w:line="224" w:lineRule="auto"/>
        <w:ind w:firstLine="3903" w:firstLineChars="900"/>
        <w:outlineLvl w:val="0"/>
        <w:rPr>
          <w:rFonts w:hint="eastAsia" w:asciiTheme="minorEastAsia" w:hAnsiTheme="minorEastAsia" w:eastAsiaTheme="minorEastAsia" w:cstheme="minorEastAsia"/>
          <w:color w:val="000000" w:themeColor="text1"/>
          <w:sz w:val="43"/>
          <w:szCs w:val="43"/>
          <w14:textFill>
            <w14:solidFill>
              <w14:schemeClr w14:val="tx1"/>
            </w14:solidFill>
          </w14:textFill>
        </w:rPr>
      </w:pPr>
      <w:bookmarkStart w:id="48" w:name="_Toc8702"/>
      <w:r>
        <w:rPr>
          <w:rFonts w:hint="eastAsia" w:asciiTheme="minorEastAsia" w:hAnsiTheme="minorEastAsia" w:eastAsiaTheme="minorEastAsia" w:cstheme="minorEastAsia"/>
          <w:b/>
          <w:bCs/>
          <w:color w:val="000000" w:themeColor="text1"/>
          <w:spacing w:val="1"/>
          <w:sz w:val="43"/>
          <w:szCs w:val="43"/>
          <w14:textFill>
            <w14:solidFill>
              <w14:schemeClr w14:val="tx1"/>
            </w14:solidFill>
          </w14:textFill>
        </w:rPr>
        <w:t>第二卷</w:t>
      </w:r>
      <w:bookmarkEnd w:id="48"/>
    </w:p>
    <w:p w14:paraId="03BC116D">
      <w:pPr>
        <w:rPr>
          <w:rFonts w:hint="eastAsia" w:asciiTheme="minorEastAsia" w:hAnsiTheme="minorEastAsia" w:eastAsiaTheme="minorEastAsia" w:cstheme="minorEastAsia"/>
          <w:color w:val="000000" w:themeColor="text1"/>
          <w:lang w:val="zh-CN"/>
          <w14:textFill>
            <w14:solidFill>
              <w14:schemeClr w14:val="tx1"/>
            </w14:solidFill>
          </w14:textFill>
        </w:rPr>
        <w:sectPr>
          <w:pgSz w:w="11911" w:h="16838"/>
          <w:pgMar w:top="1440" w:right="1080" w:bottom="1440" w:left="1080" w:header="1134" w:footer="1077" w:gutter="0"/>
          <w:pgNumType w:fmt="numberInDash"/>
          <w:cols w:space="0" w:num="1"/>
        </w:sectPr>
      </w:pPr>
    </w:p>
    <w:p w14:paraId="0671FDA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5E1D984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068ECF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457602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7116AC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23A124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8DB5022">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09E003F">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87C26D6">
      <w:pPr>
        <w:pStyle w:val="2"/>
        <w:snapToGrid w:val="0"/>
        <w:spacing w:before="120" w:after="0" w:line="240" w:lineRule="auto"/>
        <w:jc w:val="center"/>
        <w:rPr>
          <w:rFonts w:hint="eastAsia" w:asciiTheme="minorEastAsia" w:hAnsiTheme="minorEastAsia" w:eastAsiaTheme="minorEastAsia" w:cstheme="minorEastAsia"/>
          <w:color w:val="000000" w:themeColor="text1"/>
          <w:szCs w:val="44"/>
          <w:lang w:val="zh-CN"/>
          <w14:textFill>
            <w14:solidFill>
              <w14:schemeClr w14:val="tx1"/>
            </w14:solidFill>
          </w14:textFill>
        </w:rPr>
      </w:pPr>
      <w:bookmarkStart w:id="49" w:name="_Toc22811"/>
      <w:r>
        <w:rPr>
          <w:rFonts w:hint="eastAsia" w:asciiTheme="minorEastAsia" w:hAnsiTheme="minorEastAsia" w:eastAsiaTheme="minorEastAsia" w:cstheme="minorEastAsia"/>
          <w:color w:val="000000" w:themeColor="text1"/>
          <w:szCs w:val="44"/>
          <w:lang w:val="zh-CN"/>
          <w14:textFill>
            <w14:solidFill>
              <w14:schemeClr w14:val="tx1"/>
            </w14:solidFill>
          </w14:textFill>
        </w:rPr>
        <w:t>第五章</w:t>
      </w:r>
      <w:r>
        <w:rPr>
          <w:rFonts w:hint="eastAsia" w:asciiTheme="minorEastAsia" w:hAnsiTheme="minorEastAsia" w:eastAsiaTheme="minorEastAsia" w:cstheme="minorEastAsia"/>
          <w:color w:val="000000" w:themeColor="text1"/>
          <w:szCs w:val="44"/>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44"/>
          <w:lang w:val="zh-CN"/>
          <w14:textFill>
            <w14:solidFill>
              <w14:schemeClr w14:val="tx1"/>
            </w14:solidFill>
          </w14:textFill>
        </w:rPr>
        <w:t>发包人要求</w:t>
      </w:r>
      <w:bookmarkEnd w:id="49"/>
    </w:p>
    <w:p w14:paraId="5DEAB130">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0F9C74C1">
      <w:pPr>
        <w:pStyle w:val="2"/>
        <w:snapToGrid w:val="0"/>
        <w:spacing w:before="120" w:after="0" w:line="240" w:lineRule="auto"/>
        <w:jc w:val="center"/>
        <w:rPr>
          <w:rFonts w:hint="eastAsia" w:asciiTheme="minorEastAsia" w:hAnsiTheme="minorEastAsia" w:eastAsiaTheme="minorEastAsia" w:cstheme="minorEastAsia"/>
          <w:color w:val="000000" w:themeColor="text1"/>
          <w:sz w:val="30"/>
          <w:szCs w:val="30"/>
          <w:lang w:val="zh-CN"/>
          <w14:textFill>
            <w14:solidFill>
              <w14:schemeClr w14:val="tx1"/>
            </w14:solidFill>
          </w14:textFill>
        </w:rPr>
      </w:pPr>
      <w:bookmarkStart w:id="50" w:name="_Toc14181"/>
      <w:bookmarkStart w:id="51" w:name="_Toc21144"/>
      <w:r>
        <w:rPr>
          <w:rFonts w:hint="eastAsia" w:asciiTheme="minorEastAsia" w:hAnsiTheme="minorEastAsia" w:eastAsiaTheme="minorEastAsia" w:cstheme="minorEastAsia"/>
          <w:color w:val="000000" w:themeColor="text1"/>
          <w:sz w:val="30"/>
          <w:szCs w:val="30"/>
          <w:lang w:val="zh-CN"/>
          <w14:textFill>
            <w14:solidFill>
              <w14:schemeClr w14:val="tx1"/>
            </w14:solidFill>
          </w14:textFill>
        </w:rPr>
        <w:t>发包人要求</w:t>
      </w:r>
      <w:bookmarkEnd w:id="50"/>
      <w:bookmarkEnd w:id="51"/>
    </w:p>
    <w:p w14:paraId="0037BC53">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540761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发包人要求应尽可能清晰准确。对于承包人负责提供的有关设备和服务，对发包人人员进行培训和提供一些消耗品等，在发包人要求中应一并明确规定。发包人要求通常包括但不限于以下内容：</w:t>
      </w:r>
    </w:p>
    <w:p w14:paraId="44FE7A0A">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一、功能要求</w:t>
      </w:r>
    </w:p>
    <w:p w14:paraId="719CB044">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（一）工程的目的。</w:t>
      </w:r>
    </w:p>
    <w:p w14:paraId="23230A5B">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（二）工程规模。</w:t>
      </w:r>
    </w:p>
    <w:p w14:paraId="1250FD0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（三）主要工程数量表。</w:t>
      </w:r>
    </w:p>
    <w:p w14:paraId="4807E9AF">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二、工程范围</w:t>
      </w:r>
    </w:p>
    <w:p w14:paraId="729CA6E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（一）包括的工作</w:t>
      </w:r>
    </w:p>
    <w:p w14:paraId="7EBAEA7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次招标只设一个项目包，采用设计施工总承包模式进行招标，工作内容包括：施工图设计（含勘察）、施工图预算编制、工程量清单编制、施工图设计配合服务、设计范围内工程项目的施工、交竣工验收以及缺陷责任期保修工程等。</w:t>
      </w:r>
    </w:p>
    <w:p w14:paraId="63C0CFAF">
      <w:pPr>
        <w:numPr>
          <w:ilvl w:val="0"/>
          <w:numId w:val="10"/>
        </w:num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发包人提供的现场条件</w:t>
      </w:r>
    </w:p>
    <w:p w14:paraId="76EC564C">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1.施工用电</w:t>
      </w:r>
    </w:p>
    <w:p w14:paraId="63B786C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发包人不提供。</w:t>
      </w:r>
    </w:p>
    <w:p w14:paraId="12B9C91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2.施工用水</w:t>
      </w:r>
    </w:p>
    <w:p w14:paraId="7C639665">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发包人不提供。</w:t>
      </w:r>
    </w:p>
    <w:p w14:paraId="138D9F4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3.施工排水</w:t>
      </w:r>
    </w:p>
    <w:p w14:paraId="3B2305C9">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发包人不提供。</w:t>
      </w:r>
    </w:p>
    <w:p w14:paraId="49A1B7F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（三）发包人提供的技术文件</w:t>
      </w:r>
    </w:p>
    <w:p w14:paraId="5C1ACD8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除另有批准外，承包人的工作需要遵照发包人的下列技术文件:</w:t>
      </w:r>
    </w:p>
    <w:p w14:paraId="0B4A9ABE">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1.发包人需求任务书。</w:t>
      </w:r>
    </w:p>
    <w:p w14:paraId="481F2C70">
      <w:pPr>
        <w:numPr>
          <w:ilvl w:val="0"/>
          <w:numId w:val="11"/>
        </w:num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发包人已完成的设计文件。</w:t>
      </w:r>
    </w:p>
    <w:p w14:paraId="6EF88E1D">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三、时间要求</w:t>
      </w:r>
    </w:p>
    <w:p w14:paraId="5070EF09">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（一）开始工作时间。</w:t>
      </w:r>
    </w:p>
    <w:p w14:paraId="178F19E4">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（二）设计完成时间。</w:t>
      </w:r>
    </w:p>
    <w:p w14:paraId="67E10FB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（三）进度计划。</w:t>
      </w:r>
    </w:p>
    <w:p w14:paraId="402437FE">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（四）交工时间。</w:t>
      </w:r>
    </w:p>
    <w:p w14:paraId="4884EFA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（五）缺陷责任期。</w:t>
      </w:r>
    </w:p>
    <w:p w14:paraId="2EEBA8F9">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（六）其他时间要求。</w:t>
      </w:r>
    </w:p>
    <w:p w14:paraId="21BE2C3B">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四、技术要求</w:t>
      </w:r>
    </w:p>
    <w:p w14:paraId="17B389C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（一）设计阶段和设计任务。</w:t>
      </w:r>
    </w:p>
    <w:p w14:paraId="5DB8A567">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（二）设计标准和规范。</w:t>
      </w:r>
    </w:p>
    <w:p w14:paraId="0FAE36AA">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满足《公路养护技术规范》（JTG_H10-2009）等的相应要求。</w:t>
      </w:r>
    </w:p>
    <w:p w14:paraId="2973CDDC">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（三）技术标准和要求。</w:t>
      </w:r>
    </w:p>
    <w:p w14:paraId="5AAD29F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满足《小交通量农村公路工程技术标准》(JTG2111-2019)等的相应要求。</w:t>
      </w:r>
    </w:p>
    <w:p w14:paraId="402EE52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（四）质量标准。</w:t>
      </w:r>
    </w:p>
    <w:p w14:paraId="621A0ADE">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满足以下内容等的相应要求：</w:t>
      </w:r>
    </w:p>
    <w:p w14:paraId="1C1FD099">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《农村公路建设管理办法》（中华人民共和国交通运输部令2018年第4号）</w:t>
      </w:r>
    </w:p>
    <w:p w14:paraId="0B92514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《农村公路养护管理办法》（中华人民共和国交通运输部令2015年第22号）</w:t>
      </w:r>
    </w:p>
    <w:p w14:paraId="0744E684">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《公路工程质量检验评定标准》（JTGF80/1-2017）</w:t>
      </w:r>
    </w:p>
    <w:p w14:paraId="794C01A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（五）设计、施工的具体技术要求。</w:t>
      </w:r>
    </w:p>
    <w:p w14:paraId="73E7A014">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（六）发包人提供的其他条件</w:t>
      </w:r>
    </w:p>
    <w:p w14:paraId="17F525C4">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五、交工验收</w:t>
      </w:r>
    </w:p>
    <w:p w14:paraId="32B6857A">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六、工程项目管理规定</w:t>
      </w:r>
    </w:p>
    <w:p w14:paraId="1F2B78C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（一）质量</w:t>
      </w:r>
    </w:p>
    <w:p w14:paraId="61C553D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施工单位自检，监理单位抽检合格，各单位工程、分部分项工程联合验收达到合格标准。</w:t>
      </w:r>
    </w:p>
    <w:p w14:paraId="6A2F42D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（二）进度</w:t>
      </w:r>
    </w:p>
    <w:p w14:paraId="3225029C">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满足建设单位整个项目的总体进度要求，按期完成建设任务。确保建设任务按质、按量、按期完成，同时应服从发包人及当地交通运输主管部门的管理，负责建设期间的临时保通、每月进度报送等工作。</w:t>
      </w:r>
    </w:p>
    <w:p w14:paraId="50E1EAD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（三）支付</w:t>
      </w:r>
    </w:p>
    <w:p w14:paraId="05FB47F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（四）其它</w:t>
      </w:r>
    </w:p>
    <w:p w14:paraId="1403E2D6">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七、其他要求</w:t>
      </w:r>
    </w:p>
    <w:p w14:paraId="7421F00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鼓励养护工程应用新技术、新材料、新工艺、新设备，提高建设质量，提高公路养护管理水平。</w:t>
      </w:r>
    </w:p>
    <w:p w14:paraId="55011C0C">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在保证公路建设质量的前提下，鼓励整合旧路资源、加工适于筑路的废旧材料等用于农村公路建设，推动资源循环利用。</w:t>
      </w:r>
    </w:p>
    <w:p w14:paraId="269DCF8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0F2E44D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D1459D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10C7E74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001260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71D999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599F9A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F0BD75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451ADC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C847E8A">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1F74667">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654C831">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bookmarkStart w:id="52" w:name="_Toc855"/>
      <w:r>
        <w:rPr>
          <w:rFonts w:hint="eastAsia" w:asciiTheme="minorEastAsia" w:hAnsiTheme="minorEastAsia" w:eastAsiaTheme="minorEastAsia" w:cstheme="minorEastAsia"/>
          <w:color w:val="000000" w:themeColor="text1"/>
          <w:lang w:val="zh-CN"/>
          <w14:textFill>
            <w14:solidFill>
              <w14:schemeClr w14:val="tx1"/>
            </w14:solidFill>
          </w14:textFill>
        </w:rPr>
        <w:t>第六章</w:t>
      </w:r>
      <w:r>
        <w:rPr>
          <w:rFonts w:hint="eastAsia" w:asciiTheme="minorEastAsia" w:hAnsiTheme="minorEastAsia" w:eastAsiaTheme="minorEastAsia" w:cstheme="minorEastAsia"/>
          <w:color w:val="000000" w:themeColor="text1"/>
          <w14:textFill>
            <w14:solidFill>
              <w14:schemeClr w14:val="tx1"/>
            </w14:solidFill>
          </w14:textFill>
        </w:rPr>
        <w:t xml:space="preserve"> 发包人提供的资料</w:t>
      </w:r>
      <w:r>
        <w:rPr>
          <w:rFonts w:hint="eastAsia" w:asciiTheme="minorEastAsia" w:hAnsiTheme="minorEastAsia" w:eastAsiaTheme="minorEastAsia" w:cstheme="minorEastAsia"/>
          <w:color w:val="000000" w:themeColor="text1"/>
          <w:lang w:val="zh-CN"/>
          <w14:textFill>
            <w14:solidFill>
              <w14:schemeClr w14:val="tx1"/>
            </w14:solidFill>
          </w14:textFill>
        </w:rPr>
        <w:br w:type="page"/>
      </w:r>
      <w:bookmarkEnd w:id="52"/>
    </w:p>
    <w:p w14:paraId="3D90D36C">
      <w:pPr>
        <w:jc w:val="center"/>
        <w:rPr>
          <w:rFonts w:hint="eastAsia" w:asciiTheme="minorEastAsia" w:hAnsiTheme="minorEastAsia" w:eastAsiaTheme="minorEastAsia" w:cstheme="minorEastAsia"/>
          <w:color w:val="000000" w:themeColor="text1"/>
          <w:sz w:val="30"/>
          <w:szCs w:val="30"/>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lang w:val="zh-CN"/>
          <w14:textFill>
            <w14:solidFill>
              <w14:schemeClr w14:val="tx1"/>
            </w14:solidFill>
          </w14:textFill>
        </w:rPr>
        <w:t>发包人提供的资料</w:t>
      </w:r>
    </w:p>
    <w:p w14:paraId="780BA4FB">
      <w:pPr>
        <w:pStyle w:val="8"/>
        <w:numPr>
          <w:ilvl w:val="0"/>
          <w:numId w:val="12"/>
        </w:numPr>
        <w:adjustRightInd w:val="0"/>
        <w:snapToGrid w:val="0"/>
        <w:spacing w:before="1" w:after="0"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项目</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概述</w:t>
      </w:r>
    </w:p>
    <w:p w14:paraId="71C52DB6">
      <w:pPr>
        <w:pStyle w:val="44"/>
        <w:adjustRightInd w:val="0"/>
        <w:snapToGrid w:val="0"/>
        <w:spacing w:line="360" w:lineRule="auto"/>
        <w:ind w:firstLine="480" w:firstLineChars="200"/>
        <w:jc w:val="left"/>
        <w:rPr>
          <w:rFonts w:hint="eastAsia" w:asciiTheme="minorEastAsia" w:hAnsiTheme="minorEastAsia" w:eastAsiaTheme="minorEastAsia" w:cstheme="minorEastAsia"/>
          <w:b w:val="0"/>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14:textFill>
            <w14:solidFill>
              <w14:schemeClr w14:val="tx1"/>
            </w14:solidFill>
          </w14:textFill>
        </w:rPr>
        <w:t>（1）</w:t>
      </w:r>
      <w:r>
        <w:rPr>
          <w:rFonts w:hint="eastAsia" w:asciiTheme="minorEastAsia" w:hAnsiTheme="minorEastAsia" w:eastAsiaTheme="minorEastAsia" w:cstheme="minorEastAsia"/>
          <w:b w:val="0"/>
          <w:color w:val="000000" w:themeColor="text1"/>
          <w:sz w:val="24"/>
          <w14:textFill>
            <w14:solidFill>
              <w14:schemeClr w14:val="tx1"/>
            </w14:solidFill>
          </w14:textFill>
        </w:rPr>
        <w:t>南雄市X787线帽子峰至江西河洞公路提档升级改建工程：位于南雄市澜河镇、帽子峰镇，建设内容及规模：项目全长37.750千米，道路等级为为三级公路。路面为水泥混凝土路面，改建后路基宽7.5米，路面宽6.5米，局部困难处缩小宽度。总投资约11216.1242万元，其中建安费约7420.1455万元。</w:t>
      </w:r>
    </w:p>
    <w:p w14:paraId="34779B20">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南雄市X790线里东村至泷头林场公路提档升级改建工程：位于南雄市珠玑镇、邓坊镇、湖口镇、水口镇，建设内容及规模：项目全长36.755千米，道路等级为为三级公路。路面为水泥混凝土路面，改建后路基宽7.5米，路面宽6.5米，局部困难处缩小宽度。总投资约10186.4283万元，其中建安费约6574.5472万元。</w:t>
      </w:r>
    </w:p>
    <w:p w14:paraId="6B86E5C7">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w:t>
      </w:r>
      <w:r>
        <w:rPr>
          <w:rFonts w:hint="eastAsia" w:asciiTheme="minorEastAsia" w:hAnsiTheme="minorEastAsia" w:eastAsiaTheme="minorEastAsia" w:cstheme="minorEastAsia"/>
          <w:b/>
          <w:bCs/>
          <w:color w:val="000000" w:themeColor="text1"/>
          <w:sz w:val="24"/>
          <w14:textFill>
            <w14:solidFill>
              <w14:schemeClr w14:val="tx1"/>
            </w14:solidFill>
          </w14:textFill>
        </w:rPr>
        <w:t>计划工期</w:t>
      </w:r>
      <w:r>
        <w:rPr>
          <w:rFonts w:hint="eastAsia" w:asciiTheme="minorEastAsia" w:hAnsiTheme="minorEastAsia" w:eastAsiaTheme="minorEastAsia" w:cstheme="minorEastAsia"/>
          <w:color w:val="000000" w:themeColor="text1"/>
          <w:sz w:val="24"/>
          <w14:textFill>
            <w14:solidFill>
              <w14:schemeClr w14:val="tx1"/>
            </w14:solidFill>
          </w14:textFill>
        </w:rPr>
        <w:t>：1095日历天（其中勘察设计工期65日历天，施工工期1030日历天）；实际开工时间以业主通知或监理签发开工令为准。</w:t>
      </w:r>
    </w:p>
    <w:p w14:paraId="1C1752D1">
      <w:pPr>
        <w:adjustRightInd w:val="0"/>
        <w:snapToGrid w:val="0"/>
        <w:spacing w:line="360" w:lineRule="auto"/>
        <w:ind w:firstLine="482"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lang w:eastAsia="zh-CN"/>
          <w14:textFill>
            <w14:solidFill>
              <w14:schemeClr w14:val="tx1"/>
            </w14:solidFill>
          </w14:textFill>
        </w:rPr>
        <w:t>（</w:t>
      </w: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4</w:t>
      </w:r>
      <w:r>
        <w:rPr>
          <w:rFonts w:hint="eastAsia" w:asciiTheme="minorEastAsia" w:hAnsiTheme="minorEastAsia" w:cstheme="minorEastAsia"/>
          <w:b/>
          <w:bCs/>
          <w:color w:val="000000" w:themeColor="text1"/>
          <w:sz w:val="24"/>
          <w:highlight w:val="none"/>
          <w:lang w:eastAsia="zh-CN"/>
          <w14:textFill>
            <w14:solidFill>
              <w14:schemeClr w14:val="tx1"/>
            </w14:solidFill>
          </w14:textFill>
        </w:rPr>
        <w:t>）</w:t>
      </w:r>
      <w:r>
        <w:rPr>
          <w:rFonts w:hint="eastAsia" w:asciiTheme="minorEastAsia" w:hAnsiTheme="minorEastAsia" w:cstheme="minorEastAsia"/>
          <w:b/>
          <w:bCs/>
          <w:color w:val="000000" w:themeColor="text1"/>
          <w:sz w:val="24"/>
          <w:highlight w:val="none"/>
          <w14:textFill>
            <w14:solidFill>
              <w14:schemeClr w14:val="tx1"/>
            </w14:solidFill>
          </w14:textFill>
        </w:rPr>
        <w:t>项目</w:t>
      </w:r>
      <w:r>
        <w:rPr>
          <w:rFonts w:hint="eastAsia" w:asciiTheme="minorEastAsia" w:hAnsiTheme="minorEastAsia" w:cstheme="minorEastAsia"/>
          <w:b/>
          <w:bCs/>
          <w:color w:val="000000" w:themeColor="text1"/>
          <w:kern w:val="0"/>
          <w:sz w:val="24"/>
          <w:highlight w:val="none"/>
          <w14:textFill>
            <w14:solidFill>
              <w14:schemeClr w14:val="tx1"/>
            </w14:solidFill>
          </w14:textFill>
        </w:rPr>
        <w:t>总投资约</w:t>
      </w:r>
      <w:r>
        <w:rPr>
          <w:rFonts w:hint="eastAsia" w:asciiTheme="minorEastAsia" w:hAnsiTheme="minorEastAsia" w:cstheme="minorEastAsia"/>
          <w:color w:val="000000" w:themeColor="text1"/>
          <w:sz w:val="24"/>
          <w:highlight w:val="none"/>
          <w:u w:val="single"/>
          <w:lang w:bidi="ar"/>
          <w14:textFill>
            <w14:solidFill>
              <w14:schemeClr w14:val="tx1"/>
            </w14:solidFill>
          </w14:textFill>
        </w:rPr>
        <w:t xml:space="preserve">21402.5525 </w:t>
      </w:r>
      <w:r>
        <w:rPr>
          <w:rFonts w:hint="eastAsia" w:asciiTheme="minorEastAsia" w:hAnsiTheme="minorEastAsia" w:cstheme="minorEastAsia"/>
          <w:color w:val="000000" w:themeColor="text1"/>
          <w:sz w:val="24"/>
          <w:highlight w:val="none"/>
          <w14:textFill>
            <w14:solidFill>
              <w14:schemeClr w14:val="tx1"/>
            </w14:solidFill>
          </w14:textFill>
        </w:rPr>
        <w:t>万元，本次工程建安费招标金额约为</w:t>
      </w:r>
      <w:r>
        <w:rPr>
          <w:rFonts w:hint="eastAsia" w:asciiTheme="minorEastAsia" w:hAnsiTheme="minorEastAsia" w:cstheme="minorEastAsia"/>
          <w:color w:val="000000" w:themeColor="text1"/>
          <w:sz w:val="24"/>
          <w:highlight w:val="none"/>
          <w:u w:val="single"/>
          <w:lang w:bidi="ar"/>
          <w14:textFill>
            <w14:solidFill>
              <w14:schemeClr w14:val="tx1"/>
            </w14:solidFill>
          </w14:textFill>
        </w:rPr>
        <w:t>13994.6927</w:t>
      </w:r>
      <w:r>
        <w:rPr>
          <w:rFonts w:hint="eastAsia" w:asciiTheme="minorEastAsia" w:hAnsiTheme="minorEastAsia" w:cstheme="minorEastAsia"/>
          <w:color w:val="000000" w:themeColor="text1"/>
          <w:sz w:val="24"/>
          <w:highlight w:val="none"/>
          <w14:textFill>
            <w14:solidFill>
              <w14:schemeClr w14:val="tx1"/>
            </w14:solidFill>
          </w14:textFill>
        </w:rPr>
        <w:t>万元，工程</w:t>
      </w:r>
      <w:r>
        <w:rPr>
          <w:rFonts w:hint="eastAsia" w:asciiTheme="minorEastAsia" w:hAnsiTheme="minorEastAsia" w:cstheme="minorEastAsia"/>
          <w:color w:val="000000" w:themeColor="text1"/>
          <w:kern w:val="0"/>
          <w:sz w:val="24"/>
          <w:highlight w:val="none"/>
          <w14:textFill>
            <w14:solidFill>
              <w14:schemeClr w14:val="tx1"/>
            </w14:solidFill>
          </w14:textFill>
        </w:rPr>
        <w:t>勘察设计费约</w:t>
      </w:r>
      <w:r>
        <w:rPr>
          <w:rFonts w:hint="eastAsia" w:asciiTheme="minorEastAsia" w:hAnsiTheme="minorEastAsia" w:cstheme="minorEastAsia"/>
          <w:b w:val="0"/>
          <w:bCs w:val="0"/>
          <w:color w:val="000000" w:themeColor="text1"/>
          <w:sz w:val="24"/>
          <w:highlight w:val="none"/>
          <w:u w:val="single"/>
          <w:lang w:val="en-US" w:eastAsia="zh-CN" w:bidi="ar"/>
          <w14:textFill>
            <w14:solidFill>
              <w14:schemeClr w14:val="tx1"/>
            </w14:solidFill>
          </w14:textFill>
        </w:rPr>
        <w:t>638.64</w:t>
      </w:r>
      <w:r>
        <w:rPr>
          <w:rFonts w:hint="eastAsia" w:asciiTheme="minorEastAsia" w:hAnsiTheme="minorEastAsia" w:cstheme="minorEastAsia"/>
          <w:color w:val="000000" w:themeColor="text1"/>
          <w:kern w:val="0"/>
          <w:sz w:val="24"/>
          <w:highlight w:val="none"/>
          <w14:textFill>
            <w14:solidFill>
              <w14:schemeClr w14:val="tx1"/>
            </w14:solidFill>
          </w14:textFill>
        </w:rPr>
        <w:t>万元。</w:t>
      </w:r>
    </w:p>
    <w:p w14:paraId="2F2646E3">
      <w:pPr>
        <w:pStyle w:val="8"/>
        <w:numPr>
          <w:ilvl w:val="0"/>
          <w:numId w:val="12"/>
        </w:numPr>
        <w:adjustRightInd w:val="0"/>
        <w:snapToGrid w:val="0"/>
        <w:spacing w:before="1"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其他资料：</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w:t>
      </w:r>
    </w:p>
    <w:p w14:paraId="6A7A51E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1A5B44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D0311E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9D3285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4BF152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19A5B2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75AD53F">
      <w:pPr>
        <w:pStyle w:val="2"/>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sectPr>
          <w:pgSz w:w="11911" w:h="16838"/>
          <w:pgMar w:top="1440" w:right="1080" w:bottom="1440" w:left="1080" w:header="0" w:footer="998" w:gutter="0"/>
          <w:pgNumType w:fmt="numberInDash"/>
          <w:cols w:space="0" w:num="1"/>
        </w:sectPr>
      </w:pPr>
    </w:p>
    <w:p w14:paraId="67AEE521">
      <w:pPr>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pPr>
    </w:p>
    <w:p w14:paraId="3B990BE3">
      <w:pPr>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pPr>
    </w:p>
    <w:p w14:paraId="7969E8B1">
      <w:pPr>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pPr>
    </w:p>
    <w:p w14:paraId="6F10B759">
      <w:pPr>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pPr>
    </w:p>
    <w:p w14:paraId="6F56C4A5">
      <w:pPr>
        <w:jc w:val="center"/>
        <w:rPr>
          <w:rFonts w:hint="eastAsia" w:asciiTheme="minorEastAsia" w:hAnsiTheme="minorEastAsia" w:eastAsiaTheme="minorEastAsia" w:cstheme="minorEastAsia"/>
          <w:color w:val="000000" w:themeColor="text1"/>
          <w:sz w:val="52"/>
          <w:szCs w:val="52"/>
          <w:lang w:val="zh-CN"/>
          <w14:textFill>
            <w14:solidFill>
              <w14:schemeClr w14:val="tx1"/>
            </w14:solidFill>
          </w14:textFill>
        </w:rPr>
      </w:pPr>
    </w:p>
    <w:p w14:paraId="6EC2DCC2">
      <w:pPr>
        <w:jc w:val="center"/>
        <w:rPr>
          <w:rFonts w:hint="eastAsia" w:asciiTheme="minorEastAsia" w:hAnsiTheme="minorEastAsia" w:eastAsiaTheme="minorEastAsia" w:cstheme="minorEastAsia"/>
          <w:b/>
          <w:bCs/>
          <w:color w:val="000000" w:themeColor="text1"/>
          <w:sz w:val="52"/>
          <w:szCs w:val="52"/>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52"/>
          <w:szCs w:val="52"/>
          <w:lang w:val="zh-CN"/>
          <w14:textFill>
            <w14:solidFill>
              <w14:schemeClr w14:val="tx1"/>
            </w14:solidFill>
          </w14:textFill>
        </w:rPr>
        <w:t>第三卷</w:t>
      </w:r>
    </w:p>
    <w:p w14:paraId="449BF131">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2D80C23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FA8650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A392A6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E1C1E8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7CC504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4316E57">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762EDAE">
      <w:pPr>
        <w:pStyle w:val="2"/>
        <w:jc w:val="center"/>
        <w:rPr>
          <w:rFonts w:hint="eastAsia" w:asciiTheme="minorEastAsia" w:hAnsiTheme="minorEastAsia" w:eastAsiaTheme="minorEastAsia" w:cstheme="minorEastAsia"/>
          <w:color w:val="000000" w:themeColor="text1"/>
          <w:lang w:val="zh-CN"/>
          <w14:textFill>
            <w14:solidFill>
              <w14:schemeClr w14:val="tx1"/>
            </w14:solidFill>
          </w14:textFill>
        </w:rPr>
      </w:pPr>
      <w:bookmarkStart w:id="53" w:name="_Toc27746"/>
      <w: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t>第七章</w:t>
      </w:r>
      <w:r>
        <w:rPr>
          <w:rFonts w:hint="eastAsia" w:asciiTheme="minorEastAsia" w:hAnsiTheme="minorEastAsia" w:eastAsiaTheme="minorEastAsia" w:cstheme="minorEastAsia"/>
          <w:color w:val="000000" w:themeColor="text1"/>
          <w:sz w:val="36"/>
          <w:szCs w:val="36"/>
          <w14:textFill>
            <w14:solidFill>
              <w14:schemeClr w14:val="tx1"/>
            </w14:solidFill>
          </w14:textFill>
        </w:rPr>
        <w:t xml:space="preserve"> </w:t>
      </w:r>
      <w: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t>投标文件格式</w:t>
      </w:r>
      <w:r>
        <w:rPr>
          <w:rFonts w:hint="eastAsia" w:asciiTheme="minorEastAsia" w:hAnsiTheme="minorEastAsia" w:eastAsiaTheme="minorEastAsia" w:cstheme="minorEastAsia"/>
          <w:color w:val="000000" w:themeColor="text1"/>
          <w:lang w:val="zh-CN"/>
          <w14:textFill>
            <w14:solidFill>
              <w14:schemeClr w14:val="tx1"/>
            </w14:solidFill>
          </w14:textFill>
        </w:rPr>
        <w:br w:type="page"/>
      </w:r>
      <w:bookmarkEnd w:id="53"/>
    </w:p>
    <w:p w14:paraId="7944D92A">
      <w:pPr>
        <w:jc w:val="center"/>
        <w:rPr>
          <w:rFonts w:hint="eastAsia" w:asciiTheme="minorEastAsia" w:hAnsiTheme="minorEastAsia" w:eastAsiaTheme="minorEastAsia" w:cstheme="minorEastAsia"/>
          <w:color w:val="000000" w:themeColor="text1"/>
          <w:sz w:val="28"/>
          <w:szCs w:val="28"/>
          <w:u w:val="single"/>
          <w:lang w:val="zh-CN"/>
          <w14:textFill>
            <w14:solidFill>
              <w14:schemeClr w14:val="tx1"/>
            </w14:solidFill>
          </w14:textFill>
        </w:rPr>
      </w:pPr>
    </w:p>
    <w:p w14:paraId="614C1FDC">
      <w:pPr>
        <w:jc w:val="center"/>
        <w:rPr>
          <w:rFonts w:hint="eastAsia" w:asciiTheme="minorEastAsia" w:hAnsiTheme="minorEastAsia" w:eastAsiaTheme="minorEastAsia" w:cstheme="minorEastAsia"/>
          <w:color w:val="000000" w:themeColor="text1"/>
          <w:sz w:val="28"/>
          <w:szCs w:val="28"/>
          <w:u w:val="single"/>
          <w:lang w:val="zh-CN"/>
          <w14:textFill>
            <w14:solidFill>
              <w14:schemeClr w14:val="tx1"/>
            </w14:solidFill>
          </w14:textFill>
        </w:rPr>
      </w:pPr>
    </w:p>
    <w:p w14:paraId="406F21A6">
      <w:pPr>
        <w:jc w:val="cente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u w:val="single"/>
          <w:lang w:val="zh-CN"/>
          <w14:textFill>
            <w14:solidFill>
              <w14:schemeClr w14:val="tx1"/>
            </w14:solidFill>
          </w14:textFill>
        </w:rPr>
        <w:t>（项目名称）</w:t>
      </w:r>
    </w:p>
    <w:p w14:paraId="026AB846">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32BF62C">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88FDE49">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24F815F">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F22CDBC">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53B964A">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6A016B6C">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3830691">
      <w:pPr>
        <w:jc w:val="cente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t>投标文件</w:t>
      </w:r>
    </w:p>
    <w:p w14:paraId="649FDDF0">
      <w:pPr>
        <w:jc w:val="cente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pPr>
    </w:p>
    <w:p w14:paraId="6412244A">
      <w:pPr>
        <w:jc w:val="cente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t>（第一个信封商务及技术文件）</w:t>
      </w:r>
    </w:p>
    <w:p w14:paraId="27071E80">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729D264">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A792183">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407A0F8">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3B6FFAC">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E7B1818">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3580371">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2890522">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D969F3A">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6673E8E">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41D76FD4">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0E9F23C">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9FE8F96">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5D73248">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4BB0A964">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35F507C">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A9F7D77">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39CFE99">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8DFE82E">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0DB1A2F">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投标人：（盖单位章）</w:t>
      </w:r>
    </w:p>
    <w:p w14:paraId="10883F04">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p>
    <w:p w14:paraId="55E629EF">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年月日</w:t>
      </w:r>
    </w:p>
    <w:p w14:paraId="79E3997A">
      <w:pP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br w:type="page"/>
      </w:r>
    </w:p>
    <w:p w14:paraId="2B83CD7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2"/>
          <w:szCs w:val="40"/>
          <w:lang w:val="zh-CN"/>
          <w14:textFill>
            <w14:solidFill>
              <w14:schemeClr w14:val="tx1"/>
            </w14:solidFill>
          </w14:textFill>
        </w:rPr>
        <w:t>目录</w:t>
      </w:r>
    </w:p>
    <w:p w14:paraId="7A6F0B19">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109C45B">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EBE9DB7">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第一个信封(商务及技术文件)</w:t>
      </w:r>
    </w:p>
    <w:p w14:paraId="31B55A56">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一、投标函及投标函附录</w:t>
      </w:r>
    </w:p>
    <w:p w14:paraId="15575B74">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二、授权委托书或法定代表人身份证明</w:t>
      </w:r>
    </w:p>
    <w:p w14:paraId="535C2C2F">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三、联合体协议书（如有）</w:t>
      </w:r>
    </w:p>
    <w:p w14:paraId="1217E603">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四、投标保证金</w:t>
      </w:r>
    </w:p>
    <w:p w14:paraId="39DFB9E3">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五、总承包方案</w:t>
      </w:r>
    </w:p>
    <w:p w14:paraId="56EB072A">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六、项目管理机构</w:t>
      </w:r>
    </w:p>
    <w:p w14:paraId="117EBDF6">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七、拟分包项目情况表</w:t>
      </w:r>
    </w:p>
    <w:p w14:paraId="464A48D4">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八、资格审查资料</w:t>
      </w:r>
    </w:p>
    <w:p w14:paraId="2AD8CB47">
      <w:pPr>
        <w:adjustRightInd w:val="0"/>
        <w:snapToGrid w:val="0"/>
        <w:spacing w:line="360" w:lineRule="auto"/>
        <w:ind w:firstLine="480" w:firstLineChars="200"/>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32"/>
          <w:lang w:val="zh-CN"/>
          <w14:textFill>
            <w14:solidFill>
              <w14:schemeClr w14:val="tx1"/>
            </w14:solidFill>
          </w14:textFill>
        </w:rPr>
        <w:t>九、其他材料</w:t>
      </w:r>
    </w:p>
    <w:p w14:paraId="59FB2999">
      <w:pP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br w:type="page"/>
      </w:r>
    </w:p>
    <w:p w14:paraId="1377C560">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一、投标函及投标函附录</w:t>
      </w:r>
    </w:p>
    <w:p w14:paraId="74DBB1D6">
      <w:pPr>
        <w:jc w:val="center"/>
        <w:rPr>
          <w:rFonts w:hint="eastAsia" w:asciiTheme="minorEastAsia" w:hAnsiTheme="minorEastAsia" w:eastAsiaTheme="minorEastAsia" w:cstheme="minorEastAsia"/>
          <w:color w:val="000000" w:themeColor="text1"/>
          <w:sz w:val="28"/>
          <w:szCs w:val="36"/>
          <w:lang w:val="zh-CN"/>
          <w14:textFill>
            <w14:solidFill>
              <w14:schemeClr w14:val="tx1"/>
            </w14:solidFill>
          </w14:textFill>
        </w:rPr>
      </w:pPr>
      <w:r>
        <w:rPr>
          <w:rFonts w:hint="eastAsia" w:asciiTheme="minorEastAsia" w:hAnsiTheme="minorEastAsia" w:eastAsiaTheme="minorEastAsia" w:cstheme="minorEastAsia"/>
          <w:color w:val="000000" w:themeColor="text1"/>
          <w:sz w:val="28"/>
          <w:szCs w:val="36"/>
          <w:lang w:val="zh-CN"/>
          <w14:textFill>
            <w14:solidFill>
              <w14:schemeClr w14:val="tx1"/>
            </w14:solidFill>
          </w14:textFill>
        </w:rPr>
        <w:t>（一）投标函</w:t>
      </w:r>
    </w:p>
    <w:p w14:paraId="2B42674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2D804D6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u w:val="single"/>
          <w:lang w:val="zh-CN"/>
          <w14:textFill>
            <w14:solidFill>
              <w14:schemeClr w14:val="tx1"/>
            </w14:solidFill>
          </w14:textFill>
        </w:rPr>
        <w:t>（招标人名称）</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2E256C7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1.我方已仔细研究</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（项目名称）</w:t>
      </w:r>
      <w:r>
        <w:rPr>
          <w:rFonts w:hint="eastAsia" w:asciiTheme="minorEastAsia" w:hAnsiTheme="minorEastAsia" w:eastAsiaTheme="minorEastAsia" w:cstheme="minorEastAsia"/>
          <w:color w:val="000000" w:themeColor="text1"/>
          <w:lang w:val="zh-CN"/>
          <w14:textFill>
            <w14:solidFill>
              <w14:schemeClr w14:val="tx1"/>
            </w14:solidFill>
          </w14:textFill>
        </w:rPr>
        <w:t>招标文件的全部内容（含补遗书第号至第号），在考察工程现场后，愿意以第二个信封（报价文件）中的投标总报价（或根据招标文件规定修正核实后确定的另一金额），按合同约定实施和完成承包工程，修补工程中的任何缺陷。</w:t>
      </w:r>
    </w:p>
    <w:p w14:paraId="6CBFC09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2.我方承诺在招标文件规定的投标有效期内不撤销投标文件。</w:t>
      </w:r>
    </w:p>
    <w:p w14:paraId="134D32A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3.工程质量：，安全目标：，工期。</w:t>
      </w:r>
    </w:p>
    <w:p w14:paraId="139C4466">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4.如我方中标，我方承诺：</w:t>
      </w:r>
    </w:p>
    <w:p w14:paraId="6CF8C4D5">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（1）在收到中标通知书后，在规定的期限内与你方签订合同；</w:t>
      </w:r>
    </w:p>
    <w:p w14:paraId="1EA4200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（2）在签订合同时不向你方提出附件条件；</w:t>
      </w:r>
    </w:p>
    <w:p w14:paraId="196DA81A">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（3）按照招标文件要求提交履约保证金；</w:t>
      </w:r>
    </w:p>
    <w:p w14:paraId="1ED6B514">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（4）在合同约定的期限内完成合同规定的全部义务；</w:t>
      </w:r>
    </w:p>
    <w:p w14:paraId="2DED8C9E">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（5）我方将按照合同附件提出的最低要求填报派驻本项目包的其他管理和技术人员及主要设备，经你方审批后作为派驻本项目包的项目管理机构项目管理机构和主要设备且不进行更换。</w:t>
      </w:r>
    </w:p>
    <w:p w14:paraId="0D3866C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5.我方在此声明，所递交的投标文件及有关资料内容完整、真实和准确，且不存在招标文件第二章“投标人须知”第1.4.3项和第1.4.4项规定的任何一种情形。</w:t>
      </w:r>
    </w:p>
    <w:p w14:paraId="47CB06C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6.我方在此承诺：拟投入本项目的项目经理、项目总工无在岗项目（指目前未在其他项目上任职，或虽在其他项目上任职但本项目中标后能够从该项目撤离）,否则自愿按照招标人的有关规定接受处理。</w:t>
      </w:r>
    </w:p>
    <w:p w14:paraId="52CEF1A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7.我方在此承诺：满足发包人的要求，满足招标文件对权利义务的规定。</w:t>
      </w:r>
    </w:p>
    <w:p w14:paraId="68188D52">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8.在合同协议书正式签署生效之前，本投标函连同你方的中标通知书将构成我们双方之间共同遵守的文件，对双方具有约束力。</w:t>
      </w:r>
    </w:p>
    <w:p w14:paraId="10F268D8">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9.（其他补充说明）。</w:t>
      </w:r>
    </w:p>
    <w:p w14:paraId="3EACE915">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0A769077">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投标人：（盖单位章）</w:t>
      </w:r>
    </w:p>
    <w:p w14:paraId="0190E3CD">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法定代表人或其委托代理人：（签字）</w:t>
      </w:r>
    </w:p>
    <w:p w14:paraId="2E7FD649">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地址：</w:t>
      </w:r>
    </w:p>
    <w:p w14:paraId="794C8BCE">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网址：</w:t>
      </w:r>
    </w:p>
    <w:p w14:paraId="089C48A6">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电话：</w:t>
      </w:r>
    </w:p>
    <w:p w14:paraId="6E9BCC4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传真：</w:t>
      </w:r>
    </w:p>
    <w:p w14:paraId="69F81CE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邮政编码：</w:t>
      </w:r>
    </w:p>
    <w:p w14:paraId="6E78A50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年月日</w:t>
      </w:r>
    </w:p>
    <w:p w14:paraId="255ED2DC">
      <w:pPr>
        <w:rPr>
          <w:rFonts w:hint="eastAsia" w:asciiTheme="minorEastAsia" w:hAnsiTheme="minorEastAsia" w:eastAsiaTheme="minorEastAsia" w:cstheme="minorEastAsia"/>
          <w:color w:val="000000" w:themeColor="text1"/>
          <w:sz w:val="28"/>
          <w:szCs w:val="36"/>
          <w:lang w:val="zh-CN"/>
          <w14:textFill>
            <w14:solidFill>
              <w14:schemeClr w14:val="tx1"/>
            </w14:solidFill>
          </w14:textFill>
        </w:rPr>
      </w:pPr>
      <w:bookmarkStart w:id="54" w:name="_Toc20800"/>
      <w:r>
        <w:rPr>
          <w:rFonts w:hint="eastAsia" w:asciiTheme="minorEastAsia" w:hAnsiTheme="minorEastAsia" w:eastAsiaTheme="minorEastAsia" w:cstheme="minorEastAsia"/>
          <w:color w:val="000000" w:themeColor="text1"/>
          <w:sz w:val="28"/>
          <w:szCs w:val="36"/>
          <w:lang w:val="zh-CN"/>
          <w14:textFill>
            <w14:solidFill>
              <w14:schemeClr w14:val="tx1"/>
            </w14:solidFill>
          </w14:textFill>
        </w:rPr>
        <w:br w:type="page"/>
      </w:r>
    </w:p>
    <w:p w14:paraId="41CBFE17">
      <w:pPr>
        <w:jc w:val="center"/>
        <w:rPr>
          <w:rFonts w:hint="eastAsia" w:asciiTheme="minorEastAsia" w:hAnsiTheme="minorEastAsia" w:eastAsiaTheme="minorEastAsia" w:cstheme="minorEastAsia"/>
          <w:b/>
          <w:bCs/>
          <w:color w:val="000000" w:themeColor="text1"/>
          <w:sz w:val="28"/>
          <w:szCs w:val="36"/>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36"/>
          <w:lang w:val="zh-CN"/>
          <w14:textFill>
            <w14:solidFill>
              <w14:schemeClr w14:val="tx1"/>
            </w14:solidFill>
          </w14:textFill>
        </w:rPr>
        <w:t>（二）投标函附录</w:t>
      </w:r>
      <w:bookmarkEnd w:id="54"/>
    </w:p>
    <w:p w14:paraId="49DF8CB9">
      <w:pPr>
        <w:pStyle w:val="8"/>
        <w:spacing w:after="0"/>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00"/>
        <w:gridCol w:w="1096"/>
        <w:gridCol w:w="7455"/>
      </w:tblGrid>
      <w:tr w14:paraId="0F0F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5" w:type="dxa"/>
            <w:vAlign w:val="center"/>
          </w:tcPr>
          <w:p w14:paraId="20268347">
            <w:pP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br w:type="page"/>
            </w:r>
            <w:r>
              <w:rPr>
                <w:rFonts w:hint="eastAsia" w:asciiTheme="minorEastAsia" w:hAnsiTheme="minorEastAsia" w:eastAsiaTheme="minorEastAsia" w:cstheme="minorEastAsia"/>
                <w:b/>
                <w:color w:val="000000" w:themeColor="text1"/>
                <w:szCs w:val="21"/>
                <w14:textFill>
                  <w14:solidFill>
                    <w14:schemeClr w14:val="tx1"/>
                  </w14:solidFill>
                </w14:textFill>
              </w:rPr>
              <w:t>序号</w:t>
            </w:r>
          </w:p>
        </w:tc>
        <w:tc>
          <w:tcPr>
            <w:tcW w:w="1496" w:type="dxa"/>
            <w:gridSpan w:val="2"/>
            <w:vAlign w:val="center"/>
          </w:tcPr>
          <w:p w14:paraId="00870E1E">
            <w:pPr>
              <w:spacing w:line="288" w:lineRule="auto"/>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条款号</w:t>
            </w:r>
          </w:p>
        </w:tc>
        <w:tc>
          <w:tcPr>
            <w:tcW w:w="7455" w:type="dxa"/>
            <w:vAlign w:val="center"/>
          </w:tcPr>
          <w:p w14:paraId="583547C6">
            <w:pPr>
              <w:spacing w:line="288" w:lineRule="auto"/>
              <w:jc w:val="center"/>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信息或数据</w:t>
            </w:r>
          </w:p>
        </w:tc>
      </w:tr>
      <w:tr w14:paraId="0445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35" w:type="dxa"/>
            <w:vAlign w:val="center"/>
          </w:tcPr>
          <w:p w14:paraId="5B85FC96">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p>
        </w:tc>
        <w:tc>
          <w:tcPr>
            <w:tcW w:w="1496" w:type="dxa"/>
            <w:gridSpan w:val="2"/>
            <w:vAlign w:val="center"/>
          </w:tcPr>
          <w:p w14:paraId="3E37F011">
            <w:pPr>
              <w:spacing w:line="240" w:lineRule="auto"/>
              <w:ind w:firstLine="210" w:firstLineChars="1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1.1.2.2</w:t>
            </w:r>
          </w:p>
        </w:tc>
        <w:tc>
          <w:tcPr>
            <w:tcW w:w="7455" w:type="dxa"/>
            <w:vAlign w:val="center"/>
          </w:tcPr>
          <w:p w14:paraId="03019365">
            <w:pPr>
              <w:pStyle w:val="46"/>
              <w:widowControl/>
              <w:spacing w:line="240" w:lineRule="auto"/>
              <w:jc w:val="left"/>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单位名称：南雄市地方公路管理站</w:t>
            </w:r>
          </w:p>
          <w:p w14:paraId="6E804DA6">
            <w:pPr>
              <w:pStyle w:val="46"/>
              <w:widowControl/>
              <w:spacing w:line="24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地址：南雄市新城沿江东路97号</w:t>
            </w:r>
          </w:p>
          <w:p w14:paraId="4B2FCFD8">
            <w:pPr>
              <w:pStyle w:val="46"/>
              <w:widowControl/>
              <w:spacing w:line="24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邮政编码：512400</w:t>
            </w:r>
          </w:p>
        </w:tc>
      </w:tr>
      <w:tr w14:paraId="018A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35" w:type="dxa"/>
            <w:vAlign w:val="center"/>
          </w:tcPr>
          <w:p w14:paraId="75F34A37">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w:t>
            </w:r>
          </w:p>
        </w:tc>
        <w:tc>
          <w:tcPr>
            <w:tcW w:w="1496" w:type="dxa"/>
            <w:gridSpan w:val="2"/>
            <w:vAlign w:val="center"/>
          </w:tcPr>
          <w:p w14:paraId="1173074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1.1.2.6</w:t>
            </w:r>
          </w:p>
        </w:tc>
        <w:tc>
          <w:tcPr>
            <w:tcW w:w="7455" w:type="dxa"/>
            <w:vAlign w:val="center"/>
          </w:tcPr>
          <w:p w14:paraId="04EC27C3">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w:t>
            </w:r>
          </w:p>
          <w:p w14:paraId="72BE10F2">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地址：/邮政编码：/</w:t>
            </w:r>
          </w:p>
          <w:p w14:paraId="009CFB18">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1"/>
                <w:szCs w:val="21"/>
                <w14:textFill>
                  <w14:solidFill>
                    <w14:schemeClr w14:val="tx1"/>
                  </w14:solidFill>
                </w14:textFill>
              </w:rPr>
              <w:t>试验</w:t>
            </w:r>
            <w:r>
              <w:rPr>
                <w:rFonts w:hint="eastAsia" w:asciiTheme="minorEastAsia" w:hAnsiTheme="minorEastAsia" w:eastAsiaTheme="minorEastAsia" w:cstheme="minorEastAsia"/>
                <w:color w:val="000000" w:themeColor="text1"/>
                <w:szCs w:val="21"/>
                <w14:textFill>
                  <w14:solidFill>
                    <w14:schemeClr w14:val="tx1"/>
                  </w14:solidFill>
                </w14:textFill>
              </w:rPr>
              <w:t>检测单位：/</w:t>
            </w:r>
          </w:p>
          <w:p w14:paraId="21597FD8">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地址：/</w:t>
            </w:r>
            <w:r>
              <w:rPr>
                <w:rFonts w:hint="eastAsia" w:asciiTheme="minorEastAsia" w:hAnsiTheme="minorEastAsia" w:eastAsiaTheme="minorEastAsia" w:cstheme="minorEastAsia"/>
                <w:color w:val="000000" w:themeColor="text1"/>
                <w:szCs w:val="21"/>
                <w14:textFill>
                  <w14:solidFill>
                    <w14:schemeClr w14:val="tx1"/>
                  </w14:solidFill>
                </w14:textFill>
              </w:rPr>
              <w:tab/>
            </w:r>
            <w:r>
              <w:rPr>
                <w:rFonts w:hint="eastAsia" w:asciiTheme="minorEastAsia" w:hAnsiTheme="minorEastAsia" w:eastAsiaTheme="minorEastAsia" w:cstheme="minorEastAsia"/>
                <w:color w:val="000000" w:themeColor="text1"/>
                <w:spacing w:val="-1"/>
                <w:szCs w:val="21"/>
                <w14:textFill>
                  <w14:solidFill>
                    <w14:schemeClr w14:val="tx1"/>
                  </w14:solidFill>
                </w14:textFill>
              </w:rPr>
              <w:t>邮政</w:t>
            </w:r>
            <w:r>
              <w:rPr>
                <w:rFonts w:hint="eastAsia" w:asciiTheme="minorEastAsia" w:hAnsiTheme="minorEastAsia" w:eastAsiaTheme="minorEastAsia" w:cstheme="minorEastAsia"/>
                <w:color w:val="000000" w:themeColor="text1"/>
                <w:szCs w:val="21"/>
                <w14:textFill>
                  <w14:solidFill>
                    <w14:schemeClr w14:val="tx1"/>
                  </w14:solidFill>
                </w14:textFill>
              </w:rPr>
              <w:t>编码：/</w:t>
            </w:r>
          </w:p>
        </w:tc>
      </w:tr>
      <w:tr w14:paraId="2667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35" w:type="dxa"/>
            <w:vAlign w:val="center"/>
          </w:tcPr>
          <w:p w14:paraId="2E65E1DB">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c>
          <w:tcPr>
            <w:tcW w:w="1496" w:type="dxa"/>
            <w:gridSpan w:val="2"/>
            <w:vAlign w:val="center"/>
          </w:tcPr>
          <w:p w14:paraId="15965C4D">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1.1.4.5</w:t>
            </w:r>
          </w:p>
        </w:tc>
        <w:tc>
          <w:tcPr>
            <w:tcW w:w="7455" w:type="dxa"/>
            <w:vAlign w:val="center"/>
          </w:tcPr>
          <w:p w14:paraId="445FB31D">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缺陷责任期：自实际交工日期起计算</w:t>
            </w:r>
            <w:r>
              <w:rPr>
                <w:rFonts w:hint="eastAsia" w:asciiTheme="minorEastAsia" w:hAnsiTheme="minorEastAsia" w:eastAsiaTheme="minorEastAsia" w:cstheme="minorEastAsia"/>
                <w:color w:val="000000" w:themeColor="text1"/>
                <w:szCs w:val="21"/>
                <w:u w:val="single"/>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年</w:t>
            </w:r>
          </w:p>
        </w:tc>
      </w:tr>
      <w:tr w14:paraId="450D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6252DB10">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w:t>
            </w:r>
          </w:p>
        </w:tc>
        <w:tc>
          <w:tcPr>
            <w:tcW w:w="1496" w:type="dxa"/>
            <w:gridSpan w:val="2"/>
            <w:vAlign w:val="center"/>
          </w:tcPr>
          <w:p w14:paraId="1FAACD01">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1.6.3</w:t>
            </w:r>
          </w:p>
        </w:tc>
        <w:tc>
          <w:tcPr>
            <w:tcW w:w="7455" w:type="dxa"/>
            <w:vAlign w:val="center"/>
          </w:tcPr>
          <w:p w14:paraId="7687712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图纸需要修改和补充的，应由监理人取得发包人同意后，在该项工程或工程相应部位施工前</w:t>
            </w:r>
            <w:r>
              <w:rPr>
                <w:rFonts w:hint="eastAsia" w:asciiTheme="minorEastAsia" w:hAnsiTheme="minorEastAsia" w:eastAsiaTheme="minorEastAsia" w:cstheme="minorEastAsia"/>
                <w:color w:val="000000" w:themeColor="text1"/>
                <w:szCs w:val="21"/>
                <w:u w:val="single"/>
                <w14:textFill>
                  <w14:solidFill>
                    <w14:schemeClr w14:val="tx1"/>
                  </w14:solidFill>
                </w14:textFill>
              </w:rPr>
              <w:t>20</w:t>
            </w:r>
            <w:r>
              <w:rPr>
                <w:rFonts w:hint="eastAsia" w:asciiTheme="minorEastAsia" w:hAnsiTheme="minorEastAsia" w:eastAsiaTheme="minorEastAsia" w:cstheme="minorEastAsia"/>
                <w:color w:val="000000" w:themeColor="text1"/>
                <w:szCs w:val="21"/>
                <w14:textFill>
                  <w14:solidFill>
                    <w14:schemeClr w14:val="tx1"/>
                  </w14:solidFill>
                </w14:textFill>
              </w:rPr>
              <w:t>天签发图纸修改图给承包人</w:t>
            </w:r>
          </w:p>
        </w:tc>
      </w:tr>
      <w:tr w14:paraId="4E83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450BD87A">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w:t>
            </w:r>
          </w:p>
        </w:tc>
        <w:tc>
          <w:tcPr>
            <w:tcW w:w="1496" w:type="dxa"/>
            <w:gridSpan w:val="2"/>
            <w:vAlign w:val="center"/>
          </w:tcPr>
          <w:p w14:paraId="727C93CA">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3.1.1</w:t>
            </w:r>
          </w:p>
        </w:tc>
        <w:tc>
          <w:tcPr>
            <w:tcW w:w="7455" w:type="dxa"/>
            <w:vAlign w:val="center"/>
          </w:tcPr>
          <w:p w14:paraId="303E938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监理人在行使下列权力前需要经发包人事先批准：</w:t>
            </w:r>
          </w:p>
          <w:p w14:paraId="6BAFB36E">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（6）根据第15.3款发出的变更指示，均需要经发包人事先批准</w:t>
            </w:r>
          </w:p>
        </w:tc>
      </w:tr>
      <w:tr w14:paraId="336D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269390B3">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w:t>
            </w:r>
          </w:p>
        </w:tc>
        <w:tc>
          <w:tcPr>
            <w:tcW w:w="1496" w:type="dxa"/>
            <w:gridSpan w:val="2"/>
            <w:vAlign w:val="center"/>
          </w:tcPr>
          <w:p w14:paraId="0622E21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4.6.3(1)</w:t>
            </w:r>
          </w:p>
        </w:tc>
        <w:tc>
          <w:tcPr>
            <w:tcW w:w="7455" w:type="dxa"/>
            <w:vAlign w:val="center"/>
          </w:tcPr>
          <w:p w14:paraId="0349707E">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需缴纳违约金金额：项目经理5万元/人次，总工程师3万元/人次，其他主要管理人员2万元/人次</w:t>
            </w:r>
          </w:p>
        </w:tc>
      </w:tr>
      <w:tr w14:paraId="6B7F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03F7C38E">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w:t>
            </w:r>
          </w:p>
        </w:tc>
        <w:tc>
          <w:tcPr>
            <w:tcW w:w="1496" w:type="dxa"/>
            <w:gridSpan w:val="2"/>
            <w:vAlign w:val="center"/>
          </w:tcPr>
          <w:p w14:paraId="5315D236">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5.2.1</w:t>
            </w:r>
          </w:p>
        </w:tc>
        <w:tc>
          <w:tcPr>
            <w:tcW w:w="7455" w:type="dxa"/>
            <w:vAlign w:val="center"/>
          </w:tcPr>
          <w:p w14:paraId="072E413B">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发包人是否提供材料或工程设备：</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14891F38">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如发包人负责提供部分材料或工程设备，相关规定如下：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4397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13EAEC80">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w:t>
            </w:r>
          </w:p>
        </w:tc>
        <w:tc>
          <w:tcPr>
            <w:tcW w:w="1496" w:type="dxa"/>
            <w:gridSpan w:val="2"/>
            <w:vAlign w:val="center"/>
          </w:tcPr>
          <w:p w14:paraId="367FB3B5">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6.2</w:t>
            </w:r>
          </w:p>
        </w:tc>
        <w:tc>
          <w:tcPr>
            <w:tcW w:w="7455" w:type="dxa"/>
            <w:vAlign w:val="center"/>
          </w:tcPr>
          <w:p w14:paraId="5C1DEBFC">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发包人是否提供施工设备和临时设施：</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02F31C76">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如发包人负责提供部分施工设备和临时设施，相关规定如下：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2142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35" w:type="dxa"/>
            <w:vAlign w:val="center"/>
          </w:tcPr>
          <w:p w14:paraId="2587D6D0">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9</w:t>
            </w:r>
          </w:p>
        </w:tc>
        <w:tc>
          <w:tcPr>
            <w:tcW w:w="1496" w:type="dxa"/>
            <w:gridSpan w:val="2"/>
            <w:vAlign w:val="center"/>
          </w:tcPr>
          <w:p w14:paraId="6748AF52">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8.1.1</w:t>
            </w:r>
          </w:p>
        </w:tc>
        <w:tc>
          <w:tcPr>
            <w:tcW w:w="7455" w:type="dxa"/>
            <w:vAlign w:val="center"/>
          </w:tcPr>
          <w:p w14:paraId="6A7ABAB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发包人提供测量基准点、基准线和水准点及其书面资料的期限：</w:t>
            </w:r>
            <w:r>
              <w:rPr>
                <w:rFonts w:hint="eastAsia" w:asciiTheme="minorEastAsia" w:hAnsiTheme="minorEastAsia" w:eastAsiaTheme="minorEastAsia" w:cstheme="minorEastAsia"/>
                <w:color w:val="000000" w:themeColor="text1"/>
                <w:szCs w:val="21"/>
                <w:u w:val="single"/>
                <w14:textFill>
                  <w14:solidFill>
                    <w14:schemeClr w14:val="tx1"/>
                  </w14:solidFill>
                </w14:textFill>
              </w:rPr>
              <w:t>在签订施工承包合同后一个月内</w:t>
            </w:r>
          </w:p>
          <w:p w14:paraId="015B290D">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承包人将施工控制网资料报送监理人审批的期限：</w:t>
            </w:r>
            <w:r>
              <w:rPr>
                <w:rFonts w:hint="eastAsia" w:asciiTheme="minorEastAsia" w:hAnsiTheme="minorEastAsia" w:eastAsiaTheme="minorEastAsia" w:cstheme="minorEastAsia"/>
                <w:color w:val="000000" w:themeColor="text1"/>
                <w:szCs w:val="21"/>
                <w:u w:val="single"/>
                <w14:textFill>
                  <w14:solidFill>
                    <w14:schemeClr w14:val="tx1"/>
                  </w14:solidFill>
                </w14:textFill>
              </w:rPr>
              <w:t>在收到发包人提供的上述资料一个月内</w:t>
            </w:r>
          </w:p>
        </w:tc>
      </w:tr>
      <w:tr w14:paraId="0484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1158CFE7">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10</w:t>
            </w:r>
          </w:p>
        </w:tc>
        <w:tc>
          <w:tcPr>
            <w:tcW w:w="1496" w:type="dxa"/>
            <w:gridSpan w:val="2"/>
            <w:vAlign w:val="center"/>
          </w:tcPr>
          <w:p w14:paraId="172C7FF0">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11.5（3）</w:t>
            </w:r>
          </w:p>
        </w:tc>
        <w:tc>
          <w:tcPr>
            <w:tcW w:w="7455" w:type="dxa"/>
            <w:vAlign w:val="center"/>
          </w:tcPr>
          <w:p w14:paraId="2134E00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逾期交工违约金：</w:t>
            </w:r>
            <w:r>
              <w:rPr>
                <w:rFonts w:hint="eastAsia" w:asciiTheme="minorEastAsia" w:hAnsiTheme="minorEastAsia" w:eastAsiaTheme="minorEastAsia" w:cstheme="minorEastAsia"/>
                <w:color w:val="000000" w:themeColor="text1"/>
                <w:szCs w:val="21"/>
                <w:u w:val="single"/>
                <w14:textFill>
                  <w14:solidFill>
                    <w14:schemeClr w14:val="tx1"/>
                  </w14:solidFill>
                </w14:textFill>
              </w:rPr>
              <w:t>5000元/天</w:t>
            </w:r>
          </w:p>
        </w:tc>
      </w:tr>
      <w:tr w14:paraId="43E2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687D1582">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w:t>
            </w:r>
          </w:p>
        </w:tc>
        <w:tc>
          <w:tcPr>
            <w:tcW w:w="1496" w:type="dxa"/>
            <w:gridSpan w:val="2"/>
            <w:vAlign w:val="center"/>
          </w:tcPr>
          <w:p w14:paraId="21AEF9B4">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11.5（3）</w:t>
            </w:r>
          </w:p>
        </w:tc>
        <w:tc>
          <w:tcPr>
            <w:tcW w:w="7455" w:type="dxa"/>
            <w:vAlign w:val="center"/>
          </w:tcPr>
          <w:p w14:paraId="50AE258A">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逾期交工违约金限额：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10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w:t>
            </w:r>
          </w:p>
        </w:tc>
      </w:tr>
      <w:tr w14:paraId="2DEA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73AA4ED1">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w:t>
            </w:r>
          </w:p>
        </w:tc>
        <w:tc>
          <w:tcPr>
            <w:tcW w:w="1496" w:type="dxa"/>
            <w:gridSpan w:val="2"/>
            <w:vAlign w:val="center"/>
          </w:tcPr>
          <w:p w14:paraId="679EAED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11.6</w:t>
            </w:r>
          </w:p>
        </w:tc>
        <w:tc>
          <w:tcPr>
            <w:tcW w:w="7455" w:type="dxa"/>
            <w:vAlign w:val="center"/>
          </w:tcPr>
          <w:p w14:paraId="4DA78018">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提前交工的奖金：</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元/天</w:t>
            </w:r>
          </w:p>
        </w:tc>
      </w:tr>
      <w:tr w14:paraId="65C3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05EDE863">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w:t>
            </w:r>
          </w:p>
        </w:tc>
        <w:tc>
          <w:tcPr>
            <w:tcW w:w="1496" w:type="dxa"/>
            <w:gridSpan w:val="2"/>
            <w:vAlign w:val="center"/>
          </w:tcPr>
          <w:p w14:paraId="12F8E00E">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11.6</w:t>
            </w:r>
          </w:p>
        </w:tc>
        <w:tc>
          <w:tcPr>
            <w:tcW w:w="7455" w:type="dxa"/>
            <w:vAlign w:val="center"/>
          </w:tcPr>
          <w:p w14:paraId="70B83480">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提前交工的奖金限额：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w:t>
            </w:r>
          </w:p>
        </w:tc>
      </w:tr>
      <w:tr w14:paraId="4CCE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07EDB25A">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w:t>
            </w:r>
          </w:p>
        </w:tc>
        <w:tc>
          <w:tcPr>
            <w:tcW w:w="1496" w:type="dxa"/>
            <w:gridSpan w:val="2"/>
            <w:vAlign w:val="center"/>
          </w:tcPr>
          <w:p w14:paraId="44DFCFE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15.5.2</w:t>
            </w:r>
          </w:p>
        </w:tc>
        <w:tc>
          <w:tcPr>
            <w:tcW w:w="7455" w:type="dxa"/>
            <w:vAlign w:val="center"/>
          </w:tcPr>
          <w:p w14:paraId="5937CD5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承包人提出的合理化建议降低了合同价格或者提高了工程经济效益的，发包人按所节约成本的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%或增加收益的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%给予奖励</w:t>
            </w:r>
          </w:p>
        </w:tc>
      </w:tr>
      <w:tr w14:paraId="0B3D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35" w:type="dxa"/>
            <w:vAlign w:val="center"/>
          </w:tcPr>
          <w:p w14:paraId="2F6BF2A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w:t>
            </w:r>
          </w:p>
        </w:tc>
        <w:tc>
          <w:tcPr>
            <w:tcW w:w="1496" w:type="dxa"/>
            <w:gridSpan w:val="2"/>
            <w:vAlign w:val="center"/>
          </w:tcPr>
          <w:p w14:paraId="5B49DF11">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w:t>
            </w:r>
          </w:p>
        </w:tc>
        <w:tc>
          <w:tcPr>
            <w:tcW w:w="7455" w:type="dxa"/>
            <w:vAlign w:val="center"/>
          </w:tcPr>
          <w:p w14:paraId="3BFF718F">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 eq \o\ac(</w:instrText>
            </w:r>
            <w:r>
              <w:rPr>
                <w:rFonts w:hint="eastAsia" w:asciiTheme="minorEastAsia" w:hAnsiTheme="minorEastAsia" w:eastAsiaTheme="minorEastAsia" w:cstheme="minorEastAsia"/>
                <w:color w:val="000000" w:themeColor="text1"/>
                <w:position w:val="-4"/>
                <w:sz w:val="3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Cs w:val="21"/>
                <w14:textFill>
                  <w14:solidFill>
                    <w14:schemeClr w14:val="tx1"/>
                  </w14:solidFill>
                </w14:textFill>
              </w:rPr>
              <w:t>因物价波动引起的价格调整按照第16.1项约定的原则处理</w:t>
            </w:r>
          </w:p>
          <w:p w14:paraId="51B44162">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☑合同期内不调价</w:t>
            </w:r>
          </w:p>
        </w:tc>
      </w:tr>
      <w:tr w14:paraId="1B69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427D1FCB">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w:t>
            </w:r>
          </w:p>
        </w:tc>
        <w:tc>
          <w:tcPr>
            <w:tcW w:w="1496" w:type="dxa"/>
            <w:gridSpan w:val="2"/>
            <w:vAlign w:val="center"/>
          </w:tcPr>
          <w:p w14:paraId="55398F07">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17.2.1</w:t>
            </w:r>
          </w:p>
        </w:tc>
        <w:tc>
          <w:tcPr>
            <w:tcW w:w="7455" w:type="dxa"/>
            <w:vAlign w:val="center"/>
          </w:tcPr>
          <w:p w14:paraId="1C30E90B">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开工预付款金额：施工开工预付款金额：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签约合同价；勘察设计费预付款金额：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不设置</w:t>
            </w:r>
            <w:r>
              <w:rPr>
                <w:rFonts w:hint="eastAsia" w:asciiTheme="minorEastAsia" w:hAnsiTheme="minorEastAsia" w:eastAsiaTheme="minorEastAsia" w:cstheme="minorEastAsia"/>
                <w:color w:val="000000" w:themeColor="text1"/>
                <w:szCs w:val="21"/>
                <w14:textFill>
                  <w14:solidFill>
                    <w14:schemeClr w14:val="tx1"/>
                  </w14:solidFill>
                </w14:textFill>
              </w:rPr>
              <w:t>预付款。</w:t>
            </w:r>
          </w:p>
        </w:tc>
      </w:tr>
      <w:tr w14:paraId="1451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2A4707F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w:t>
            </w:r>
          </w:p>
        </w:tc>
        <w:tc>
          <w:tcPr>
            <w:tcW w:w="1496" w:type="dxa"/>
            <w:gridSpan w:val="2"/>
            <w:vAlign w:val="center"/>
          </w:tcPr>
          <w:p w14:paraId="020984E6">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17.2.1</w:t>
            </w:r>
          </w:p>
        </w:tc>
        <w:tc>
          <w:tcPr>
            <w:tcW w:w="7455" w:type="dxa"/>
            <w:vAlign w:val="center"/>
          </w:tcPr>
          <w:p w14:paraId="423C09D3">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材料、设备预付款比例：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r>
              <w:rPr>
                <w:rFonts w:hint="eastAsia" w:asciiTheme="minorEastAsia" w:hAnsiTheme="minorEastAsia" w:eastAsiaTheme="minorEastAsia" w:cstheme="minorEastAsia"/>
                <w:color w:val="000000" w:themeColor="text1"/>
                <w:szCs w:val="21"/>
                <w14:textFill>
                  <w14:solidFill>
                    <w14:schemeClr w14:val="tx1"/>
                  </w14:solidFill>
                </w14:textFill>
              </w:rPr>
              <w:t>等主要材料、设备单据所列费用的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w:t>
            </w:r>
          </w:p>
        </w:tc>
      </w:tr>
      <w:tr w14:paraId="60B6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2112DA1A">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w:t>
            </w:r>
          </w:p>
        </w:tc>
        <w:tc>
          <w:tcPr>
            <w:tcW w:w="1496" w:type="dxa"/>
            <w:gridSpan w:val="2"/>
            <w:vAlign w:val="center"/>
          </w:tcPr>
          <w:p w14:paraId="6B45E5AB">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17.3.2</w:t>
            </w:r>
          </w:p>
        </w:tc>
        <w:tc>
          <w:tcPr>
            <w:tcW w:w="7455" w:type="dxa"/>
            <w:vAlign w:val="center"/>
          </w:tcPr>
          <w:p w14:paraId="7388C33C">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承包人在每个付款周期末向监理人提交进度付款申请单的份数：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04FC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35" w:type="dxa"/>
            <w:vAlign w:val="center"/>
          </w:tcPr>
          <w:p w14:paraId="5F054A8B">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19</w:t>
            </w:r>
          </w:p>
        </w:tc>
        <w:tc>
          <w:tcPr>
            <w:tcW w:w="1496" w:type="dxa"/>
            <w:gridSpan w:val="2"/>
            <w:vAlign w:val="center"/>
          </w:tcPr>
          <w:p w14:paraId="69098DD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17.3.3（1）</w:t>
            </w:r>
          </w:p>
        </w:tc>
        <w:tc>
          <w:tcPr>
            <w:tcW w:w="7455" w:type="dxa"/>
            <w:vAlign w:val="center"/>
          </w:tcPr>
          <w:p w14:paraId="2E94292F">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进度付款证书最低限额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50</w:t>
            </w:r>
            <w:r>
              <w:rPr>
                <w:rFonts w:hint="eastAsia" w:asciiTheme="minorEastAsia" w:hAnsiTheme="minorEastAsia" w:eastAsiaTheme="minorEastAsia" w:cstheme="minorEastAsia"/>
                <w:color w:val="000000" w:themeColor="text1"/>
                <w:szCs w:val="21"/>
                <w14:textFill>
                  <w14:solidFill>
                    <w14:schemeClr w14:val="tx1"/>
                  </w14:solidFill>
                </w14:textFill>
              </w:rPr>
              <w:t>万元</w:t>
            </w:r>
          </w:p>
        </w:tc>
      </w:tr>
      <w:tr w14:paraId="5A0E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6E2BE696">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w:t>
            </w:r>
          </w:p>
        </w:tc>
        <w:tc>
          <w:tcPr>
            <w:tcW w:w="1496" w:type="dxa"/>
            <w:gridSpan w:val="2"/>
            <w:vAlign w:val="center"/>
          </w:tcPr>
          <w:p w14:paraId="2539FBBC">
            <w:pPr>
              <w:spacing w:line="288"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17.3.3（2）</w:t>
            </w:r>
          </w:p>
        </w:tc>
        <w:tc>
          <w:tcPr>
            <w:tcW w:w="7455" w:type="dxa"/>
            <w:vAlign w:val="center"/>
          </w:tcPr>
          <w:p w14:paraId="3C7B1CDC">
            <w:pPr>
              <w:spacing w:line="288"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逾期付款违约金的利率：</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4CF4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735" w:type="dxa"/>
            <w:vAlign w:val="center"/>
          </w:tcPr>
          <w:p w14:paraId="0BCB17C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w:t>
            </w:r>
          </w:p>
        </w:tc>
        <w:tc>
          <w:tcPr>
            <w:tcW w:w="1496" w:type="dxa"/>
            <w:gridSpan w:val="2"/>
            <w:vAlign w:val="center"/>
          </w:tcPr>
          <w:p w14:paraId="095C1B97">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17.4.1</w:t>
            </w:r>
          </w:p>
        </w:tc>
        <w:tc>
          <w:tcPr>
            <w:tcW w:w="7455" w:type="dxa"/>
            <w:vAlign w:val="center"/>
          </w:tcPr>
          <w:p w14:paraId="2D9B31B8">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质量保证金限额：</w:t>
            </w:r>
            <w:r>
              <w:rPr>
                <w:rFonts w:hint="eastAsia" w:asciiTheme="minorEastAsia" w:hAnsiTheme="minorEastAsia" w:eastAsiaTheme="minorEastAsia" w:cstheme="minorEastAsia"/>
                <w:color w:val="000000" w:themeColor="text1"/>
                <w:szCs w:val="21"/>
                <w:u w:val="single"/>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%合同价格，若交工验收时承包人具备被招标项目所在地省级交通运输主管部门评定的最高信用等级，发包人给予</w:t>
            </w:r>
            <w:r>
              <w:rPr>
                <w:rFonts w:hint="eastAsia" w:asciiTheme="minorEastAsia" w:hAnsiTheme="minorEastAsia" w:eastAsiaTheme="minorEastAsia" w:cstheme="minorEastAsia"/>
                <w:color w:val="000000" w:themeColor="text1"/>
                <w:szCs w:val="21"/>
                <w:u w:val="single"/>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%合同价格质量保证金的优惠。</w:t>
            </w:r>
          </w:p>
          <w:p w14:paraId="35CF2CB9">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质量保证金是否计付利息：</w:t>
            </w:r>
          </w:p>
          <w:p w14:paraId="67F3769E">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□是，利息的计算方式：</w:t>
            </w:r>
          </w:p>
          <w:p w14:paraId="021A7B32">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 eq \o\ac(</w:instrText>
            </w:r>
            <w:r>
              <w:rPr>
                <w:rFonts w:hint="eastAsia" w:asciiTheme="minorEastAsia" w:hAnsiTheme="minorEastAsia" w:eastAsiaTheme="minorEastAsia" w:cstheme="minorEastAsia"/>
                <w:color w:val="000000" w:themeColor="text1"/>
                <w:position w:val="-4"/>
                <w:sz w:val="3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Cs w:val="21"/>
                <w14:textFill>
                  <w14:solidFill>
                    <w14:schemeClr w14:val="tx1"/>
                  </w14:solidFill>
                </w14:textFill>
              </w:rPr>
              <w:t>否</w:t>
            </w:r>
          </w:p>
        </w:tc>
      </w:tr>
      <w:tr w14:paraId="1A16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35" w:type="dxa"/>
            <w:vAlign w:val="center"/>
          </w:tcPr>
          <w:p w14:paraId="696644BC">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w:t>
            </w:r>
          </w:p>
        </w:tc>
        <w:tc>
          <w:tcPr>
            <w:tcW w:w="1496" w:type="dxa"/>
            <w:gridSpan w:val="2"/>
            <w:vAlign w:val="center"/>
          </w:tcPr>
          <w:p w14:paraId="1367C035">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17.5.1（1）</w:t>
            </w:r>
          </w:p>
        </w:tc>
        <w:tc>
          <w:tcPr>
            <w:tcW w:w="7455" w:type="dxa"/>
            <w:vAlign w:val="center"/>
          </w:tcPr>
          <w:p w14:paraId="0E4577EA">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承包人向监理人提交交工付款申请单（包括相关证明材料）的份数：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61F0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5" w:type="dxa"/>
            <w:vAlign w:val="center"/>
          </w:tcPr>
          <w:p w14:paraId="5A9D96B5">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23</w:t>
            </w:r>
          </w:p>
        </w:tc>
        <w:tc>
          <w:tcPr>
            <w:tcW w:w="1496" w:type="dxa"/>
            <w:gridSpan w:val="2"/>
            <w:vAlign w:val="center"/>
          </w:tcPr>
          <w:p w14:paraId="6AAB7F29">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17.6.1（1）</w:t>
            </w:r>
          </w:p>
        </w:tc>
        <w:tc>
          <w:tcPr>
            <w:tcW w:w="7455" w:type="dxa"/>
            <w:vAlign w:val="center"/>
          </w:tcPr>
          <w:p w14:paraId="503A26D4">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承包人向监理人提交最终结清申请单（包括相关证明材料）的份数：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6</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38E5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5" w:type="dxa"/>
            <w:vAlign w:val="center"/>
          </w:tcPr>
          <w:p w14:paraId="6058F60C">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24</w:t>
            </w:r>
          </w:p>
        </w:tc>
        <w:tc>
          <w:tcPr>
            <w:tcW w:w="1496" w:type="dxa"/>
            <w:gridSpan w:val="2"/>
            <w:vAlign w:val="center"/>
          </w:tcPr>
          <w:p w14:paraId="4FE4120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18.2（1）</w:t>
            </w:r>
          </w:p>
        </w:tc>
        <w:tc>
          <w:tcPr>
            <w:tcW w:w="7455" w:type="dxa"/>
            <w:vAlign w:val="center"/>
          </w:tcPr>
          <w:p w14:paraId="7B95B245">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竣工资料的份数：</w:t>
            </w:r>
            <w:r>
              <w:rPr>
                <w:rFonts w:hint="eastAsia" w:asciiTheme="minorEastAsia" w:hAnsiTheme="minorEastAsia" w:eastAsiaTheme="minorEastAsia" w:cstheme="minorEastAsia"/>
                <w:color w:val="000000" w:themeColor="text1"/>
                <w:szCs w:val="21"/>
                <w:u w:val="single"/>
                <w14:textFill>
                  <w14:solidFill>
                    <w14:schemeClr w14:val="tx1"/>
                  </w14:solidFill>
                </w14:textFill>
              </w:rPr>
              <w:t>5</w:t>
            </w:r>
            <w:r>
              <w:rPr>
                <w:rFonts w:hint="eastAsia" w:asciiTheme="minorEastAsia" w:hAnsiTheme="minorEastAsia" w:eastAsiaTheme="minorEastAsia" w:cstheme="minorEastAsia"/>
                <w:color w:val="000000" w:themeColor="text1"/>
                <w:szCs w:val="21"/>
                <w14:textFill>
                  <w14:solidFill>
                    <w14:schemeClr w14:val="tx1"/>
                  </w14:solidFill>
                </w14:textFill>
              </w:rPr>
              <w:t>份</w:t>
            </w:r>
          </w:p>
        </w:tc>
      </w:tr>
      <w:tr w14:paraId="0797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5" w:type="dxa"/>
            <w:vAlign w:val="center"/>
          </w:tcPr>
          <w:p w14:paraId="45181E42">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w:t>
            </w:r>
          </w:p>
        </w:tc>
        <w:tc>
          <w:tcPr>
            <w:tcW w:w="1496" w:type="dxa"/>
            <w:gridSpan w:val="2"/>
            <w:vAlign w:val="center"/>
          </w:tcPr>
          <w:p w14:paraId="494DA457">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18.5.1</w:t>
            </w:r>
          </w:p>
        </w:tc>
        <w:tc>
          <w:tcPr>
            <w:tcW w:w="7455" w:type="dxa"/>
            <w:vAlign w:val="center"/>
          </w:tcPr>
          <w:p w14:paraId="42A679B1">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单位工程或工程设备是否需投入施工期运行：</w:t>
            </w:r>
            <w:r>
              <w:rPr>
                <w:rFonts w:hint="eastAsia" w:asciiTheme="minorEastAsia" w:hAnsiTheme="minorEastAsia" w:eastAsiaTheme="minorEastAsia" w:cstheme="minorEastAsia"/>
                <w:color w:val="000000" w:themeColor="text1"/>
                <w:szCs w:val="21"/>
                <w:u w:val="single"/>
                <w14:textFill>
                  <w14:solidFill>
                    <w14:schemeClr w14:val="tx1"/>
                  </w14:solidFill>
                </w14:textFill>
              </w:rPr>
              <w:t>水泥砼路面达到规范规定龄期后须开放交通</w:t>
            </w:r>
          </w:p>
        </w:tc>
      </w:tr>
      <w:tr w14:paraId="41C9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5" w:type="dxa"/>
            <w:vAlign w:val="center"/>
          </w:tcPr>
          <w:p w14:paraId="5505E81A">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26</w:t>
            </w:r>
          </w:p>
        </w:tc>
        <w:tc>
          <w:tcPr>
            <w:tcW w:w="1496" w:type="dxa"/>
            <w:gridSpan w:val="2"/>
            <w:vAlign w:val="center"/>
          </w:tcPr>
          <w:p w14:paraId="5EA606E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18.6.1</w:t>
            </w:r>
          </w:p>
        </w:tc>
        <w:tc>
          <w:tcPr>
            <w:tcW w:w="7455" w:type="dxa"/>
            <w:vAlign w:val="center"/>
          </w:tcPr>
          <w:p w14:paraId="2263EDD7">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本工程及工程设备是否进行试运行：</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否</w:t>
            </w:r>
          </w:p>
          <w:p w14:paraId="6EA818BC">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如本工程及工程设备需要进行试运行，试运行的具体规定如下：</w:t>
            </w:r>
            <w:r>
              <w:rPr>
                <w:rFonts w:hint="eastAsia" w:asciiTheme="minorEastAsia" w:hAnsiTheme="minorEastAsia" w:eastAsiaTheme="minorEastAsia" w:cstheme="minorEastAsia"/>
                <w:color w:val="000000" w:themeColor="text1"/>
                <w:szCs w:val="21"/>
                <w:u w:val="single"/>
                <w14:textFill>
                  <w14:solidFill>
                    <w14:schemeClr w14:val="tx1"/>
                  </w14:solidFill>
                </w14:textFill>
              </w:rPr>
              <w:t>/</w:t>
            </w:r>
          </w:p>
        </w:tc>
      </w:tr>
      <w:tr w14:paraId="3B51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774A6B86">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27</w:t>
            </w:r>
          </w:p>
        </w:tc>
        <w:tc>
          <w:tcPr>
            <w:tcW w:w="1496" w:type="dxa"/>
            <w:gridSpan w:val="2"/>
            <w:vAlign w:val="center"/>
          </w:tcPr>
          <w:p w14:paraId="7D0BE0EC">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19.7（1）</w:t>
            </w:r>
          </w:p>
        </w:tc>
        <w:tc>
          <w:tcPr>
            <w:tcW w:w="7455" w:type="dxa"/>
            <w:vAlign w:val="center"/>
          </w:tcPr>
          <w:p w14:paraId="4BC0B7A4">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保修期：自实际交工日期起计算</w:t>
            </w:r>
            <w:r>
              <w:rPr>
                <w:rFonts w:hint="eastAsia" w:asciiTheme="minorEastAsia" w:hAnsiTheme="minorEastAsia" w:eastAsiaTheme="minorEastAsia" w:cstheme="minorEastAsia"/>
                <w:color w:val="000000" w:themeColor="text1"/>
                <w:szCs w:val="21"/>
                <w:u w:val="single"/>
                <w14:textFill>
                  <w14:solidFill>
                    <w14:schemeClr w14:val="tx1"/>
                  </w14:solidFill>
                </w14:textFill>
              </w:rPr>
              <w:t>2</w:t>
            </w:r>
            <w:r>
              <w:rPr>
                <w:rFonts w:hint="eastAsia" w:asciiTheme="minorEastAsia" w:hAnsiTheme="minorEastAsia" w:eastAsiaTheme="minorEastAsia" w:cstheme="minorEastAsia"/>
                <w:color w:val="000000" w:themeColor="text1"/>
                <w:szCs w:val="21"/>
                <w14:textFill>
                  <w14:solidFill>
                    <w14:schemeClr w14:val="tx1"/>
                  </w14:solidFill>
                </w14:textFill>
              </w:rPr>
              <w:t>年</w:t>
            </w:r>
          </w:p>
        </w:tc>
      </w:tr>
      <w:tr w14:paraId="1788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35" w:type="dxa"/>
            <w:vAlign w:val="center"/>
          </w:tcPr>
          <w:p w14:paraId="535BFF5E">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28</w:t>
            </w:r>
          </w:p>
        </w:tc>
        <w:tc>
          <w:tcPr>
            <w:tcW w:w="1496" w:type="dxa"/>
            <w:gridSpan w:val="2"/>
            <w:vAlign w:val="center"/>
          </w:tcPr>
          <w:p w14:paraId="0B608A26">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w:t>
            </w:r>
          </w:p>
          <w:p w14:paraId="11A094D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20.4.2</w:t>
            </w:r>
          </w:p>
        </w:tc>
        <w:tc>
          <w:tcPr>
            <w:tcW w:w="7455" w:type="dxa"/>
            <w:vAlign w:val="center"/>
          </w:tcPr>
          <w:p w14:paraId="587AEF6B">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建筑工程一切险及第三者责任险的保险费率：4‰</w:t>
            </w:r>
          </w:p>
          <w:p w14:paraId="7F3FCA9D">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第三者责任险的最低投保金额：/万元，事故次数不限（不计免赔额）。</w:t>
            </w:r>
          </w:p>
          <w:p w14:paraId="4D4CD4B5">
            <w:pPr>
              <w:spacing w:line="240" w:lineRule="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安全生产责任险必须按相关规定购买。</w:t>
            </w:r>
          </w:p>
        </w:tc>
      </w:tr>
      <w:tr w14:paraId="767E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5" w:type="dxa"/>
            <w:vAlign w:val="center"/>
          </w:tcPr>
          <w:p w14:paraId="7D924098">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29</w:t>
            </w:r>
          </w:p>
        </w:tc>
        <w:tc>
          <w:tcPr>
            <w:tcW w:w="1496" w:type="dxa"/>
            <w:gridSpan w:val="2"/>
            <w:vAlign w:val="center"/>
          </w:tcPr>
          <w:p w14:paraId="6EC5041F">
            <w:pPr>
              <w:spacing w:line="240" w:lineRule="auto"/>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24.1</w:t>
            </w:r>
          </w:p>
        </w:tc>
        <w:tc>
          <w:tcPr>
            <w:tcW w:w="7455" w:type="dxa"/>
            <w:vAlign w:val="center"/>
          </w:tcPr>
          <w:p w14:paraId="173C11AD">
            <w:pPr>
              <w:spacing w:line="240" w:lineRule="auto"/>
              <w:rPr>
                <w:rFonts w:hint="eastAsia"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争议的最终解决方式：</w:t>
            </w:r>
            <w:r>
              <w:rPr>
                <w:rFonts w:hint="eastAsia" w:asciiTheme="minorEastAsia" w:hAnsiTheme="minorEastAsia" w:eastAsiaTheme="minorEastAsia" w:cstheme="minorEastAsia"/>
                <w:color w:val="000000" w:themeColor="text1"/>
                <w:szCs w:val="21"/>
                <w:u w:val="single"/>
                <w14:textFill>
                  <w14:solidFill>
                    <w14:schemeClr w14:val="tx1"/>
                  </w14:solidFill>
                </w14:textFill>
              </w:rPr>
              <w:t>向南雄市人民法院提起诉讼</w:t>
            </w:r>
          </w:p>
        </w:tc>
      </w:tr>
      <w:tr w14:paraId="6699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686" w:type="dxa"/>
            <w:gridSpan w:val="4"/>
            <w:vAlign w:val="center"/>
          </w:tcPr>
          <w:p w14:paraId="7902418C">
            <w:pP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需补充的其他内容</w:t>
            </w:r>
          </w:p>
        </w:tc>
      </w:tr>
      <w:tr w14:paraId="0071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1135" w:type="dxa"/>
            <w:gridSpan w:val="2"/>
            <w:vAlign w:val="center"/>
          </w:tcPr>
          <w:p w14:paraId="2AFE8B7F">
            <w:pPr>
              <w:jc w:val="center"/>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w:t>
            </w:r>
          </w:p>
        </w:tc>
        <w:tc>
          <w:tcPr>
            <w:tcW w:w="8551" w:type="dxa"/>
            <w:gridSpan w:val="2"/>
            <w:vAlign w:val="center"/>
          </w:tcPr>
          <w:p w14:paraId="023A48EE">
            <w:pPr>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将第4.6.3（1）目细化为：</w:t>
            </w:r>
          </w:p>
          <w:p w14:paraId="110C7202">
            <w:pPr>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4.6.3承包人安排在施工场地的主要管理人员和技术骨干应与承包人承诺的名单一致，并保持相对稳定。</w:t>
            </w:r>
          </w:p>
          <w:p w14:paraId="257E7C44">
            <w:pPr>
              <w:pStyle w:val="7"/>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未经监理人批准，上述人员不应无故不到位或被替换。若确实无法到位或需替换，或监理人认为已委派的项目经理或项目管理机构的工作能力和业务水平不称职，需经监理人审核并报发包人批准后，用同等资质和经历的人员替换，同时须按以下标准向业主提交违约金：项目经理、总工程师</w:t>
            </w:r>
            <w:r>
              <w:rPr>
                <w:rFonts w:hint="eastAsia" w:asciiTheme="minorEastAsia" w:hAnsiTheme="minorEastAsia" w:eastAsiaTheme="minorEastAsia" w:cstheme="minorEastAsia"/>
                <w:color w:val="000000" w:themeColor="text1"/>
                <w:szCs w:val="21"/>
                <w:u w:val="single"/>
                <w14:textFill>
                  <w14:solidFill>
                    <w14:schemeClr w14:val="tx1"/>
                  </w14:solidFill>
                </w14:textFill>
              </w:rPr>
              <w:t>10</w:t>
            </w:r>
            <w:r>
              <w:rPr>
                <w:rFonts w:hint="eastAsia" w:asciiTheme="minorEastAsia" w:hAnsiTheme="minorEastAsia" w:eastAsiaTheme="minorEastAsia" w:cstheme="minorEastAsia"/>
                <w:color w:val="000000" w:themeColor="text1"/>
                <w:szCs w:val="21"/>
                <w14:textFill>
                  <w14:solidFill>
                    <w14:schemeClr w14:val="tx1"/>
                  </w14:solidFill>
                </w14:textFill>
              </w:rPr>
              <w:t>万元／人次(用备选人替换首选人的调整不受此限)。发包人可随着工程的进度情况，动态增减管理人员要求。</w:t>
            </w:r>
          </w:p>
        </w:tc>
      </w:tr>
      <w:tr w14:paraId="699A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135" w:type="dxa"/>
            <w:gridSpan w:val="2"/>
            <w:vAlign w:val="center"/>
          </w:tcPr>
          <w:p w14:paraId="2F067B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4.6.6</w:t>
            </w:r>
          </w:p>
        </w:tc>
        <w:tc>
          <w:tcPr>
            <w:tcW w:w="8551" w:type="dxa"/>
            <w:gridSpan w:val="2"/>
            <w:vAlign w:val="center"/>
          </w:tcPr>
          <w:p w14:paraId="26C26BEB">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4.6.6在本款后增加（6）项如下：</w:t>
            </w:r>
          </w:p>
          <w:p w14:paraId="0BB2E8D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为进一步规范本项目的工人工资支付行为，承包人在施工承包合同签订后，需按《关于印发&lt;韶关市建设领域施工企业工人工资支付保证金管理办法&gt;的通知》（韶人社[2017]133号）办理工人工资缴存和登记手续（施工过程中如有最新相关文件颁布，则按新文件执行）。</w:t>
            </w:r>
          </w:p>
        </w:tc>
      </w:tr>
      <w:tr w14:paraId="021B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0" w:hRule="atLeast"/>
          <w:jc w:val="center"/>
        </w:trPr>
        <w:tc>
          <w:tcPr>
            <w:tcW w:w="1135" w:type="dxa"/>
            <w:gridSpan w:val="2"/>
            <w:vAlign w:val="center"/>
          </w:tcPr>
          <w:p w14:paraId="78DD47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w:t>
            </w:r>
          </w:p>
        </w:tc>
        <w:tc>
          <w:tcPr>
            <w:tcW w:w="8551" w:type="dxa"/>
            <w:gridSpan w:val="2"/>
            <w:vAlign w:val="center"/>
          </w:tcPr>
          <w:p w14:paraId="5BFB40B8">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增加第4.15款国省道建设路域环境保护工作</w:t>
            </w:r>
          </w:p>
          <w:p w14:paraId="50EEB6D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4.15国省道建设路域环境保护工作</w:t>
            </w:r>
          </w:p>
          <w:p w14:paraId="70EA75A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承包人在工程施工阶段和工程验收阶段必须执行《韶关市公路事务中心关于印发《国省道建设路域环境保护工作指引》的通知》的有关要求。</w:t>
            </w:r>
          </w:p>
          <w:p w14:paraId="6DB0966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4.15.1工程施工阶段</w:t>
            </w:r>
          </w:p>
          <w:p w14:paraId="2A86EEA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混合料应集中场站搅拌，拌和设备应做好密封，或配备防尘设备。各种料场、预制场要根据工程进度统筹考虑，施工过程中要采取有效措施防止污染周边环境，项目完工后应将临时占地恢复到临时占地使用前的状况或按设计达到设计要求。</w:t>
            </w:r>
          </w:p>
          <w:p w14:paraId="157EFCB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对于公路施工中路用粉状材料宜采用罐装方式运输，施工通道、混合料拌和站应经常进行洒水降尘，路面施工应注意保持水分，避免扬尘，隧道出渣和桥梁钻孔灌注桩施工时应设置沉降池，排出的泥浆要进行妥善处理，严禁向河流或农田排放。</w:t>
            </w:r>
          </w:p>
          <w:p w14:paraId="43B12C0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3.在施工期间，应随时保持现场整洁，施工设备和工程材料、工程设备整齐规范存放和储存，废料与垃圾及不再需要的临时设施应及时从现场清除、拆除并运走。</w:t>
            </w:r>
          </w:p>
          <w:p w14:paraId="7EF3E46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4.路基施工时要完善施工中的临时排水系统，加强施工便道的管理。取（弃）土场必须先挡后弃，按设计复垦施工，严禁在制定的取（弃）土场以外的地方乱挖乱弃。</w:t>
            </w:r>
          </w:p>
          <w:p w14:paraId="6D8F5DD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（三）工程验收阶段</w:t>
            </w:r>
          </w:p>
          <w:p w14:paraId="3011356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公路建设路域环境验收范围包括公路及公路用地（公路两侧边沟外缘起不少于1米的土地）和公路建筑控制区（从公路两侧边沟外缘起算的间距：国道不少于20米，省道不少于15米，县道不少于10米，乡道不少于5米）。验收应达到以下标准：</w:t>
            </w:r>
          </w:p>
          <w:p w14:paraId="1F3AF1A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1.公路及公路用地范围内，路面干净整洁，边坡稳定，排水系统顺畅，绿色植物合理覆盖公路两侧边坡、分隔带等，交通标志清晰无污染，无违法跨越和穿越公路的施工临时构筑物。</w:t>
            </w:r>
          </w:p>
          <w:p w14:paraId="3355A52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2.公路建筑控制区不得留有施工建筑垃圾，公路视线范围内不得有因公路施工导致的乱挖乱弃。</w:t>
            </w:r>
          </w:p>
          <w:p w14:paraId="77AEA5CE">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3.取（弃）土场严格执行施工图设计，临时占地须恢复到临时占地使用前的状况或按设计复绿复垦。</w:t>
            </w:r>
          </w:p>
        </w:tc>
      </w:tr>
      <w:tr w14:paraId="3106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35" w:type="dxa"/>
            <w:gridSpan w:val="2"/>
            <w:vAlign w:val="center"/>
          </w:tcPr>
          <w:p w14:paraId="0108B5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6.5</w:t>
            </w:r>
          </w:p>
        </w:tc>
        <w:tc>
          <w:tcPr>
            <w:tcW w:w="8551" w:type="dxa"/>
            <w:gridSpan w:val="2"/>
            <w:vAlign w:val="center"/>
          </w:tcPr>
          <w:p w14:paraId="463316F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删除“6.5计算机系统配置”条款</w:t>
            </w:r>
          </w:p>
        </w:tc>
      </w:tr>
      <w:tr w14:paraId="371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35" w:type="dxa"/>
            <w:gridSpan w:val="2"/>
            <w:vAlign w:val="center"/>
          </w:tcPr>
          <w:p w14:paraId="515A4B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w:t>
            </w:r>
          </w:p>
        </w:tc>
        <w:tc>
          <w:tcPr>
            <w:tcW w:w="8551" w:type="dxa"/>
            <w:gridSpan w:val="2"/>
            <w:vAlign w:val="center"/>
          </w:tcPr>
          <w:p w14:paraId="10106891">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增加7.7款</w:t>
            </w:r>
          </w:p>
          <w:p w14:paraId="6088331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7.7交通维护</w:t>
            </w:r>
          </w:p>
          <w:p w14:paraId="641C6D2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交通维护</w:t>
            </w:r>
          </w:p>
          <w:p w14:paraId="3193E6FB">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由于本项目在施工过程中不能全封闭，需要采用半幅通车半幅封闭的施工方案，因此，对已铺筑好的路面结构层(含水泥稳定碎石底基层、基层和水泥砼路面。下同)，在未达到龄期之前，为防止车辆碾压，造成损坏，必须实行交通维护管理措施。具体如下：</w:t>
            </w:r>
          </w:p>
          <w:p w14:paraId="1210EA0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承包人应对施工现场实行全天候交通管制：在每个施工作业面(或已铺筑好路面结构层但未达到龄期的路段)两端设置交通指挥点，配置专职指挥人员和通讯设备，全天候不间断的指挥交通，确保未封闭的半幅道路单向通车，杜绝一切车辆行驶未达龄期的路面结构层。</w:t>
            </w:r>
          </w:p>
          <w:p w14:paraId="2DEFB76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承包人对已完成铺筑的各路面结构层，在铺筑后至达到龄期之前（底基层或基层在铺筑上层结构层之前），对先铺筑的半幅底基层、基层或水泥砼路面，须每20米横向摆放一道直径不小于25cm的石块；对后铺筑的另半幅底基层、基层或水泥砼路面，须全路段采用50cm×50cm梅花型布置的方式摆放直径不小于25cm的石块。底基层、基层在碾压好后即摆放，水泥砼路面在覆盖好养生布后即摆放。</w:t>
            </w:r>
          </w:p>
          <w:p w14:paraId="605C03F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承包人未按上述要求进行交通维护管理，致使未达到龄期的路面结构层遭到车辆碾压，发包人将对承包人进行处罚：底基层或基层遭到车辆碾压，视情况处罚1000元~10000元/次，水泥砼路面遭到车辆碾压，视情况处罚5000~10000元/次，并要求承包人进行交通管理整改和对造损坏的路面结构进行返工处理。如承包人未进行整改或返工，发包人将禁止承包人继续施工，并对遭到车辆碾压的路段不予计量支付。</w:t>
            </w:r>
          </w:p>
          <w:p w14:paraId="45103BB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(4)如多次发生交通维护管理不到位、造成车辆碾压未达到龄期的路面结构的情况，发包人将将其作为履约不良单位上报省市交通运输主管部门。</w:t>
            </w:r>
          </w:p>
          <w:p w14:paraId="1ACFF5C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(5)承包人对该项目施工全过程的交通维护管理费实行总价包干(已含在投标总价中)，发包人不再另行支付。</w:t>
            </w:r>
          </w:p>
        </w:tc>
      </w:tr>
      <w:tr w14:paraId="12BD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35" w:type="dxa"/>
            <w:gridSpan w:val="2"/>
            <w:vAlign w:val="center"/>
          </w:tcPr>
          <w:p w14:paraId="12812E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w:t>
            </w:r>
          </w:p>
        </w:tc>
        <w:tc>
          <w:tcPr>
            <w:tcW w:w="8551" w:type="dxa"/>
            <w:gridSpan w:val="2"/>
            <w:vAlign w:val="center"/>
          </w:tcPr>
          <w:p w14:paraId="00D74496">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将本款“12.1承包人暂停施工的责任”项修改如下：</w:t>
            </w:r>
          </w:p>
          <w:p w14:paraId="5D6ED5F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12.1承包人暂停施工的责任</w:t>
            </w:r>
          </w:p>
          <w:p w14:paraId="0013CD7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12.1（6）由承包人承担的其他暂停施工：</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1443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35" w:type="dxa"/>
            <w:gridSpan w:val="2"/>
            <w:vAlign w:val="center"/>
          </w:tcPr>
          <w:p w14:paraId="1B4F11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13.11</w:t>
            </w:r>
          </w:p>
        </w:tc>
        <w:tc>
          <w:tcPr>
            <w:tcW w:w="8551" w:type="dxa"/>
            <w:gridSpan w:val="2"/>
            <w:vAlign w:val="center"/>
          </w:tcPr>
          <w:p w14:paraId="43544E0E">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删除“13.11优质优价价款”</w:t>
            </w:r>
          </w:p>
        </w:tc>
      </w:tr>
      <w:tr w14:paraId="073F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35" w:type="dxa"/>
            <w:gridSpan w:val="2"/>
            <w:vAlign w:val="center"/>
          </w:tcPr>
          <w:p w14:paraId="73E162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13.13</w:t>
            </w:r>
          </w:p>
        </w:tc>
        <w:tc>
          <w:tcPr>
            <w:tcW w:w="8551" w:type="dxa"/>
            <w:gridSpan w:val="2"/>
            <w:vAlign w:val="center"/>
          </w:tcPr>
          <w:p w14:paraId="2898A639">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增加13.13款：</w:t>
            </w:r>
          </w:p>
          <w:p w14:paraId="032D987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13.13如市委、市政府、上级主管部门、质量监督部门在检查时发现工程质量问题，提出批评和整改要求，发包人有权视问题严重程度给予承包人2-10万元/次的违约处理。</w:t>
            </w:r>
          </w:p>
        </w:tc>
      </w:tr>
      <w:tr w14:paraId="30E1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3" w:hRule="atLeast"/>
          <w:jc w:val="center"/>
        </w:trPr>
        <w:tc>
          <w:tcPr>
            <w:tcW w:w="1135" w:type="dxa"/>
            <w:gridSpan w:val="2"/>
            <w:vAlign w:val="center"/>
          </w:tcPr>
          <w:p w14:paraId="1C4326D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w:t>
            </w:r>
          </w:p>
        </w:tc>
        <w:tc>
          <w:tcPr>
            <w:tcW w:w="8551" w:type="dxa"/>
            <w:gridSpan w:val="2"/>
            <w:vAlign w:val="center"/>
          </w:tcPr>
          <w:p w14:paraId="573628C4">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本条补充第14.5款</w:t>
            </w:r>
          </w:p>
          <w:p w14:paraId="53C6BEE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14.5工地试验室</w:t>
            </w:r>
          </w:p>
          <w:p w14:paraId="0A96A86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14.5.1、在工程正式开工前，承包人必须在工程现场设立与工程内容相适应的工地试验室（建设和运作费用由承包人自行承担）用于对原材料、混合料和工程成品的自检。工地试验室的具体要求按照《关于印发广东省交通运输厅关于公路水运工程工地试验室的管理办法(试行)的通知(粤交基[2011]1671号)》和《关于贯彻《广东省交通运输厅关于公路水运工程工地试验室的管理办法》的实施意见(粤交监督[2012]27号)》执行。该工地试验室的母体必须具备公路工程综合乙级（或以上）试验检测资质（承包人若无相应资质，可委托有相应资质的试验检测机构进行试验检测,但该机构不得与本工程其他参与单位有隶属关系或其他利害关系），且必须配备至少2名试验工程师（路桥工程师及以上职称，持交通运输部门相关试验检测工程师证书）和2名试验员（路桥专业初级及以上职称，持交通运输部门相关试验检测员证书），委托试验检测的，人员由委托的试验检测机构配备。否则，发包人有权委托有相应资质的试验检测机构代为自检，因此而产生的一切费用从承包人的工程款项中扣除支付给受委托的试验检测机构。工地试验室应具有相应规模，面积应符合《公路水运工程试验检测机构等级标准》的要求，能完成检测项目和具备的试验检测设备需符合省交通厅及省质量监督总站的要求。</w:t>
            </w:r>
          </w:p>
          <w:p w14:paraId="50C6E39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14.5.2、所有材料、工程设备和工程的试验和检验必须按公路工程的现行规范规定的要求和频率进行，并必须有监理人员和业主代表旁站，否则，可视其试验和检验结果无效，需另行重新试验和检验，因此而产生的费用和工期的延误均由承包人承担。</w:t>
            </w:r>
          </w:p>
          <w:p w14:paraId="7914DFF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14.5.3承包人应按合同约定或发包人及监理人的指示进行必要的现场工艺或试验段试验。对于现场工艺试验或试验段试验，应由承包人根据发包人及监理人提出的工艺试验要求，编制工艺试验措施计划，报送监理人和发包人审批，并在监理工程师和业主代表的监督下方可进行，工艺试验费用已包含在合同总价中，发包人不再另行支付。</w:t>
            </w:r>
          </w:p>
        </w:tc>
      </w:tr>
      <w:tr w14:paraId="0324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8" w:hRule="atLeast"/>
          <w:jc w:val="center"/>
        </w:trPr>
        <w:tc>
          <w:tcPr>
            <w:tcW w:w="1135" w:type="dxa"/>
            <w:gridSpan w:val="2"/>
            <w:vAlign w:val="center"/>
          </w:tcPr>
          <w:p w14:paraId="5688B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w:t>
            </w:r>
          </w:p>
        </w:tc>
        <w:tc>
          <w:tcPr>
            <w:tcW w:w="8551" w:type="dxa"/>
            <w:gridSpan w:val="2"/>
            <w:vAlign w:val="center"/>
          </w:tcPr>
          <w:p w14:paraId="56326F3E">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将15.4.4、15.4.5款修改为</w:t>
            </w:r>
          </w:p>
          <w:p w14:paraId="67E271F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15.4.4如果投标文件报价中没有相应综合单价的，则参照清单预算编制时选用的有关定额及补充的定额，人工、材料、机械单价按造价管理部门核备清单预算采用月份，广东省交通运输工程造价事务中心发布的“广东省交通建设工程主要外购材料信息价、主要地方材料信息价（工程所在地）、常用地方材料信息价（工程所在地）”中的项目施工所在地区材料信息价编制预算（如无相应信息价，由发包人另行确定），并按本项目包投标人中标价较造价管理部门核备的清单预算之下浮比例下浮确定。变更预算以发包人按相关程序确认的为准。</w:t>
            </w:r>
          </w:p>
          <w:p w14:paraId="753B05C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15.4.5如果双方对变更工程价款有争议，则请政府主管部门或发包人和承包人双方认可的机构按15.4.4款要求编制预算，由发包人委托，委托费用由发包人和承包人各负责一半，变更工程造价或单价按本项目包投标人中标价较造价管理部门核备的清单预算之下浮比例下浮确定。</w:t>
            </w:r>
          </w:p>
          <w:p w14:paraId="745925C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发包人与承包人如按上述原则协商未果，发包人有权根据实际情况按上述某一原则进行处理，承包人必须无条件接受。</w:t>
            </w:r>
          </w:p>
          <w:p w14:paraId="1B0AA9E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所有的变更设计都必须按发包人及其上级主管部门颁布的变更设计管理办法进行审批。</w:t>
            </w:r>
          </w:p>
        </w:tc>
      </w:tr>
      <w:tr w14:paraId="12DC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35" w:type="dxa"/>
            <w:gridSpan w:val="2"/>
            <w:vAlign w:val="center"/>
          </w:tcPr>
          <w:p w14:paraId="29693A9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15.9</w:t>
            </w:r>
          </w:p>
        </w:tc>
        <w:tc>
          <w:tcPr>
            <w:tcW w:w="8551" w:type="dxa"/>
            <w:gridSpan w:val="2"/>
            <w:vAlign w:val="center"/>
          </w:tcPr>
          <w:p w14:paraId="44F9EF4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增加15.9款:</w:t>
            </w:r>
          </w:p>
          <w:p w14:paraId="435E472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实际土石方比例及石方类型与设计不符时，均不予以调整，承包人在投标报价时应综合考虑土石比例及石方类型变化的风险。</w:t>
            </w:r>
          </w:p>
        </w:tc>
      </w:tr>
      <w:tr w14:paraId="244A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35" w:type="dxa"/>
            <w:gridSpan w:val="2"/>
            <w:vAlign w:val="center"/>
          </w:tcPr>
          <w:p w14:paraId="266B525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15.10</w:t>
            </w:r>
          </w:p>
        </w:tc>
        <w:tc>
          <w:tcPr>
            <w:tcW w:w="8551" w:type="dxa"/>
            <w:gridSpan w:val="2"/>
            <w:vAlign w:val="center"/>
          </w:tcPr>
          <w:p w14:paraId="7E4319D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增加15.10款:</w:t>
            </w:r>
          </w:p>
          <w:p w14:paraId="6F4424F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本项目开挖的石方，发包人有权请第三方机构检测，如石方指标满足设计及相关技术规范要求，则需利用，按变更处理。</w:t>
            </w:r>
          </w:p>
        </w:tc>
      </w:tr>
      <w:tr w14:paraId="659B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6" w:hRule="atLeast"/>
          <w:jc w:val="center"/>
        </w:trPr>
        <w:tc>
          <w:tcPr>
            <w:tcW w:w="1135" w:type="dxa"/>
            <w:gridSpan w:val="2"/>
            <w:vAlign w:val="center"/>
          </w:tcPr>
          <w:p w14:paraId="564DE4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16.1</w:t>
            </w:r>
          </w:p>
        </w:tc>
        <w:tc>
          <w:tcPr>
            <w:tcW w:w="8551" w:type="dxa"/>
            <w:gridSpan w:val="2"/>
            <w:vAlign w:val="center"/>
          </w:tcPr>
          <w:p w14:paraId="05376778">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在“16.1物价波动引起的价格调整”项修改如下：</w:t>
            </w:r>
          </w:p>
          <w:p w14:paraId="3989274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因物价波动引起的价格调整，按《广东省交通运输厅关于进一步加强我省公路建设项目材料价差调整和施工合同管理工作的意见》（粤交基[2015]460号）及《广东省交通运输厅关于印发我省交通建设项目材料价差调整指导性意见的通知》（粤交基函[2019]1302号）文件执行，其中：</w:t>
            </w:r>
          </w:p>
          <w:p w14:paraId="5DB3DF7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1.可调差的主要材料范围以《广东省交通运输厅关于印发我省交通建设项目材料价差调整指导性意见的通知》（粤交基函[2019]1302号）可调差主要材料范围为准。</w:t>
            </w:r>
          </w:p>
          <w:p w14:paraId="58901BC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2.风险幅度系数（r）：</w:t>
            </w:r>
          </w:p>
          <w:p w14:paraId="2B85F1A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（1）砂石料，r=±5%；</w:t>
            </w:r>
          </w:p>
          <w:p w14:paraId="4C93E656">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（2）水泥、半成品，r=±4%；</w:t>
            </w:r>
          </w:p>
          <w:p w14:paraId="60F84F3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（3）钢材、油料及其它，r=±3%。</w:t>
            </w:r>
          </w:p>
          <w:p w14:paraId="31034F30">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3.计算方法：采用《广东省交通运输厅关于印发我省交通建设项目材料价差调整指导性意见的通知》（粤交基函[2019]1302号）中的信息价格法。</w:t>
            </w:r>
          </w:p>
          <w:p w14:paraId="6701C15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4.材料基准价（Po）指造价管理部门核备清单预算时所采用的信息价；材料信息价（Pi）指施工当月韶关市及以上交通造价管理部门发布的信息价。</w:t>
            </w:r>
          </w:p>
          <w:p w14:paraId="4963562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5.本项目不予调整材料运输差价，投标人应加强对施工材料供应点的调查并将运距风险考虑到投标综合单价中。</w:t>
            </w:r>
          </w:p>
          <w:p w14:paraId="02ED5324">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在项目实施过程中，如国家或广东省交通运输主管部门出台新的价差调整规定或意见，则按该些新的规定或意见执行。</w:t>
            </w:r>
          </w:p>
        </w:tc>
      </w:tr>
      <w:tr w14:paraId="49C6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1135" w:type="dxa"/>
            <w:gridSpan w:val="2"/>
            <w:vAlign w:val="center"/>
          </w:tcPr>
          <w:p w14:paraId="1071B5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17.1.2</w:t>
            </w:r>
          </w:p>
        </w:tc>
        <w:tc>
          <w:tcPr>
            <w:tcW w:w="8551" w:type="dxa"/>
            <w:gridSpan w:val="2"/>
            <w:vAlign w:val="center"/>
          </w:tcPr>
          <w:p w14:paraId="75580EE6">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将本款“17.1.2计量方法”项修改如下：</w:t>
            </w:r>
          </w:p>
          <w:p w14:paraId="4E408BCF">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17.1.2计量方法</w:t>
            </w:r>
          </w:p>
          <w:p w14:paraId="1D406097">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工程量清单中的工程量计算规则应按有关国家标准、行业标准的规定，并在合同中约定执行。中标后，需经招标人、设计单位、监理单位和中标人四方到施工现场再次核实实际工程量后方可实施。并按实际工程量和实际发生的项目进行计量。</w:t>
            </w:r>
          </w:p>
        </w:tc>
      </w:tr>
      <w:tr w14:paraId="3D87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1135" w:type="dxa"/>
            <w:gridSpan w:val="2"/>
            <w:vAlign w:val="center"/>
          </w:tcPr>
          <w:p w14:paraId="539BD5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w:t>
            </w:r>
          </w:p>
        </w:tc>
        <w:tc>
          <w:tcPr>
            <w:tcW w:w="8551" w:type="dxa"/>
            <w:gridSpan w:val="2"/>
            <w:vAlign w:val="center"/>
          </w:tcPr>
          <w:p w14:paraId="1C4788B1">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第17.3.3增加以下内容：</w:t>
            </w:r>
          </w:p>
          <w:p w14:paraId="7F53B567">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（5）进度应付款还需经发包人上级主管部门审批确认后方能支付，承包人必须无条件接受。</w:t>
            </w:r>
          </w:p>
          <w:p w14:paraId="49633F15">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增加“17.3.7”条款</w:t>
            </w:r>
          </w:p>
          <w:p w14:paraId="7F77DC78">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17.3.7施工进度款的支付比例：月支付额的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80</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3451F19D">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增加“17.3.8”条款</w:t>
            </w:r>
          </w:p>
          <w:p w14:paraId="46AEDDF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17.3.8待工程交工验收完成后，支付至经审定后的结算价的</w:t>
            </w:r>
            <w:r>
              <w:rPr>
                <w:rFonts w:hint="eastAsia" w:asciiTheme="minorEastAsia" w:hAnsiTheme="minorEastAsia" w:eastAsiaTheme="minorEastAsia" w:cstheme="minorEastAsia"/>
                <w:color w:val="000000" w:themeColor="text1"/>
                <w:szCs w:val="21"/>
                <w:u w:val="single"/>
                <w14:textFill>
                  <w14:solidFill>
                    <w14:schemeClr w14:val="tx1"/>
                  </w14:solidFill>
                </w14:textFill>
              </w:rPr>
              <w:t>97</w:t>
            </w:r>
            <w:r>
              <w:rPr>
                <w:rFonts w:hint="eastAsia" w:asciiTheme="minorEastAsia" w:hAnsiTheme="minorEastAsia" w:eastAsiaTheme="minorEastAsia" w:cstheme="minorEastAsia"/>
                <w:color w:val="000000" w:themeColor="text1"/>
                <w:szCs w:val="21"/>
                <w14:textFill>
                  <w14:solidFill>
                    <w14:schemeClr w14:val="tx1"/>
                  </w14:solidFill>
                </w14:textFill>
              </w:rPr>
              <w:t>%。</w:t>
            </w:r>
          </w:p>
        </w:tc>
      </w:tr>
      <w:tr w14:paraId="5D8F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135" w:type="dxa"/>
            <w:gridSpan w:val="2"/>
            <w:vAlign w:val="center"/>
          </w:tcPr>
          <w:p w14:paraId="029C00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17.4.4</w:t>
            </w:r>
          </w:p>
        </w:tc>
        <w:tc>
          <w:tcPr>
            <w:tcW w:w="8551" w:type="dxa"/>
            <w:gridSpan w:val="2"/>
            <w:vAlign w:val="center"/>
          </w:tcPr>
          <w:p w14:paraId="35DC75FD">
            <w:pPr>
              <w:pStyle w:val="5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将第17.4.4项细化为：</w:t>
            </w:r>
          </w:p>
          <w:p w14:paraId="65A7485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竣工验收时，如果竣工验收委员会对承包人评定的工程质量评分小于75分，发包人将从承包人的质量保证金中扣除10%，以此作为承包人工程质量达不到合同规定的工程质量目标的惩罚金。</w:t>
            </w:r>
          </w:p>
        </w:tc>
      </w:tr>
      <w:tr w14:paraId="1F4B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35" w:type="dxa"/>
            <w:gridSpan w:val="2"/>
            <w:vAlign w:val="center"/>
          </w:tcPr>
          <w:p w14:paraId="5FD19AA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w:t>
            </w:r>
          </w:p>
        </w:tc>
        <w:tc>
          <w:tcPr>
            <w:tcW w:w="8551" w:type="dxa"/>
            <w:gridSpan w:val="2"/>
            <w:vAlign w:val="center"/>
          </w:tcPr>
          <w:p w14:paraId="07279985">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第“21.1不可抗力的确认”项修改如下：</w:t>
            </w:r>
          </w:p>
          <w:p w14:paraId="15393F6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21.1不可抗力的确认</w:t>
            </w:r>
          </w:p>
          <w:p w14:paraId="50426C8B">
            <w:pPr>
              <w:pStyle w:val="52"/>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21.1（6）不可抗力的其他情形：</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14:paraId="40B7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35" w:type="dxa"/>
            <w:gridSpan w:val="2"/>
            <w:vAlign w:val="center"/>
          </w:tcPr>
          <w:p w14:paraId="1BB2ECE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22.3</w:t>
            </w:r>
          </w:p>
        </w:tc>
        <w:tc>
          <w:tcPr>
            <w:tcW w:w="8551" w:type="dxa"/>
            <w:gridSpan w:val="2"/>
            <w:vAlign w:val="center"/>
          </w:tcPr>
          <w:p w14:paraId="3A3676DD">
            <w:pPr>
              <w:pStyle w:val="5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增加第22.3项：</w:t>
            </w:r>
          </w:p>
          <w:p w14:paraId="567AD12E">
            <w:pPr>
              <w:pStyle w:val="52"/>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本项目需对保护区调整、用林用地等进行报批，若因上述手续办理对实施过程中的施工组织造成影响或产生工期延误，则承包人不得向发包人提出费用索赔。</w:t>
            </w:r>
          </w:p>
        </w:tc>
      </w:tr>
      <w:tr w14:paraId="454C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35" w:type="dxa"/>
            <w:gridSpan w:val="2"/>
            <w:vAlign w:val="center"/>
          </w:tcPr>
          <w:p w14:paraId="6014FF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25.1</w:t>
            </w:r>
          </w:p>
        </w:tc>
        <w:tc>
          <w:tcPr>
            <w:tcW w:w="8551" w:type="dxa"/>
            <w:gridSpan w:val="2"/>
            <w:vAlign w:val="center"/>
          </w:tcPr>
          <w:p w14:paraId="208FBCD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删除“25.1质量、进度奖励”条款</w:t>
            </w:r>
          </w:p>
        </w:tc>
      </w:tr>
    </w:tbl>
    <w:p w14:paraId="10E4AE0F">
      <w:pPr>
        <w:pStyle w:val="26"/>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bookmarkStart w:id="55" w:name="_Toc15861"/>
    </w:p>
    <w:p w14:paraId="21B670CF">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二、授权委托书或法定代表人身份证明</w:t>
      </w:r>
      <w:bookmarkEnd w:id="55"/>
    </w:p>
    <w:p w14:paraId="6F12672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00D091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bookmarkStart w:id="56" w:name="_Toc9438"/>
      <w: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t>（一）授权委托书</w:t>
      </w:r>
      <w:bookmarkEnd w:id="56"/>
    </w:p>
    <w:p w14:paraId="7F23300A">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3F6EAAB">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2955F7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277D0F2F">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本人</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（姓名）</w:t>
      </w:r>
      <w:r>
        <w:rPr>
          <w:rFonts w:hint="eastAsia" w:asciiTheme="minorEastAsia" w:hAnsiTheme="minorEastAsia" w:eastAsiaTheme="minorEastAsia" w:cstheme="minorEastAsia"/>
          <w:color w:val="000000" w:themeColor="text1"/>
          <w:lang w:val="zh-CN"/>
          <w14:textFill>
            <w14:solidFill>
              <w14:schemeClr w14:val="tx1"/>
            </w14:solidFill>
          </w14:textFill>
        </w:rPr>
        <w:t>系</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（投标人名称）</w:t>
      </w:r>
      <w:r>
        <w:rPr>
          <w:rFonts w:hint="eastAsia" w:asciiTheme="minorEastAsia" w:hAnsiTheme="minorEastAsia" w:eastAsiaTheme="minorEastAsia" w:cstheme="minorEastAsia"/>
          <w:color w:val="000000" w:themeColor="text1"/>
          <w:lang w:val="zh-CN"/>
          <w14:textFill>
            <w14:solidFill>
              <w14:schemeClr w14:val="tx1"/>
            </w14:solidFill>
          </w14:textFill>
        </w:rPr>
        <w:t>的法定代表人，现委托</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（姓名）</w:t>
      </w:r>
      <w:r>
        <w:rPr>
          <w:rFonts w:hint="eastAsia" w:asciiTheme="minorEastAsia" w:hAnsiTheme="minorEastAsia" w:eastAsiaTheme="minorEastAsia" w:cstheme="minorEastAsia"/>
          <w:color w:val="000000" w:themeColor="text1"/>
          <w:lang w:val="zh-CN"/>
          <w14:textFill>
            <w14:solidFill>
              <w14:schemeClr w14:val="tx1"/>
            </w14:solidFill>
          </w14:textFill>
        </w:rPr>
        <w:t>为我方代理人。代理人根据授权，以我方名义签署、澄清确认、递交、撤回、修改</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（项目名称）</w:t>
      </w:r>
      <w:r>
        <w:rPr>
          <w:rFonts w:hint="eastAsia" w:asciiTheme="minorEastAsia" w:hAnsiTheme="minorEastAsia" w:eastAsiaTheme="minorEastAsia" w:cstheme="minorEastAsia"/>
          <w:color w:val="000000" w:themeColor="text1"/>
          <w:lang w:val="zh-CN"/>
          <w14:textFill>
            <w14:solidFill>
              <w14:schemeClr w14:val="tx1"/>
            </w14:solidFill>
          </w14:textFill>
        </w:rPr>
        <w:t>招标投标文件、签订合同和处理有关事宜，其法律后果由我方承担。</w:t>
      </w:r>
    </w:p>
    <w:p w14:paraId="03BC5093">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委托期限：自本委托书签署之日起至投标有效期期满。</w:t>
      </w:r>
    </w:p>
    <w:p w14:paraId="6A6BCA5A">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代理人无转委托权。</w:t>
      </w:r>
    </w:p>
    <w:p w14:paraId="443ECC51">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p>
    <w:p w14:paraId="38310F4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D24C893">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附：法定代表人身份证复印件及委托代理人身份证复印件。</w:t>
      </w:r>
    </w:p>
    <w:p w14:paraId="172F93CF">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7462EF7">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A846722">
      <w:pPr>
        <w:spacing w:line="48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投标人：（盖单位章）</w:t>
      </w:r>
    </w:p>
    <w:p w14:paraId="44758667">
      <w:pPr>
        <w:spacing w:line="480" w:lineRule="auto"/>
        <w:ind w:firstLine="3360" w:firstLineChars="1600"/>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w:t>
      </w:r>
      <w:r>
        <w:rPr>
          <w:rFonts w:hint="eastAsia" w:asciiTheme="minorEastAsia" w:hAnsiTheme="minorEastAsia" w:eastAsiaTheme="minorEastAsia" w:cstheme="minorEastAsia"/>
          <w:color w:val="000000" w:themeColor="text1"/>
          <w14:textFill>
            <w14:solidFill>
              <w14:schemeClr w14:val="tx1"/>
            </w14:solidFill>
          </w14:textFill>
        </w:rPr>
        <w:t>（签字）</w:t>
      </w:r>
    </w:p>
    <w:p w14:paraId="6BB1EB6A">
      <w:pPr>
        <w:spacing w:line="48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身份证号码：</w:t>
      </w:r>
    </w:p>
    <w:p w14:paraId="23A14515">
      <w:pPr>
        <w:spacing w:line="48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委托代理人：（签字）</w:t>
      </w:r>
    </w:p>
    <w:p w14:paraId="7CE40EF7">
      <w:pPr>
        <w:spacing w:line="480" w:lineRule="auto"/>
        <w:rPr>
          <w:rFonts w:hint="eastAsia" w:asciiTheme="minorEastAsia" w:hAnsiTheme="minorEastAsia" w:eastAsiaTheme="minorEastAsia" w:cstheme="minorEastAsia"/>
          <w:color w:val="000000" w:themeColor="text1"/>
          <w:u w:val="single"/>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身份证号码：</w:t>
      </w:r>
    </w:p>
    <w:p w14:paraId="541F1FDA">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915CD6E">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年月日</w:t>
      </w:r>
    </w:p>
    <w:p w14:paraId="6476C9A1">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C220912">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0C2BA61">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974CF9D">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w:t>
      </w:r>
    </w:p>
    <w:p w14:paraId="214D929B">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1.法定代表人和委托代理人必须在授权书上亲笔签名，不得使用印章、签名章或其他电子制版签名；如果由投标人的委托代理人签署投标文件，则不需提交法定代表人身份证明。</w:t>
      </w:r>
    </w:p>
    <w:p w14:paraId="37FDF7B6">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2.以联合体形式投标的，</w:t>
      </w:r>
      <w:r>
        <w:rPr>
          <w:rFonts w:hint="eastAsia" w:asciiTheme="minorEastAsia" w:hAnsiTheme="minorEastAsia" w:eastAsiaTheme="minorEastAsia" w:cstheme="minorEastAsia"/>
          <w:color w:val="000000" w:themeColor="text1"/>
          <w14:textFill>
            <w14:solidFill>
              <w14:schemeClr w14:val="tx1"/>
            </w14:solidFill>
          </w14:textFill>
        </w:rPr>
        <w:t>联合体各方均需出具</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2514CBD3">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3.如果由投标人的法定代表人签署投标文件，则不需提交授权委托书。</w:t>
      </w: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29DC14CD">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57" w:name="_Toc16376"/>
      <w:r>
        <w:rPr>
          <w:rFonts w:hint="eastAsia" w:asciiTheme="minorEastAsia" w:hAnsiTheme="minorEastAsia" w:eastAsiaTheme="minorEastAsia" w:cstheme="minorEastAsia"/>
          <w:color w:val="000000" w:themeColor="text1"/>
          <w14:textFill>
            <w14:solidFill>
              <w14:schemeClr w14:val="tx1"/>
            </w14:solidFill>
          </w14:textFill>
        </w:rPr>
        <w:t>（二）法定代表人身份证明</w:t>
      </w:r>
      <w:bookmarkEnd w:id="57"/>
    </w:p>
    <w:p w14:paraId="7B16CA52">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45CA16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0A9B354">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9518A76">
      <w:pPr>
        <w:spacing w:line="480" w:lineRule="auto"/>
        <w:ind w:firstLine="420" w:firstLineChars="200"/>
        <w:rPr>
          <w:rFonts w:hint="eastAsia" w:asciiTheme="minorEastAsia" w:hAnsiTheme="minorEastAsia" w:eastAsiaTheme="minorEastAsia" w:cstheme="minorEastAsia"/>
          <w:color w:val="000000" w:themeColor="text1"/>
          <w:u w:val="single"/>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投标人名称：</w:t>
      </w:r>
    </w:p>
    <w:p w14:paraId="7839AEC0">
      <w:pPr>
        <w:spacing w:line="480" w:lineRule="auto"/>
        <w:ind w:firstLine="420" w:firstLineChars="200"/>
        <w:rPr>
          <w:rFonts w:hint="eastAsia" w:asciiTheme="minorEastAsia" w:hAnsiTheme="minorEastAsia" w:eastAsiaTheme="minorEastAsia" w:cstheme="minorEastAsia"/>
          <w:color w:val="000000" w:themeColor="text1"/>
          <w:u w:val="single"/>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姓名：</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（法定代表人亲笔签名）</w:t>
      </w:r>
      <w:r>
        <w:rPr>
          <w:rFonts w:hint="eastAsia" w:asciiTheme="minorEastAsia" w:hAnsiTheme="minorEastAsia" w:eastAsiaTheme="minorEastAsia" w:cstheme="minorEastAsia"/>
          <w:color w:val="000000" w:themeColor="text1"/>
          <w:lang w:val="zh-CN"/>
          <w14:textFill>
            <w14:solidFill>
              <w14:schemeClr w14:val="tx1"/>
            </w14:solidFill>
          </w14:textFill>
        </w:rPr>
        <w:t>性别：年龄：职务：</w:t>
      </w:r>
    </w:p>
    <w:p w14:paraId="57F1EC71">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系</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（投标人名称）</w:t>
      </w:r>
      <w:r>
        <w:rPr>
          <w:rFonts w:hint="eastAsia" w:asciiTheme="minorEastAsia" w:hAnsiTheme="minorEastAsia" w:eastAsiaTheme="minorEastAsia" w:cstheme="minorEastAsia"/>
          <w:color w:val="000000" w:themeColor="text1"/>
          <w:lang w:val="zh-CN"/>
          <w14:textFill>
            <w14:solidFill>
              <w14:schemeClr w14:val="tx1"/>
            </w14:solidFill>
          </w14:textFill>
        </w:rPr>
        <w:t>的法定代表人。</w:t>
      </w:r>
    </w:p>
    <w:p w14:paraId="77088C14">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特此证明。</w:t>
      </w:r>
    </w:p>
    <w:p w14:paraId="1DF2E416">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A24ED8C">
      <w:pPr>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附：法定代表人身份证复印件。</w:t>
      </w:r>
    </w:p>
    <w:p w14:paraId="45B9C743">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31E200C">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5C02382">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投标人：（盖单位章）</w:t>
      </w:r>
    </w:p>
    <w:p w14:paraId="271F0015">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B52E58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年月日</w:t>
      </w:r>
    </w:p>
    <w:p w14:paraId="663CDD03">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7F79BEC">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12592CA">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97D11FF">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E282978">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5CBD107">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71EAF1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F30E6D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215ABB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46A4A73">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5CB700FB">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3AD89E7">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63905242">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2B0AB2F">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EA3F18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276B95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FB20A64">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3C455D7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4C208955">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7416490">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w:t>
      </w:r>
    </w:p>
    <w:p w14:paraId="42BBA44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1.法定代表人的签字必须是亲笔签名，不得使用印章、签名章或其他电子制版签名代替。</w:t>
      </w:r>
    </w:p>
    <w:p w14:paraId="33993771">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2.以联合体形式投标的，联合体各方均需出具。</w:t>
      </w:r>
    </w:p>
    <w:p w14:paraId="514374F6">
      <w:pPr>
        <w:spacing w:line="360" w:lineRule="auto"/>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09BA7D76">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58" w:name="_Toc14938"/>
      <w:r>
        <w:rPr>
          <w:rFonts w:hint="eastAsia" w:asciiTheme="minorEastAsia" w:hAnsiTheme="minorEastAsia" w:eastAsiaTheme="minorEastAsia" w:cstheme="minorEastAsia"/>
          <w:color w:val="000000" w:themeColor="text1"/>
          <w14:textFill>
            <w14:solidFill>
              <w14:schemeClr w14:val="tx1"/>
            </w14:solidFill>
          </w14:textFill>
        </w:rPr>
        <w:t>三、联合体协议书</w:t>
      </w:r>
      <w:bookmarkEnd w:id="58"/>
    </w:p>
    <w:p w14:paraId="526BD54F">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DE30F72">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u w:val="single"/>
          <w:lang w:val="zh-CN"/>
          <w14:textFill>
            <w14:solidFill>
              <w14:schemeClr w14:val="tx1"/>
            </w14:solidFill>
          </w14:textFill>
        </w:rPr>
        <w:t>（所有成员单位名称）</w:t>
      </w:r>
      <w:r>
        <w:rPr>
          <w:rFonts w:hint="eastAsia" w:asciiTheme="minorEastAsia" w:hAnsiTheme="minorEastAsia" w:eastAsiaTheme="minorEastAsia" w:cstheme="minorEastAsia"/>
          <w:color w:val="000000" w:themeColor="text1"/>
          <w:lang w:val="zh-CN"/>
          <w14:textFill>
            <w14:solidFill>
              <w14:schemeClr w14:val="tx1"/>
            </w14:solidFill>
          </w14:textFill>
        </w:rPr>
        <w:t>自愿组成</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(联合体名称）</w:t>
      </w:r>
      <w:r>
        <w:rPr>
          <w:rFonts w:hint="eastAsia" w:asciiTheme="minorEastAsia" w:hAnsiTheme="minorEastAsia" w:eastAsiaTheme="minorEastAsia" w:cstheme="minorEastAsia"/>
          <w:color w:val="000000" w:themeColor="text1"/>
          <w:lang w:val="zh-CN"/>
          <w14:textFill>
            <w14:solidFill>
              <w14:schemeClr w14:val="tx1"/>
            </w14:solidFill>
          </w14:textFill>
        </w:rPr>
        <w:t>联合体，共同参加</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(项目名称）</w:t>
      </w:r>
      <w:r>
        <w:rPr>
          <w:rFonts w:hint="eastAsia" w:asciiTheme="minorEastAsia" w:hAnsiTheme="minorEastAsia" w:eastAsiaTheme="minorEastAsia" w:cstheme="minorEastAsia"/>
          <w:color w:val="000000" w:themeColor="text1"/>
          <w:lang w:val="zh-CN"/>
          <w14:textFill>
            <w14:solidFill>
              <w14:schemeClr w14:val="tx1"/>
            </w14:solidFill>
          </w14:textFill>
        </w:rPr>
        <w:t>招标投标。现就联合体投标事宜订立如下协议。</w:t>
      </w:r>
    </w:p>
    <w:p w14:paraId="5AD4306D">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（某成员单位名称）</w:t>
      </w:r>
      <w:r>
        <w:rPr>
          <w:rFonts w:hint="eastAsia" w:asciiTheme="minorEastAsia" w:hAnsiTheme="minorEastAsia" w:eastAsiaTheme="minorEastAsia" w:cstheme="minorEastAsia"/>
          <w:color w:val="000000" w:themeColor="text1"/>
          <w:lang w:val="zh-CN"/>
          <w14:textFill>
            <w14:solidFill>
              <w14:schemeClr w14:val="tx1"/>
            </w14:solidFill>
          </w14:textFill>
        </w:rPr>
        <w:t>为</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（联合体名称）</w:t>
      </w:r>
      <w:r>
        <w:rPr>
          <w:rFonts w:hint="eastAsia" w:asciiTheme="minorEastAsia" w:hAnsiTheme="minorEastAsia" w:eastAsiaTheme="minorEastAsia" w:cstheme="minorEastAsia"/>
          <w:color w:val="000000" w:themeColor="text1"/>
          <w:lang w:val="zh-CN"/>
          <w14:textFill>
            <w14:solidFill>
              <w14:schemeClr w14:val="tx1"/>
            </w14:solidFill>
          </w14:textFill>
        </w:rPr>
        <w:t>牵头人。</w:t>
      </w:r>
    </w:p>
    <w:p w14:paraId="19529F4A">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zh-CN"/>
          <w14:textFill>
            <w14:solidFill>
              <w14:schemeClr w14:val="tx1"/>
            </w14:solidFill>
          </w14:textFill>
        </w:rPr>
        <w:t>联合体各成员授权牵头人代表联合体参加投标活动，签署文件，提交和接收相关的资料、信息及指示，进行合同谈判活动，负责合同实施阶段的组织和协调工作，以及处理与本招标项目有关的一切事宜。</w:t>
      </w:r>
    </w:p>
    <w:p w14:paraId="11B59D9F">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联合体牵头人在本项目中签署的一切文件和处理的一切事宜，联合体各成员均予以承认。联合体各成员将严格按照招标文件、投标文件和合同的要求全面履行义务，并向招标人承担连带责任。</w:t>
      </w:r>
    </w:p>
    <w:p w14:paraId="7F6C9807">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联合体各成员单位内部的职责分工如下：</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（牵头人名称）</w:t>
      </w:r>
      <w:r>
        <w:rPr>
          <w:rFonts w:hint="eastAsia" w:asciiTheme="minorEastAsia" w:hAnsiTheme="minorEastAsia" w:eastAsiaTheme="minorEastAsia" w:cstheme="minorEastAsia"/>
          <w:color w:val="000000" w:themeColor="text1"/>
          <w:lang w:val="zh-CN"/>
          <w14:textFill>
            <w14:solidFill>
              <w14:schemeClr w14:val="tx1"/>
            </w14:solidFill>
          </w14:textFill>
        </w:rPr>
        <w:t>承担专业工程；</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（成员一名称）</w:t>
      </w:r>
      <w:r>
        <w:rPr>
          <w:rFonts w:hint="eastAsia" w:asciiTheme="minorEastAsia" w:hAnsiTheme="minorEastAsia" w:eastAsiaTheme="minorEastAsia" w:cstheme="minorEastAsia"/>
          <w:color w:val="000000" w:themeColor="text1"/>
          <w:lang w:val="zh-CN"/>
          <w14:textFill>
            <w14:solidFill>
              <w14:schemeClr w14:val="tx1"/>
            </w14:solidFill>
          </w14:textFill>
        </w:rPr>
        <w:t>承担专业工程；</w:t>
      </w: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asciiTheme="minorEastAsia" w:hAnsiTheme="minorEastAsia" w:eastAsiaTheme="minorEastAsia" w:cstheme="minorEastAsia"/>
          <w:color w:val="000000" w:themeColor="text1"/>
          <w:lang w:val="zh-CN"/>
          <w14:textFill>
            <w14:solidFill>
              <w14:schemeClr w14:val="tx1"/>
            </w14:solidFill>
          </w14:textFill>
        </w:rPr>
        <w:t>。</w:t>
      </w:r>
    </w:p>
    <w:p w14:paraId="04113863">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w:t>
      </w:r>
      <w:r>
        <w:rPr>
          <w:rFonts w:hint="eastAsia" w:asciiTheme="minorEastAsia" w:hAnsiTheme="minorEastAsia" w:eastAsiaTheme="minorEastAsia" w:cstheme="minorEastAsia"/>
          <w:color w:val="000000" w:themeColor="text1"/>
          <w:lang w:val="zh-CN"/>
          <w14:textFill>
            <w14:solidFill>
              <w14:schemeClr w14:val="tx1"/>
            </w14:solidFill>
          </w14:textFill>
        </w:rPr>
        <w:t>投标工作和联合体在中标后工程实施过程中的有关费用按各自承担的工作量分摊。</w:t>
      </w:r>
    </w:p>
    <w:p w14:paraId="23ACDA8D">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6.</w:t>
      </w:r>
      <w:r>
        <w:rPr>
          <w:rFonts w:hint="eastAsia" w:asciiTheme="minorEastAsia" w:hAnsiTheme="minorEastAsia" w:eastAsiaTheme="minorEastAsia" w:cstheme="minorEastAsia"/>
          <w:color w:val="000000" w:themeColor="text1"/>
          <w:lang w:val="zh-CN"/>
          <w14:textFill>
            <w14:solidFill>
              <w14:schemeClr w14:val="tx1"/>
            </w14:solidFill>
          </w14:textFill>
        </w:rPr>
        <w:t>本协议书自所有成员单位法定代表人签字并加盖单位章之日起生效，合同履行完毕后自动失效。</w:t>
      </w:r>
    </w:p>
    <w:p w14:paraId="3949099F">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7.</w:t>
      </w:r>
      <w:r>
        <w:rPr>
          <w:rFonts w:hint="eastAsia" w:asciiTheme="minorEastAsia" w:hAnsiTheme="minorEastAsia" w:eastAsiaTheme="minorEastAsia" w:cstheme="minorEastAsia"/>
          <w:color w:val="000000" w:themeColor="text1"/>
          <w:lang w:val="zh-CN"/>
          <w14:textFill>
            <w14:solidFill>
              <w14:schemeClr w14:val="tx1"/>
            </w14:solidFill>
          </w14:textFill>
        </w:rPr>
        <w:t>本协议书一式份，联合体成员和招标人各执一份。</w:t>
      </w:r>
    </w:p>
    <w:p w14:paraId="4202EDA8">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05641828">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6BFF6D00">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联合体牵头人名称：（盖单位章）</w:t>
      </w:r>
    </w:p>
    <w:p w14:paraId="41059B3A">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法定代表人：（签字）</w:t>
      </w:r>
    </w:p>
    <w:p w14:paraId="0F20CE39">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7894257D">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联合体成员名称：（盖单位章）</w:t>
      </w:r>
    </w:p>
    <w:p w14:paraId="666F22DF">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法定代表人：（签字）</w:t>
      </w:r>
    </w:p>
    <w:p w14:paraId="5099A598">
      <w:pPr>
        <w:spacing w:line="48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3172973B">
      <w:pPr>
        <w:spacing w:line="480" w:lineRule="auto"/>
        <w:ind w:firstLine="420" w:firstLineChars="200"/>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年月日</w:t>
      </w:r>
    </w:p>
    <w:p w14:paraId="791F5F73">
      <w:pPr>
        <w:spacing w:line="480" w:lineRule="auto"/>
        <w:ind w:firstLine="420" w:firstLineChars="200"/>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3BC9D81C">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59" w:name="_Toc30352"/>
      <w:r>
        <w:rPr>
          <w:rFonts w:hint="eastAsia" w:asciiTheme="minorEastAsia" w:hAnsiTheme="minorEastAsia" w:eastAsiaTheme="minorEastAsia" w:cstheme="minorEastAsia"/>
          <w:color w:val="000000" w:themeColor="text1"/>
          <w14:textFill>
            <w14:solidFill>
              <w14:schemeClr w14:val="tx1"/>
            </w14:solidFill>
          </w14:textFill>
        </w:rPr>
        <w:t>四、投标保证金</w:t>
      </w:r>
      <w:bookmarkEnd w:id="59"/>
    </w:p>
    <w:p w14:paraId="49746BE2">
      <w:pPr>
        <w:spacing w:line="480" w:lineRule="auto"/>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投标保证金应采用招标人在投标人须知前附表规定的形式。</w:t>
      </w:r>
    </w:p>
    <w:p w14:paraId="7217B2E3">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1912465F">
      <w:pPr>
        <w:spacing w:before="97" w:line="360" w:lineRule="auto"/>
        <w:ind w:left="3129" w:firstLine="542"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8"/>
          <w:szCs w:val="28"/>
          <w14:textFill>
            <w14:solidFill>
              <w14:schemeClr w14:val="tx1"/>
            </w14:solidFill>
          </w14:textFill>
        </w:rPr>
        <w:t>五、总承包方案</w:t>
      </w:r>
    </w:p>
    <w:p w14:paraId="6D226554">
      <w:pPr>
        <w:spacing w:before="116" w:line="360" w:lineRule="auto"/>
        <w:ind w:left="2710" w:firstLine="618" w:firstLineChars="300"/>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pacing w:val="-2"/>
          <w:szCs w:val="21"/>
          <w14:textFill>
            <w14:solidFill>
              <w14:schemeClr w14:val="tx1"/>
            </w14:solidFill>
          </w14:textFill>
        </w:rPr>
        <w:t>（适用于双信封的综合评分法）</w:t>
      </w:r>
    </w:p>
    <w:p w14:paraId="5B9637E8">
      <w:pPr>
        <w:adjustRightInd w:val="0"/>
        <w:snapToGrid w:val="0"/>
        <w:spacing w:before="78" w:line="400" w:lineRule="exact"/>
        <w:ind w:left="21" w:right="12" w:firstLine="483"/>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7"/>
          <w:sz w:val="24"/>
          <w14:textFill>
            <w14:solidFill>
              <w14:schemeClr w14:val="tx1"/>
            </w14:solidFill>
          </w14:textFill>
        </w:rPr>
        <w:t>投标人应按以下要点编制总承包方案（文字宜精炼、内容具有针对性，总体控制在</w:t>
      </w:r>
      <w:r>
        <w:rPr>
          <w:rFonts w:hint="eastAsia" w:asciiTheme="minorEastAsia" w:hAnsiTheme="minorEastAsia" w:eastAsiaTheme="minorEastAsia" w:cstheme="minorEastAsia"/>
          <w:color w:val="000000" w:themeColor="text1"/>
          <w:spacing w:val="-60"/>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3"/>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7"/>
          <w:sz w:val="24"/>
          <w:u w:val="single"/>
          <w14:textFill>
            <w14:solidFill>
              <w14:schemeClr w14:val="tx1"/>
            </w14:solidFill>
          </w14:textFill>
        </w:rPr>
        <w:t>1</w:t>
      </w:r>
      <w:r>
        <w:rPr>
          <w:rFonts w:hint="eastAsia" w:asciiTheme="minorEastAsia" w:hAnsiTheme="minorEastAsia" w:cstheme="minorEastAsia"/>
          <w:color w:val="000000" w:themeColor="text1"/>
          <w:spacing w:val="-7"/>
          <w:sz w:val="24"/>
          <w:u w:val="singl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7"/>
          <w:sz w:val="24"/>
          <w:u w:val="single"/>
          <w14:textFill>
            <w14:solidFill>
              <w14:schemeClr w14:val="tx1"/>
            </w14:solidFill>
          </w14:textFill>
        </w:rPr>
        <w:t>000</w:t>
      </w:r>
      <w:r>
        <w:rPr>
          <w:rFonts w:hint="eastAsia" w:asciiTheme="minorEastAsia" w:hAnsiTheme="minorEastAsia" w:eastAsiaTheme="minorEastAsia" w:cstheme="minorEastAsia"/>
          <w:color w:val="000000" w:themeColor="text1"/>
          <w:spacing w:val="-50"/>
          <w:sz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7"/>
          <w:sz w:val="24"/>
          <w14:textFill>
            <w14:solidFill>
              <w14:schemeClr w14:val="tx1"/>
            </w14:solidFill>
          </w14:textFill>
        </w:rPr>
        <w:t>字以内</w:t>
      </w:r>
      <w:r>
        <w:rPr>
          <w:rFonts w:hint="eastAsia" w:asciiTheme="minorEastAsia" w:hAnsiTheme="minorEastAsia" w:eastAsiaTheme="minorEastAsia" w:cstheme="minorEastAsia"/>
          <w:color w:val="000000" w:themeColor="text1"/>
          <w:spacing w:val="-6"/>
          <w:sz w:val="24"/>
          <w14:textFill>
            <w14:solidFill>
              <w14:schemeClr w14:val="tx1"/>
            </w14:solidFill>
          </w14:textFill>
        </w:rPr>
        <w:t>）：</w:t>
      </w:r>
    </w:p>
    <w:p w14:paraId="2CEBAACE">
      <w:pPr>
        <w:adjustRightInd w:val="0"/>
        <w:snapToGrid w:val="0"/>
        <w:spacing w:before="33" w:line="400" w:lineRule="exact"/>
        <w:ind w:left="4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1、总体实施方案</w:t>
      </w:r>
    </w:p>
    <w:p w14:paraId="68046D69">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（1）对总承包项目的总体理解和思路</w:t>
      </w:r>
    </w:p>
    <w:p w14:paraId="0CE6476A">
      <w:pPr>
        <w:adjustRightInd w:val="0"/>
        <w:snapToGrid w:val="0"/>
        <w:spacing w:before="114"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（2）项目管理方案</w:t>
      </w:r>
    </w:p>
    <w:p w14:paraId="794E610E">
      <w:pPr>
        <w:adjustRightInd w:val="0"/>
        <w:snapToGrid w:val="0"/>
        <w:spacing w:before="114" w:line="400" w:lineRule="exact"/>
        <w:ind w:left="25" w:right="29" w:firstLine="483"/>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（3）以工代赈和吸纳沿线养护道班、乡村工匠参与农村公</w:t>
      </w:r>
      <w:r>
        <w:rPr>
          <w:rFonts w:hint="eastAsia" w:asciiTheme="minorEastAsia" w:hAnsiTheme="minorEastAsia" w:eastAsiaTheme="minorEastAsia" w:cstheme="minorEastAsia"/>
          <w:color w:val="000000" w:themeColor="text1"/>
          <w:spacing w:val="-1"/>
          <w:sz w:val="24"/>
          <w14:textFill>
            <w14:solidFill>
              <w14:schemeClr w14:val="tx1"/>
            </w14:solidFill>
          </w14:textFill>
        </w:rPr>
        <w:t>路施工和养护管</w:t>
      </w:r>
      <w:r>
        <w:rPr>
          <w:rFonts w:hint="eastAsia" w:asciiTheme="minorEastAsia" w:hAnsiTheme="minorEastAsia" w:eastAsiaTheme="minorEastAsia" w:cstheme="minorEastAsia"/>
          <w:color w:val="000000" w:themeColor="text1"/>
          <w:spacing w:val="-3"/>
          <w:sz w:val="24"/>
          <w14:textFill>
            <w14:solidFill>
              <w14:schemeClr w14:val="tx1"/>
            </w14:solidFill>
          </w14:textFill>
        </w:rPr>
        <w:t>理方案</w:t>
      </w:r>
    </w:p>
    <w:p w14:paraId="4EEE5517">
      <w:pPr>
        <w:adjustRightInd w:val="0"/>
        <w:snapToGrid w:val="0"/>
        <w:spacing w:before="114" w:line="400" w:lineRule="exact"/>
        <w:ind w:left="2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2、勘察设计方案</w:t>
      </w:r>
    </w:p>
    <w:p w14:paraId="284328B3">
      <w:pPr>
        <w:adjustRightInd w:val="0"/>
        <w:snapToGrid w:val="0"/>
        <w:spacing w:before="114"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（1）对招标项目勘察设计的理解和总体设计思路</w:t>
      </w:r>
    </w:p>
    <w:p w14:paraId="337D3099">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（2）招标项目勘察设计的特点、关键技术问题的认识及其对策措施</w:t>
      </w:r>
    </w:p>
    <w:p w14:paraId="64BE21B1">
      <w:pPr>
        <w:adjustRightInd w:val="0"/>
        <w:snapToGrid w:val="0"/>
        <w:spacing w:before="115"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（3）勘察设计工作量及计划安排</w:t>
      </w:r>
    </w:p>
    <w:p w14:paraId="67E8D860">
      <w:pPr>
        <w:adjustRightInd w:val="0"/>
        <w:snapToGrid w:val="0"/>
        <w:spacing w:before="114"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（4）勘察设计的质量保证措施、进度保证措施</w:t>
      </w:r>
      <w:r>
        <w:rPr>
          <w:rFonts w:hint="eastAsia" w:asciiTheme="minorEastAsia" w:hAnsiTheme="minorEastAsia" w:cstheme="minorEastAsia"/>
          <w:color w:val="000000" w:themeColor="text1"/>
          <w:spacing w:val="-2"/>
          <w:sz w:val="24"/>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pacing w:val="-2"/>
          <w:sz w:val="24"/>
          <w14:textFill>
            <w14:solidFill>
              <w14:schemeClr w14:val="tx1"/>
            </w14:solidFill>
          </w14:textFill>
        </w:rPr>
        <w:t>过程服务的安排及保证措施</w:t>
      </w:r>
    </w:p>
    <w:p w14:paraId="6AC1D5FB">
      <w:pPr>
        <w:adjustRightInd w:val="0"/>
        <w:snapToGrid w:val="0"/>
        <w:spacing w:before="116" w:line="400" w:lineRule="exact"/>
        <w:ind w:left="27"/>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3、施工组织设计方案</w:t>
      </w:r>
    </w:p>
    <w:p w14:paraId="293AE8BC">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（1）总体施工组织布置及规划</w:t>
      </w:r>
    </w:p>
    <w:p w14:paraId="53FF3303">
      <w:pPr>
        <w:adjustRightInd w:val="0"/>
        <w:snapToGrid w:val="0"/>
        <w:spacing w:before="116" w:line="400" w:lineRule="exact"/>
        <w:ind w:left="34" w:right="18" w:firstLine="474"/>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（2）主要工程项目的施工方案、方法与技术措施（尤其对重点、关键和难</w:t>
      </w:r>
      <w:r>
        <w:rPr>
          <w:rFonts w:hint="eastAsia" w:asciiTheme="minorEastAsia" w:hAnsiTheme="minorEastAsia" w:eastAsiaTheme="minorEastAsia" w:cstheme="minorEastAsia"/>
          <w:color w:val="000000" w:themeColor="text1"/>
          <w:spacing w:val="-3"/>
          <w:sz w:val="24"/>
          <w14:textFill>
            <w14:solidFill>
              <w14:schemeClr w14:val="tx1"/>
            </w14:solidFill>
          </w14:textFill>
        </w:rPr>
        <w:t>点工程的施工方案、方法及其措施）</w:t>
      </w:r>
    </w:p>
    <w:p w14:paraId="0054D535">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（3）工期的保证体系及保证措施</w:t>
      </w:r>
    </w:p>
    <w:p w14:paraId="518400EF">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（4）工程质量管理体系及保证措施</w:t>
      </w:r>
    </w:p>
    <w:p w14:paraId="5024B0E2">
      <w:pPr>
        <w:adjustRightInd w:val="0"/>
        <w:snapToGrid w:val="0"/>
        <w:spacing w:before="115"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（5）安全生产管理体系及保证措施</w:t>
      </w:r>
    </w:p>
    <w:p w14:paraId="2AA2B115">
      <w:pPr>
        <w:adjustRightInd w:val="0"/>
        <w:snapToGrid w:val="0"/>
        <w:spacing w:before="113"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（6）环境保护、水土保持保证体系及保证措施</w:t>
      </w:r>
    </w:p>
    <w:p w14:paraId="3E704A72">
      <w:pPr>
        <w:adjustRightInd w:val="0"/>
        <w:snapToGrid w:val="0"/>
        <w:spacing w:before="112" w:line="400" w:lineRule="exact"/>
        <w:ind w:left="50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（7）其他应说明的事项</w:t>
      </w:r>
    </w:p>
    <w:p w14:paraId="49657AE7">
      <w:pPr>
        <w:adjustRightInd w:val="0"/>
        <w:snapToGrid w:val="0"/>
        <w:spacing w:line="400" w:lineRule="exact"/>
        <w:rPr>
          <w:rFonts w:hint="eastAsia" w:asciiTheme="minorEastAsia" w:hAnsiTheme="minorEastAsia" w:eastAsiaTheme="minorEastAsia" w:cstheme="minorEastAsia"/>
          <w:color w:val="000000" w:themeColor="text1"/>
          <w:sz w:val="24"/>
          <w14:textFill>
            <w14:solidFill>
              <w14:schemeClr w14:val="tx1"/>
            </w14:solidFill>
          </w14:textFill>
        </w:rPr>
        <w:sectPr>
          <w:footerReference r:id="rId12" w:type="default"/>
          <w:pgSz w:w="11905" w:h="16840"/>
          <w:pgMar w:top="1440" w:right="1080" w:bottom="1440" w:left="1080" w:header="0" w:footer="995" w:gutter="0"/>
          <w:pgNumType w:fmt="numberInDash"/>
          <w:cols w:space="720" w:num="1"/>
        </w:sectPr>
      </w:pPr>
    </w:p>
    <w:p w14:paraId="0890040C">
      <w:pPr>
        <w:adjustRightInd w:val="0"/>
        <w:snapToGrid w:val="0"/>
        <w:spacing w:line="400" w:lineRule="exact"/>
        <w:rPr>
          <w:rFonts w:hint="eastAsia" w:asciiTheme="minorEastAsia" w:hAnsiTheme="minorEastAsia" w:eastAsiaTheme="minorEastAsia" w:cstheme="minorEastAsia"/>
          <w:color w:val="000000" w:themeColor="text1"/>
          <w:lang w:val="zh-CN"/>
          <w14:textFill>
            <w14:solidFill>
              <w14:schemeClr w14:val="tx1"/>
            </w14:solidFill>
          </w14:textFill>
        </w:rPr>
      </w:pPr>
    </w:p>
    <w:p w14:paraId="17F8049F">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60" w:name="_Toc27994"/>
      <w:r>
        <w:rPr>
          <w:rFonts w:hint="eastAsia" w:asciiTheme="minorEastAsia" w:hAnsiTheme="minorEastAsia" w:eastAsiaTheme="minorEastAsia" w:cstheme="minorEastAsia"/>
          <w:color w:val="000000" w:themeColor="text1"/>
          <w14:textFill>
            <w14:solidFill>
              <w14:schemeClr w14:val="tx1"/>
            </w14:solidFill>
          </w14:textFill>
        </w:rPr>
        <w:t>六、项目管理机构</w:t>
      </w:r>
      <w:bookmarkEnd w:id="60"/>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09"/>
      </w:tblGrid>
      <w:tr w14:paraId="68AC5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8" w:hRule="atLeast"/>
          <w:jc w:val="center"/>
        </w:trPr>
        <w:tc>
          <w:tcPr>
            <w:tcW w:w="8709" w:type="dxa"/>
          </w:tcPr>
          <w:p w14:paraId="20D60D72">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ECEA568">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拟为承包本项目包工程设立的组织机构以框图方式表示。</w:t>
            </w:r>
          </w:p>
        </w:tc>
      </w:tr>
      <w:tr w14:paraId="617D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0" w:hRule="atLeast"/>
          <w:jc w:val="center"/>
        </w:trPr>
        <w:tc>
          <w:tcPr>
            <w:tcW w:w="8709" w:type="dxa"/>
          </w:tcPr>
          <w:p w14:paraId="3759ED11">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FE8652B">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说明</w:t>
            </w:r>
          </w:p>
        </w:tc>
      </w:tr>
    </w:tbl>
    <w:p w14:paraId="343D86BD">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3766C0BA">
      <w:pPr>
        <w:pStyle w:val="26"/>
        <w:spacing w:line="240" w:lineRule="auto"/>
        <w:rPr>
          <w:rFonts w:hint="eastAsia" w:asciiTheme="minorEastAsia" w:hAnsiTheme="minorEastAsia" w:eastAsiaTheme="minorEastAsia" w:cstheme="minorEastAsia"/>
          <w:color w:val="000000" w:themeColor="text1"/>
          <w14:textFill>
            <w14:solidFill>
              <w14:schemeClr w14:val="tx1"/>
            </w14:solidFill>
          </w14:textFill>
        </w:rPr>
      </w:pPr>
      <w:bookmarkStart w:id="61" w:name="_Toc9497"/>
      <w:r>
        <w:rPr>
          <w:rFonts w:hint="eastAsia" w:asciiTheme="minorEastAsia" w:hAnsiTheme="minorEastAsia" w:eastAsiaTheme="minorEastAsia" w:cstheme="minorEastAsia"/>
          <w:color w:val="000000" w:themeColor="text1"/>
          <w14:textFill>
            <w14:solidFill>
              <w14:schemeClr w14:val="tx1"/>
            </w14:solidFill>
          </w14:textFill>
        </w:rPr>
        <w:t>七、拟分包项目情况表</w:t>
      </w:r>
      <w:bookmarkEnd w:id="61"/>
    </w:p>
    <w:p w14:paraId="7BFC5EA8">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0"/>
        <w:gridCol w:w="2345"/>
        <w:gridCol w:w="2510"/>
        <w:gridCol w:w="2003"/>
      </w:tblGrid>
      <w:tr w14:paraId="0C5E1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jc w:val="center"/>
        </w:trPr>
        <w:tc>
          <w:tcPr>
            <w:tcW w:w="2100" w:type="dxa"/>
            <w:vAlign w:val="center"/>
          </w:tcPr>
          <w:p w14:paraId="1BC850F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拟分包的工程项目</w:t>
            </w:r>
          </w:p>
        </w:tc>
        <w:tc>
          <w:tcPr>
            <w:tcW w:w="2345" w:type="dxa"/>
            <w:vAlign w:val="center"/>
          </w:tcPr>
          <w:p w14:paraId="6ED7BA6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主要工程内容</w:t>
            </w:r>
          </w:p>
        </w:tc>
        <w:tc>
          <w:tcPr>
            <w:tcW w:w="2510" w:type="dxa"/>
            <w:vAlign w:val="center"/>
          </w:tcPr>
          <w:p w14:paraId="6517AA2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预计造价（万元）</w:t>
            </w:r>
          </w:p>
        </w:tc>
        <w:tc>
          <w:tcPr>
            <w:tcW w:w="2003" w:type="dxa"/>
            <w:vAlign w:val="center"/>
          </w:tcPr>
          <w:p w14:paraId="57E6BF9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A5079D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r>
      <w:tr w14:paraId="4446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1027A76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5C4D01C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114A7C2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restart"/>
            <w:vAlign w:val="center"/>
          </w:tcPr>
          <w:p w14:paraId="7189888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注：若无分包计划，则投标人应在本表填写“无”</w:t>
            </w:r>
          </w:p>
        </w:tc>
      </w:tr>
      <w:tr w14:paraId="33D24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695CE08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2B1DD0D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31E28ED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5B8FB9A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D0A0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2527167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6796080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01BF003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1777E14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1E1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2100" w:type="dxa"/>
            <w:vAlign w:val="center"/>
          </w:tcPr>
          <w:p w14:paraId="3426415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3AA6276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1341C6F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5D7A24C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2A2B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2100" w:type="dxa"/>
            <w:vAlign w:val="center"/>
          </w:tcPr>
          <w:p w14:paraId="3F326BE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0C61E21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222B8B8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7B93DD6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57A4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66874FA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7006B13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4BC9BA7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15032A4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BB8D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2F3D2F3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594A534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136AEC3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07F4F71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61D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2100" w:type="dxa"/>
            <w:vAlign w:val="center"/>
          </w:tcPr>
          <w:p w14:paraId="5CABB94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42EEFE3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659AF9F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05735F5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4034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333A826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66A9F64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2159A62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074743D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A5D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1C3364F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7AB61E7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37BCA6C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5B572CC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1027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3F17A9A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09D4775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36F2E7E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1FB72B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8B31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2100" w:type="dxa"/>
            <w:vAlign w:val="center"/>
          </w:tcPr>
          <w:p w14:paraId="67A7D03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2BEB932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077898A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388530E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4B2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3A159D4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6A4068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43EBE12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4B2850D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28BF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3861830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0FEB804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58A4DF2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4811162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6D20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2" w:hRule="atLeast"/>
          <w:jc w:val="center"/>
        </w:trPr>
        <w:tc>
          <w:tcPr>
            <w:tcW w:w="2100" w:type="dxa"/>
            <w:vAlign w:val="center"/>
          </w:tcPr>
          <w:p w14:paraId="5DBF3D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45" w:type="dxa"/>
            <w:vAlign w:val="center"/>
          </w:tcPr>
          <w:p w14:paraId="0C9D26C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510" w:type="dxa"/>
            <w:vAlign w:val="center"/>
          </w:tcPr>
          <w:p w14:paraId="03E55D1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112FEE3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0B1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jc w:val="center"/>
        </w:trPr>
        <w:tc>
          <w:tcPr>
            <w:tcW w:w="4445" w:type="dxa"/>
            <w:gridSpan w:val="2"/>
            <w:vAlign w:val="center"/>
          </w:tcPr>
          <w:p w14:paraId="736F9F9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拟分包工程造价合计（万元）</w:t>
            </w:r>
          </w:p>
        </w:tc>
        <w:tc>
          <w:tcPr>
            <w:tcW w:w="2510" w:type="dxa"/>
            <w:vAlign w:val="center"/>
          </w:tcPr>
          <w:p w14:paraId="1C4A474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003" w:type="dxa"/>
            <w:vMerge w:val="continue"/>
            <w:tcBorders>
              <w:top w:val="nil"/>
            </w:tcBorders>
            <w:vAlign w:val="center"/>
          </w:tcPr>
          <w:p w14:paraId="689D96D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29F803EC">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p>
    <w:p w14:paraId="2ABB4A75">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注：1、若投标人中标须按本招标文件的约定执行。</w:t>
      </w:r>
    </w:p>
    <w:p w14:paraId="6E2421B0">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2、本表填写的造价不属于投标报价的内容。</w:t>
      </w:r>
    </w:p>
    <w:p w14:paraId="61C43637">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1234DF94">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62" w:name="_Toc26758"/>
      <w:r>
        <w:rPr>
          <w:rFonts w:hint="eastAsia" w:asciiTheme="minorEastAsia" w:hAnsiTheme="minorEastAsia" w:eastAsiaTheme="minorEastAsia" w:cstheme="minorEastAsia"/>
          <w:color w:val="000000" w:themeColor="text1"/>
          <w14:textFill>
            <w14:solidFill>
              <w14:schemeClr w14:val="tx1"/>
            </w14:solidFill>
          </w14:textFill>
        </w:rPr>
        <w:t>八、资格审查资料</w:t>
      </w:r>
      <w:bookmarkEnd w:id="62"/>
    </w:p>
    <w:p w14:paraId="1171DB8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58007F32">
      <w:pPr>
        <w:jc w:val="cente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（一）投标人基本情况表</w:t>
      </w:r>
    </w:p>
    <w:p w14:paraId="261C8C3D">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0"/>
        <w:gridCol w:w="1201"/>
        <w:gridCol w:w="1035"/>
        <w:gridCol w:w="1077"/>
        <w:gridCol w:w="333"/>
        <w:gridCol w:w="1170"/>
        <w:gridCol w:w="420"/>
        <w:gridCol w:w="472"/>
        <w:gridCol w:w="1822"/>
      </w:tblGrid>
      <w:tr w14:paraId="39377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303CC94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投标人名称</w:t>
            </w:r>
          </w:p>
        </w:tc>
        <w:tc>
          <w:tcPr>
            <w:tcW w:w="7530" w:type="dxa"/>
            <w:gridSpan w:val="8"/>
            <w:vAlign w:val="center"/>
          </w:tcPr>
          <w:p w14:paraId="2703008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38F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2033A06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注册地址</w:t>
            </w:r>
          </w:p>
        </w:tc>
        <w:tc>
          <w:tcPr>
            <w:tcW w:w="3313" w:type="dxa"/>
            <w:gridSpan w:val="3"/>
            <w:vAlign w:val="center"/>
          </w:tcPr>
          <w:p w14:paraId="779CAD6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03" w:type="dxa"/>
            <w:gridSpan w:val="2"/>
            <w:vAlign w:val="center"/>
          </w:tcPr>
          <w:p w14:paraId="50B57ED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邮政编码</w:t>
            </w:r>
          </w:p>
        </w:tc>
        <w:tc>
          <w:tcPr>
            <w:tcW w:w="2714" w:type="dxa"/>
            <w:gridSpan w:val="3"/>
            <w:vAlign w:val="center"/>
          </w:tcPr>
          <w:p w14:paraId="5DD0EFE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AD6A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90" w:type="dxa"/>
            <w:vMerge w:val="restart"/>
            <w:vAlign w:val="center"/>
          </w:tcPr>
          <w:p w14:paraId="1B9A1B6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联系方式</w:t>
            </w:r>
          </w:p>
        </w:tc>
        <w:tc>
          <w:tcPr>
            <w:tcW w:w="1201" w:type="dxa"/>
            <w:vAlign w:val="center"/>
          </w:tcPr>
          <w:p w14:paraId="0219F8D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联系人</w:t>
            </w:r>
          </w:p>
        </w:tc>
        <w:tc>
          <w:tcPr>
            <w:tcW w:w="2112" w:type="dxa"/>
            <w:gridSpan w:val="2"/>
            <w:vAlign w:val="center"/>
          </w:tcPr>
          <w:p w14:paraId="396D03D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03" w:type="dxa"/>
            <w:gridSpan w:val="2"/>
            <w:vAlign w:val="center"/>
          </w:tcPr>
          <w:p w14:paraId="2639028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电话</w:t>
            </w:r>
          </w:p>
        </w:tc>
        <w:tc>
          <w:tcPr>
            <w:tcW w:w="2714" w:type="dxa"/>
            <w:gridSpan w:val="3"/>
            <w:vAlign w:val="center"/>
          </w:tcPr>
          <w:p w14:paraId="742216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D4E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Merge w:val="continue"/>
            <w:tcBorders>
              <w:top w:val="nil"/>
            </w:tcBorders>
            <w:vAlign w:val="center"/>
          </w:tcPr>
          <w:p w14:paraId="77425CD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201" w:type="dxa"/>
            <w:vAlign w:val="center"/>
          </w:tcPr>
          <w:p w14:paraId="47EF941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传真</w:t>
            </w:r>
          </w:p>
        </w:tc>
        <w:tc>
          <w:tcPr>
            <w:tcW w:w="2112" w:type="dxa"/>
            <w:gridSpan w:val="2"/>
            <w:vAlign w:val="center"/>
          </w:tcPr>
          <w:p w14:paraId="4D11325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03" w:type="dxa"/>
            <w:gridSpan w:val="2"/>
            <w:vAlign w:val="center"/>
          </w:tcPr>
          <w:p w14:paraId="27C5E4D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电子邮件</w:t>
            </w:r>
          </w:p>
        </w:tc>
        <w:tc>
          <w:tcPr>
            <w:tcW w:w="2714" w:type="dxa"/>
            <w:gridSpan w:val="3"/>
            <w:vAlign w:val="center"/>
          </w:tcPr>
          <w:p w14:paraId="6DE9CC4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F919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068645C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法定代表人</w:t>
            </w:r>
          </w:p>
        </w:tc>
        <w:tc>
          <w:tcPr>
            <w:tcW w:w="1201" w:type="dxa"/>
            <w:vAlign w:val="center"/>
          </w:tcPr>
          <w:p w14:paraId="682FD8A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姓名</w:t>
            </w:r>
          </w:p>
        </w:tc>
        <w:tc>
          <w:tcPr>
            <w:tcW w:w="1035" w:type="dxa"/>
            <w:vAlign w:val="center"/>
          </w:tcPr>
          <w:p w14:paraId="0E96839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Align w:val="center"/>
          </w:tcPr>
          <w:p w14:paraId="3F41F47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技术职称</w:t>
            </w:r>
          </w:p>
        </w:tc>
        <w:tc>
          <w:tcPr>
            <w:tcW w:w="1170" w:type="dxa"/>
            <w:vAlign w:val="center"/>
          </w:tcPr>
          <w:p w14:paraId="604B77A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92" w:type="dxa"/>
            <w:gridSpan w:val="2"/>
            <w:vAlign w:val="center"/>
          </w:tcPr>
          <w:p w14:paraId="4A3B25E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电话</w:t>
            </w:r>
          </w:p>
        </w:tc>
        <w:tc>
          <w:tcPr>
            <w:tcW w:w="1822" w:type="dxa"/>
            <w:vAlign w:val="center"/>
          </w:tcPr>
          <w:p w14:paraId="5A28F02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2E6B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3FB115F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技术负责人</w:t>
            </w:r>
          </w:p>
        </w:tc>
        <w:tc>
          <w:tcPr>
            <w:tcW w:w="1201" w:type="dxa"/>
            <w:vAlign w:val="center"/>
          </w:tcPr>
          <w:p w14:paraId="07A4D6B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姓名</w:t>
            </w:r>
          </w:p>
        </w:tc>
        <w:tc>
          <w:tcPr>
            <w:tcW w:w="1035" w:type="dxa"/>
            <w:vAlign w:val="center"/>
          </w:tcPr>
          <w:p w14:paraId="59CCE09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Align w:val="center"/>
          </w:tcPr>
          <w:p w14:paraId="23D226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技术职称</w:t>
            </w:r>
          </w:p>
        </w:tc>
        <w:tc>
          <w:tcPr>
            <w:tcW w:w="1170" w:type="dxa"/>
            <w:vAlign w:val="center"/>
          </w:tcPr>
          <w:p w14:paraId="502C32E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92" w:type="dxa"/>
            <w:gridSpan w:val="2"/>
            <w:vAlign w:val="center"/>
          </w:tcPr>
          <w:p w14:paraId="4AA9BBD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电话</w:t>
            </w:r>
          </w:p>
        </w:tc>
        <w:tc>
          <w:tcPr>
            <w:tcW w:w="1822" w:type="dxa"/>
            <w:vAlign w:val="center"/>
          </w:tcPr>
          <w:p w14:paraId="6C97B42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F1CF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387FFB0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营业执照号</w:t>
            </w:r>
          </w:p>
        </w:tc>
        <w:tc>
          <w:tcPr>
            <w:tcW w:w="2236" w:type="dxa"/>
            <w:gridSpan w:val="2"/>
            <w:vAlign w:val="center"/>
          </w:tcPr>
          <w:p w14:paraId="20CE105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5294" w:type="dxa"/>
            <w:gridSpan w:val="6"/>
            <w:vAlign w:val="center"/>
          </w:tcPr>
          <w:p w14:paraId="1C568AF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员工总人数：</w:t>
            </w:r>
          </w:p>
        </w:tc>
      </w:tr>
      <w:tr w14:paraId="73A07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55B538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企业资质等级</w:t>
            </w:r>
          </w:p>
        </w:tc>
        <w:tc>
          <w:tcPr>
            <w:tcW w:w="2236" w:type="dxa"/>
            <w:gridSpan w:val="2"/>
            <w:vAlign w:val="center"/>
          </w:tcPr>
          <w:p w14:paraId="2455D3F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Merge w:val="restart"/>
            <w:vAlign w:val="center"/>
          </w:tcPr>
          <w:p w14:paraId="0BB2360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其中</w:t>
            </w:r>
          </w:p>
        </w:tc>
        <w:tc>
          <w:tcPr>
            <w:tcW w:w="1590" w:type="dxa"/>
            <w:gridSpan w:val="2"/>
            <w:vMerge w:val="restart"/>
            <w:vAlign w:val="center"/>
          </w:tcPr>
          <w:p w14:paraId="4ECE747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高级职称人员</w:t>
            </w:r>
          </w:p>
        </w:tc>
        <w:tc>
          <w:tcPr>
            <w:tcW w:w="2294" w:type="dxa"/>
            <w:gridSpan w:val="2"/>
            <w:vMerge w:val="restart"/>
            <w:vAlign w:val="center"/>
          </w:tcPr>
          <w:p w14:paraId="6156EA9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E72C29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97E8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2190" w:type="dxa"/>
            <w:vAlign w:val="center"/>
          </w:tcPr>
          <w:p w14:paraId="6D35CA9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注册资本</w:t>
            </w:r>
          </w:p>
        </w:tc>
        <w:tc>
          <w:tcPr>
            <w:tcW w:w="2236" w:type="dxa"/>
            <w:gridSpan w:val="2"/>
            <w:vAlign w:val="center"/>
          </w:tcPr>
          <w:p w14:paraId="43AB086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Merge w:val="continue"/>
            <w:tcBorders>
              <w:top w:val="nil"/>
            </w:tcBorders>
            <w:vAlign w:val="center"/>
          </w:tcPr>
          <w:p w14:paraId="136E651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90" w:type="dxa"/>
            <w:gridSpan w:val="2"/>
            <w:vMerge w:val="continue"/>
            <w:tcBorders>
              <w:top w:val="nil"/>
            </w:tcBorders>
            <w:vAlign w:val="center"/>
          </w:tcPr>
          <w:p w14:paraId="0D29A92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294" w:type="dxa"/>
            <w:gridSpan w:val="2"/>
            <w:vMerge w:val="continue"/>
            <w:tcBorders>
              <w:top w:val="nil"/>
            </w:tcBorders>
            <w:vAlign w:val="center"/>
          </w:tcPr>
          <w:p w14:paraId="124B300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47A6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2190" w:type="dxa"/>
            <w:vAlign w:val="center"/>
          </w:tcPr>
          <w:p w14:paraId="37223EE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成立日期</w:t>
            </w:r>
          </w:p>
        </w:tc>
        <w:tc>
          <w:tcPr>
            <w:tcW w:w="2236" w:type="dxa"/>
            <w:gridSpan w:val="2"/>
            <w:vAlign w:val="center"/>
          </w:tcPr>
          <w:p w14:paraId="37D4E25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Merge w:val="continue"/>
            <w:tcBorders>
              <w:top w:val="nil"/>
            </w:tcBorders>
            <w:vAlign w:val="center"/>
          </w:tcPr>
          <w:p w14:paraId="7CFCE29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90" w:type="dxa"/>
            <w:gridSpan w:val="2"/>
            <w:vAlign w:val="center"/>
          </w:tcPr>
          <w:p w14:paraId="0C8D049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中级职称人员</w:t>
            </w:r>
          </w:p>
        </w:tc>
        <w:tc>
          <w:tcPr>
            <w:tcW w:w="2294" w:type="dxa"/>
            <w:gridSpan w:val="2"/>
            <w:vAlign w:val="center"/>
          </w:tcPr>
          <w:p w14:paraId="18F69B0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61B1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2190" w:type="dxa"/>
            <w:vAlign w:val="center"/>
          </w:tcPr>
          <w:p w14:paraId="5193BD2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基本账户开户银行</w:t>
            </w:r>
          </w:p>
        </w:tc>
        <w:tc>
          <w:tcPr>
            <w:tcW w:w="2236" w:type="dxa"/>
            <w:gridSpan w:val="2"/>
            <w:vAlign w:val="center"/>
          </w:tcPr>
          <w:p w14:paraId="2BCC877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6074C0B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Merge w:val="continue"/>
            <w:tcBorders>
              <w:top w:val="nil"/>
            </w:tcBorders>
            <w:vAlign w:val="center"/>
          </w:tcPr>
          <w:p w14:paraId="7A11C49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90" w:type="dxa"/>
            <w:gridSpan w:val="2"/>
            <w:vAlign w:val="center"/>
          </w:tcPr>
          <w:p w14:paraId="16B05AE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初级职称人员</w:t>
            </w:r>
          </w:p>
        </w:tc>
        <w:tc>
          <w:tcPr>
            <w:tcW w:w="2294" w:type="dxa"/>
            <w:gridSpan w:val="2"/>
            <w:vAlign w:val="center"/>
          </w:tcPr>
          <w:p w14:paraId="069B4B3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EA1894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DCCF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2190" w:type="dxa"/>
            <w:vAlign w:val="center"/>
          </w:tcPr>
          <w:p w14:paraId="3765222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基本账户银行账号</w:t>
            </w:r>
          </w:p>
        </w:tc>
        <w:tc>
          <w:tcPr>
            <w:tcW w:w="2236" w:type="dxa"/>
            <w:gridSpan w:val="2"/>
            <w:vAlign w:val="center"/>
          </w:tcPr>
          <w:p w14:paraId="3DDCD62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C10DD7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10" w:type="dxa"/>
            <w:gridSpan w:val="2"/>
            <w:vMerge w:val="continue"/>
            <w:tcBorders>
              <w:top w:val="nil"/>
            </w:tcBorders>
            <w:vAlign w:val="center"/>
          </w:tcPr>
          <w:p w14:paraId="0E0D717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90" w:type="dxa"/>
            <w:gridSpan w:val="2"/>
            <w:vAlign w:val="center"/>
          </w:tcPr>
          <w:p w14:paraId="34C64AB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技工</w:t>
            </w:r>
          </w:p>
        </w:tc>
        <w:tc>
          <w:tcPr>
            <w:tcW w:w="2294" w:type="dxa"/>
            <w:gridSpan w:val="2"/>
            <w:vAlign w:val="center"/>
          </w:tcPr>
          <w:p w14:paraId="362CB3E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6BFDAC6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F34E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2190" w:type="dxa"/>
            <w:vAlign w:val="center"/>
          </w:tcPr>
          <w:p w14:paraId="3AE63A2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经营范围</w:t>
            </w:r>
          </w:p>
        </w:tc>
        <w:tc>
          <w:tcPr>
            <w:tcW w:w="7530" w:type="dxa"/>
            <w:gridSpan w:val="8"/>
            <w:vAlign w:val="center"/>
          </w:tcPr>
          <w:p w14:paraId="2D52BC2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A09A61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69A3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9" w:hRule="atLeast"/>
          <w:jc w:val="center"/>
        </w:trPr>
        <w:tc>
          <w:tcPr>
            <w:tcW w:w="2190" w:type="dxa"/>
            <w:vAlign w:val="center"/>
          </w:tcPr>
          <w:p w14:paraId="6ADB3F3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7814787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45D7D1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193ABF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9385AA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投标人关联企业情况</w:t>
            </w:r>
          </w:p>
        </w:tc>
        <w:tc>
          <w:tcPr>
            <w:tcW w:w="7530" w:type="dxa"/>
            <w:gridSpan w:val="8"/>
            <w:vAlign w:val="center"/>
          </w:tcPr>
          <w:p w14:paraId="71FA762E">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投标人应提供关联企业情况，包括：</w:t>
            </w:r>
          </w:p>
          <w:p w14:paraId="3094C7C9">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）投标人的所有股东名称及相应股权（出资额）比例；如投标人为上市公司，投标人应提供股权占公司股份总数</w:t>
            </w:r>
            <w:r>
              <w:rPr>
                <w:rFonts w:hint="eastAsia" w:asciiTheme="minorEastAsia" w:hAnsiTheme="minorEastAsia" w:eastAsiaTheme="minorEastAsia" w:cstheme="minorEastAsia"/>
                <w:color w:val="000000" w:themeColor="text1"/>
                <w:sz w:val="24"/>
                <w:u w:val="single"/>
                <w:lang w:val="zh-CN"/>
                <w14:textFill>
                  <w14:solidFill>
                    <w14:schemeClr w14:val="tx1"/>
                  </w14:solidFill>
                </w14:textFill>
              </w:rPr>
              <w:t>50</w:t>
            </w:r>
            <w:r>
              <w:rPr>
                <w:rFonts w:hint="eastAsia" w:asciiTheme="minorEastAsia" w:hAnsiTheme="minorEastAsia" w:eastAsiaTheme="minorEastAsia" w:cstheme="minorEastAsia"/>
                <w:color w:val="000000" w:themeColor="text1"/>
                <w:sz w:val="24"/>
                <w:lang w:val="zh-CN"/>
                <w14:textFill>
                  <w14:solidFill>
                    <w14:schemeClr w14:val="tx1"/>
                  </w14:solidFill>
                </w14:textFill>
              </w:rPr>
              <w:t>%以上的所有股东名称及相应股权比例；</w:t>
            </w:r>
          </w:p>
          <w:p w14:paraId="56C13446">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）投标人投资（控股）或管理的下属企业名称、持有股权（出资额）比例；</w:t>
            </w:r>
          </w:p>
          <w:p w14:paraId="4CFF3B7E">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3</w:t>
            </w:r>
            <w:r>
              <w:rPr>
                <w:rFonts w:hint="eastAsia" w:asciiTheme="minorEastAsia" w:hAnsiTheme="minorEastAsia" w:eastAsiaTheme="minorEastAsia" w:cstheme="minorEastAsia"/>
                <w:color w:val="000000" w:themeColor="text1"/>
                <w:sz w:val="24"/>
                <w:lang w:val="zh-CN"/>
                <w14:textFill>
                  <w14:solidFill>
                    <w14:schemeClr w14:val="tx1"/>
                  </w14:solidFill>
                </w14:textFill>
              </w:rPr>
              <w:t>）与投标人单位负责人（即法定代表人）为同一人的其他单位名称。</w:t>
            </w:r>
          </w:p>
        </w:tc>
      </w:tr>
      <w:tr w14:paraId="448EF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190" w:type="dxa"/>
            <w:vAlign w:val="center"/>
          </w:tcPr>
          <w:p w14:paraId="154A44B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c>
          <w:tcPr>
            <w:tcW w:w="7530" w:type="dxa"/>
            <w:gridSpan w:val="8"/>
            <w:vAlign w:val="center"/>
          </w:tcPr>
          <w:p w14:paraId="5D3B3C8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3C45489A">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p>
    <w:p w14:paraId="48FF2272">
      <w:pPr>
        <w:spacing w:line="360" w:lineRule="auto"/>
        <w:ind w:firstLine="210" w:firstLineChars="1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注：1.投标人应根据招标文件第二章“投标人须知”第3.5.1项的要求在本表后附相关证明材料。</w:t>
      </w:r>
    </w:p>
    <w:p w14:paraId="7ED95BD5">
      <w:pPr>
        <w:spacing w:line="360" w:lineRule="auto"/>
        <w:ind w:firstLine="420" w:firstLineChars="2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2.以联合体形式投标的，联合体各成员应分别填写并按要求附相关证明材料。</w:t>
      </w:r>
    </w:p>
    <w:p w14:paraId="73A4F436">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1A39A2F2">
      <w:pPr>
        <w:jc w:val="cente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（二）投标人企业组织机构框图</w:t>
      </w:r>
    </w:p>
    <w:p w14:paraId="302CE3F9">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6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90"/>
      </w:tblGrid>
      <w:tr w14:paraId="263DD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0" w:hRule="atLeast"/>
          <w:jc w:val="center"/>
        </w:trPr>
        <w:tc>
          <w:tcPr>
            <w:tcW w:w="9690" w:type="dxa"/>
          </w:tcPr>
          <w:p w14:paraId="45329AED">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16E5D46">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1FD24D7">
            <w:pPr>
              <w:ind w:left="105" w:leftChars="50"/>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以框图方式表示。</w:t>
            </w:r>
          </w:p>
          <w:p w14:paraId="277B20DA">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39A80F61">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7F62E150">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F6ABB8B">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CA9722E">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B8E0868">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72E5525F">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6296097C">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30F6C75E">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64B3B84">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F36ECAE">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9228BC1">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D583BF6">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D0125D5">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0153193">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81B9C0A">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F8BE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2" w:hRule="atLeast"/>
          <w:jc w:val="center"/>
        </w:trPr>
        <w:tc>
          <w:tcPr>
            <w:tcW w:w="9690" w:type="dxa"/>
          </w:tcPr>
          <w:p w14:paraId="2C9F9E20">
            <w:pP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说明</w:t>
            </w:r>
          </w:p>
          <w:p w14:paraId="0281F18B">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E1C12A6">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6044A24">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0D9D1DC6">
            <w:pP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164884FB">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7224FAC">
      <w:pPr>
        <w:ind w:firstLine="210" w:firstLineChars="1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注：以联合体形式投标的，联合体各成员应分别填写。</w:t>
      </w:r>
    </w:p>
    <w:p w14:paraId="2700641E">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05F30892">
      <w:pPr>
        <w:jc w:val="cente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（三）近年财务状况表</w:t>
      </w:r>
    </w:p>
    <w:p w14:paraId="579C88A7">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660" w:type="dxa"/>
        <w:tblInd w:w="-2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31"/>
        <w:gridCol w:w="975"/>
        <w:gridCol w:w="959"/>
        <w:gridCol w:w="930"/>
        <w:gridCol w:w="1035"/>
        <w:gridCol w:w="855"/>
        <w:gridCol w:w="975"/>
      </w:tblGrid>
      <w:tr w14:paraId="42E9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2B3350A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项目或指标</w:t>
            </w:r>
          </w:p>
        </w:tc>
        <w:tc>
          <w:tcPr>
            <w:tcW w:w="975" w:type="dxa"/>
            <w:vAlign w:val="center"/>
          </w:tcPr>
          <w:p w14:paraId="6AAAC6C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单位</w:t>
            </w:r>
          </w:p>
        </w:tc>
        <w:tc>
          <w:tcPr>
            <w:tcW w:w="959" w:type="dxa"/>
            <w:vAlign w:val="center"/>
          </w:tcPr>
          <w:p w14:paraId="34998B0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p>
        </w:tc>
        <w:tc>
          <w:tcPr>
            <w:tcW w:w="930" w:type="dxa"/>
            <w:vAlign w:val="center"/>
          </w:tcPr>
          <w:p w14:paraId="01775C3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p>
        </w:tc>
        <w:tc>
          <w:tcPr>
            <w:tcW w:w="1035" w:type="dxa"/>
            <w:vAlign w:val="center"/>
          </w:tcPr>
          <w:p w14:paraId="5B1A820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p>
        </w:tc>
        <w:tc>
          <w:tcPr>
            <w:tcW w:w="855" w:type="dxa"/>
            <w:vAlign w:val="center"/>
          </w:tcPr>
          <w:p w14:paraId="22FC0A2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p>
        </w:tc>
        <w:tc>
          <w:tcPr>
            <w:tcW w:w="975" w:type="dxa"/>
            <w:vAlign w:val="center"/>
          </w:tcPr>
          <w:p w14:paraId="3A1E993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p>
        </w:tc>
      </w:tr>
      <w:tr w14:paraId="0DBA9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194E2F6B">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一、注册资本</w:t>
            </w:r>
          </w:p>
        </w:tc>
        <w:tc>
          <w:tcPr>
            <w:tcW w:w="975" w:type="dxa"/>
            <w:vAlign w:val="center"/>
          </w:tcPr>
          <w:p w14:paraId="677DEAF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64AD0B4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5D96B06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78FA6B2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9EDD48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73FEB6D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3099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4956E77B">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二、净资产</w:t>
            </w:r>
          </w:p>
        </w:tc>
        <w:tc>
          <w:tcPr>
            <w:tcW w:w="975" w:type="dxa"/>
            <w:vAlign w:val="center"/>
          </w:tcPr>
          <w:p w14:paraId="25FB3E8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329AFA5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7E82BD0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7899FB0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463FF46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1E905B4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EF00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3931" w:type="dxa"/>
            <w:vAlign w:val="center"/>
          </w:tcPr>
          <w:p w14:paraId="4104C730">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三、总资产</w:t>
            </w:r>
          </w:p>
        </w:tc>
        <w:tc>
          <w:tcPr>
            <w:tcW w:w="975" w:type="dxa"/>
            <w:vAlign w:val="center"/>
          </w:tcPr>
          <w:p w14:paraId="6F5A578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77DD914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0A1ABDD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3EF1966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5522E6B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36F924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4F82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2A8AC033">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四、固定资产</w:t>
            </w:r>
          </w:p>
        </w:tc>
        <w:tc>
          <w:tcPr>
            <w:tcW w:w="975" w:type="dxa"/>
            <w:vAlign w:val="center"/>
          </w:tcPr>
          <w:p w14:paraId="27FC34B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117E9E8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41938EC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54D9794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60E84D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660B031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34D9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62FA2A09">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五、流动资产</w:t>
            </w:r>
          </w:p>
        </w:tc>
        <w:tc>
          <w:tcPr>
            <w:tcW w:w="975" w:type="dxa"/>
            <w:vAlign w:val="center"/>
          </w:tcPr>
          <w:p w14:paraId="322B819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4A188F3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2B3C3F9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4160B70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659AD2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2955954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CF7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61DE3ADC">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六、流动负债</w:t>
            </w:r>
          </w:p>
        </w:tc>
        <w:tc>
          <w:tcPr>
            <w:tcW w:w="975" w:type="dxa"/>
            <w:vAlign w:val="center"/>
          </w:tcPr>
          <w:p w14:paraId="2584F34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787586B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4FBEF75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6C23E06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763DB4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0CE01E5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AB3D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3931" w:type="dxa"/>
            <w:vAlign w:val="center"/>
          </w:tcPr>
          <w:p w14:paraId="1AD9B045">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七、负债合计</w:t>
            </w:r>
          </w:p>
        </w:tc>
        <w:tc>
          <w:tcPr>
            <w:tcW w:w="975" w:type="dxa"/>
            <w:vAlign w:val="center"/>
          </w:tcPr>
          <w:p w14:paraId="2C4BFA9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79DA580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48704CE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174308A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01B05E4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661E126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8E2A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4F4E1279">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八、营业收入</w:t>
            </w:r>
          </w:p>
        </w:tc>
        <w:tc>
          <w:tcPr>
            <w:tcW w:w="975" w:type="dxa"/>
            <w:vAlign w:val="center"/>
          </w:tcPr>
          <w:p w14:paraId="012781C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63A97BC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77FDDFF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6185591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53B7FC9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5462AF0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3CC0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5A96A8F3">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九、净利润</w:t>
            </w:r>
          </w:p>
        </w:tc>
        <w:tc>
          <w:tcPr>
            <w:tcW w:w="975" w:type="dxa"/>
            <w:vAlign w:val="center"/>
          </w:tcPr>
          <w:p w14:paraId="60DC64B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020FC22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3198229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3472EAB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7A28D3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7210A66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5BE5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3931" w:type="dxa"/>
            <w:vAlign w:val="center"/>
          </w:tcPr>
          <w:p w14:paraId="45196AE5">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十、现金流量净额</w:t>
            </w:r>
          </w:p>
        </w:tc>
        <w:tc>
          <w:tcPr>
            <w:tcW w:w="975" w:type="dxa"/>
            <w:vAlign w:val="center"/>
          </w:tcPr>
          <w:p w14:paraId="7B26A74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959" w:type="dxa"/>
            <w:vAlign w:val="center"/>
          </w:tcPr>
          <w:p w14:paraId="14EB878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2ABB76A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74C39D0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0F6B6CB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273635E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A5FF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527780C8">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十一、主要财务指标</w:t>
            </w:r>
          </w:p>
        </w:tc>
        <w:tc>
          <w:tcPr>
            <w:tcW w:w="975" w:type="dxa"/>
            <w:vAlign w:val="center"/>
          </w:tcPr>
          <w:p w14:paraId="4D94486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59" w:type="dxa"/>
            <w:vAlign w:val="center"/>
          </w:tcPr>
          <w:p w14:paraId="4CA9954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20D03E5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6FF4C4B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1C2B2E9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3FA6503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E7BC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7DCBF234">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1.净资产收益率</w:t>
            </w:r>
          </w:p>
        </w:tc>
        <w:tc>
          <w:tcPr>
            <w:tcW w:w="975" w:type="dxa"/>
            <w:vAlign w:val="center"/>
          </w:tcPr>
          <w:p w14:paraId="14179F9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6952308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111BBE1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70589AD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123A5C6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63F73A1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781E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0E319373">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2.总资产报酬率</w:t>
            </w:r>
          </w:p>
        </w:tc>
        <w:tc>
          <w:tcPr>
            <w:tcW w:w="975" w:type="dxa"/>
            <w:vAlign w:val="center"/>
          </w:tcPr>
          <w:p w14:paraId="1EF2488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4FD5C4F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56F190E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0C515DC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2886EC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5B21B74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71D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0DBAB2D0">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3.主营业务利润率</w:t>
            </w:r>
          </w:p>
        </w:tc>
        <w:tc>
          <w:tcPr>
            <w:tcW w:w="975" w:type="dxa"/>
            <w:vAlign w:val="center"/>
          </w:tcPr>
          <w:p w14:paraId="4E6A964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6A14DF6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3DCBBE6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4C532CA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2DE61E2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70206DB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E341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3931" w:type="dxa"/>
            <w:vAlign w:val="center"/>
          </w:tcPr>
          <w:p w14:paraId="2DCE10C4">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4.资产负债率</w:t>
            </w:r>
          </w:p>
        </w:tc>
        <w:tc>
          <w:tcPr>
            <w:tcW w:w="975" w:type="dxa"/>
            <w:vAlign w:val="center"/>
          </w:tcPr>
          <w:p w14:paraId="556605A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45F4627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4B73286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1BE2E7B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6ADF421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11F6A56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96A5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3931" w:type="dxa"/>
            <w:vAlign w:val="center"/>
          </w:tcPr>
          <w:p w14:paraId="6EDACAA3">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5.流动比率</w:t>
            </w:r>
          </w:p>
        </w:tc>
        <w:tc>
          <w:tcPr>
            <w:tcW w:w="975" w:type="dxa"/>
            <w:vAlign w:val="center"/>
          </w:tcPr>
          <w:p w14:paraId="5A9CC15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4AB1A5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1C37835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18B5647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01DBD8E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6A1C440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55A4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3931" w:type="dxa"/>
            <w:vAlign w:val="center"/>
          </w:tcPr>
          <w:p w14:paraId="60E10FCC">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6.速动比率</w:t>
            </w:r>
          </w:p>
        </w:tc>
        <w:tc>
          <w:tcPr>
            <w:tcW w:w="975" w:type="dxa"/>
            <w:vAlign w:val="center"/>
          </w:tcPr>
          <w:p w14:paraId="3527E1F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959" w:type="dxa"/>
            <w:vAlign w:val="center"/>
          </w:tcPr>
          <w:p w14:paraId="5613DCC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30" w:type="dxa"/>
            <w:vAlign w:val="center"/>
          </w:tcPr>
          <w:p w14:paraId="53098C4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35" w:type="dxa"/>
            <w:vAlign w:val="center"/>
          </w:tcPr>
          <w:p w14:paraId="3057F67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855" w:type="dxa"/>
            <w:vAlign w:val="center"/>
          </w:tcPr>
          <w:p w14:paraId="3996BED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6724443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F6F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3931" w:type="dxa"/>
            <w:vAlign w:val="center"/>
          </w:tcPr>
          <w:p w14:paraId="22F57944">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年营运资金</w:t>
            </w:r>
          </w:p>
          <w:p w14:paraId="3E39EB29">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（流动资产－流动负债）</w:t>
            </w:r>
          </w:p>
        </w:tc>
        <w:tc>
          <w:tcPr>
            <w:tcW w:w="975" w:type="dxa"/>
            <w:vAlign w:val="center"/>
          </w:tcPr>
          <w:p w14:paraId="4EFF6C5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4754" w:type="dxa"/>
            <w:gridSpan w:val="5"/>
            <w:vAlign w:val="center"/>
          </w:tcPr>
          <w:p w14:paraId="37EC4DC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0AF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3931" w:type="dxa"/>
            <w:vAlign w:val="center"/>
          </w:tcPr>
          <w:p w14:paraId="777A07CF">
            <w:pPr>
              <w:jc w:val="lef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近五年平均营业总收入</w:t>
            </w:r>
          </w:p>
        </w:tc>
        <w:tc>
          <w:tcPr>
            <w:tcW w:w="975" w:type="dxa"/>
            <w:vAlign w:val="center"/>
          </w:tcPr>
          <w:p w14:paraId="1F8A863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万元</w:t>
            </w:r>
          </w:p>
        </w:tc>
        <w:tc>
          <w:tcPr>
            <w:tcW w:w="4754" w:type="dxa"/>
            <w:gridSpan w:val="5"/>
            <w:vAlign w:val="center"/>
          </w:tcPr>
          <w:p w14:paraId="204BA2C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3B5353E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6C789D0">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注：1.投标人应根据招标文件第二章“投标须知”第3.5.2项的要求在本表后附相关证明材料。</w:t>
      </w:r>
    </w:p>
    <w:p w14:paraId="2FFE9474">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2.本表所列数据必须与本表各附件中的数据相一致。</w:t>
      </w:r>
    </w:p>
    <w:p w14:paraId="54920034">
      <w:pPr>
        <w:spacing w:line="360" w:lineRule="auto"/>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3.以联合体形式投标的，由联合体牵头人填写并按要求附相关证明材料。</w:t>
      </w:r>
    </w:p>
    <w:p w14:paraId="63B8C449">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348B159F">
      <w:pPr>
        <w:jc w:val="cente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zh-CN"/>
          <w14:textFill>
            <w14:solidFill>
              <w14:schemeClr w14:val="tx1"/>
            </w14:solidFill>
          </w14:textFill>
        </w:rPr>
        <w:t>（四）近年完成的类似项目情况表</w:t>
      </w:r>
    </w:p>
    <w:p w14:paraId="56C9441C">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246DC1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（四）-1近年完成的类似</w:t>
      </w:r>
      <w:r>
        <w:rPr>
          <w:rFonts w:hint="eastAsia" w:asciiTheme="minorEastAsia" w:hAnsiTheme="minorEastAsia" w:eastAsiaTheme="minorEastAsia" w:cstheme="minorEastAsia"/>
          <w:color w:val="000000" w:themeColor="text1"/>
          <w:sz w:val="24"/>
          <w14:textFill>
            <w14:solidFill>
              <w14:schemeClr w14:val="tx1"/>
            </w14:solidFill>
          </w14:textFill>
        </w:rPr>
        <w:t>勘察、</w:t>
      </w:r>
      <w:r>
        <w:rPr>
          <w:rFonts w:hint="eastAsia" w:asciiTheme="minorEastAsia" w:hAnsiTheme="minorEastAsia" w:eastAsiaTheme="minorEastAsia" w:cstheme="minorEastAsia"/>
          <w:color w:val="000000" w:themeColor="text1"/>
          <w:sz w:val="24"/>
          <w:lang w:val="zh-CN"/>
          <w14:textFill>
            <w14:solidFill>
              <w14:schemeClr w14:val="tx1"/>
            </w14:solidFill>
          </w14:textFill>
        </w:rPr>
        <w:t>设计项目情况汇总表</w:t>
      </w:r>
    </w:p>
    <w:p w14:paraId="7376F443">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720" w:type="dxa"/>
        <w:tblInd w:w="-3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2805"/>
        <w:gridCol w:w="1470"/>
        <w:gridCol w:w="1734"/>
        <w:gridCol w:w="1731"/>
        <w:gridCol w:w="1065"/>
      </w:tblGrid>
      <w:tr w14:paraId="65F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915" w:type="dxa"/>
            <w:vAlign w:val="center"/>
          </w:tcPr>
          <w:p w14:paraId="3585A33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序号</w:t>
            </w:r>
          </w:p>
        </w:tc>
        <w:tc>
          <w:tcPr>
            <w:tcW w:w="2805" w:type="dxa"/>
            <w:vAlign w:val="center"/>
          </w:tcPr>
          <w:p w14:paraId="62D3E6C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项目名称</w:t>
            </w:r>
          </w:p>
        </w:tc>
        <w:tc>
          <w:tcPr>
            <w:tcW w:w="1470" w:type="dxa"/>
            <w:vAlign w:val="center"/>
          </w:tcPr>
          <w:p w14:paraId="764919A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公路等级</w:t>
            </w:r>
          </w:p>
        </w:tc>
        <w:tc>
          <w:tcPr>
            <w:tcW w:w="1734" w:type="dxa"/>
            <w:vAlign w:val="center"/>
          </w:tcPr>
          <w:p w14:paraId="6D6B540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里程长度（km）</w:t>
            </w:r>
          </w:p>
        </w:tc>
        <w:tc>
          <w:tcPr>
            <w:tcW w:w="1731" w:type="dxa"/>
            <w:vAlign w:val="center"/>
          </w:tcPr>
          <w:p w14:paraId="498330F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证明材料页码</w:t>
            </w:r>
          </w:p>
        </w:tc>
        <w:tc>
          <w:tcPr>
            <w:tcW w:w="1065" w:type="dxa"/>
            <w:vAlign w:val="center"/>
          </w:tcPr>
          <w:p w14:paraId="48FB266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r>
      <w:tr w14:paraId="14DB6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15" w:type="dxa"/>
            <w:vAlign w:val="center"/>
          </w:tcPr>
          <w:p w14:paraId="478F4E1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1</w:t>
            </w:r>
          </w:p>
        </w:tc>
        <w:tc>
          <w:tcPr>
            <w:tcW w:w="2805" w:type="dxa"/>
            <w:vAlign w:val="center"/>
          </w:tcPr>
          <w:p w14:paraId="5FB37A4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03660EC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7D51586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34B97A8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4A9D6FE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A911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15" w:type="dxa"/>
            <w:vAlign w:val="center"/>
          </w:tcPr>
          <w:p w14:paraId="4032D6B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2</w:t>
            </w:r>
          </w:p>
        </w:tc>
        <w:tc>
          <w:tcPr>
            <w:tcW w:w="2805" w:type="dxa"/>
            <w:vAlign w:val="center"/>
          </w:tcPr>
          <w:p w14:paraId="796331B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6D765AF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708DC0A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0925972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022543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6DC7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15" w:type="dxa"/>
            <w:vAlign w:val="center"/>
          </w:tcPr>
          <w:p w14:paraId="5C0DB38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3</w:t>
            </w:r>
          </w:p>
        </w:tc>
        <w:tc>
          <w:tcPr>
            <w:tcW w:w="2805" w:type="dxa"/>
            <w:vAlign w:val="center"/>
          </w:tcPr>
          <w:p w14:paraId="14AD90C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6197B50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140890C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27A6135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294067D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D57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915" w:type="dxa"/>
            <w:vAlign w:val="center"/>
          </w:tcPr>
          <w:p w14:paraId="723F524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4</w:t>
            </w:r>
          </w:p>
        </w:tc>
        <w:tc>
          <w:tcPr>
            <w:tcW w:w="2805" w:type="dxa"/>
            <w:vAlign w:val="center"/>
          </w:tcPr>
          <w:p w14:paraId="0243F4F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041A522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00CF27A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2631B91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5C97244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3F34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15" w:type="dxa"/>
            <w:vAlign w:val="center"/>
          </w:tcPr>
          <w:p w14:paraId="0547F91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5</w:t>
            </w:r>
          </w:p>
        </w:tc>
        <w:tc>
          <w:tcPr>
            <w:tcW w:w="2805" w:type="dxa"/>
            <w:vAlign w:val="center"/>
          </w:tcPr>
          <w:p w14:paraId="352BE44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6FE0B04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19D8BBF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2AAFB08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3114BF1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E1AE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15" w:type="dxa"/>
            <w:vAlign w:val="center"/>
          </w:tcPr>
          <w:p w14:paraId="26471E9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2805" w:type="dxa"/>
            <w:vAlign w:val="center"/>
          </w:tcPr>
          <w:p w14:paraId="116E6BE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470" w:type="dxa"/>
            <w:vAlign w:val="center"/>
          </w:tcPr>
          <w:p w14:paraId="542DD12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7CBDE8B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1C96622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503FE40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EF3E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3720" w:type="dxa"/>
            <w:gridSpan w:val="2"/>
            <w:vAlign w:val="center"/>
          </w:tcPr>
          <w:p w14:paraId="2A25943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业绩合计</w:t>
            </w:r>
          </w:p>
        </w:tc>
        <w:tc>
          <w:tcPr>
            <w:tcW w:w="1470" w:type="dxa"/>
            <w:vAlign w:val="center"/>
          </w:tcPr>
          <w:p w14:paraId="7EB36E3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4" w:type="dxa"/>
            <w:vAlign w:val="center"/>
          </w:tcPr>
          <w:p w14:paraId="4497762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31" w:type="dxa"/>
            <w:vAlign w:val="center"/>
          </w:tcPr>
          <w:p w14:paraId="019D08C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65" w:type="dxa"/>
            <w:vAlign w:val="center"/>
          </w:tcPr>
          <w:p w14:paraId="00671D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3CECAE00">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5EDBFD2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388CBCF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（四）-2近年完成的类似施工项目情况汇总表</w:t>
      </w:r>
    </w:p>
    <w:p w14:paraId="0A3AB8E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bl>
      <w:tblPr>
        <w:tblStyle w:val="21"/>
        <w:tblW w:w="9705" w:type="dxa"/>
        <w:tblInd w:w="-3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2880"/>
        <w:gridCol w:w="1530"/>
        <w:gridCol w:w="1695"/>
        <w:gridCol w:w="1740"/>
        <w:gridCol w:w="1020"/>
      </w:tblGrid>
      <w:tr w14:paraId="36ACD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840" w:type="dxa"/>
            <w:vAlign w:val="center"/>
          </w:tcPr>
          <w:p w14:paraId="09D4805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序号</w:t>
            </w:r>
          </w:p>
        </w:tc>
        <w:tc>
          <w:tcPr>
            <w:tcW w:w="2880" w:type="dxa"/>
            <w:vAlign w:val="center"/>
          </w:tcPr>
          <w:p w14:paraId="384B435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项目名称</w:t>
            </w:r>
          </w:p>
        </w:tc>
        <w:tc>
          <w:tcPr>
            <w:tcW w:w="1530" w:type="dxa"/>
            <w:vAlign w:val="center"/>
          </w:tcPr>
          <w:p w14:paraId="3A636F5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公路等级</w:t>
            </w:r>
          </w:p>
        </w:tc>
        <w:tc>
          <w:tcPr>
            <w:tcW w:w="1695" w:type="dxa"/>
            <w:vAlign w:val="center"/>
          </w:tcPr>
          <w:p w14:paraId="13B35DC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里程长度（km）</w:t>
            </w:r>
          </w:p>
        </w:tc>
        <w:tc>
          <w:tcPr>
            <w:tcW w:w="1740" w:type="dxa"/>
            <w:vAlign w:val="center"/>
          </w:tcPr>
          <w:p w14:paraId="6321A13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证明材料页码</w:t>
            </w:r>
          </w:p>
        </w:tc>
        <w:tc>
          <w:tcPr>
            <w:tcW w:w="1020" w:type="dxa"/>
            <w:vAlign w:val="center"/>
          </w:tcPr>
          <w:p w14:paraId="1C319EF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r>
      <w:tr w14:paraId="43D05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40" w:type="dxa"/>
            <w:vAlign w:val="center"/>
          </w:tcPr>
          <w:p w14:paraId="1FA54C7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1</w:t>
            </w:r>
          </w:p>
        </w:tc>
        <w:tc>
          <w:tcPr>
            <w:tcW w:w="2880" w:type="dxa"/>
            <w:vAlign w:val="center"/>
          </w:tcPr>
          <w:p w14:paraId="23744A6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3F580A7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2F96736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39D575F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4D1BEFE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13CD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40" w:type="dxa"/>
            <w:vAlign w:val="center"/>
          </w:tcPr>
          <w:p w14:paraId="2BAC0B6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2</w:t>
            </w:r>
          </w:p>
        </w:tc>
        <w:tc>
          <w:tcPr>
            <w:tcW w:w="2880" w:type="dxa"/>
            <w:vAlign w:val="center"/>
          </w:tcPr>
          <w:p w14:paraId="023DEDD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1CD959B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5954C0A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2370272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209AE48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D614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40" w:type="dxa"/>
            <w:vAlign w:val="center"/>
          </w:tcPr>
          <w:p w14:paraId="4695EA8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3</w:t>
            </w:r>
          </w:p>
        </w:tc>
        <w:tc>
          <w:tcPr>
            <w:tcW w:w="2880" w:type="dxa"/>
            <w:vAlign w:val="center"/>
          </w:tcPr>
          <w:p w14:paraId="005270F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75C58C1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369C946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2FF5AB8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7EC3174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D3F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40" w:type="dxa"/>
            <w:vAlign w:val="center"/>
          </w:tcPr>
          <w:p w14:paraId="3904858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4</w:t>
            </w:r>
          </w:p>
        </w:tc>
        <w:tc>
          <w:tcPr>
            <w:tcW w:w="2880" w:type="dxa"/>
            <w:vAlign w:val="center"/>
          </w:tcPr>
          <w:p w14:paraId="7D84864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60204EF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52837A8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1901855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6A64EF5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6FF4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40" w:type="dxa"/>
            <w:vAlign w:val="center"/>
          </w:tcPr>
          <w:p w14:paraId="4877853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5</w:t>
            </w:r>
          </w:p>
        </w:tc>
        <w:tc>
          <w:tcPr>
            <w:tcW w:w="2880" w:type="dxa"/>
            <w:vAlign w:val="center"/>
          </w:tcPr>
          <w:p w14:paraId="2C3D76E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4D06538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06C042C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18CFB8F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73F7DDA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D91D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40" w:type="dxa"/>
            <w:vAlign w:val="center"/>
          </w:tcPr>
          <w:p w14:paraId="0B74321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w:t>
            </w:r>
          </w:p>
        </w:tc>
        <w:tc>
          <w:tcPr>
            <w:tcW w:w="2880" w:type="dxa"/>
            <w:vAlign w:val="center"/>
          </w:tcPr>
          <w:p w14:paraId="03B253C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6B45C93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6F44685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2E62CDA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1F7884F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B934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3720" w:type="dxa"/>
            <w:gridSpan w:val="2"/>
            <w:vAlign w:val="center"/>
          </w:tcPr>
          <w:p w14:paraId="0EEDB68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业绩合计</w:t>
            </w:r>
          </w:p>
        </w:tc>
        <w:tc>
          <w:tcPr>
            <w:tcW w:w="1530" w:type="dxa"/>
            <w:vAlign w:val="center"/>
          </w:tcPr>
          <w:p w14:paraId="508040D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695" w:type="dxa"/>
            <w:vAlign w:val="center"/>
          </w:tcPr>
          <w:p w14:paraId="634381B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40" w:type="dxa"/>
            <w:vAlign w:val="center"/>
          </w:tcPr>
          <w:p w14:paraId="2FD449F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020" w:type="dxa"/>
            <w:vAlign w:val="center"/>
          </w:tcPr>
          <w:p w14:paraId="7E270FB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1DD65B2A">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26301CE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（四）-3近年完成的类似</w:t>
      </w:r>
      <w:r>
        <w:rPr>
          <w:rFonts w:hint="eastAsia" w:asciiTheme="minorEastAsia" w:hAnsiTheme="minorEastAsia" w:eastAsiaTheme="minorEastAsia" w:cstheme="minorEastAsia"/>
          <w:color w:val="000000" w:themeColor="text1"/>
          <w:sz w:val="24"/>
          <w14:textFill>
            <w14:solidFill>
              <w14:schemeClr w14:val="tx1"/>
            </w14:solidFill>
          </w14:textFill>
        </w:rPr>
        <w:t>勘察、</w:t>
      </w:r>
      <w:r>
        <w:rPr>
          <w:rFonts w:hint="eastAsia" w:asciiTheme="minorEastAsia" w:hAnsiTheme="minorEastAsia" w:eastAsiaTheme="minorEastAsia" w:cstheme="minorEastAsia"/>
          <w:color w:val="000000" w:themeColor="text1"/>
          <w:sz w:val="24"/>
          <w:lang w:val="zh-CN"/>
          <w14:textFill>
            <w14:solidFill>
              <w14:schemeClr w14:val="tx1"/>
            </w14:solidFill>
          </w14:textFill>
        </w:rPr>
        <w:t>设计项目</w:t>
      </w:r>
    </w:p>
    <w:p w14:paraId="1ED22589">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3"/>
        <w:gridCol w:w="6266"/>
      </w:tblGrid>
      <w:tr w14:paraId="19699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7EF6BB2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序号</w:t>
            </w:r>
          </w:p>
        </w:tc>
        <w:tc>
          <w:tcPr>
            <w:tcW w:w="6266" w:type="dxa"/>
            <w:vAlign w:val="center"/>
          </w:tcPr>
          <w:p w14:paraId="5A76C4D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AD40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2793" w:type="dxa"/>
            <w:vAlign w:val="center"/>
          </w:tcPr>
          <w:p w14:paraId="03D2090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项目名称</w:t>
            </w:r>
          </w:p>
        </w:tc>
        <w:tc>
          <w:tcPr>
            <w:tcW w:w="6266" w:type="dxa"/>
            <w:vAlign w:val="center"/>
          </w:tcPr>
          <w:p w14:paraId="2BB21B7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6B78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625A408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项目所在地</w:t>
            </w:r>
          </w:p>
        </w:tc>
        <w:tc>
          <w:tcPr>
            <w:tcW w:w="6266" w:type="dxa"/>
            <w:vAlign w:val="center"/>
          </w:tcPr>
          <w:p w14:paraId="3B696E4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5AD0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2793" w:type="dxa"/>
            <w:vAlign w:val="center"/>
          </w:tcPr>
          <w:p w14:paraId="58FCE0D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发包人名称</w:t>
            </w:r>
          </w:p>
        </w:tc>
        <w:tc>
          <w:tcPr>
            <w:tcW w:w="6266" w:type="dxa"/>
            <w:vAlign w:val="center"/>
          </w:tcPr>
          <w:p w14:paraId="784B23E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CAB0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0B36104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发包人地址</w:t>
            </w:r>
          </w:p>
        </w:tc>
        <w:tc>
          <w:tcPr>
            <w:tcW w:w="6266" w:type="dxa"/>
            <w:vAlign w:val="center"/>
          </w:tcPr>
          <w:p w14:paraId="341B76D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9A9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2793" w:type="dxa"/>
            <w:vAlign w:val="center"/>
          </w:tcPr>
          <w:p w14:paraId="68BA9AE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发包人电话</w:t>
            </w:r>
          </w:p>
        </w:tc>
        <w:tc>
          <w:tcPr>
            <w:tcW w:w="6266" w:type="dxa"/>
            <w:vAlign w:val="center"/>
          </w:tcPr>
          <w:p w14:paraId="59D69F4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3D00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2793" w:type="dxa"/>
            <w:tcBorders>
              <w:bottom w:val="single" w:color="000000" w:sz="6" w:space="0"/>
            </w:tcBorders>
            <w:vAlign w:val="center"/>
          </w:tcPr>
          <w:p w14:paraId="19758A8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项目等级</w:t>
            </w:r>
          </w:p>
        </w:tc>
        <w:tc>
          <w:tcPr>
            <w:tcW w:w="6266" w:type="dxa"/>
            <w:tcBorders>
              <w:bottom w:val="single" w:color="000000" w:sz="6" w:space="0"/>
            </w:tcBorders>
            <w:vAlign w:val="center"/>
          </w:tcPr>
          <w:p w14:paraId="4D50120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4508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2793" w:type="dxa"/>
            <w:tcBorders>
              <w:top w:val="single" w:color="000000" w:sz="6" w:space="0"/>
            </w:tcBorders>
            <w:vAlign w:val="center"/>
          </w:tcPr>
          <w:p w14:paraId="2F9EFC1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项目总投资</w:t>
            </w:r>
          </w:p>
        </w:tc>
        <w:tc>
          <w:tcPr>
            <w:tcW w:w="6266" w:type="dxa"/>
            <w:tcBorders>
              <w:top w:val="single" w:color="000000" w:sz="6" w:space="0"/>
            </w:tcBorders>
            <w:vAlign w:val="center"/>
          </w:tcPr>
          <w:p w14:paraId="013ABA4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50BE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6400264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合同价格</w:t>
            </w:r>
          </w:p>
        </w:tc>
        <w:tc>
          <w:tcPr>
            <w:tcW w:w="6266" w:type="dxa"/>
            <w:vAlign w:val="center"/>
          </w:tcPr>
          <w:p w14:paraId="74C8C3C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88A6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2793" w:type="dxa"/>
            <w:vAlign w:val="center"/>
          </w:tcPr>
          <w:p w14:paraId="43E99D5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承担的</w:t>
            </w:r>
            <w:r>
              <w:rPr>
                <w:rFonts w:hint="eastAsia" w:asciiTheme="minorEastAsia" w:hAnsiTheme="minorEastAsia" w:eastAsiaTheme="minorEastAsia" w:cstheme="minorEastAsia"/>
                <w:color w:val="000000" w:themeColor="text1"/>
                <w:sz w:val="24"/>
                <w14:textFill>
                  <w14:solidFill>
                    <w14:schemeClr w14:val="tx1"/>
                  </w14:solidFill>
                </w14:textFill>
              </w:rPr>
              <w:t>勘察</w:t>
            </w:r>
            <w:r>
              <w:rPr>
                <w:rFonts w:hint="eastAsia" w:asciiTheme="minorEastAsia" w:hAnsiTheme="minorEastAsia" w:eastAsiaTheme="minorEastAsia" w:cstheme="minorEastAsia"/>
                <w:color w:val="000000" w:themeColor="text1"/>
                <w:sz w:val="24"/>
                <w:lang w:val="zh-CN"/>
                <w14:textFill>
                  <w14:solidFill>
                    <w14:schemeClr w14:val="tx1"/>
                  </w14:solidFill>
                </w14:textFill>
              </w:rPr>
              <w:t>设计工作</w:t>
            </w:r>
          </w:p>
        </w:tc>
        <w:tc>
          <w:tcPr>
            <w:tcW w:w="6266" w:type="dxa"/>
            <w:vAlign w:val="center"/>
          </w:tcPr>
          <w:p w14:paraId="7447260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073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20726CE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勘察</w:t>
            </w:r>
            <w:r>
              <w:rPr>
                <w:rFonts w:hint="eastAsia" w:asciiTheme="minorEastAsia" w:hAnsiTheme="minorEastAsia" w:eastAsiaTheme="minorEastAsia" w:cstheme="minorEastAsia"/>
                <w:color w:val="000000" w:themeColor="text1"/>
                <w:sz w:val="24"/>
                <w:lang w:val="zh-CN"/>
                <w14:textFill>
                  <w14:solidFill>
                    <w14:schemeClr w14:val="tx1"/>
                  </w14:solidFill>
                </w14:textFill>
              </w:rPr>
              <w:t>设计服务期限</w:t>
            </w:r>
          </w:p>
        </w:tc>
        <w:tc>
          <w:tcPr>
            <w:tcW w:w="6266" w:type="dxa"/>
            <w:vAlign w:val="center"/>
          </w:tcPr>
          <w:p w14:paraId="60C7EA4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4E4BE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2793" w:type="dxa"/>
            <w:vAlign w:val="center"/>
          </w:tcPr>
          <w:p w14:paraId="163FA63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项目负责人</w:t>
            </w:r>
          </w:p>
        </w:tc>
        <w:tc>
          <w:tcPr>
            <w:tcW w:w="6266" w:type="dxa"/>
            <w:vAlign w:val="center"/>
          </w:tcPr>
          <w:p w14:paraId="22D7DD2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3D386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2793" w:type="dxa"/>
            <w:vAlign w:val="center"/>
          </w:tcPr>
          <w:p w14:paraId="50E4103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项目完成情况</w:t>
            </w:r>
          </w:p>
        </w:tc>
        <w:tc>
          <w:tcPr>
            <w:tcW w:w="6266" w:type="dxa"/>
            <w:vAlign w:val="center"/>
          </w:tcPr>
          <w:p w14:paraId="584DD6D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FB1D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jc w:val="center"/>
        </w:trPr>
        <w:tc>
          <w:tcPr>
            <w:tcW w:w="2793" w:type="dxa"/>
            <w:vAlign w:val="center"/>
          </w:tcPr>
          <w:p w14:paraId="3897BB1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FF0800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项目描述</w:t>
            </w:r>
          </w:p>
        </w:tc>
        <w:tc>
          <w:tcPr>
            <w:tcW w:w="6266" w:type="dxa"/>
            <w:vAlign w:val="center"/>
          </w:tcPr>
          <w:p w14:paraId="386C41E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C28AE4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72F96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2793" w:type="dxa"/>
            <w:vAlign w:val="center"/>
          </w:tcPr>
          <w:p w14:paraId="54E138C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c>
          <w:tcPr>
            <w:tcW w:w="6266" w:type="dxa"/>
            <w:vAlign w:val="center"/>
          </w:tcPr>
          <w:p w14:paraId="5F4B9E0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66091C98">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069ADC0C">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注：1.每张表格只填写一个项目，并标明序号。</w:t>
      </w:r>
    </w:p>
    <w:p w14:paraId="7DF87041">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zh-CN"/>
          <w14:textFill>
            <w14:solidFill>
              <w14:schemeClr w14:val="tx1"/>
            </w14:solidFill>
          </w14:textFill>
        </w:rPr>
        <w:t>项目完成情况：根据先后顺序分为“初步设计已批复”、“施工图设计已审批”等不同阶段，投标人应根据项目实际完成情况进行填报。</w:t>
      </w:r>
    </w:p>
    <w:p w14:paraId="3EF75AC9">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投标人应根据招标文件第二章“投标人须知”第3.5.3项的要求在本表后附相关证明材料。</w:t>
      </w:r>
    </w:p>
    <w:p w14:paraId="32629D86">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color w:val="000000" w:themeColor="text1"/>
          <w:lang w:val="zh-CN"/>
          <w14:textFill>
            <w14:solidFill>
              <w14:schemeClr w14:val="tx1"/>
            </w14:solidFill>
          </w14:textFill>
        </w:rPr>
        <w:t>如近年来，投标人法人机构发生合法变更或重组或法人名称变更时，应提供相关部门的合法批件或其他相关证明材料来证明其所附业绩的继承性。</w:t>
      </w:r>
    </w:p>
    <w:p w14:paraId="0C41E29E">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5.</w:t>
      </w:r>
      <w:r>
        <w:rPr>
          <w:rFonts w:hint="eastAsia" w:asciiTheme="minorEastAsia" w:hAnsiTheme="minorEastAsia" w:eastAsiaTheme="minorEastAsia" w:cstheme="minorEastAsia"/>
          <w:color w:val="000000" w:themeColor="text1"/>
          <w:lang w:val="zh-CN"/>
          <w14:textFill>
            <w14:solidFill>
              <w14:schemeClr w14:val="tx1"/>
            </w14:solidFill>
          </w14:textFill>
        </w:rPr>
        <w:t>以联合体形式投标的，联合体各成员中承担设计任务的联合体成员填写。</w:t>
      </w:r>
    </w:p>
    <w:p w14:paraId="7604D9F3">
      <w:pPr>
        <w:rPr>
          <w:rFonts w:hint="eastAsia" w:asciiTheme="minorEastAsia" w:hAnsiTheme="minorEastAsia" w:eastAsiaTheme="minorEastAsia" w:cstheme="minorEastAsia"/>
          <w:color w:val="000000" w:themeColor="text1"/>
          <w14:textFill>
            <w14:solidFill>
              <w14:schemeClr w14:val="tx1"/>
            </w14:solidFill>
          </w14:textFill>
        </w:rPr>
        <w:sectPr>
          <w:pgSz w:w="11911" w:h="16838"/>
          <w:pgMar w:top="1440" w:right="1080" w:bottom="1440" w:left="1080" w:header="0" w:footer="998" w:gutter="0"/>
          <w:pgNumType w:fmt="numberInDash"/>
          <w:cols w:space="0" w:num="1"/>
        </w:sectPr>
      </w:pPr>
    </w:p>
    <w:p w14:paraId="3FDAADC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（四）-4近年完成的类似施工项目</w:t>
      </w:r>
    </w:p>
    <w:p w14:paraId="434A90A0">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0"/>
        <w:gridCol w:w="6206"/>
      </w:tblGrid>
      <w:tr w14:paraId="67DBD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2810" w:type="dxa"/>
            <w:vAlign w:val="center"/>
          </w:tcPr>
          <w:p w14:paraId="1E9B2D5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序号</w:t>
            </w:r>
          </w:p>
        </w:tc>
        <w:tc>
          <w:tcPr>
            <w:tcW w:w="6206" w:type="dxa"/>
            <w:vAlign w:val="center"/>
          </w:tcPr>
          <w:p w14:paraId="4226DC3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4364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2810" w:type="dxa"/>
            <w:vAlign w:val="center"/>
          </w:tcPr>
          <w:p w14:paraId="782610C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项目名称</w:t>
            </w:r>
          </w:p>
        </w:tc>
        <w:tc>
          <w:tcPr>
            <w:tcW w:w="6206" w:type="dxa"/>
            <w:vAlign w:val="center"/>
          </w:tcPr>
          <w:p w14:paraId="675E357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32FF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2810" w:type="dxa"/>
            <w:vAlign w:val="center"/>
          </w:tcPr>
          <w:p w14:paraId="52A70EA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项目所在地</w:t>
            </w:r>
          </w:p>
        </w:tc>
        <w:tc>
          <w:tcPr>
            <w:tcW w:w="6206" w:type="dxa"/>
            <w:vAlign w:val="center"/>
          </w:tcPr>
          <w:p w14:paraId="6DEAC90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140D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2810" w:type="dxa"/>
            <w:vAlign w:val="center"/>
          </w:tcPr>
          <w:p w14:paraId="436963B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发包人名称</w:t>
            </w:r>
          </w:p>
        </w:tc>
        <w:tc>
          <w:tcPr>
            <w:tcW w:w="6206" w:type="dxa"/>
            <w:vAlign w:val="center"/>
          </w:tcPr>
          <w:p w14:paraId="3D22F5E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E43A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2810" w:type="dxa"/>
            <w:vAlign w:val="center"/>
          </w:tcPr>
          <w:p w14:paraId="30D30A7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发包人地址</w:t>
            </w:r>
          </w:p>
        </w:tc>
        <w:tc>
          <w:tcPr>
            <w:tcW w:w="6206" w:type="dxa"/>
            <w:vAlign w:val="center"/>
          </w:tcPr>
          <w:p w14:paraId="2B44ECF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5A7D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jc w:val="center"/>
        </w:trPr>
        <w:tc>
          <w:tcPr>
            <w:tcW w:w="2810" w:type="dxa"/>
            <w:vAlign w:val="center"/>
          </w:tcPr>
          <w:p w14:paraId="54CA1C3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发包人电话</w:t>
            </w:r>
          </w:p>
        </w:tc>
        <w:tc>
          <w:tcPr>
            <w:tcW w:w="6206" w:type="dxa"/>
            <w:vAlign w:val="center"/>
          </w:tcPr>
          <w:p w14:paraId="68A9D04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7210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2810" w:type="dxa"/>
            <w:vAlign w:val="center"/>
          </w:tcPr>
          <w:p w14:paraId="240FC2D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合同价格</w:t>
            </w:r>
          </w:p>
        </w:tc>
        <w:tc>
          <w:tcPr>
            <w:tcW w:w="6206" w:type="dxa"/>
            <w:vAlign w:val="center"/>
          </w:tcPr>
          <w:p w14:paraId="0BB3ADD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77DD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2810" w:type="dxa"/>
            <w:vAlign w:val="center"/>
          </w:tcPr>
          <w:p w14:paraId="181272D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开工日期</w:t>
            </w:r>
          </w:p>
        </w:tc>
        <w:tc>
          <w:tcPr>
            <w:tcW w:w="6206" w:type="dxa"/>
            <w:vAlign w:val="center"/>
          </w:tcPr>
          <w:p w14:paraId="16CD27D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FADC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2810" w:type="dxa"/>
            <w:vAlign w:val="center"/>
          </w:tcPr>
          <w:p w14:paraId="126A6911">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交工</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lang w:val="zh-CN"/>
                <w14:textFill>
                  <w14:solidFill>
                    <w14:schemeClr w14:val="tx1"/>
                  </w14:solidFill>
                </w14:textFill>
              </w:rPr>
              <w:t>或一次性竣工</w:t>
            </w: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lang w:val="zh-CN"/>
                <w14:textFill>
                  <w14:solidFill>
                    <w14:schemeClr w14:val="tx1"/>
                  </w14:solidFill>
                </w14:textFill>
              </w:rPr>
              <w:t>日期</w:t>
            </w:r>
          </w:p>
        </w:tc>
        <w:tc>
          <w:tcPr>
            <w:tcW w:w="6206" w:type="dxa"/>
            <w:vAlign w:val="center"/>
          </w:tcPr>
          <w:p w14:paraId="174D687A">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2C6D9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2810" w:type="dxa"/>
            <w:vAlign w:val="center"/>
          </w:tcPr>
          <w:p w14:paraId="1887F76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承担的工作</w:t>
            </w:r>
          </w:p>
        </w:tc>
        <w:tc>
          <w:tcPr>
            <w:tcW w:w="6206" w:type="dxa"/>
            <w:vAlign w:val="center"/>
          </w:tcPr>
          <w:p w14:paraId="332BA53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BF86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2810" w:type="dxa"/>
            <w:vAlign w:val="center"/>
          </w:tcPr>
          <w:p w14:paraId="02CE1BD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工程质量评分（或等级）</w:t>
            </w:r>
          </w:p>
        </w:tc>
        <w:tc>
          <w:tcPr>
            <w:tcW w:w="6206" w:type="dxa"/>
            <w:vAlign w:val="center"/>
          </w:tcPr>
          <w:p w14:paraId="380ED46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3BFD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810" w:type="dxa"/>
            <w:vAlign w:val="center"/>
          </w:tcPr>
          <w:p w14:paraId="7434D82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项目经理</w:t>
            </w:r>
          </w:p>
        </w:tc>
        <w:tc>
          <w:tcPr>
            <w:tcW w:w="6206" w:type="dxa"/>
            <w:vAlign w:val="center"/>
          </w:tcPr>
          <w:p w14:paraId="2A54D6C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0FBB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2810" w:type="dxa"/>
            <w:vAlign w:val="center"/>
          </w:tcPr>
          <w:p w14:paraId="409E75E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项目总工</w:t>
            </w:r>
          </w:p>
        </w:tc>
        <w:tc>
          <w:tcPr>
            <w:tcW w:w="6206" w:type="dxa"/>
            <w:vAlign w:val="center"/>
          </w:tcPr>
          <w:p w14:paraId="1A1E8C5E">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2CDBC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810" w:type="dxa"/>
            <w:vAlign w:val="center"/>
          </w:tcPr>
          <w:p w14:paraId="749CF3C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总监理工程师及电话</w:t>
            </w:r>
          </w:p>
        </w:tc>
        <w:tc>
          <w:tcPr>
            <w:tcW w:w="6206" w:type="dxa"/>
            <w:vAlign w:val="center"/>
          </w:tcPr>
          <w:p w14:paraId="4441D6D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5662C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2810" w:type="dxa"/>
            <w:vAlign w:val="center"/>
          </w:tcPr>
          <w:p w14:paraId="069A560A">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项目描述</w:t>
            </w:r>
          </w:p>
        </w:tc>
        <w:tc>
          <w:tcPr>
            <w:tcW w:w="6206" w:type="dxa"/>
            <w:vAlign w:val="center"/>
          </w:tcPr>
          <w:p w14:paraId="69E3774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68AE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2810" w:type="dxa"/>
            <w:vAlign w:val="center"/>
          </w:tcPr>
          <w:p w14:paraId="265BF2E5">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c>
          <w:tcPr>
            <w:tcW w:w="6206" w:type="dxa"/>
            <w:vAlign w:val="center"/>
          </w:tcPr>
          <w:p w14:paraId="308201C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19C5AA42">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p>
    <w:p w14:paraId="4F2160A5">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注：1.每张表格只填写一个项目，并标明序号。</w:t>
      </w:r>
    </w:p>
    <w:p w14:paraId="4E857C66">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zh-CN"/>
          <w14:textFill>
            <w14:solidFill>
              <w14:schemeClr w14:val="tx1"/>
            </w14:solidFill>
          </w14:textFill>
        </w:rPr>
        <w:t>投标人应根据招标文件第二章“投标人须知”第3.5.3项的要求在本表后附相关证明材料。</w:t>
      </w:r>
    </w:p>
    <w:p w14:paraId="7202227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color w:val="000000" w:themeColor="text1"/>
          <w:lang w:val="zh-CN"/>
          <w14:textFill>
            <w14:solidFill>
              <w14:schemeClr w14:val="tx1"/>
            </w14:solidFill>
          </w14:textFill>
        </w:rPr>
        <w:t>如近年来，投标人法人机构发生合法变更或重组或法人名称变更时，应提供相关部门的合法批件或其他相关证明材料来证明其所附业绩的继承性。</w:t>
      </w:r>
    </w:p>
    <w:p w14:paraId="56F0AE55">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4.以联合体形式投标的，以联合体形式投标的，联合体各成员中承担施工任务的联合体成员填写。</w:t>
      </w:r>
    </w:p>
    <w:p w14:paraId="6A5CC5D3">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041E0C6B">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（五）投标人的信誉情况</w:t>
      </w:r>
    </w:p>
    <w:p w14:paraId="0FCF1368">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54"/>
        <w:tblW w:w="88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4"/>
        <w:gridCol w:w="3995"/>
      </w:tblGrid>
      <w:tr w14:paraId="53EC8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4824" w:type="dxa"/>
          </w:tcPr>
          <w:p w14:paraId="1628288B">
            <w:pPr>
              <w:spacing w:before="128" w:line="209" w:lineRule="auto"/>
              <w:ind w:left="184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7"/>
                <w:sz w:val="24"/>
                <w14:textFill>
                  <w14:solidFill>
                    <w14:schemeClr w14:val="tx1"/>
                  </w14:solidFill>
                </w14:textFill>
              </w:rPr>
              <w:t>项</w:t>
            </w:r>
            <w:r>
              <w:rPr>
                <w:rFonts w:hint="eastAsia" w:asciiTheme="minorEastAsia" w:hAnsiTheme="minorEastAsia" w:eastAsiaTheme="minorEastAsia" w:cstheme="minorEastAsia"/>
                <w:color w:val="000000" w:themeColor="text1"/>
                <w:spacing w:val="55"/>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7"/>
                <w:sz w:val="24"/>
                <w14:textFill>
                  <w14:solidFill>
                    <w14:schemeClr w14:val="tx1"/>
                  </w14:solidFill>
                </w14:textFill>
              </w:rPr>
              <w:t>目</w:t>
            </w:r>
          </w:p>
        </w:tc>
        <w:tc>
          <w:tcPr>
            <w:tcW w:w="3995" w:type="dxa"/>
          </w:tcPr>
          <w:p w14:paraId="1DA812F9">
            <w:pPr>
              <w:spacing w:before="128" w:line="209" w:lineRule="auto"/>
              <w:ind w:left="13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投标人情况说明</w:t>
            </w:r>
          </w:p>
        </w:tc>
      </w:tr>
      <w:tr w14:paraId="51B82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jc w:val="center"/>
        </w:trPr>
        <w:tc>
          <w:tcPr>
            <w:tcW w:w="4824" w:type="dxa"/>
          </w:tcPr>
          <w:p w14:paraId="355B7801">
            <w:pPr>
              <w:spacing w:before="113" w:line="277" w:lineRule="auto"/>
              <w:ind w:left="116" w:right="105" w:firstLine="4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(1) 被省级及以上交通运输主管部门</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 w:val="24"/>
                <w14:textFill>
                  <w14:solidFill>
                    <w14:schemeClr w14:val="tx1"/>
                  </w14:solidFill>
                </w14:textFill>
              </w:rPr>
              <w:t>取消招标项目所在地的（广东省内）投</w:t>
            </w:r>
            <w:r>
              <w:rPr>
                <w:rFonts w:hint="eastAsia" w:asciiTheme="minorEastAsia" w:hAnsiTheme="minorEastAsia" w:eastAsiaTheme="minorEastAsia" w:cstheme="minorEastAsia"/>
                <w:color w:val="000000" w:themeColor="text1"/>
                <w:spacing w:val="5"/>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sz w:val="24"/>
                <w14:textFill>
                  <w14:solidFill>
                    <w14:schemeClr w14:val="tx1"/>
                  </w14:solidFill>
                </w14:textFill>
              </w:rPr>
              <w:t>标资格且处于有效期内；</w:t>
            </w:r>
          </w:p>
        </w:tc>
        <w:tc>
          <w:tcPr>
            <w:tcW w:w="3995" w:type="dxa"/>
          </w:tcPr>
          <w:p w14:paraId="11179B94">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3D9A5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jc w:val="center"/>
        </w:trPr>
        <w:tc>
          <w:tcPr>
            <w:tcW w:w="4824" w:type="dxa"/>
          </w:tcPr>
          <w:p w14:paraId="21E60EC9">
            <w:pPr>
              <w:spacing w:before="115" w:line="281" w:lineRule="auto"/>
              <w:ind w:left="144" w:right="104" w:firstLine="13"/>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(2)被责令停业，暂扣或吊销执照，或</w:t>
            </w:r>
            <w:r>
              <w:rPr>
                <w:rFonts w:hint="eastAsia" w:asciiTheme="minorEastAsia" w:hAnsiTheme="minorEastAsia" w:eastAsiaTheme="minorEastAsia" w:cstheme="minorEastAsia"/>
                <w:color w:val="000000" w:themeColor="text1"/>
                <w:spacing w:val="1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2"/>
                <w:sz w:val="24"/>
                <w14:textFill>
                  <w14:solidFill>
                    <w14:schemeClr w14:val="tx1"/>
                  </w14:solidFill>
                </w14:textFill>
              </w:rPr>
              <w:t>吊销资质证书；</w:t>
            </w:r>
          </w:p>
        </w:tc>
        <w:tc>
          <w:tcPr>
            <w:tcW w:w="3995" w:type="dxa"/>
          </w:tcPr>
          <w:p w14:paraId="11D1EDBE">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28991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4824" w:type="dxa"/>
          </w:tcPr>
          <w:p w14:paraId="654BCFEF">
            <w:pPr>
              <w:spacing w:before="114" w:line="281" w:lineRule="auto"/>
              <w:ind w:left="116" w:right="104" w:firstLine="4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(3)进入清算程序，或被宣告破产，或</w:t>
            </w:r>
            <w:r>
              <w:rPr>
                <w:rFonts w:hint="eastAsia" w:asciiTheme="minorEastAsia" w:hAnsiTheme="minorEastAsia" w:eastAsiaTheme="minorEastAsia" w:cstheme="minorEastAsia"/>
                <w:color w:val="000000" w:themeColor="text1"/>
                <w:spacing w:val="1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sz w:val="24"/>
                <w14:textFill>
                  <w14:solidFill>
                    <w14:schemeClr w14:val="tx1"/>
                  </w14:solidFill>
                </w14:textFill>
              </w:rPr>
              <w:t>其他丧失履约能力的情形；</w:t>
            </w:r>
          </w:p>
        </w:tc>
        <w:tc>
          <w:tcPr>
            <w:tcW w:w="3995" w:type="dxa"/>
          </w:tcPr>
          <w:p w14:paraId="2874EC47">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33B0B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jc w:val="center"/>
        </w:trPr>
        <w:tc>
          <w:tcPr>
            <w:tcW w:w="4824" w:type="dxa"/>
          </w:tcPr>
          <w:p w14:paraId="14B5C208">
            <w:pPr>
              <w:spacing w:before="117" w:line="276" w:lineRule="auto"/>
              <w:ind w:left="116" w:right="105" w:firstLine="4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1"/>
                <w:sz w:val="24"/>
                <w14:textFill>
                  <w14:solidFill>
                    <w14:schemeClr w14:val="tx1"/>
                  </w14:solidFill>
                </w14:textFill>
              </w:rPr>
              <w:t>(4)在国家企业信用信息公示系统</w:t>
            </w:r>
            <w:r>
              <w:rPr>
                <w:rFonts w:hint="eastAsia" w:asciiTheme="minorEastAsia" w:hAnsiTheme="minorEastAsia" w:eastAsiaTheme="minorEastAsia" w:cstheme="minorEastAsia"/>
                <w:color w:val="000000" w:themeColor="text1"/>
                <w:spacing w:val="1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fldChar w:fldCharType="begin"/>
            </w:r>
            <w:r>
              <w:rPr>
                <w:rFonts w:hint="eastAsia" w:asciiTheme="minorEastAsia" w:hAnsiTheme="minorEastAsia" w:eastAsiaTheme="minorEastAsia" w:cstheme="minorEastAsia"/>
                <w:color w:val="000000" w:themeColor="text1"/>
                <w14:textFill>
                  <w14:solidFill>
                    <w14:schemeClr w14:val="tx1"/>
                  </w14:solidFill>
                </w14:textFill>
              </w:rPr>
              <w:instrText xml:space="preserve"> HYPERLINK "http://www.gsxt.gov.cn/" </w:instrText>
            </w:r>
            <w:r>
              <w:rPr>
                <w:rFonts w:hint="eastAsia" w:asciiTheme="minorEastAsia" w:hAnsiTheme="minorEastAsia" w:eastAsiaTheme="minorEastAsia" w:cstheme="minorEastAsia"/>
                <w:color w:val="000000" w:themeColor="text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4"/>
                <w14:textFill>
                  <w14:solidFill>
                    <w14:schemeClr w14:val="tx1"/>
                  </w14:solidFill>
                </w14:textFill>
              </w:rPr>
              <w:t>http</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www</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gsxt</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gov</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cn</w:t>
            </w:r>
            <w:r>
              <w:rPr>
                <w:rFonts w:hint="eastAsia" w:asciiTheme="minorEastAsia" w:hAnsiTheme="minorEastAsia" w:eastAsiaTheme="minorEastAsia" w:cstheme="minorEastAsia"/>
                <w:color w:val="000000" w:themeColor="text1"/>
                <w:spacing w:val="5"/>
                <w:sz w:val="24"/>
                <w14:textFill>
                  <w14:solidFill>
                    <w14:schemeClr w14:val="tx1"/>
                  </w14:solidFill>
                </w14:textFill>
              </w:rPr>
              <w:t>/</w:t>
            </w:r>
            <w:r>
              <w:rPr>
                <w:rFonts w:hint="eastAsia" w:asciiTheme="minorEastAsia" w:hAnsiTheme="minorEastAsia" w:eastAsiaTheme="minorEastAsia" w:cstheme="minorEastAsia"/>
                <w:color w:val="000000" w:themeColor="text1"/>
                <w:spacing w:val="5"/>
                <w:sz w:val="24"/>
                <w14:textFill>
                  <w14:solidFill>
                    <w14:schemeClr w14:val="tx1"/>
                  </w14:solidFill>
                </w14:textFill>
              </w:rPr>
              <w:fldChar w:fldCharType="end"/>
            </w:r>
            <w:r>
              <w:rPr>
                <w:rFonts w:hint="eastAsia" w:asciiTheme="minorEastAsia" w:hAnsiTheme="minorEastAsia" w:eastAsiaTheme="minorEastAsia" w:cstheme="minorEastAsia"/>
                <w:color w:val="000000" w:themeColor="text1"/>
                <w:spacing w:val="5"/>
                <w:sz w:val="24"/>
                <w14:textFill>
                  <w14:solidFill>
                    <w14:schemeClr w14:val="tx1"/>
                  </w14:solidFill>
                </w14:textFill>
              </w:rPr>
              <w:t>)中被列入</w:t>
            </w:r>
            <w:r>
              <w:rPr>
                <w:rFonts w:hint="eastAsia" w:asciiTheme="minorEastAsia" w:hAnsiTheme="minorEastAsia" w:eastAsiaTheme="minorEastAsia" w:cstheme="minorEastAsia"/>
                <w:color w:val="000000" w:themeColor="text1"/>
                <w:spacing w:val="8"/>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sz w:val="24"/>
                <w14:textFill>
                  <w14:solidFill>
                    <w14:schemeClr w14:val="tx1"/>
                  </w14:solidFill>
                </w14:textFill>
              </w:rPr>
              <w:t>严重违法失信企业名单；</w:t>
            </w:r>
          </w:p>
        </w:tc>
        <w:tc>
          <w:tcPr>
            <w:tcW w:w="3995" w:type="dxa"/>
          </w:tcPr>
          <w:p w14:paraId="1BE17776">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77DE8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jc w:val="center"/>
        </w:trPr>
        <w:tc>
          <w:tcPr>
            <w:tcW w:w="4824" w:type="dxa"/>
          </w:tcPr>
          <w:p w14:paraId="1DC6FA25">
            <w:pPr>
              <w:spacing w:before="114" w:line="277" w:lineRule="auto"/>
              <w:ind w:left="138" w:right="106" w:firstLine="1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6"/>
                <w:sz w:val="24"/>
                <w14:textFill>
                  <w14:solidFill>
                    <w14:schemeClr w14:val="tx1"/>
                  </w14:solidFill>
                </w14:textFill>
              </w:rPr>
              <w:t>(5)</w:t>
            </w:r>
            <w:r>
              <w:rPr>
                <w:rFonts w:hint="eastAsia" w:asciiTheme="minorEastAsia" w:hAnsiTheme="minorEastAsia" w:eastAsiaTheme="minorEastAsia" w:cstheme="minorEastAsia"/>
                <w:color w:val="000000" w:themeColor="text1"/>
                <w:spacing w:val="6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在</w:t>
            </w:r>
            <w:r>
              <w:rPr>
                <w:rFonts w:hint="eastAsia" w:asciiTheme="minorEastAsia" w:hAnsiTheme="minorEastAsia" w:eastAsiaTheme="minorEastAsia" w:cstheme="minorEastAsia"/>
                <w:color w:val="000000" w:themeColor="text1"/>
                <w:spacing w:val="50"/>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w:t>
            </w:r>
            <w:r>
              <w:rPr>
                <w:rFonts w:hint="eastAsia" w:asciiTheme="minorEastAsia" w:hAnsiTheme="minorEastAsia" w:eastAsiaTheme="minorEastAsia" w:cstheme="minorEastAsia"/>
                <w:color w:val="000000" w:themeColor="text1"/>
                <w:spacing w:val="58"/>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信</w:t>
            </w:r>
            <w:r>
              <w:rPr>
                <w:rFonts w:hint="eastAsia" w:asciiTheme="minorEastAsia" w:hAnsiTheme="minorEastAsia" w:eastAsiaTheme="minorEastAsia" w:cstheme="minorEastAsia"/>
                <w:color w:val="000000" w:themeColor="text1"/>
                <w:spacing w:val="61"/>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用</w:t>
            </w:r>
            <w:r>
              <w:rPr>
                <w:rFonts w:hint="eastAsia" w:asciiTheme="minorEastAsia" w:hAnsiTheme="minorEastAsia" w:eastAsiaTheme="minorEastAsia" w:cstheme="minorEastAsia"/>
                <w:color w:val="000000" w:themeColor="text1"/>
                <w:spacing w:val="81"/>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中</w:t>
            </w:r>
            <w:r>
              <w:rPr>
                <w:rFonts w:hint="eastAsia" w:asciiTheme="minorEastAsia" w:hAnsiTheme="minorEastAsia" w:eastAsiaTheme="minorEastAsia" w:cstheme="minorEastAsia"/>
                <w:color w:val="000000" w:themeColor="text1"/>
                <w:spacing w:val="82"/>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国</w:t>
            </w:r>
            <w:r>
              <w:rPr>
                <w:rFonts w:hint="eastAsia" w:asciiTheme="minorEastAsia" w:hAnsiTheme="minorEastAsia" w:eastAsiaTheme="minorEastAsia" w:cstheme="minorEastAsia"/>
                <w:color w:val="000000" w:themeColor="text1"/>
                <w:spacing w:val="82"/>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w:t>
            </w:r>
            <w:r>
              <w:rPr>
                <w:rFonts w:hint="eastAsia" w:asciiTheme="minorEastAsia" w:hAnsiTheme="minorEastAsia" w:eastAsiaTheme="minorEastAsia" w:cstheme="minorEastAsia"/>
                <w:color w:val="000000" w:themeColor="text1"/>
                <w:spacing w:val="45"/>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网</w:t>
            </w:r>
            <w:r>
              <w:rPr>
                <w:rFonts w:hint="eastAsia" w:asciiTheme="minorEastAsia" w:hAnsiTheme="minorEastAsia" w:eastAsiaTheme="minorEastAsia" w:cstheme="minorEastAsia"/>
                <w:color w:val="000000" w:themeColor="text1"/>
                <w:spacing w:val="60"/>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6"/>
                <w:sz w:val="24"/>
                <w14:textFill>
                  <w14:solidFill>
                    <w14:schemeClr w14:val="tx1"/>
                  </w14:solidFill>
                </w14:textFill>
              </w:rPr>
              <w:t>站</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1"/>
                <w:sz w:val="24"/>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fldChar w:fldCharType="begin"/>
            </w:r>
            <w:r>
              <w:rPr>
                <w:rFonts w:hint="eastAsia" w:asciiTheme="minorEastAsia" w:hAnsiTheme="minorEastAsia" w:eastAsiaTheme="minorEastAsia" w:cstheme="minorEastAsia"/>
                <w:color w:val="000000" w:themeColor="text1"/>
                <w14:textFill>
                  <w14:solidFill>
                    <w14:schemeClr w14:val="tx1"/>
                  </w14:solidFill>
                </w14:textFill>
              </w:rPr>
              <w:instrText xml:space="preserve"> HYPERLINK "http://www.creditchina.gov.cn/" </w:instrText>
            </w:r>
            <w:r>
              <w:rPr>
                <w:rFonts w:hint="eastAsia" w:asciiTheme="minorEastAsia" w:hAnsiTheme="minorEastAsia" w:eastAsiaTheme="minorEastAsia" w:cstheme="minorEastAsia"/>
                <w:color w:val="000000" w:themeColor="text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pacing w:val="-1"/>
                <w:sz w:val="24"/>
                <w14:textFill>
                  <w14:solidFill>
                    <w14:schemeClr w14:val="tx1"/>
                  </w14:solidFill>
                </w14:textFill>
              </w:rPr>
              <w:t>http://www.creditchina.gov.cn/</w:t>
            </w:r>
            <w:r>
              <w:rPr>
                <w:rFonts w:hint="eastAsia" w:asciiTheme="minorEastAsia" w:hAnsiTheme="minorEastAsia" w:eastAsiaTheme="minorEastAsia" w:cstheme="minorEastAsia"/>
                <w:color w:val="000000" w:themeColor="text1"/>
                <w:spacing w:val="-1"/>
                <w:sz w:val="24"/>
                <w14:textFill>
                  <w14:solidFill>
                    <w14:schemeClr w14:val="tx1"/>
                  </w14:solidFill>
                </w14:textFill>
              </w:rPr>
              <w:fldChar w:fldCharType="end"/>
            </w:r>
            <w:r>
              <w:rPr>
                <w:rFonts w:hint="eastAsia" w:asciiTheme="minorEastAsia" w:hAnsiTheme="minorEastAsia" w:eastAsiaTheme="minorEastAsia" w:cstheme="minorEastAsia"/>
                <w:color w:val="000000" w:themeColor="text1"/>
                <w:spacing w:val="-1"/>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7"/>
                <w:sz w:val="24"/>
                <w14:textFill>
                  <w14:solidFill>
                    <w14:schemeClr w14:val="tx1"/>
                  </w14:solidFill>
                </w14:textFill>
              </w:rPr>
              <w:t>中被列入失信被执行人名单；</w:t>
            </w:r>
          </w:p>
        </w:tc>
        <w:tc>
          <w:tcPr>
            <w:tcW w:w="3995" w:type="dxa"/>
          </w:tcPr>
          <w:p w14:paraId="75772BF7">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5050A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jc w:val="center"/>
        </w:trPr>
        <w:tc>
          <w:tcPr>
            <w:tcW w:w="4824" w:type="dxa"/>
          </w:tcPr>
          <w:p w14:paraId="2F6EA6FE">
            <w:pPr>
              <w:spacing w:before="114" w:line="289" w:lineRule="auto"/>
              <w:ind w:left="116" w:right="104" w:firstLine="4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(6)投标人及其法定代表人、拟委任的</w:t>
            </w:r>
            <w:r>
              <w:rPr>
                <w:rFonts w:hint="eastAsia" w:asciiTheme="minorEastAsia" w:hAnsiTheme="minorEastAsia" w:eastAsiaTheme="minorEastAsia" w:cstheme="minorEastAsia"/>
                <w:color w:val="000000" w:themeColor="text1"/>
                <w:spacing w:val="-3"/>
                <w:sz w:val="24"/>
                <w14:textFill>
                  <w14:solidFill>
                    <w14:schemeClr w14:val="tx1"/>
                  </w14:solidFill>
                </w14:textFill>
              </w:rPr>
              <w:t>项目总负责人、项目经理、项目总工、</w:t>
            </w:r>
            <w:r>
              <w:rPr>
                <w:rFonts w:hint="eastAsia" w:asciiTheme="minorEastAsia" w:hAnsiTheme="minorEastAsia" w:eastAsiaTheme="minorEastAsia" w:cstheme="minorEastAsia"/>
                <w:color w:val="000000" w:themeColor="text1"/>
                <w:spacing w:val="5"/>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3"/>
                <w:sz w:val="24"/>
                <w14:textFill>
                  <w14:solidFill>
                    <w14:schemeClr w14:val="tx1"/>
                  </w14:solidFill>
                </w14:textFill>
              </w:rPr>
              <w:t>监理负责人、设计负责人在近三年内有</w:t>
            </w:r>
            <w:r>
              <w:rPr>
                <w:rFonts w:hint="eastAsia" w:asciiTheme="minorEastAsia" w:hAnsiTheme="minorEastAsia" w:eastAsiaTheme="minorEastAsia" w:cstheme="minorEastAsia"/>
                <w:color w:val="000000" w:themeColor="text1"/>
                <w:spacing w:val="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5"/>
                <w:sz w:val="24"/>
                <w14:textFill>
                  <w14:solidFill>
                    <w14:schemeClr w14:val="tx1"/>
                  </w14:solidFill>
                </w14:textFill>
              </w:rPr>
              <w:t>行贿犯罪行为的（以投标人在投标函中</w:t>
            </w:r>
            <w:r>
              <w:rPr>
                <w:rFonts w:hint="eastAsia" w:asciiTheme="minorEastAsia" w:hAnsiTheme="minorEastAsia" w:eastAsiaTheme="minorEastAsia" w:cstheme="minorEastAsia"/>
                <w:color w:val="000000" w:themeColor="text1"/>
                <w:spacing w:val="-10"/>
                <w:sz w:val="24"/>
                <w14:textFill>
                  <w14:solidFill>
                    <w14:schemeClr w14:val="tx1"/>
                  </w14:solidFill>
                </w14:textFill>
              </w:rPr>
              <w:t>的承诺为准</w:t>
            </w:r>
            <w:r>
              <w:rPr>
                <w:rFonts w:hint="eastAsia" w:asciiTheme="minorEastAsia" w:hAnsiTheme="minorEastAsia" w:eastAsiaTheme="minorEastAsia" w:cstheme="minorEastAsia"/>
                <w:color w:val="000000" w:themeColor="text1"/>
                <w:spacing w:val="-4"/>
                <w:sz w:val="24"/>
                <w14:textFill>
                  <w14:solidFill>
                    <w14:schemeClr w14:val="tx1"/>
                  </w14:solidFill>
                </w14:textFill>
              </w:rPr>
              <w:t>）；</w:t>
            </w:r>
          </w:p>
        </w:tc>
        <w:tc>
          <w:tcPr>
            <w:tcW w:w="3995" w:type="dxa"/>
          </w:tcPr>
          <w:p w14:paraId="43092156">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7B8F0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4824" w:type="dxa"/>
          </w:tcPr>
          <w:p w14:paraId="418445E2">
            <w:pPr>
              <w:spacing w:before="117" w:line="280" w:lineRule="auto"/>
              <w:ind w:left="135" w:right="104" w:firstLine="22"/>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(7)法律法规或投标人须知前附表规定</w:t>
            </w:r>
            <w:r>
              <w:rPr>
                <w:rFonts w:hint="eastAsia" w:asciiTheme="minorEastAsia" w:hAnsiTheme="minorEastAsia" w:eastAsiaTheme="minorEastAsia" w:cstheme="minorEastAsia"/>
                <w:color w:val="000000" w:themeColor="text1"/>
                <w:spacing w:val="14"/>
                <w:sz w:val="24"/>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9"/>
                <w:sz w:val="24"/>
                <w14:textFill>
                  <w14:solidFill>
                    <w14:schemeClr w14:val="tx1"/>
                  </w14:solidFill>
                </w14:textFill>
              </w:rPr>
              <w:t>的其他情形。</w:t>
            </w:r>
          </w:p>
        </w:tc>
        <w:tc>
          <w:tcPr>
            <w:tcW w:w="3995" w:type="dxa"/>
          </w:tcPr>
          <w:p w14:paraId="0A79BE87">
            <w:pPr>
              <w:pStyle w:val="53"/>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p>
        </w:tc>
      </w:tr>
      <w:tr w14:paraId="42EB2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4824" w:type="dxa"/>
          </w:tcPr>
          <w:p w14:paraId="3960C04C">
            <w:pPr>
              <w:spacing w:before="163" w:line="209" w:lineRule="auto"/>
              <w:ind w:left="128"/>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6"/>
                <w:sz w:val="24"/>
                <w14:textFill>
                  <w14:solidFill>
                    <w14:schemeClr w14:val="tx1"/>
                  </w14:solidFill>
                </w14:textFill>
              </w:rPr>
              <w:t>……</w:t>
            </w:r>
          </w:p>
        </w:tc>
        <w:tc>
          <w:tcPr>
            <w:tcW w:w="3995" w:type="dxa"/>
          </w:tcPr>
          <w:p w14:paraId="4FBDE446">
            <w:pPr>
              <w:pStyle w:val="53"/>
              <w:rPr>
                <w:rFonts w:hint="eastAsia" w:asciiTheme="minorEastAsia" w:hAnsiTheme="minorEastAsia" w:eastAsiaTheme="minorEastAsia" w:cstheme="minorEastAsia"/>
                <w:color w:val="000000" w:themeColor="text1"/>
                <w:sz w:val="24"/>
                <w:szCs w:val="24"/>
                <w14:textFill>
                  <w14:solidFill>
                    <w14:schemeClr w14:val="tx1"/>
                  </w14:solidFill>
                </w14:textFill>
              </w:rPr>
            </w:pPr>
          </w:p>
        </w:tc>
      </w:tr>
    </w:tbl>
    <w:p w14:paraId="518077E7">
      <w:pPr>
        <w:spacing w:line="360" w:lineRule="auto"/>
        <w:ind w:firstLine="420" w:firstLineChars="200"/>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884C2B7">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注：1.投标人应根据招标文件第二章“投标人须知”第3.5.4项的要求在本表后附相关证明材料。</w:t>
      </w:r>
    </w:p>
    <w:p w14:paraId="282ED29B">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2.以联合体形式投标的，联合体各成员应分别填写并按要求附相关证明材料。</w:t>
      </w:r>
    </w:p>
    <w:p w14:paraId="27523BE8">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18D10495">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（六）拟委任的主要负责人情况表</w:t>
      </w:r>
    </w:p>
    <w:p w14:paraId="25A97EAE">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4"/>
          <w:szCs w:val="22"/>
          <w14:textFill>
            <w14:solidFill>
              <w14:schemeClr w14:val="tx1"/>
            </w14:solidFill>
          </w14:textFill>
        </w:rPr>
        <w:t>（六）-1拟委任的主要负责人汇总表</w:t>
      </w:r>
    </w:p>
    <w:tbl>
      <w:tblPr>
        <w:tblStyle w:val="21"/>
        <w:tblW w:w="99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975"/>
        <w:gridCol w:w="2325"/>
        <w:gridCol w:w="915"/>
        <w:gridCol w:w="1530"/>
        <w:gridCol w:w="1770"/>
        <w:gridCol w:w="915"/>
      </w:tblGrid>
      <w:tr w14:paraId="38F35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1515" w:type="dxa"/>
            <w:vAlign w:val="center"/>
          </w:tcPr>
          <w:p w14:paraId="726D95AD">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姓名</w:t>
            </w:r>
          </w:p>
        </w:tc>
        <w:tc>
          <w:tcPr>
            <w:tcW w:w="975" w:type="dxa"/>
            <w:vAlign w:val="center"/>
          </w:tcPr>
          <w:p w14:paraId="7113FE1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年龄</w:t>
            </w:r>
          </w:p>
        </w:tc>
        <w:tc>
          <w:tcPr>
            <w:tcW w:w="2325" w:type="dxa"/>
            <w:vAlign w:val="center"/>
          </w:tcPr>
          <w:p w14:paraId="2707961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拟在本项目中</w:t>
            </w:r>
          </w:p>
          <w:p w14:paraId="6915D32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担任的职务</w:t>
            </w:r>
          </w:p>
        </w:tc>
        <w:tc>
          <w:tcPr>
            <w:tcW w:w="915" w:type="dxa"/>
            <w:vAlign w:val="center"/>
          </w:tcPr>
          <w:p w14:paraId="0553A25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技术职称</w:t>
            </w:r>
          </w:p>
        </w:tc>
        <w:tc>
          <w:tcPr>
            <w:tcW w:w="1530" w:type="dxa"/>
            <w:vAlign w:val="center"/>
          </w:tcPr>
          <w:p w14:paraId="7486DB02">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建造师类别</w:t>
            </w:r>
          </w:p>
          <w:p w14:paraId="748CD6E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及注册号</w:t>
            </w:r>
          </w:p>
        </w:tc>
        <w:tc>
          <w:tcPr>
            <w:tcW w:w="1770" w:type="dxa"/>
            <w:vAlign w:val="center"/>
          </w:tcPr>
          <w:p w14:paraId="5A1D73C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累计对应岗位的工作年限（月）</w:t>
            </w:r>
          </w:p>
        </w:tc>
        <w:tc>
          <w:tcPr>
            <w:tcW w:w="915" w:type="dxa"/>
            <w:vAlign w:val="center"/>
          </w:tcPr>
          <w:p w14:paraId="36F03A2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备注</w:t>
            </w:r>
          </w:p>
        </w:tc>
      </w:tr>
      <w:tr w14:paraId="13C52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1515" w:type="dxa"/>
          </w:tcPr>
          <w:p w14:paraId="6ABEAA2B">
            <w:pPr>
              <w:pStyle w:val="53"/>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tcPr>
          <w:p w14:paraId="2F9325D0">
            <w:pPr>
              <w:pStyle w:val="53"/>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25" w:type="dxa"/>
            <w:vAlign w:val="center"/>
          </w:tcPr>
          <w:p w14:paraId="3B1E6F82">
            <w:pPr>
              <w:spacing w:before="144" w:line="240" w:lineRule="auto"/>
              <w:ind w:right="189" w:firstLine="464" w:firstLineChars="200"/>
              <w:jc w:val="both"/>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pacing w:val="-4"/>
                <w:sz w:val="24"/>
                <w14:textFill>
                  <w14:solidFill>
                    <w14:schemeClr w14:val="tx1"/>
                  </w14:solidFill>
                </w14:textFill>
              </w:rPr>
              <w:t>项目总负</w:t>
            </w:r>
            <w:r>
              <w:rPr>
                <w:rFonts w:hint="eastAsia" w:asciiTheme="minorEastAsia" w:hAnsiTheme="minorEastAsia" w:eastAsiaTheme="minorEastAsia" w:cstheme="minorEastAsia"/>
                <w:color w:val="000000" w:themeColor="text1"/>
                <w:spacing w:val="-5"/>
                <w:sz w:val="24"/>
                <w14:textFill>
                  <w14:solidFill>
                    <w14:schemeClr w14:val="tx1"/>
                  </w14:solidFill>
                </w14:textFill>
              </w:rPr>
              <w:t>责人</w:t>
            </w:r>
          </w:p>
        </w:tc>
        <w:tc>
          <w:tcPr>
            <w:tcW w:w="915" w:type="dxa"/>
            <w:vAlign w:val="center"/>
          </w:tcPr>
          <w:p w14:paraId="19A8AAFE">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76B480CD">
            <w:pPr>
              <w:spacing w:before="298" w:line="240" w:lineRule="auto"/>
              <w:ind w:left="631"/>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tc>
        <w:tc>
          <w:tcPr>
            <w:tcW w:w="1770" w:type="dxa"/>
            <w:vAlign w:val="center"/>
          </w:tcPr>
          <w:p w14:paraId="05BE30F6">
            <w:pPr>
              <w:spacing w:before="298" w:line="240" w:lineRule="auto"/>
              <w:ind w:left="739"/>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tc>
        <w:tc>
          <w:tcPr>
            <w:tcW w:w="915" w:type="dxa"/>
            <w:vAlign w:val="center"/>
          </w:tcPr>
          <w:p w14:paraId="6C6903D6">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103F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1515" w:type="dxa"/>
            <w:vAlign w:val="center"/>
          </w:tcPr>
          <w:p w14:paraId="0E0E3A3F">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2DD47AC">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0E136196">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189371A4">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25" w:type="dxa"/>
            <w:vAlign w:val="center"/>
          </w:tcPr>
          <w:p w14:paraId="6B7B5241">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项目经理</w:t>
            </w:r>
          </w:p>
        </w:tc>
        <w:tc>
          <w:tcPr>
            <w:tcW w:w="915" w:type="dxa"/>
            <w:vAlign w:val="center"/>
          </w:tcPr>
          <w:p w14:paraId="750F71DC">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6C8FF4A3">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69A90AD2">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770" w:type="dxa"/>
            <w:vAlign w:val="center"/>
          </w:tcPr>
          <w:p w14:paraId="15111300">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15" w:type="dxa"/>
            <w:vAlign w:val="center"/>
          </w:tcPr>
          <w:p w14:paraId="4B12B261">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75202BD">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01752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jc w:val="center"/>
        </w:trPr>
        <w:tc>
          <w:tcPr>
            <w:tcW w:w="1515" w:type="dxa"/>
            <w:vAlign w:val="center"/>
          </w:tcPr>
          <w:p w14:paraId="7CDF80A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2557E103">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375FEF41">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766A6F2B">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25" w:type="dxa"/>
            <w:vAlign w:val="center"/>
          </w:tcPr>
          <w:p w14:paraId="6C37CDAA">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项目总工</w:t>
            </w:r>
          </w:p>
        </w:tc>
        <w:tc>
          <w:tcPr>
            <w:tcW w:w="915" w:type="dxa"/>
            <w:vAlign w:val="center"/>
          </w:tcPr>
          <w:p w14:paraId="33D9D524">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46D28C96">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16682D69">
            <w:pPr>
              <w:spacing w:before="300" w:line="240" w:lineRule="auto"/>
              <w:ind w:left="631"/>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tc>
        <w:tc>
          <w:tcPr>
            <w:tcW w:w="1770" w:type="dxa"/>
            <w:vAlign w:val="center"/>
          </w:tcPr>
          <w:p w14:paraId="35A2E398">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15" w:type="dxa"/>
            <w:vAlign w:val="center"/>
          </w:tcPr>
          <w:p w14:paraId="45021EE0">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7D675D59">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r w14:paraId="61AA3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jc w:val="center"/>
        </w:trPr>
        <w:tc>
          <w:tcPr>
            <w:tcW w:w="1515" w:type="dxa"/>
            <w:vAlign w:val="center"/>
          </w:tcPr>
          <w:p w14:paraId="0680EE59">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1B448A87">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75" w:type="dxa"/>
            <w:vAlign w:val="center"/>
          </w:tcPr>
          <w:p w14:paraId="2F8312E0">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277EDE8">
            <w:pPr>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2325" w:type="dxa"/>
            <w:vAlign w:val="center"/>
          </w:tcPr>
          <w:p w14:paraId="5DEECD43">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设计负责人</w:t>
            </w:r>
          </w:p>
        </w:tc>
        <w:tc>
          <w:tcPr>
            <w:tcW w:w="915" w:type="dxa"/>
            <w:vAlign w:val="center"/>
          </w:tcPr>
          <w:p w14:paraId="2D455BC2">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8DDE1D7">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1530" w:type="dxa"/>
            <w:vAlign w:val="center"/>
          </w:tcPr>
          <w:p w14:paraId="532DD011">
            <w:pPr>
              <w:spacing w:before="301" w:line="240" w:lineRule="auto"/>
              <w:ind w:left="631"/>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tc>
        <w:tc>
          <w:tcPr>
            <w:tcW w:w="1770" w:type="dxa"/>
            <w:vAlign w:val="center"/>
          </w:tcPr>
          <w:p w14:paraId="1F9409A6">
            <w:pPr>
              <w:pStyle w:val="53"/>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c>
          <w:tcPr>
            <w:tcW w:w="915" w:type="dxa"/>
            <w:vAlign w:val="center"/>
          </w:tcPr>
          <w:p w14:paraId="0D42E73F">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AAE095E">
            <w:pPr>
              <w:spacing w:line="240" w:lineRule="auto"/>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p>
        </w:tc>
      </w:tr>
    </w:tbl>
    <w:p w14:paraId="2E0ABD3B">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6D0A3F39">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（六）-2拟委任的主要负责人资历表</w:t>
      </w:r>
    </w:p>
    <w:p w14:paraId="3D284FCA">
      <w:pPr>
        <w:pStyle w:val="26"/>
        <w:rPr>
          <w:rFonts w:hint="eastAsia" w:asciiTheme="minorEastAsia" w:hAnsiTheme="minorEastAsia" w:eastAsiaTheme="minorEastAsia" w:cstheme="minorEastAsia"/>
          <w:color w:val="000000" w:themeColor="text1"/>
          <w:sz w:val="24"/>
          <w:szCs w:val="22"/>
          <w14:textFill>
            <w14:solidFill>
              <w14:schemeClr w14:val="tx1"/>
            </w14:solidFill>
          </w14:textFill>
        </w:rPr>
      </w:pPr>
      <w:r>
        <w:rPr>
          <w:rFonts w:hint="eastAsia" w:asciiTheme="minorEastAsia" w:hAnsiTheme="minorEastAsia" w:eastAsiaTheme="minorEastAsia" w:cstheme="minorEastAsia"/>
          <w:color w:val="000000" w:themeColor="text1"/>
          <w:sz w:val="24"/>
          <w:szCs w:val="22"/>
          <w14:textFill>
            <w14:solidFill>
              <w14:schemeClr w14:val="tx1"/>
            </w14:solidFill>
          </w14:textFill>
        </w:rPr>
        <w:t>（项目总负责人）</w:t>
      </w:r>
    </w:p>
    <w:tbl>
      <w:tblPr>
        <w:tblStyle w:val="21"/>
        <w:tblW w:w="9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8"/>
        <w:gridCol w:w="1186"/>
        <w:gridCol w:w="264"/>
        <w:gridCol w:w="1037"/>
        <w:gridCol w:w="1354"/>
        <w:gridCol w:w="329"/>
        <w:gridCol w:w="1892"/>
        <w:gridCol w:w="1735"/>
      </w:tblGrid>
      <w:tr w14:paraId="65AAB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1818" w:type="dxa"/>
            <w:vAlign w:val="center"/>
          </w:tcPr>
          <w:p w14:paraId="4E89C96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姓名</w:t>
            </w:r>
          </w:p>
        </w:tc>
        <w:tc>
          <w:tcPr>
            <w:tcW w:w="1450" w:type="dxa"/>
            <w:gridSpan w:val="2"/>
            <w:vAlign w:val="center"/>
          </w:tcPr>
          <w:p w14:paraId="16FF75A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150E18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37" w:type="dxa"/>
            <w:vAlign w:val="center"/>
          </w:tcPr>
          <w:p w14:paraId="76E8E6C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年龄</w:t>
            </w:r>
          </w:p>
        </w:tc>
        <w:tc>
          <w:tcPr>
            <w:tcW w:w="1354" w:type="dxa"/>
            <w:vAlign w:val="center"/>
          </w:tcPr>
          <w:p w14:paraId="5FEA98B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45F098E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专业</w:t>
            </w:r>
          </w:p>
        </w:tc>
        <w:tc>
          <w:tcPr>
            <w:tcW w:w="1735" w:type="dxa"/>
            <w:vAlign w:val="center"/>
          </w:tcPr>
          <w:p w14:paraId="3A262D7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061D5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1818" w:type="dxa"/>
            <w:vAlign w:val="center"/>
          </w:tcPr>
          <w:p w14:paraId="6163765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技术职称</w:t>
            </w:r>
          </w:p>
        </w:tc>
        <w:tc>
          <w:tcPr>
            <w:tcW w:w="1450" w:type="dxa"/>
            <w:gridSpan w:val="2"/>
            <w:vAlign w:val="center"/>
          </w:tcPr>
          <w:p w14:paraId="3FBF69C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D49DB6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37" w:type="dxa"/>
            <w:vAlign w:val="center"/>
          </w:tcPr>
          <w:p w14:paraId="0572A54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学历</w:t>
            </w:r>
          </w:p>
        </w:tc>
        <w:tc>
          <w:tcPr>
            <w:tcW w:w="1354" w:type="dxa"/>
            <w:vAlign w:val="center"/>
          </w:tcPr>
          <w:p w14:paraId="1A3C859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1EDDCD0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拟在本项目包工程任职</w:t>
            </w:r>
          </w:p>
        </w:tc>
        <w:tc>
          <w:tcPr>
            <w:tcW w:w="1735" w:type="dxa"/>
            <w:vAlign w:val="center"/>
          </w:tcPr>
          <w:p w14:paraId="3E0FFB0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7617F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2EB8E9B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工作年限</w:t>
            </w:r>
          </w:p>
        </w:tc>
        <w:tc>
          <w:tcPr>
            <w:tcW w:w="3841" w:type="dxa"/>
            <w:gridSpan w:val="4"/>
            <w:vAlign w:val="center"/>
          </w:tcPr>
          <w:p w14:paraId="06EB5DA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0E74F51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类似经验年限</w:t>
            </w:r>
          </w:p>
        </w:tc>
        <w:tc>
          <w:tcPr>
            <w:tcW w:w="1735" w:type="dxa"/>
            <w:vAlign w:val="center"/>
          </w:tcPr>
          <w:p w14:paraId="37EC0F6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28AF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818" w:type="dxa"/>
            <w:vAlign w:val="center"/>
          </w:tcPr>
          <w:p w14:paraId="10D037B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毕业学校</w:t>
            </w:r>
          </w:p>
        </w:tc>
        <w:tc>
          <w:tcPr>
            <w:tcW w:w="7797" w:type="dxa"/>
            <w:gridSpan w:val="7"/>
            <w:vAlign w:val="center"/>
          </w:tcPr>
          <w:p w14:paraId="1EF6DB3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F44EED2">
            <w:pPr>
              <w:ind w:firstLine="1470" w:firstLineChars="7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年</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月毕业于</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学校</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专业，学制</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年</w:t>
            </w:r>
          </w:p>
        </w:tc>
      </w:tr>
      <w:tr w14:paraId="2D6A8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9615" w:type="dxa"/>
            <w:gridSpan w:val="8"/>
            <w:vAlign w:val="center"/>
          </w:tcPr>
          <w:p w14:paraId="78E612C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经历</w:t>
            </w:r>
          </w:p>
        </w:tc>
      </w:tr>
      <w:tr w14:paraId="4F0BF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jc w:val="center"/>
        </w:trPr>
        <w:tc>
          <w:tcPr>
            <w:tcW w:w="1818" w:type="dxa"/>
            <w:vAlign w:val="center"/>
          </w:tcPr>
          <w:p w14:paraId="69CDE1C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时间</w:t>
            </w:r>
          </w:p>
        </w:tc>
        <w:tc>
          <w:tcPr>
            <w:tcW w:w="4170" w:type="dxa"/>
            <w:gridSpan w:val="5"/>
            <w:vAlign w:val="center"/>
          </w:tcPr>
          <w:p w14:paraId="1A5BD67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参加过的类似工程项目名称</w:t>
            </w:r>
          </w:p>
        </w:tc>
        <w:tc>
          <w:tcPr>
            <w:tcW w:w="1892" w:type="dxa"/>
            <w:vAlign w:val="center"/>
          </w:tcPr>
          <w:p w14:paraId="503EF25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担任职务</w:t>
            </w:r>
          </w:p>
        </w:tc>
        <w:tc>
          <w:tcPr>
            <w:tcW w:w="1735" w:type="dxa"/>
            <w:vAlign w:val="center"/>
          </w:tcPr>
          <w:p w14:paraId="19E3B10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发包人及联系电话</w:t>
            </w:r>
          </w:p>
        </w:tc>
      </w:tr>
      <w:tr w14:paraId="26803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182D40D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1B1C91F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32190DE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0637D20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320DB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20D133E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14C0F3B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49539D2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27C0FF4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6478B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5348ADD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2641DB5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4789327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7562A59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4C630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063D7F8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0051D28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5E0579C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131CA14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56304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0F45812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787777D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1A3CB34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25B61AD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481FC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818" w:type="dxa"/>
            <w:vAlign w:val="center"/>
          </w:tcPr>
          <w:p w14:paraId="148C3C7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62F8047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5FCFDFE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44CEAF1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24FE2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0561454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7FAB63C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6D1F787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6B5E8AC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03394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44356B9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506E64A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3618A68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6ABA2C1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56C68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4886A6C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70B7EA7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5AA9E7F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4334AC6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0A227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3004" w:type="dxa"/>
            <w:gridSpan w:val="2"/>
            <w:vAlign w:val="center"/>
          </w:tcPr>
          <w:p w14:paraId="19DC4A9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获奖情况</w:t>
            </w:r>
          </w:p>
        </w:tc>
        <w:tc>
          <w:tcPr>
            <w:tcW w:w="6611" w:type="dxa"/>
            <w:gridSpan w:val="6"/>
            <w:vAlign w:val="center"/>
          </w:tcPr>
          <w:p w14:paraId="33276A3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323B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3004" w:type="dxa"/>
            <w:gridSpan w:val="2"/>
            <w:vAlign w:val="center"/>
          </w:tcPr>
          <w:p w14:paraId="678E975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备注</w:t>
            </w:r>
          </w:p>
        </w:tc>
        <w:tc>
          <w:tcPr>
            <w:tcW w:w="6611" w:type="dxa"/>
            <w:gridSpan w:val="6"/>
            <w:vAlign w:val="center"/>
          </w:tcPr>
          <w:p w14:paraId="6451046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38ECA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9615" w:type="dxa"/>
            <w:gridSpan w:val="8"/>
            <w:vAlign w:val="center"/>
          </w:tcPr>
          <w:p w14:paraId="5BC89442">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本人</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（亲笔签名）</w:t>
            </w:r>
            <w:r>
              <w:rPr>
                <w:rFonts w:hint="eastAsia" w:asciiTheme="minorEastAsia" w:hAnsiTheme="minorEastAsia" w:eastAsiaTheme="minorEastAsia" w:cstheme="minorEastAsia"/>
                <w:color w:val="000000" w:themeColor="text1"/>
                <w:lang w:val="zh-CN"/>
                <w14:textFill>
                  <w14:solidFill>
                    <w14:schemeClr w14:val="tx1"/>
                  </w14:solidFill>
                </w14:textFill>
              </w:rPr>
              <w:t>知晓自己为本项目</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（填写项目经理或项目总工）</w:t>
            </w:r>
            <w:r>
              <w:rPr>
                <w:rFonts w:hint="eastAsia" w:asciiTheme="minorEastAsia" w:hAnsiTheme="minorEastAsia" w:eastAsiaTheme="minorEastAsia" w:cstheme="minorEastAsia"/>
                <w:color w:val="000000" w:themeColor="text1"/>
                <w:lang w:val="zh-CN"/>
                <w14:textFill>
                  <w14:solidFill>
                    <w14:schemeClr w14:val="tx1"/>
                  </w14:solidFill>
                </w14:textFill>
              </w:rPr>
              <w:t>，并对真实性负责。</w:t>
            </w:r>
          </w:p>
        </w:tc>
      </w:tr>
    </w:tbl>
    <w:p w14:paraId="68F16A68">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08C172A">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注：1.本表应填写项项目总负责人相关情况。</w:t>
      </w:r>
    </w:p>
    <w:p w14:paraId="696151A4">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2.投标人应根据招标文件第二章“投标人须知”第3.5.5项的要求在本表后附相关证明材料。</w:t>
      </w:r>
    </w:p>
    <w:p w14:paraId="5585E0EF">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3.3项目总负责人签名栏可删除。</w:t>
      </w:r>
    </w:p>
    <w:p w14:paraId="3864B697">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sectPr>
          <w:pgSz w:w="11910" w:h="16840"/>
          <w:pgMar w:top="1440" w:right="1080" w:bottom="1440" w:left="1080" w:header="0" w:footer="995" w:gutter="0"/>
          <w:pgNumType w:fmt="numberInDash"/>
          <w:cols w:space="720" w:num="1"/>
        </w:sectPr>
      </w:pPr>
    </w:p>
    <w:p w14:paraId="48E701A1">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（六）-2拟委任的主要负责人资历表</w:t>
      </w:r>
    </w:p>
    <w:p w14:paraId="0B06200A">
      <w:pPr>
        <w:pStyle w:val="26"/>
        <w:rPr>
          <w:rFonts w:hint="eastAsia" w:asciiTheme="minorEastAsia" w:hAnsiTheme="minorEastAsia" w:eastAsiaTheme="minorEastAsia" w:cstheme="minorEastAsia"/>
          <w:color w:val="000000" w:themeColor="text1"/>
          <w:sz w:val="24"/>
          <w:szCs w:val="22"/>
          <w14:textFill>
            <w14:solidFill>
              <w14:schemeClr w14:val="tx1"/>
            </w14:solidFill>
          </w14:textFill>
        </w:rPr>
      </w:pPr>
      <w:r>
        <w:rPr>
          <w:rFonts w:hint="eastAsia" w:asciiTheme="minorEastAsia" w:hAnsiTheme="minorEastAsia" w:eastAsiaTheme="minorEastAsia" w:cstheme="minorEastAsia"/>
          <w:color w:val="000000" w:themeColor="text1"/>
          <w:sz w:val="24"/>
          <w:szCs w:val="22"/>
          <w14:textFill>
            <w14:solidFill>
              <w14:schemeClr w14:val="tx1"/>
            </w14:solidFill>
          </w14:textFill>
        </w:rPr>
        <w:t>（项目</w:t>
      </w:r>
      <w:r>
        <w:rPr>
          <w:rFonts w:hint="eastAsia" w:asciiTheme="minorEastAsia" w:hAnsiTheme="minorEastAsia" w:cstheme="minorEastAsia"/>
          <w:color w:val="000000" w:themeColor="text1"/>
          <w:sz w:val="24"/>
          <w:szCs w:val="22"/>
          <w:lang w:val="en-US" w:eastAsia="zh-CN"/>
          <w14:textFill>
            <w14:solidFill>
              <w14:schemeClr w14:val="tx1"/>
            </w14:solidFill>
          </w14:textFill>
        </w:rPr>
        <w:t>经理、项目总工、设计负责人</w:t>
      </w:r>
      <w:r>
        <w:rPr>
          <w:rFonts w:hint="eastAsia" w:asciiTheme="minorEastAsia" w:hAnsiTheme="minorEastAsia" w:eastAsiaTheme="minorEastAsia" w:cstheme="minorEastAsia"/>
          <w:color w:val="000000" w:themeColor="text1"/>
          <w:sz w:val="24"/>
          <w:szCs w:val="22"/>
          <w14:textFill>
            <w14:solidFill>
              <w14:schemeClr w14:val="tx1"/>
            </w14:solidFill>
          </w14:textFill>
        </w:rPr>
        <w:t>）</w:t>
      </w:r>
    </w:p>
    <w:tbl>
      <w:tblPr>
        <w:tblStyle w:val="21"/>
        <w:tblW w:w="9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8"/>
        <w:gridCol w:w="1186"/>
        <w:gridCol w:w="264"/>
        <w:gridCol w:w="1037"/>
        <w:gridCol w:w="1354"/>
        <w:gridCol w:w="329"/>
        <w:gridCol w:w="1892"/>
        <w:gridCol w:w="1735"/>
      </w:tblGrid>
      <w:tr w14:paraId="2A328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1818" w:type="dxa"/>
            <w:vAlign w:val="center"/>
          </w:tcPr>
          <w:p w14:paraId="4205CDE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姓名</w:t>
            </w:r>
          </w:p>
        </w:tc>
        <w:tc>
          <w:tcPr>
            <w:tcW w:w="1450" w:type="dxa"/>
            <w:gridSpan w:val="2"/>
            <w:vAlign w:val="center"/>
          </w:tcPr>
          <w:p w14:paraId="5E40E08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AEBA86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37" w:type="dxa"/>
            <w:vAlign w:val="center"/>
          </w:tcPr>
          <w:p w14:paraId="385AFE4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年龄</w:t>
            </w:r>
          </w:p>
        </w:tc>
        <w:tc>
          <w:tcPr>
            <w:tcW w:w="1354" w:type="dxa"/>
            <w:vAlign w:val="center"/>
          </w:tcPr>
          <w:p w14:paraId="3DAEAE7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7DBEF1E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专业</w:t>
            </w:r>
          </w:p>
        </w:tc>
        <w:tc>
          <w:tcPr>
            <w:tcW w:w="1735" w:type="dxa"/>
            <w:vAlign w:val="center"/>
          </w:tcPr>
          <w:p w14:paraId="7041A40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2B39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1818" w:type="dxa"/>
            <w:vAlign w:val="center"/>
          </w:tcPr>
          <w:p w14:paraId="1BA56B6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技术职称</w:t>
            </w:r>
          </w:p>
        </w:tc>
        <w:tc>
          <w:tcPr>
            <w:tcW w:w="1450" w:type="dxa"/>
            <w:gridSpan w:val="2"/>
            <w:vAlign w:val="center"/>
          </w:tcPr>
          <w:p w14:paraId="39A1D5A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918E4C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37" w:type="dxa"/>
            <w:vAlign w:val="center"/>
          </w:tcPr>
          <w:p w14:paraId="0656BB6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学历</w:t>
            </w:r>
          </w:p>
        </w:tc>
        <w:tc>
          <w:tcPr>
            <w:tcW w:w="1354" w:type="dxa"/>
            <w:vAlign w:val="center"/>
          </w:tcPr>
          <w:p w14:paraId="3E6C93E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7EC5726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拟在本项目包工程任职</w:t>
            </w:r>
          </w:p>
        </w:tc>
        <w:tc>
          <w:tcPr>
            <w:tcW w:w="1735" w:type="dxa"/>
            <w:vAlign w:val="center"/>
          </w:tcPr>
          <w:p w14:paraId="662C7A0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721E9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5F99052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工作年限</w:t>
            </w:r>
          </w:p>
        </w:tc>
        <w:tc>
          <w:tcPr>
            <w:tcW w:w="3841" w:type="dxa"/>
            <w:gridSpan w:val="4"/>
            <w:vAlign w:val="center"/>
          </w:tcPr>
          <w:p w14:paraId="1374C64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221" w:type="dxa"/>
            <w:gridSpan w:val="2"/>
            <w:vAlign w:val="center"/>
          </w:tcPr>
          <w:p w14:paraId="14993D5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类似经验年限</w:t>
            </w:r>
          </w:p>
        </w:tc>
        <w:tc>
          <w:tcPr>
            <w:tcW w:w="1735" w:type="dxa"/>
            <w:vAlign w:val="center"/>
          </w:tcPr>
          <w:p w14:paraId="333B117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0595E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818" w:type="dxa"/>
            <w:vAlign w:val="center"/>
          </w:tcPr>
          <w:p w14:paraId="5777C1E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毕业学校</w:t>
            </w:r>
          </w:p>
        </w:tc>
        <w:tc>
          <w:tcPr>
            <w:tcW w:w="7797" w:type="dxa"/>
            <w:gridSpan w:val="7"/>
            <w:vAlign w:val="center"/>
          </w:tcPr>
          <w:p w14:paraId="7AEA893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CA8E034">
            <w:pPr>
              <w:ind w:firstLine="1470" w:firstLineChars="700"/>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年</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月毕业于</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学校</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专业，学制</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ab/>
            </w:r>
            <w:r>
              <w:rPr>
                <w:rFonts w:hint="eastAsia" w:asciiTheme="minorEastAsia" w:hAnsiTheme="minorEastAsia" w:eastAsiaTheme="minorEastAsia" w:cstheme="minorEastAsia"/>
                <w:color w:val="000000" w:themeColor="text1"/>
                <w:lang w:val="zh-CN"/>
                <w14:textFill>
                  <w14:solidFill>
                    <w14:schemeClr w14:val="tx1"/>
                  </w14:solidFill>
                </w14:textFill>
              </w:rPr>
              <w:t>年</w:t>
            </w:r>
          </w:p>
        </w:tc>
      </w:tr>
      <w:tr w14:paraId="70FA1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9615" w:type="dxa"/>
            <w:gridSpan w:val="8"/>
            <w:vAlign w:val="center"/>
          </w:tcPr>
          <w:p w14:paraId="28945A9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经历</w:t>
            </w:r>
          </w:p>
        </w:tc>
      </w:tr>
      <w:tr w14:paraId="28195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jc w:val="center"/>
        </w:trPr>
        <w:tc>
          <w:tcPr>
            <w:tcW w:w="1818" w:type="dxa"/>
            <w:vAlign w:val="center"/>
          </w:tcPr>
          <w:p w14:paraId="3BD044F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时间</w:t>
            </w:r>
          </w:p>
        </w:tc>
        <w:tc>
          <w:tcPr>
            <w:tcW w:w="4170" w:type="dxa"/>
            <w:gridSpan w:val="5"/>
            <w:vAlign w:val="center"/>
          </w:tcPr>
          <w:p w14:paraId="6F47817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参加过的类似工程项目名称</w:t>
            </w:r>
          </w:p>
        </w:tc>
        <w:tc>
          <w:tcPr>
            <w:tcW w:w="1892" w:type="dxa"/>
            <w:vAlign w:val="center"/>
          </w:tcPr>
          <w:p w14:paraId="4108B1F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担任职务</w:t>
            </w:r>
          </w:p>
        </w:tc>
        <w:tc>
          <w:tcPr>
            <w:tcW w:w="1735" w:type="dxa"/>
            <w:vAlign w:val="center"/>
          </w:tcPr>
          <w:p w14:paraId="13DC72D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发包人及联系电话</w:t>
            </w:r>
          </w:p>
        </w:tc>
      </w:tr>
      <w:tr w14:paraId="64E63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4D3BB7E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2039CCD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2309477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0355A70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414B1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16624EF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610EE40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0D32049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41C4455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72A5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291EC6C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29670F6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450F00D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7BC608D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2038F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0ED183E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23E1DBB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4D19CAA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6B6187F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AB34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645867F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73527E6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25ABD15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4D6E088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7731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818" w:type="dxa"/>
            <w:vAlign w:val="center"/>
          </w:tcPr>
          <w:p w14:paraId="4AFB894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0EAFAB6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70301A8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3DF9503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732D6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1818" w:type="dxa"/>
            <w:vAlign w:val="center"/>
          </w:tcPr>
          <w:p w14:paraId="0752041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56F7EB6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5F2E0E3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3A5FB4C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856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0CB31FE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22F8E58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0663776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628CAF0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208AA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818" w:type="dxa"/>
            <w:vAlign w:val="center"/>
          </w:tcPr>
          <w:p w14:paraId="63440CE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4170" w:type="dxa"/>
            <w:gridSpan w:val="5"/>
            <w:vAlign w:val="center"/>
          </w:tcPr>
          <w:p w14:paraId="4EE152D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892" w:type="dxa"/>
            <w:vAlign w:val="center"/>
          </w:tcPr>
          <w:p w14:paraId="046EA09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35" w:type="dxa"/>
            <w:vAlign w:val="center"/>
          </w:tcPr>
          <w:p w14:paraId="1014BB0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62F31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3004" w:type="dxa"/>
            <w:gridSpan w:val="2"/>
            <w:vAlign w:val="center"/>
          </w:tcPr>
          <w:p w14:paraId="5BC2CC5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获奖情况</w:t>
            </w:r>
          </w:p>
        </w:tc>
        <w:tc>
          <w:tcPr>
            <w:tcW w:w="6611" w:type="dxa"/>
            <w:gridSpan w:val="6"/>
            <w:vAlign w:val="center"/>
          </w:tcPr>
          <w:p w14:paraId="726B53E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595D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3004" w:type="dxa"/>
            <w:gridSpan w:val="2"/>
            <w:vAlign w:val="center"/>
          </w:tcPr>
          <w:p w14:paraId="5CF07C5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备注</w:t>
            </w:r>
          </w:p>
        </w:tc>
        <w:tc>
          <w:tcPr>
            <w:tcW w:w="6611" w:type="dxa"/>
            <w:gridSpan w:val="6"/>
            <w:vAlign w:val="center"/>
          </w:tcPr>
          <w:p w14:paraId="0036006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5710E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jc w:val="center"/>
        </w:trPr>
        <w:tc>
          <w:tcPr>
            <w:tcW w:w="9615" w:type="dxa"/>
            <w:gridSpan w:val="8"/>
            <w:vAlign w:val="center"/>
          </w:tcPr>
          <w:p w14:paraId="00DDB9D8">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本人</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（亲笔签名）</w:t>
            </w:r>
            <w:r>
              <w:rPr>
                <w:rFonts w:hint="eastAsia" w:asciiTheme="minorEastAsia" w:hAnsiTheme="minorEastAsia" w:eastAsiaTheme="minorEastAsia" w:cstheme="minorEastAsia"/>
                <w:color w:val="000000" w:themeColor="text1"/>
                <w:lang w:val="zh-CN"/>
                <w14:textFill>
                  <w14:solidFill>
                    <w14:schemeClr w14:val="tx1"/>
                  </w14:solidFill>
                </w14:textFill>
              </w:rPr>
              <w:t>知晓自己为本项目</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（填写项目经理或项目总工）</w:t>
            </w:r>
            <w:r>
              <w:rPr>
                <w:rFonts w:hint="eastAsia" w:asciiTheme="minorEastAsia" w:hAnsiTheme="minorEastAsia" w:eastAsiaTheme="minorEastAsia" w:cstheme="minorEastAsia"/>
                <w:color w:val="000000" w:themeColor="text1"/>
                <w:lang w:val="zh-CN"/>
                <w14:textFill>
                  <w14:solidFill>
                    <w14:schemeClr w14:val="tx1"/>
                  </w14:solidFill>
                </w14:textFill>
              </w:rPr>
              <w:t>，并对真实性负责。</w:t>
            </w:r>
          </w:p>
        </w:tc>
      </w:tr>
    </w:tbl>
    <w:p w14:paraId="242B92F4">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24C81D1">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注：1.本表应填写项项目总负责人相关情况。</w:t>
      </w:r>
    </w:p>
    <w:p w14:paraId="30D5DB40">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2.投标人应根据招标文件第二章“投标人须知”第3.5.5项的要求在本表后附相关证明材料。</w:t>
      </w:r>
    </w:p>
    <w:p w14:paraId="7FA320E6">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3.3项目经理、项目总工、设计负责人均参照本表填写，设计负责人签名栏可删除。</w:t>
      </w:r>
    </w:p>
    <w:p w14:paraId="4F6C72E2">
      <w:pPr>
        <w:spacing w:line="36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sectPr>
          <w:pgSz w:w="11910" w:h="16840"/>
          <w:pgMar w:top="1440" w:right="1080" w:bottom="1440" w:left="1080" w:header="0" w:footer="995" w:gutter="0"/>
          <w:pgNumType w:fmt="numberInDash"/>
          <w:cols w:space="720" w:num="1"/>
        </w:sectPr>
      </w:pPr>
    </w:p>
    <w:p w14:paraId="21E1E6CF">
      <w:pPr>
        <w:rPr>
          <w:rFonts w:hint="eastAsia" w:asciiTheme="minorEastAsia" w:hAnsiTheme="minorEastAsia" w:eastAsiaTheme="minorEastAsia" w:cstheme="minorEastAsia"/>
          <w:color w:val="000000" w:themeColor="text1"/>
          <w14:textFill>
            <w14:solidFill>
              <w14:schemeClr w14:val="tx1"/>
            </w14:solidFill>
          </w14:textFill>
        </w:rPr>
      </w:pPr>
    </w:p>
    <w:p w14:paraId="54F1065F">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九、其他资料</w:t>
      </w:r>
    </w:p>
    <w:p w14:paraId="3D8E5955">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905DE29">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11287AED">
      <w:pPr>
        <w:spacing w:line="48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1、提供“九-1投标人的自评分表”；</w:t>
      </w:r>
    </w:p>
    <w:p w14:paraId="59009A22">
      <w:pPr>
        <w:spacing w:line="48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2、详细说明投标人在递交投标文件截止日前1年内因公路工程（含附属设施）质量、安全、履约问题或招标投标问题等原因被交通运输部、广东省交通运输厅、</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项目所在地地市级交通运输局（委）、本项目招标人或招标人的上级单位通</w:t>
      </w:r>
      <w:r>
        <w:rPr>
          <w:rFonts w:hint="eastAsia" w:asciiTheme="minorEastAsia" w:hAnsiTheme="minorEastAsia" w:eastAsiaTheme="minorEastAsia" w:cstheme="minorEastAsia"/>
          <w:color w:val="000000" w:themeColor="text1"/>
          <w:lang w:val="zh-CN"/>
          <w14:textFill>
            <w14:solidFill>
              <w14:schemeClr w14:val="tx1"/>
            </w14:solidFill>
          </w14:textFill>
        </w:rPr>
        <w:t>报批评文件。</w:t>
      </w:r>
    </w:p>
    <w:p w14:paraId="0725E17F">
      <w:pPr>
        <w:spacing w:line="480" w:lineRule="auto"/>
        <w:ind w:firstLine="420" w:firstLineChars="200"/>
        <w:jc w:val="lef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3、投标人认为需要的其它内容。</w:t>
      </w:r>
    </w:p>
    <w:p w14:paraId="67F53849">
      <w:pPr>
        <w:spacing w:line="480" w:lineRule="auto"/>
        <w:rPr>
          <w:rFonts w:hint="eastAsia" w:asciiTheme="minorEastAsia" w:hAnsiTheme="minorEastAsia" w:eastAsiaTheme="minorEastAsia" w:cstheme="minorEastAsia"/>
          <w:color w:val="000000" w:themeColor="text1"/>
          <w14:textFill>
            <w14:solidFill>
              <w14:schemeClr w14:val="tx1"/>
            </w14:solidFill>
          </w14:textFill>
        </w:rPr>
        <w:sectPr>
          <w:pgSz w:w="11910" w:h="16840"/>
          <w:pgMar w:top="1440" w:right="1080" w:bottom="1440" w:left="1080" w:header="0" w:footer="995" w:gutter="0"/>
          <w:pgNumType w:fmt="numberInDash"/>
          <w:cols w:space="720" w:num="1"/>
        </w:sectPr>
      </w:pPr>
    </w:p>
    <w:p w14:paraId="1FB50049">
      <w:pPr>
        <w:pStyle w:val="26"/>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九-1投标人的自评分表</w:t>
      </w:r>
    </w:p>
    <w:p w14:paraId="7DD8B141">
      <w:pPr>
        <w:rPr>
          <w:rFonts w:hint="eastAsia" w:asciiTheme="minorEastAsia" w:hAnsiTheme="minorEastAsia" w:eastAsiaTheme="minorEastAsia" w:cstheme="minorEastAsia"/>
          <w:color w:val="000000" w:themeColor="text1"/>
          <w:lang w:val="zh-CN"/>
          <w14:textFill>
            <w14:solidFill>
              <w14:schemeClr w14:val="tx1"/>
            </w14:solidFill>
          </w14:textFill>
        </w:rPr>
      </w:pPr>
    </w:p>
    <w:tbl>
      <w:tblPr>
        <w:tblStyle w:val="21"/>
        <w:tblW w:w="94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17"/>
        <w:gridCol w:w="1799"/>
        <w:gridCol w:w="1324"/>
        <w:gridCol w:w="1311"/>
        <w:gridCol w:w="1028"/>
        <w:gridCol w:w="1456"/>
        <w:gridCol w:w="1515"/>
      </w:tblGrid>
      <w:tr w14:paraId="52E4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 w:hRule="atLeast"/>
          <w:jc w:val="center"/>
        </w:trPr>
        <w:tc>
          <w:tcPr>
            <w:tcW w:w="1017" w:type="dxa"/>
            <w:vAlign w:val="center"/>
          </w:tcPr>
          <w:p w14:paraId="7D15086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序号</w:t>
            </w:r>
          </w:p>
        </w:tc>
        <w:tc>
          <w:tcPr>
            <w:tcW w:w="1799" w:type="dxa"/>
            <w:vAlign w:val="center"/>
          </w:tcPr>
          <w:p w14:paraId="2AF0C9D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评分因素</w:t>
            </w:r>
          </w:p>
        </w:tc>
        <w:tc>
          <w:tcPr>
            <w:tcW w:w="1324" w:type="dxa"/>
            <w:vAlign w:val="center"/>
          </w:tcPr>
          <w:p w14:paraId="727AFB6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满分</w:t>
            </w:r>
          </w:p>
        </w:tc>
        <w:tc>
          <w:tcPr>
            <w:tcW w:w="1311" w:type="dxa"/>
            <w:tcBorders>
              <w:right w:val="single" w:color="000000" w:sz="4" w:space="0"/>
            </w:tcBorders>
            <w:vAlign w:val="center"/>
          </w:tcPr>
          <w:p w14:paraId="730BFCF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评分标准</w:t>
            </w:r>
          </w:p>
        </w:tc>
        <w:tc>
          <w:tcPr>
            <w:tcW w:w="1028" w:type="dxa"/>
            <w:tcBorders>
              <w:left w:val="single" w:color="000000" w:sz="4" w:space="0"/>
              <w:right w:val="single" w:color="000000" w:sz="4" w:space="0"/>
            </w:tcBorders>
            <w:vAlign w:val="center"/>
          </w:tcPr>
          <w:p w14:paraId="2DF408C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自评分</w:t>
            </w:r>
          </w:p>
        </w:tc>
        <w:tc>
          <w:tcPr>
            <w:tcW w:w="1456" w:type="dxa"/>
            <w:tcBorders>
              <w:left w:val="single" w:color="000000" w:sz="4" w:space="0"/>
              <w:right w:val="single" w:color="000000" w:sz="4" w:space="0"/>
            </w:tcBorders>
            <w:vAlign w:val="center"/>
          </w:tcPr>
          <w:p w14:paraId="0600FEE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评分情况说明</w:t>
            </w:r>
          </w:p>
        </w:tc>
        <w:tc>
          <w:tcPr>
            <w:tcW w:w="1515" w:type="dxa"/>
            <w:tcBorders>
              <w:left w:val="single" w:color="000000" w:sz="4" w:space="0"/>
            </w:tcBorders>
            <w:vAlign w:val="center"/>
          </w:tcPr>
          <w:p w14:paraId="6F3EAFA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页码索引</w:t>
            </w:r>
          </w:p>
        </w:tc>
      </w:tr>
      <w:tr w14:paraId="27AF5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0" w:hRule="atLeast"/>
          <w:jc w:val="center"/>
        </w:trPr>
        <w:tc>
          <w:tcPr>
            <w:tcW w:w="1017" w:type="dxa"/>
            <w:vAlign w:val="center"/>
          </w:tcPr>
          <w:p w14:paraId="36259C6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BEEF54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944DCB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99" w:type="dxa"/>
            <w:vAlign w:val="center"/>
          </w:tcPr>
          <w:p w14:paraId="61D53C1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C6F1AE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D67832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24" w:type="dxa"/>
            <w:vAlign w:val="center"/>
          </w:tcPr>
          <w:p w14:paraId="67205A3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F310BE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7A176C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11" w:type="dxa"/>
            <w:tcBorders>
              <w:right w:val="single" w:color="000000" w:sz="4" w:space="0"/>
            </w:tcBorders>
            <w:vAlign w:val="center"/>
          </w:tcPr>
          <w:p w14:paraId="08577BE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1F3A0AD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10BEA87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28" w:type="dxa"/>
            <w:tcBorders>
              <w:left w:val="single" w:color="000000" w:sz="4" w:space="0"/>
              <w:right w:val="single" w:color="000000" w:sz="4" w:space="0"/>
            </w:tcBorders>
            <w:vAlign w:val="center"/>
          </w:tcPr>
          <w:p w14:paraId="7D52505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9E2369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655E04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456" w:type="dxa"/>
            <w:tcBorders>
              <w:left w:val="single" w:color="000000" w:sz="4" w:space="0"/>
              <w:right w:val="single" w:color="000000" w:sz="4" w:space="0"/>
            </w:tcBorders>
            <w:vAlign w:val="center"/>
          </w:tcPr>
          <w:p w14:paraId="378ADDD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56C475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5FA634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515" w:type="dxa"/>
            <w:tcBorders>
              <w:left w:val="single" w:color="000000" w:sz="4" w:space="0"/>
            </w:tcBorders>
            <w:vAlign w:val="center"/>
          </w:tcPr>
          <w:p w14:paraId="71BE450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B6AC88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A9CAD4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4682E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 w:hRule="atLeast"/>
          <w:jc w:val="center"/>
        </w:trPr>
        <w:tc>
          <w:tcPr>
            <w:tcW w:w="1017" w:type="dxa"/>
            <w:vAlign w:val="center"/>
          </w:tcPr>
          <w:p w14:paraId="0D8BA59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15B867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F4348F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352361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99" w:type="dxa"/>
            <w:vAlign w:val="center"/>
          </w:tcPr>
          <w:p w14:paraId="03F209F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7751B0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299D0C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1EAD0F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24" w:type="dxa"/>
            <w:vAlign w:val="center"/>
          </w:tcPr>
          <w:p w14:paraId="68602EF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CF65DEC">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27DF64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55F0AC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11" w:type="dxa"/>
            <w:tcBorders>
              <w:right w:val="single" w:color="000000" w:sz="4" w:space="0"/>
            </w:tcBorders>
            <w:vAlign w:val="center"/>
          </w:tcPr>
          <w:p w14:paraId="3A2DDC4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C682AB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133AAA2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28" w:type="dxa"/>
            <w:tcBorders>
              <w:left w:val="single" w:color="000000" w:sz="4" w:space="0"/>
              <w:right w:val="single" w:color="000000" w:sz="4" w:space="0"/>
            </w:tcBorders>
            <w:vAlign w:val="center"/>
          </w:tcPr>
          <w:p w14:paraId="4C9EA2E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CDCB17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9900C0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456" w:type="dxa"/>
            <w:tcBorders>
              <w:left w:val="single" w:color="000000" w:sz="4" w:space="0"/>
              <w:right w:val="single" w:color="000000" w:sz="4" w:space="0"/>
            </w:tcBorders>
            <w:vAlign w:val="center"/>
          </w:tcPr>
          <w:p w14:paraId="66292EA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4EF573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CF0D82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515" w:type="dxa"/>
            <w:tcBorders>
              <w:left w:val="single" w:color="000000" w:sz="4" w:space="0"/>
            </w:tcBorders>
            <w:vAlign w:val="center"/>
          </w:tcPr>
          <w:p w14:paraId="3EA22D5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EB200C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DD59A0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1B71E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5" w:hRule="atLeast"/>
          <w:jc w:val="center"/>
        </w:trPr>
        <w:tc>
          <w:tcPr>
            <w:tcW w:w="1017" w:type="dxa"/>
            <w:vAlign w:val="center"/>
          </w:tcPr>
          <w:p w14:paraId="2793D82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DD8AFD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CDE396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44DC32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99" w:type="dxa"/>
            <w:vAlign w:val="center"/>
          </w:tcPr>
          <w:p w14:paraId="164527C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613F15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61F17C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1DF564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24" w:type="dxa"/>
            <w:vAlign w:val="center"/>
          </w:tcPr>
          <w:p w14:paraId="0FFEA650">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73EF27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4E8FAA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8E3B0D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11" w:type="dxa"/>
            <w:tcBorders>
              <w:right w:val="single" w:color="000000" w:sz="4" w:space="0"/>
            </w:tcBorders>
            <w:vAlign w:val="center"/>
          </w:tcPr>
          <w:p w14:paraId="520393A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E44310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919BEB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BB594E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28" w:type="dxa"/>
            <w:tcBorders>
              <w:left w:val="single" w:color="000000" w:sz="4" w:space="0"/>
              <w:right w:val="single" w:color="000000" w:sz="4" w:space="0"/>
            </w:tcBorders>
            <w:vAlign w:val="center"/>
          </w:tcPr>
          <w:p w14:paraId="001DF40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18286F1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239989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69F067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456" w:type="dxa"/>
            <w:tcBorders>
              <w:left w:val="single" w:color="000000" w:sz="4" w:space="0"/>
              <w:right w:val="single" w:color="000000" w:sz="4" w:space="0"/>
            </w:tcBorders>
            <w:vAlign w:val="center"/>
          </w:tcPr>
          <w:p w14:paraId="2DC8D99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D4FD96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B535D8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8386846">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515" w:type="dxa"/>
            <w:tcBorders>
              <w:left w:val="single" w:color="000000" w:sz="4" w:space="0"/>
            </w:tcBorders>
            <w:vAlign w:val="center"/>
          </w:tcPr>
          <w:p w14:paraId="070529E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C25995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979C78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FE83CD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40EDD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3" w:hRule="atLeast"/>
          <w:jc w:val="center"/>
        </w:trPr>
        <w:tc>
          <w:tcPr>
            <w:tcW w:w="1017" w:type="dxa"/>
            <w:tcBorders>
              <w:left w:val="single" w:color="000000" w:sz="4" w:space="0"/>
            </w:tcBorders>
            <w:vAlign w:val="center"/>
          </w:tcPr>
          <w:p w14:paraId="7CF8FA5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6A9760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799" w:type="dxa"/>
            <w:vAlign w:val="center"/>
          </w:tcPr>
          <w:p w14:paraId="5E211BC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7341855">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24" w:type="dxa"/>
            <w:vAlign w:val="center"/>
          </w:tcPr>
          <w:p w14:paraId="649649B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7496232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11" w:type="dxa"/>
            <w:tcBorders>
              <w:right w:val="single" w:color="000000" w:sz="4" w:space="0"/>
            </w:tcBorders>
            <w:vAlign w:val="center"/>
          </w:tcPr>
          <w:p w14:paraId="3ED07CAB">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F4B87C2">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028" w:type="dxa"/>
            <w:tcBorders>
              <w:left w:val="single" w:color="000000" w:sz="4" w:space="0"/>
            </w:tcBorders>
            <w:vAlign w:val="center"/>
          </w:tcPr>
          <w:p w14:paraId="6FA3FCE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12B4667">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456" w:type="dxa"/>
            <w:vAlign w:val="center"/>
          </w:tcPr>
          <w:p w14:paraId="74388E58">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38B9B74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515" w:type="dxa"/>
            <w:vAlign w:val="center"/>
          </w:tcPr>
          <w:p w14:paraId="47B85CE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06D1FD44">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r>
      <w:tr w14:paraId="6F133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4" w:hRule="atLeast"/>
          <w:jc w:val="center"/>
        </w:trPr>
        <w:tc>
          <w:tcPr>
            <w:tcW w:w="2816" w:type="dxa"/>
            <w:gridSpan w:val="2"/>
            <w:tcBorders>
              <w:bottom w:val="single" w:color="000000" w:sz="4" w:space="0"/>
            </w:tcBorders>
            <w:vAlign w:val="center"/>
          </w:tcPr>
          <w:p w14:paraId="7F1BA169">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20C482E">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合计</w:t>
            </w:r>
          </w:p>
        </w:tc>
        <w:tc>
          <w:tcPr>
            <w:tcW w:w="1324" w:type="dxa"/>
            <w:tcBorders>
              <w:bottom w:val="single" w:color="000000" w:sz="4" w:space="0"/>
            </w:tcBorders>
            <w:vAlign w:val="center"/>
          </w:tcPr>
          <w:p w14:paraId="0C3A037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28A40EF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1311" w:type="dxa"/>
            <w:tcBorders>
              <w:bottom w:val="single" w:color="000000" w:sz="4" w:space="0"/>
              <w:right w:val="single" w:color="000000" w:sz="4" w:space="0"/>
            </w:tcBorders>
            <w:vAlign w:val="center"/>
          </w:tcPr>
          <w:p w14:paraId="38DF5461">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6AB4D29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p>
        </w:tc>
        <w:tc>
          <w:tcPr>
            <w:tcW w:w="1028" w:type="dxa"/>
            <w:tcBorders>
              <w:left w:val="single" w:color="000000" w:sz="4" w:space="0"/>
              <w:bottom w:val="single" w:color="000000" w:sz="4" w:space="0"/>
            </w:tcBorders>
            <w:vAlign w:val="center"/>
          </w:tcPr>
          <w:p w14:paraId="3600FF3F">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5F4CD36D">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tc>
        <w:tc>
          <w:tcPr>
            <w:tcW w:w="2971" w:type="dxa"/>
            <w:gridSpan w:val="2"/>
            <w:tcBorders>
              <w:bottom w:val="single" w:color="000000" w:sz="4" w:space="0"/>
            </w:tcBorders>
            <w:vAlign w:val="center"/>
          </w:tcPr>
          <w:p w14:paraId="2157D7A3">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p>
          <w:p w14:paraId="41F8564A">
            <w:pPr>
              <w:jc w:val="cente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w:t>
            </w:r>
          </w:p>
        </w:tc>
      </w:tr>
    </w:tbl>
    <w:p w14:paraId="4F80EF08">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205EE60B">
      <w:pPr>
        <w:jc w:val="right"/>
        <w:rPr>
          <w:rFonts w:hint="eastAsia" w:asciiTheme="minorEastAsia" w:hAnsiTheme="minorEastAsia" w:eastAsiaTheme="minorEastAsia" w:cstheme="minorEastAsia"/>
          <w:color w:val="000000" w:themeColor="text1"/>
          <w:lang w:val="zh-CN"/>
          <w14:textFill>
            <w14:solidFill>
              <w14:schemeClr w14:val="tx1"/>
            </w14:solidFill>
          </w14:textFill>
        </w:rPr>
      </w:pPr>
    </w:p>
    <w:p w14:paraId="73ABE931">
      <w:pPr>
        <w:jc w:val="right"/>
        <w:rPr>
          <w:rFonts w:hint="eastAsia" w:asciiTheme="minorEastAsia" w:hAnsiTheme="minorEastAsia" w:eastAsiaTheme="minorEastAsia" w:cstheme="minorEastAsia"/>
          <w:color w:val="000000" w:themeColor="text1"/>
          <w:lang w:val="zh-CN"/>
          <w14:textFill>
            <w14:solidFill>
              <w14:schemeClr w14:val="tx1"/>
            </w14:solidFill>
          </w14:textFill>
        </w:rPr>
      </w:pPr>
    </w:p>
    <w:p w14:paraId="251DFBA8">
      <w:pPr>
        <w:jc w:val="righ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投标人：（盖单位章）</w:t>
      </w:r>
    </w:p>
    <w:p w14:paraId="0A4C2371">
      <w:pPr>
        <w:jc w:val="right"/>
        <w:rPr>
          <w:rFonts w:hint="eastAsia" w:asciiTheme="minorEastAsia" w:hAnsiTheme="minorEastAsia" w:eastAsiaTheme="minorEastAsia" w:cstheme="minorEastAsia"/>
          <w:color w:val="000000" w:themeColor="text1"/>
          <w:lang w:val="zh-CN"/>
          <w14:textFill>
            <w14:solidFill>
              <w14:schemeClr w14:val="tx1"/>
            </w14:solidFill>
          </w14:textFill>
        </w:rPr>
      </w:pPr>
    </w:p>
    <w:p w14:paraId="25F85D80">
      <w:pPr>
        <w:jc w:val="right"/>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t>法定代表人或其委托代理人：（签字）</w:t>
      </w:r>
    </w:p>
    <w:p w14:paraId="4427BADC">
      <w:pPr>
        <w:rPr>
          <w:rFonts w:hint="eastAsia" w:asciiTheme="minorEastAsia" w:hAnsiTheme="minorEastAsia" w:eastAsiaTheme="minorEastAsia" w:cstheme="minorEastAsia"/>
          <w:color w:val="000000" w:themeColor="text1"/>
          <w:lang w:val="zh-CN"/>
          <w14:textFill>
            <w14:solidFill>
              <w14:schemeClr w14:val="tx1"/>
            </w14:solidFill>
          </w14:textFill>
        </w:rPr>
      </w:pPr>
      <w:r>
        <w:rPr>
          <w:rFonts w:hint="eastAsia" w:asciiTheme="minorEastAsia" w:hAnsiTheme="minorEastAsia" w:eastAsiaTheme="minorEastAsia" w:cstheme="minorEastAsia"/>
          <w:color w:val="000000" w:themeColor="text1"/>
          <w:lang w:val="zh-CN"/>
          <w14:textFill>
            <w14:solidFill>
              <w14:schemeClr w14:val="tx1"/>
            </w14:solidFill>
          </w14:textFill>
        </w:rPr>
        <w:br w:type="page"/>
      </w:r>
    </w:p>
    <w:p w14:paraId="43386F13">
      <w:pPr>
        <w:pStyle w:val="6"/>
        <w:rPr>
          <w:rFonts w:hint="eastAsia" w:asciiTheme="minorEastAsia" w:hAnsiTheme="minorEastAsia" w:eastAsiaTheme="minorEastAsia" w:cstheme="minorEastAsia"/>
          <w:color w:val="000000" w:themeColor="text1"/>
          <w:lang w:val="zh-CN"/>
          <w14:textFill>
            <w14:solidFill>
              <w14:schemeClr w14:val="tx1"/>
            </w14:solidFill>
          </w14:textFill>
        </w:rPr>
      </w:pPr>
    </w:p>
    <w:p w14:paraId="670A0DFB">
      <w:pPr>
        <w:jc w:val="center"/>
        <w:rPr>
          <w:rFonts w:hint="eastAsia" w:asciiTheme="minorEastAsia" w:hAnsiTheme="minorEastAsia" w:eastAsiaTheme="minorEastAsia" w:cstheme="minorEastAsia"/>
          <w:b/>
          <w:bCs/>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u w:val="single"/>
          <w:lang w:val="zh-CN"/>
          <w14:textFill>
            <w14:solidFill>
              <w14:schemeClr w14:val="tx1"/>
            </w14:solidFill>
          </w14:textFill>
        </w:rPr>
        <w:t>（项目名称）</w:t>
      </w:r>
    </w:p>
    <w:p w14:paraId="07C74D79">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3F3D508">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3C403E9E">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7AEFB69">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EEF8D9C">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71888CB">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3449588">
      <w:pPr>
        <w:jc w:val="cente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9296EAE">
      <w:pPr>
        <w:jc w:val="cente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t>投标文件</w:t>
      </w:r>
    </w:p>
    <w:p w14:paraId="3587CED2">
      <w:pPr>
        <w:jc w:val="cente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pPr>
    </w:p>
    <w:p w14:paraId="36161E50">
      <w:pPr>
        <w:jc w:val="cente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pPr>
      <w:r>
        <w:rPr>
          <w:rFonts w:hint="eastAsia" w:asciiTheme="minorEastAsia" w:hAnsiTheme="minorEastAsia" w:eastAsiaTheme="minorEastAsia" w:cstheme="minorEastAsia"/>
          <w:color w:val="000000" w:themeColor="text1"/>
          <w:sz w:val="36"/>
          <w:szCs w:val="36"/>
          <w:lang w:val="zh-CN"/>
          <w14:textFill>
            <w14:solidFill>
              <w14:schemeClr w14:val="tx1"/>
            </w14:solidFill>
          </w14:textFill>
        </w:rPr>
        <w:t>（第二个信封报价文件）</w:t>
      </w:r>
    </w:p>
    <w:p w14:paraId="0995BC9B">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0713C1B">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31BC1AF">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AE2234C">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50711AD0">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E1E6F50">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0A10A0F">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D0BAB8F">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3C132B7">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5C35EEF">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631DE976">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0D9250C7">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41318DE7">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51DA5D2">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7D6F2707">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C392B29">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83981DD">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4137B714">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11775229">
      <w:pPr>
        <w:rPr>
          <w:rFonts w:hint="eastAsia" w:asciiTheme="minorEastAsia" w:hAnsiTheme="minorEastAsia" w:eastAsiaTheme="minorEastAsia" w:cstheme="minorEastAsia"/>
          <w:color w:val="000000" w:themeColor="text1"/>
          <w:sz w:val="28"/>
          <w:szCs w:val="28"/>
          <w:lang w:val="zh-CN"/>
          <w14:textFill>
            <w14:solidFill>
              <w14:schemeClr w14:val="tx1"/>
            </w14:solidFill>
          </w14:textFill>
        </w:rPr>
      </w:pPr>
    </w:p>
    <w:p w14:paraId="2997A4D8">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投标人：（盖单位章）</w:t>
      </w:r>
    </w:p>
    <w:p w14:paraId="399BC3EB">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p>
    <w:p w14:paraId="27B7D2DB">
      <w:pPr>
        <w:jc w:val="cente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年</w:t>
      </w:r>
      <w:r>
        <w:rPr>
          <w:rFonts w:hint="eastAsia" w:asciiTheme="minorEastAsia" w:hAnsi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月</w:t>
      </w:r>
      <w:r>
        <w:rPr>
          <w:rFonts w:hint="eastAsia" w:asciiTheme="minorEastAsia" w:hAnsiTheme="minorEastAsia" w:cstheme="minorEastAsia"/>
          <w:color w:val="000000" w:themeColor="text1"/>
          <w:sz w:val="32"/>
          <w:szCs w:val="32"/>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t>日</w:t>
      </w:r>
    </w:p>
    <w:p w14:paraId="5220F625">
      <w:pP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zh-CN"/>
          <w14:textFill>
            <w14:solidFill>
              <w14:schemeClr w14:val="tx1"/>
            </w14:solidFill>
          </w14:textFill>
        </w:rPr>
        <w:br w:type="page"/>
      </w:r>
    </w:p>
    <w:p w14:paraId="558FDA6F">
      <w:pPr>
        <w:jc w:val="center"/>
        <w:rPr>
          <w:rFonts w:hint="eastAsia" w:asciiTheme="minorEastAsia" w:hAnsiTheme="minorEastAsia" w:eastAsiaTheme="minorEastAsia" w:cstheme="minorEastAsia"/>
          <w:b/>
          <w:bCs/>
          <w:color w:val="000000" w:themeColor="text1"/>
          <w:sz w:val="36"/>
          <w:szCs w:val="44"/>
          <w:lang w:val="zh-CN"/>
          <w14:textFill>
            <w14:solidFill>
              <w14:schemeClr w14:val="tx1"/>
            </w14:solidFill>
          </w14:textFill>
        </w:rPr>
      </w:pPr>
      <w:r>
        <w:rPr>
          <w:rFonts w:hint="eastAsia" w:asciiTheme="minorEastAsia" w:hAnsiTheme="minorEastAsia" w:eastAsiaTheme="minorEastAsia" w:cstheme="minorEastAsia"/>
          <w:b/>
          <w:bCs/>
          <w:color w:val="000000" w:themeColor="text1"/>
          <w:sz w:val="36"/>
          <w:szCs w:val="44"/>
          <w:lang w:val="zh-CN"/>
          <w14:textFill>
            <w14:solidFill>
              <w14:schemeClr w14:val="tx1"/>
            </w14:solidFill>
          </w14:textFill>
        </w:rPr>
        <w:t>目录</w:t>
      </w:r>
    </w:p>
    <w:p w14:paraId="0ABBAADF">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5C96D89E">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22011AAA">
      <w:pPr>
        <w:spacing w:line="360" w:lineRule="auto"/>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一、投标函</w:t>
      </w:r>
    </w:p>
    <w:p w14:paraId="1F68A980">
      <w:pPr>
        <w:spacing w:line="360" w:lineRule="auto"/>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二、报价清单</w:t>
      </w:r>
    </w:p>
    <w:p w14:paraId="0D3B60C1">
      <w:pPr>
        <w:rPr>
          <w:rFonts w:hint="eastAsia" w:asciiTheme="minorEastAsia" w:hAnsiTheme="minorEastAsia" w:eastAsiaTheme="minorEastAsia" w:cstheme="minorEastAsia"/>
          <w:b/>
          <w:bCs/>
          <w:color w:val="000000" w:themeColor="text1"/>
          <w:sz w:val="24"/>
          <w:szCs w:val="32"/>
          <w:lang w:val="zh-CN"/>
          <w14:textFill>
            <w14:solidFill>
              <w14:schemeClr w14:val="tx1"/>
            </w14:solidFill>
          </w14:textFill>
        </w:rPr>
      </w:pPr>
    </w:p>
    <w:p w14:paraId="7670E240">
      <w:pPr>
        <w:rPr>
          <w:rFonts w:hint="eastAsia" w:asciiTheme="minorEastAsia" w:hAnsiTheme="minorEastAsia" w:eastAsiaTheme="minorEastAsia" w:cstheme="minorEastAsia"/>
          <w:b/>
          <w:bCs/>
          <w:color w:val="000000" w:themeColor="text1"/>
          <w:sz w:val="24"/>
          <w:szCs w:val="32"/>
          <w14:textFill>
            <w14:solidFill>
              <w14:schemeClr w14:val="tx1"/>
            </w14:solidFill>
          </w14:textFill>
        </w:rPr>
        <w:sectPr>
          <w:pgSz w:w="11910" w:h="16840"/>
          <w:pgMar w:top="1440" w:right="1080" w:bottom="1440" w:left="1080" w:header="0" w:footer="995" w:gutter="0"/>
          <w:pgNumType w:fmt="numberInDash"/>
          <w:cols w:space="720" w:num="1"/>
        </w:sectPr>
      </w:pPr>
    </w:p>
    <w:p w14:paraId="01EA238E">
      <w:pPr>
        <w:pStyle w:val="26"/>
        <w:rPr>
          <w:rFonts w:hint="eastAsia" w:asciiTheme="minorEastAsia" w:hAnsiTheme="minorEastAsia" w:eastAsiaTheme="minorEastAsia" w:cstheme="minorEastAsia"/>
          <w:color w:val="000000" w:themeColor="text1"/>
          <w14:textFill>
            <w14:solidFill>
              <w14:schemeClr w14:val="tx1"/>
            </w14:solidFill>
          </w14:textFill>
        </w:rPr>
      </w:pPr>
      <w:bookmarkStart w:id="63" w:name="_Toc28292"/>
      <w:r>
        <w:rPr>
          <w:rFonts w:hint="eastAsia" w:asciiTheme="minorEastAsia" w:hAnsiTheme="minorEastAsia" w:eastAsiaTheme="minorEastAsia" w:cstheme="minorEastAsia"/>
          <w:color w:val="000000" w:themeColor="text1"/>
          <w14:textFill>
            <w14:solidFill>
              <w14:schemeClr w14:val="tx1"/>
            </w14:solidFill>
          </w14:textFill>
        </w:rPr>
        <w:t>一、投标函</w:t>
      </w:r>
      <w:bookmarkEnd w:id="63"/>
    </w:p>
    <w:p w14:paraId="0E62B43D">
      <w:pPr>
        <w:rPr>
          <w:rFonts w:hint="eastAsia" w:asciiTheme="minorEastAsia" w:hAnsiTheme="minorEastAsia" w:eastAsiaTheme="minorEastAsia" w:cstheme="minorEastAsia"/>
          <w:color w:val="000000" w:themeColor="text1"/>
          <w:lang w:val="zh-CN"/>
          <w14:textFill>
            <w14:solidFill>
              <w14:schemeClr w14:val="tx1"/>
            </w14:solidFill>
          </w14:textFill>
        </w:rPr>
      </w:pPr>
    </w:p>
    <w:p w14:paraId="7BA93DBC">
      <w:pPr>
        <w:jc w:val="center"/>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（一）投标函</w:t>
      </w:r>
    </w:p>
    <w:p w14:paraId="26B24145">
      <w:pPr>
        <w:spacing w:line="360" w:lineRule="exact"/>
        <w:rPr>
          <w:rFonts w:hint="eastAsia" w:asciiTheme="minorEastAsia" w:hAnsiTheme="minorEastAsia" w:eastAsiaTheme="minorEastAsia" w:cstheme="minorEastAsia"/>
          <w:color w:val="000000" w:themeColor="text1"/>
          <w:sz w:val="24"/>
          <w14:textFill>
            <w14:solidFill>
              <w14:schemeClr w14:val="tx1"/>
            </w14:solidFill>
          </w14:textFill>
        </w:rPr>
      </w:pPr>
    </w:p>
    <w:p w14:paraId="1F7EC42B">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u w:val="single"/>
          <w14:textFill>
            <w14:solidFill>
              <w14:schemeClr w14:val="tx1"/>
            </w14:solidFill>
          </w14:textFill>
        </w:rPr>
        <w:t>　　</w:t>
      </w:r>
      <w:r>
        <w:rPr>
          <w:rFonts w:hint="eastAsia" w:asciiTheme="minorEastAsia" w:hAnsiTheme="minorEastAsia" w:eastAsiaTheme="minorEastAsia" w:cstheme="minorEastAsia"/>
          <w:color w:val="000000" w:themeColor="text1"/>
          <w:sz w:val="24"/>
          <w14:textFill>
            <w14:solidFill>
              <w14:schemeClr w14:val="tx1"/>
            </w14:solidFill>
          </w14:textFill>
        </w:rPr>
        <w:t>（招标人名称）：</w:t>
      </w:r>
    </w:p>
    <w:p w14:paraId="5D385FC4">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1.我方已仔细研究</w:t>
      </w:r>
      <w:r>
        <w:rPr>
          <w:rFonts w:hint="eastAsia" w:asciiTheme="minorEastAsia" w:hAnsiTheme="minorEastAsia" w:eastAsiaTheme="minorEastAsia" w:cstheme="minorEastAsia"/>
          <w:color w:val="000000" w:themeColor="text1"/>
          <w:sz w:val="24"/>
          <w:u w:val="single"/>
          <w14:textFill>
            <w14:solidFill>
              <w14:schemeClr w14:val="tx1"/>
            </w14:solidFill>
          </w14:textFill>
        </w:rPr>
        <w:t>（项目名称）</w:t>
      </w:r>
      <w:r>
        <w:rPr>
          <w:rFonts w:hint="eastAsia" w:asciiTheme="minorEastAsia" w:hAnsiTheme="minorEastAsia" w:eastAsiaTheme="minorEastAsia" w:cstheme="minorEastAsia"/>
          <w:color w:val="000000" w:themeColor="text1"/>
          <w:sz w:val="24"/>
          <w14:textFill>
            <w14:solidFill>
              <w14:schemeClr w14:val="tx1"/>
            </w14:solidFill>
          </w14:textFill>
        </w:rPr>
        <w:t>招标文件的全部内容（含补遗书），在考察工程现场后，愿意以人民币（大写）元（¥）的投标总报价（或根据招标文件规定修正核实后确定的另一金额，其中，勘察设计合计费用为人民币(大写)元(¥元)，增值税税率为；建安工程费用为人民币(大写)元(¥元)，增值税税率为），按合同约定实施和完成承包工程，修补工程中的任何缺陷。</w:t>
      </w:r>
    </w:p>
    <w:p w14:paraId="56BEBA3E">
      <w:pPr>
        <w:spacing w:line="360" w:lineRule="auto"/>
        <w:ind w:firstLine="48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2.我方按照合同要求，经财审后的建安工程造价×结算费率作为最终结算价。结算费率=建安工程中标价/最高投标限价中的建安工程费。</w:t>
      </w:r>
    </w:p>
    <w:p w14:paraId="6DFBC6C5">
      <w:pPr>
        <w:spacing w:line="360" w:lineRule="auto"/>
        <w:ind w:firstLine="48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3.在合同协议书正式签署生效之前，本投标函连同你方的中标通知书将构成我们双方之间共同遵守的文件，对双方具有约束力。</w:t>
      </w:r>
    </w:p>
    <w:p w14:paraId="6F056322">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4.（其他补充说明）。</w:t>
      </w:r>
    </w:p>
    <w:p w14:paraId="3CB8FB06">
      <w:pPr>
        <w:spacing w:line="360" w:lineRule="auto"/>
        <w:ind w:firstLine="420" w:firstLineChars="200"/>
        <w:rPr>
          <w:rFonts w:hint="eastAsia" w:asciiTheme="minorEastAsia" w:hAnsiTheme="minorEastAsia" w:eastAsiaTheme="minorEastAsia" w:cstheme="minorEastAsia"/>
          <w:color w:val="000000" w:themeColor="text1"/>
          <w:szCs w:val="21"/>
          <w14:textFill>
            <w14:solidFill>
              <w14:schemeClr w14:val="tx1"/>
            </w14:solidFill>
          </w14:textFill>
        </w:rPr>
      </w:pPr>
    </w:p>
    <w:p w14:paraId="1F82EFC5">
      <w:pPr>
        <w:spacing w:line="360" w:lineRule="auto"/>
        <w:ind w:firstLine="420" w:firstLineChars="200"/>
        <w:jc w:val="right"/>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7D352331">
      <w:pPr>
        <w:spacing w:line="360" w:lineRule="auto"/>
        <w:ind w:firstLine="420" w:firstLineChars="200"/>
        <w:jc w:val="right"/>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7A940BB4">
      <w:pPr>
        <w:spacing w:line="360" w:lineRule="auto"/>
        <w:ind w:firstLine="480" w:firstLineChars="200"/>
        <w:jc w:val="righ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投标人：（盖单位章）</w:t>
      </w:r>
    </w:p>
    <w:p w14:paraId="1C91F0CE">
      <w:pPr>
        <w:spacing w:line="360" w:lineRule="auto"/>
        <w:ind w:firstLine="480" w:firstLineChars="200"/>
        <w:jc w:val="right"/>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法定代表人或其委托代理人：（签字）</w:t>
      </w:r>
    </w:p>
    <w:p w14:paraId="25CFBE6B">
      <w:pPr>
        <w:spacing w:line="360" w:lineRule="auto"/>
        <w:ind w:firstLine="480" w:firstLineChars="200"/>
        <w:jc w:val="center"/>
        <w:rPr>
          <w:rFonts w:hint="eastAsia" w:asciiTheme="minorEastAsia" w:hAnsiTheme="minorEastAsia" w:eastAsiaTheme="minorEastAsia" w:cstheme="minorEastAsia"/>
          <w:color w:val="000000" w:themeColor="text1"/>
          <w:sz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地址：</w:t>
      </w:r>
    </w:p>
    <w:p w14:paraId="2DC8CF76">
      <w:pPr>
        <w:spacing w:line="360" w:lineRule="auto"/>
        <w:ind w:firstLine="480" w:firstLineChars="200"/>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电话：</w:t>
      </w:r>
    </w:p>
    <w:p w14:paraId="0BCBAB60">
      <w:pPr>
        <w:spacing w:line="360" w:lineRule="auto"/>
        <w:ind w:firstLine="480" w:firstLineChars="200"/>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传真：</w:t>
      </w:r>
    </w:p>
    <w:p w14:paraId="1F7A3C9F">
      <w:pPr>
        <w:spacing w:line="360" w:lineRule="auto"/>
        <w:ind w:firstLine="480" w:firstLineChars="200"/>
        <w:jc w:val="center"/>
        <w:rPr>
          <w:rFonts w:hint="eastAsia" w:asciiTheme="minorEastAsia" w:hAnsiTheme="minorEastAsia" w:eastAsiaTheme="minorEastAsia" w:cstheme="minorEastAsia"/>
          <w:color w:val="000000" w:themeColor="text1"/>
          <w:sz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lang w:val="zh-CN"/>
          <w14:textFill>
            <w14:solidFill>
              <w14:schemeClr w14:val="tx1"/>
            </w14:solidFill>
          </w14:textFill>
        </w:rPr>
        <w:t>邮政编码：</w:t>
      </w:r>
    </w:p>
    <w:p w14:paraId="2F7462D3">
      <w:pPr>
        <w:spacing w:line="360" w:lineRule="auto"/>
        <w:ind w:firstLine="480" w:firstLineChars="200"/>
        <w:jc w:val="right"/>
        <w:rPr>
          <w:rFonts w:hint="eastAsia" w:asciiTheme="minorEastAsia" w:hAnsiTheme="minorEastAsia" w:eastAsiaTheme="minorEastAsia" w:cstheme="minorEastAsia"/>
          <w:color w:val="000000" w:themeColor="text1"/>
          <w:sz w:val="24"/>
          <w:lang w:val="zh-CN"/>
          <w14:textFill>
            <w14:solidFill>
              <w14:schemeClr w14:val="tx1"/>
            </w14:solidFill>
          </w14:textFill>
        </w:rPr>
      </w:pPr>
    </w:p>
    <w:p w14:paraId="56546B00">
      <w:pPr>
        <w:spacing w:line="360" w:lineRule="auto"/>
        <w:ind w:firstLine="480" w:firstLineChars="200"/>
        <w:jc w:val="right"/>
        <w:rPr>
          <w:rFonts w:hint="eastAsia" w:asciiTheme="minorEastAsia" w:hAnsiTheme="minorEastAsia" w:eastAsiaTheme="minorEastAsia" w:cstheme="minorEastAsia"/>
          <w:color w:val="000000" w:themeColor="text1"/>
          <w:sz w:val="24"/>
          <w:lang w:val="zh-CN"/>
          <w14:textFill>
            <w14:solidFill>
              <w14:schemeClr w14:val="tx1"/>
            </w14:solidFill>
          </w14:textFill>
        </w:rPr>
        <w:sectPr>
          <w:footerReference r:id="rId13" w:type="default"/>
          <w:pgSz w:w="11911" w:h="16838"/>
          <w:pgMar w:top="1440" w:right="1080" w:bottom="1440" w:left="1080" w:header="0" w:footer="998" w:gutter="0"/>
          <w:pgNumType w:fmt="numberInDash"/>
          <w:cols w:space="0" w:num="1"/>
          <w:docGrid w:linePitch="312" w:charSpace="0"/>
        </w:sectPr>
      </w:pPr>
      <w:r>
        <w:rPr>
          <w:rFonts w:hint="eastAsia" w:asciiTheme="minorEastAsia" w:hAnsiTheme="minorEastAsia" w:eastAsiaTheme="minorEastAsia" w:cstheme="minorEastAsia"/>
          <w:color w:val="000000" w:themeColor="text1"/>
          <w:sz w:val="24"/>
          <w:lang w:val="zh-CN"/>
          <w14:textFill>
            <w14:solidFill>
              <w14:schemeClr w14:val="tx1"/>
            </w14:solidFill>
          </w14:textFill>
        </w:rPr>
        <w:t>年</w:t>
      </w:r>
      <w:r>
        <w:rPr>
          <w:rFonts w:hint="eastAsia" w:asciiTheme="minorEastAsia" w:hAnsi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lang w:val="zh-CN"/>
          <w14:textFill>
            <w14:solidFill>
              <w14:schemeClr w14:val="tx1"/>
            </w14:solidFill>
          </w14:textFill>
        </w:rPr>
        <w:t>月</w:t>
      </w:r>
      <w:r>
        <w:rPr>
          <w:rFonts w:hint="eastAsia" w:asciiTheme="minorEastAsia" w:hAnsi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lang w:val="zh-CN"/>
          <w14:textFill>
            <w14:solidFill>
              <w14:schemeClr w14:val="tx1"/>
            </w14:solidFill>
          </w14:textFill>
        </w:rPr>
        <w:t>日</w:t>
      </w:r>
    </w:p>
    <w:p w14:paraId="5E56FA06">
      <w:pPr>
        <w:pStyle w:val="8"/>
        <w:spacing w:before="88" w:line="224" w:lineRule="auto"/>
        <w:jc w:val="center"/>
        <w:rPr>
          <w:rFonts w:hint="eastAsia" w:asciiTheme="minorEastAsia" w:hAnsiTheme="minorEastAsia" w:eastAsiaTheme="minorEastAsia" w:cstheme="minorEastAsia"/>
          <w:color w:val="000000" w:themeColor="text1"/>
          <w:sz w:val="27"/>
          <w:szCs w:val="27"/>
          <w14:textFill>
            <w14:solidFill>
              <w14:schemeClr w14:val="tx1"/>
            </w14:solidFill>
          </w14:textFill>
        </w:rPr>
      </w:pPr>
      <w:r>
        <w:rPr>
          <w:rFonts w:hint="eastAsia" w:asciiTheme="minorEastAsia" w:hAnsiTheme="minorEastAsia" w:eastAsiaTheme="minorEastAsia" w:cstheme="minorEastAsia"/>
          <w:b/>
          <w:bCs/>
          <w:color w:val="000000" w:themeColor="text1"/>
          <w:spacing w:val="5"/>
          <w:sz w:val="27"/>
          <w:szCs w:val="27"/>
          <w14:textFill>
            <w14:solidFill>
              <w14:schemeClr w14:val="tx1"/>
            </w14:solidFill>
          </w14:textFill>
        </w:rPr>
        <w:t>二、报价清单</w:t>
      </w:r>
    </w:p>
    <w:p w14:paraId="49C2ADF7">
      <w:pPr>
        <w:spacing w:before="42"/>
        <w:rPr>
          <w:rFonts w:hint="eastAsia" w:asciiTheme="minorEastAsia" w:hAnsiTheme="minorEastAsia" w:eastAsiaTheme="minorEastAsia" w:cstheme="minorEastAsia"/>
          <w:color w:val="000000" w:themeColor="text1"/>
          <w14:textFill>
            <w14:solidFill>
              <w14:schemeClr w14:val="tx1"/>
            </w14:solidFill>
          </w14:textFill>
        </w:rPr>
      </w:pPr>
    </w:p>
    <w:tbl>
      <w:tblPr>
        <w:tblStyle w:val="54"/>
        <w:tblW w:w="9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972"/>
        <w:gridCol w:w="2140"/>
        <w:gridCol w:w="2242"/>
        <w:gridCol w:w="2773"/>
      </w:tblGrid>
      <w:tr w14:paraId="244C5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1091" w:type="dxa"/>
          </w:tcPr>
          <w:p w14:paraId="4C98CB40">
            <w:pPr>
              <w:pStyle w:val="53"/>
              <w:spacing w:before="245" w:line="224" w:lineRule="auto"/>
              <w:ind w:left="44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目</w:t>
            </w:r>
          </w:p>
        </w:tc>
        <w:tc>
          <w:tcPr>
            <w:tcW w:w="972" w:type="dxa"/>
          </w:tcPr>
          <w:p w14:paraId="1CBA2D05">
            <w:pPr>
              <w:pStyle w:val="53"/>
              <w:spacing w:before="245" w:line="222" w:lineRule="auto"/>
              <w:ind w:left="351"/>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节</w:t>
            </w:r>
          </w:p>
        </w:tc>
        <w:tc>
          <w:tcPr>
            <w:tcW w:w="2140" w:type="dxa"/>
          </w:tcPr>
          <w:p w14:paraId="2D5DD955">
            <w:pPr>
              <w:pStyle w:val="53"/>
              <w:spacing w:before="245" w:line="222" w:lineRule="auto"/>
              <w:ind w:left="578"/>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szCs w:val="24"/>
                <w14:textFill>
                  <w14:solidFill>
                    <w14:schemeClr w14:val="tx1"/>
                  </w14:solidFill>
                </w14:textFill>
              </w:rPr>
              <w:t>项目名称</w:t>
            </w:r>
          </w:p>
        </w:tc>
        <w:tc>
          <w:tcPr>
            <w:tcW w:w="2242" w:type="dxa"/>
          </w:tcPr>
          <w:p w14:paraId="0467546B">
            <w:pPr>
              <w:pStyle w:val="53"/>
              <w:spacing w:before="246" w:line="220" w:lineRule="auto"/>
              <w:ind w:left="20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szCs w:val="24"/>
                <w14:textFill>
                  <w14:solidFill>
                    <w14:schemeClr w14:val="tx1"/>
                  </w14:solidFill>
                </w14:textFill>
              </w:rPr>
              <w:t>金额（人民币元）</w:t>
            </w:r>
          </w:p>
        </w:tc>
        <w:tc>
          <w:tcPr>
            <w:tcW w:w="2773" w:type="dxa"/>
          </w:tcPr>
          <w:p w14:paraId="0B1E4BBD">
            <w:pPr>
              <w:pStyle w:val="53"/>
              <w:spacing w:before="246" w:line="222" w:lineRule="auto"/>
              <w:ind w:left="1079"/>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5"/>
                <w:sz w:val="24"/>
                <w:szCs w:val="24"/>
                <w14:textFill>
                  <w14:solidFill>
                    <w14:schemeClr w14:val="tx1"/>
                  </w14:solidFill>
                </w14:textFill>
              </w:rPr>
              <w:t>备注</w:t>
            </w:r>
          </w:p>
        </w:tc>
      </w:tr>
      <w:tr w14:paraId="0F75C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1091" w:type="dxa"/>
          </w:tcPr>
          <w:p w14:paraId="1F4CA723">
            <w:pPr>
              <w:spacing w:line="293"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5AB4A428">
            <w:pPr>
              <w:pStyle w:val="53"/>
              <w:spacing w:before="68" w:line="163" w:lineRule="exact"/>
              <w:ind w:left="408"/>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position w:val="-4"/>
                <w:sz w:val="24"/>
                <w:szCs w:val="24"/>
                <w14:textFill>
                  <w14:solidFill>
                    <w14:schemeClr w14:val="tx1"/>
                  </w14:solidFill>
                </w14:textFill>
              </w:rPr>
              <w:t>一</w:t>
            </w:r>
          </w:p>
        </w:tc>
        <w:tc>
          <w:tcPr>
            <w:tcW w:w="972" w:type="dxa"/>
          </w:tcPr>
          <w:p w14:paraId="5F0A8672">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140" w:type="dxa"/>
          </w:tcPr>
          <w:p w14:paraId="31D49D2E">
            <w:pPr>
              <w:spacing w:before="284" w:line="222" w:lineRule="auto"/>
              <w:ind w:left="363"/>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1"/>
                <w:sz w:val="24"/>
                <w14:textFill>
                  <w14:solidFill>
                    <w14:schemeClr w14:val="tx1"/>
                  </w14:solidFill>
                </w14:textFill>
              </w:rPr>
              <w:t>勘察设计报价</w:t>
            </w:r>
          </w:p>
        </w:tc>
        <w:tc>
          <w:tcPr>
            <w:tcW w:w="2242" w:type="dxa"/>
          </w:tcPr>
          <w:p w14:paraId="449EB86A">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18159805">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C812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091" w:type="dxa"/>
          </w:tcPr>
          <w:p w14:paraId="342D0065">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3D750346">
            <w:pPr>
              <w:spacing w:line="278"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4D0B7370">
            <w:pPr>
              <w:spacing w:before="60" w:line="189" w:lineRule="auto"/>
              <w:ind w:left="41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w:t>
            </w:r>
          </w:p>
        </w:tc>
        <w:tc>
          <w:tcPr>
            <w:tcW w:w="2140" w:type="dxa"/>
          </w:tcPr>
          <w:p w14:paraId="4B5875D0">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1BAC9C82">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47FCE8F0">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796B0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1091" w:type="dxa"/>
          </w:tcPr>
          <w:p w14:paraId="1161BF6E">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6DF9A7A4">
            <w:pPr>
              <w:spacing w:line="274"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1DA11FC3">
            <w:pPr>
              <w:spacing w:before="60" w:line="189" w:lineRule="auto"/>
              <w:ind w:left="39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w:t>
            </w:r>
          </w:p>
        </w:tc>
        <w:tc>
          <w:tcPr>
            <w:tcW w:w="2140" w:type="dxa"/>
          </w:tcPr>
          <w:p w14:paraId="494C45F2">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0E24210B">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1B146B74">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3E39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1091" w:type="dxa"/>
          </w:tcPr>
          <w:p w14:paraId="1AEE9844">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4E542CD0">
            <w:pPr>
              <w:spacing w:line="401"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0E4805AD">
            <w:pPr>
              <w:spacing w:before="61" w:line="65" w:lineRule="exact"/>
              <w:ind w:left="256"/>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position w:val="1"/>
                <w:sz w:val="24"/>
                <w14:textFill>
                  <w14:solidFill>
                    <w14:schemeClr w14:val="tx1"/>
                  </w14:solidFill>
                </w14:textFill>
              </w:rPr>
              <w:t>……</w:t>
            </w:r>
          </w:p>
        </w:tc>
        <w:tc>
          <w:tcPr>
            <w:tcW w:w="2140" w:type="dxa"/>
          </w:tcPr>
          <w:p w14:paraId="7C0E76B7">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51ED4583">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16909652">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9946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1091" w:type="dxa"/>
          </w:tcPr>
          <w:p w14:paraId="0D609ED0">
            <w:pPr>
              <w:spacing w:line="258"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4EB94483">
            <w:pPr>
              <w:pStyle w:val="53"/>
              <w:spacing w:before="68" w:line="179" w:lineRule="auto"/>
              <w:ind w:left="408"/>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w:t>
            </w:r>
          </w:p>
        </w:tc>
        <w:tc>
          <w:tcPr>
            <w:tcW w:w="972" w:type="dxa"/>
          </w:tcPr>
          <w:p w14:paraId="34864336">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140" w:type="dxa"/>
          </w:tcPr>
          <w:p w14:paraId="1DCD3E7E">
            <w:pPr>
              <w:spacing w:before="290" w:line="222" w:lineRule="auto"/>
              <w:ind w:left="364"/>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2"/>
                <w:sz w:val="24"/>
                <w14:textFill>
                  <w14:solidFill>
                    <w14:schemeClr w14:val="tx1"/>
                  </w14:solidFill>
                </w14:textFill>
              </w:rPr>
              <w:t>建安工程报价</w:t>
            </w:r>
          </w:p>
        </w:tc>
        <w:tc>
          <w:tcPr>
            <w:tcW w:w="2242" w:type="dxa"/>
          </w:tcPr>
          <w:p w14:paraId="65E33360">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5836CE47">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3C67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1091" w:type="dxa"/>
          </w:tcPr>
          <w:p w14:paraId="5CA3A524">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0D0332C5">
            <w:pPr>
              <w:spacing w:line="278"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4EBF5721">
            <w:pPr>
              <w:spacing w:before="61" w:line="189" w:lineRule="auto"/>
              <w:ind w:left="41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w:t>
            </w:r>
          </w:p>
        </w:tc>
        <w:tc>
          <w:tcPr>
            <w:tcW w:w="2140" w:type="dxa"/>
          </w:tcPr>
          <w:p w14:paraId="1D7E633C">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14B1AAE6">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7EF5F292">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3E97B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091" w:type="dxa"/>
          </w:tcPr>
          <w:p w14:paraId="763D2C10">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23D04BC3">
            <w:pPr>
              <w:spacing w:line="278"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08F74BB0">
            <w:pPr>
              <w:spacing w:before="60" w:line="189" w:lineRule="auto"/>
              <w:ind w:left="39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w:t>
            </w:r>
          </w:p>
        </w:tc>
        <w:tc>
          <w:tcPr>
            <w:tcW w:w="2140" w:type="dxa"/>
          </w:tcPr>
          <w:p w14:paraId="121F5C3B">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58220D3D">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2D62B3C7">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AED4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91" w:type="dxa"/>
          </w:tcPr>
          <w:p w14:paraId="5C9D7293">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1F4155E2">
            <w:pPr>
              <w:spacing w:line="399"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288888D5">
            <w:pPr>
              <w:spacing w:before="61" w:line="65" w:lineRule="exact"/>
              <w:ind w:left="232"/>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position w:val="1"/>
                <w:sz w:val="24"/>
                <w14:textFill>
                  <w14:solidFill>
                    <w14:schemeClr w14:val="tx1"/>
                  </w14:solidFill>
                </w14:textFill>
              </w:rPr>
              <w:t>…….</w:t>
            </w:r>
          </w:p>
        </w:tc>
        <w:tc>
          <w:tcPr>
            <w:tcW w:w="2140" w:type="dxa"/>
          </w:tcPr>
          <w:p w14:paraId="18F62308">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35AAA09B">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6DE024B6">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4FCF0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1091" w:type="dxa"/>
          </w:tcPr>
          <w:p w14:paraId="0B0E573D">
            <w:pPr>
              <w:pStyle w:val="53"/>
              <w:spacing w:before="243" w:line="238" w:lineRule="auto"/>
              <w:ind w:left="404"/>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w:t>
            </w:r>
          </w:p>
        </w:tc>
        <w:tc>
          <w:tcPr>
            <w:tcW w:w="972" w:type="dxa"/>
          </w:tcPr>
          <w:p w14:paraId="40356693">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140" w:type="dxa"/>
          </w:tcPr>
          <w:p w14:paraId="5BACDDB5">
            <w:pPr>
              <w:spacing w:before="243" w:line="223" w:lineRule="auto"/>
              <w:ind w:left="577"/>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sz w:val="24"/>
                <w14:textFill>
                  <w14:solidFill>
                    <w14:schemeClr w14:val="tx1"/>
                  </w14:solidFill>
                </w14:textFill>
              </w:rPr>
              <w:t>其他费用</w:t>
            </w:r>
          </w:p>
        </w:tc>
        <w:tc>
          <w:tcPr>
            <w:tcW w:w="2242" w:type="dxa"/>
          </w:tcPr>
          <w:p w14:paraId="11C24D76">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66226023">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CDD0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091" w:type="dxa"/>
          </w:tcPr>
          <w:p w14:paraId="5480B5F8">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68D1D14B">
            <w:pPr>
              <w:spacing w:before="293" w:line="189" w:lineRule="auto"/>
              <w:ind w:left="41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w:t>
            </w:r>
          </w:p>
        </w:tc>
        <w:tc>
          <w:tcPr>
            <w:tcW w:w="2140" w:type="dxa"/>
          </w:tcPr>
          <w:p w14:paraId="54572128">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2D9FDF7D">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694D7DB9">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21641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1091" w:type="dxa"/>
          </w:tcPr>
          <w:p w14:paraId="2789E9D5">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70DC4D11">
            <w:pPr>
              <w:spacing w:line="251"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4E858A53">
            <w:pPr>
              <w:spacing w:before="60" w:line="189" w:lineRule="auto"/>
              <w:ind w:left="395"/>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w:t>
            </w:r>
          </w:p>
        </w:tc>
        <w:tc>
          <w:tcPr>
            <w:tcW w:w="2140" w:type="dxa"/>
          </w:tcPr>
          <w:p w14:paraId="74186372">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66AC0FB0">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71E2B5C4">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E91D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1091" w:type="dxa"/>
          </w:tcPr>
          <w:p w14:paraId="16D7C327">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972" w:type="dxa"/>
          </w:tcPr>
          <w:p w14:paraId="6E666B8F">
            <w:pPr>
              <w:spacing w:line="377" w:lineRule="auto"/>
              <w:rPr>
                <w:rFonts w:hint="eastAsia" w:asciiTheme="minorEastAsia" w:hAnsiTheme="minorEastAsia" w:eastAsiaTheme="minorEastAsia" w:cstheme="minorEastAsia"/>
                <w:color w:val="000000" w:themeColor="text1"/>
                <w:sz w:val="24"/>
                <w14:textFill>
                  <w14:solidFill>
                    <w14:schemeClr w14:val="tx1"/>
                  </w14:solidFill>
                </w14:textFill>
              </w:rPr>
            </w:pPr>
          </w:p>
          <w:p w14:paraId="6A393639">
            <w:pPr>
              <w:spacing w:before="60" w:line="66" w:lineRule="exact"/>
              <w:ind w:left="232"/>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pacing w:val="-3"/>
                <w:position w:val="1"/>
                <w:sz w:val="24"/>
                <w14:textFill>
                  <w14:solidFill>
                    <w14:schemeClr w14:val="tx1"/>
                  </w14:solidFill>
                </w14:textFill>
              </w:rPr>
              <w:t>…….</w:t>
            </w:r>
          </w:p>
        </w:tc>
        <w:tc>
          <w:tcPr>
            <w:tcW w:w="2140" w:type="dxa"/>
          </w:tcPr>
          <w:p w14:paraId="2FE20A7D">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242" w:type="dxa"/>
          </w:tcPr>
          <w:p w14:paraId="0DB938D3">
            <w:pP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2773" w:type="dxa"/>
          </w:tcPr>
          <w:p w14:paraId="15C5C135">
            <w:pPr>
              <w:rPr>
                <w:rFonts w:hint="eastAsia" w:asciiTheme="minorEastAsia" w:hAnsiTheme="minorEastAsia" w:eastAsiaTheme="minorEastAsia" w:cstheme="minorEastAsia"/>
                <w:color w:val="000000" w:themeColor="text1"/>
                <w:sz w:val="24"/>
                <w14:textFill>
                  <w14:solidFill>
                    <w14:schemeClr w14:val="tx1"/>
                  </w14:solidFill>
                </w14:textFill>
              </w:rPr>
            </w:pPr>
          </w:p>
        </w:tc>
      </w:tr>
      <w:tr w14:paraId="544A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4203" w:type="dxa"/>
            <w:gridSpan w:val="3"/>
          </w:tcPr>
          <w:p w14:paraId="1CF7E41C">
            <w:pPr>
              <w:pStyle w:val="53"/>
              <w:spacing w:before="208" w:line="280" w:lineRule="exact"/>
              <w:ind w:left="983"/>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1"/>
                <w:position w:val="1"/>
                <w:sz w:val="24"/>
                <w:szCs w:val="24"/>
                <w14:textFill>
                  <w14:solidFill>
                    <w14:schemeClr w14:val="tx1"/>
                  </w14:solidFill>
                </w14:textFill>
              </w:rPr>
              <w:t>投标报价</w:t>
            </w:r>
            <w:r>
              <w:rPr>
                <w:rFonts w:hint="eastAsia" w:asciiTheme="minorEastAsia" w:hAnsiTheme="minorEastAsia" w:eastAsiaTheme="minorEastAsia" w:cstheme="minorEastAsia"/>
                <w:b/>
                <w:bCs/>
                <w:color w:val="000000" w:themeColor="text1"/>
                <w:spacing w:val="-1"/>
                <w:position w:val="1"/>
                <w:sz w:val="24"/>
                <w:szCs w:val="24"/>
                <w14:textFill>
                  <w14:solidFill>
                    <w14:schemeClr w14:val="tx1"/>
                  </w14:solidFill>
                </w14:textFill>
              </w:rPr>
              <w:t>=</w:t>
            </w:r>
            <w:r>
              <w:rPr>
                <w:rFonts w:hint="eastAsia" w:asciiTheme="minorEastAsia" w:hAnsiTheme="minorEastAsia" w:eastAsiaTheme="minorEastAsia" w:cstheme="minorEastAsia"/>
                <w:color w:val="000000" w:themeColor="text1"/>
                <w:spacing w:val="-1"/>
                <w:position w:val="1"/>
                <w:sz w:val="24"/>
                <w:szCs w:val="24"/>
                <w14:textFill>
                  <w14:solidFill>
                    <w14:schemeClr w14:val="tx1"/>
                  </w14:solidFill>
                </w14:textFill>
              </w:rPr>
              <w:t>一</w:t>
            </w:r>
            <w:r>
              <w:rPr>
                <w:rFonts w:hint="eastAsia" w:asciiTheme="minorEastAsia" w:hAnsiTheme="minorEastAsia" w:eastAsiaTheme="minorEastAsia" w:cstheme="minorEastAsia"/>
                <w:b/>
                <w:bCs/>
                <w:color w:val="000000" w:themeColor="text1"/>
                <w:spacing w:val="-1"/>
                <w:position w:val="1"/>
                <w:sz w:val="24"/>
                <w:szCs w:val="24"/>
                <w14:textFill>
                  <w14:solidFill>
                    <w14:schemeClr w14:val="tx1"/>
                  </w14:solidFill>
                </w14:textFill>
              </w:rPr>
              <w:t>+</w:t>
            </w:r>
            <w:r>
              <w:rPr>
                <w:rFonts w:hint="eastAsia" w:asciiTheme="minorEastAsia" w:hAnsiTheme="minorEastAsia" w:eastAsiaTheme="minorEastAsia" w:cstheme="minorEastAsia"/>
                <w:color w:val="000000" w:themeColor="text1"/>
                <w:spacing w:val="-1"/>
                <w:position w:val="1"/>
                <w:sz w:val="24"/>
                <w:szCs w:val="24"/>
                <w14:textFill>
                  <w14:solidFill>
                    <w14:schemeClr w14:val="tx1"/>
                  </w14:solidFill>
                </w14:textFill>
              </w:rPr>
              <w:t>二</w:t>
            </w:r>
            <w:r>
              <w:rPr>
                <w:rFonts w:hint="eastAsia" w:asciiTheme="minorEastAsia" w:hAnsiTheme="minorEastAsia" w:eastAsiaTheme="minorEastAsia" w:cstheme="minorEastAsia"/>
                <w:b/>
                <w:bCs/>
                <w:color w:val="000000" w:themeColor="text1"/>
                <w:spacing w:val="-1"/>
                <w:position w:val="1"/>
                <w:sz w:val="24"/>
                <w:szCs w:val="24"/>
                <w14:textFill>
                  <w14:solidFill>
                    <w14:schemeClr w14:val="tx1"/>
                  </w14:solidFill>
                </w14:textFill>
              </w:rPr>
              <w:t>+</w:t>
            </w:r>
            <w:r>
              <w:rPr>
                <w:rFonts w:hint="eastAsia" w:asciiTheme="minorEastAsia" w:hAnsiTheme="minorEastAsia" w:eastAsiaTheme="minorEastAsia" w:cstheme="minorEastAsia"/>
                <w:color w:val="000000" w:themeColor="text1"/>
                <w:spacing w:val="-1"/>
                <w:position w:val="1"/>
                <w:sz w:val="24"/>
                <w:szCs w:val="24"/>
                <w14:textFill>
                  <w14:solidFill>
                    <w14:schemeClr w14:val="tx1"/>
                  </w14:solidFill>
                </w14:textFill>
              </w:rPr>
              <w:t>三</w:t>
            </w:r>
          </w:p>
        </w:tc>
        <w:tc>
          <w:tcPr>
            <w:tcW w:w="5015" w:type="dxa"/>
            <w:gridSpan w:val="2"/>
          </w:tcPr>
          <w:p w14:paraId="6CF6D4B2">
            <w:pPr>
              <w:rPr>
                <w:rFonts w:hint="eastAsia" w:asciiTheme="minorEastAsia" w:hAnsiTheme="minorEastAsia" w:eastAsiaTheme="minorEastAsia" w:cstheme="minorEastAsia"/>
                <w:color w:val="000000" w:themeColor="text1"/>
                <w:sz w:val="24"/>
                <w14:textFill>
                  <w14:solidFill>
                    <w14:schemeClr w14:val="tx1"/>
                  </w14:solidFill>
                </w14:textFill>
              </w:rPr>
            </w:pPr>
          </w:p>
        </w:tc>
      </w:tr>
    </w:tbl>
    <w:p w14:paraId="4CC130D0">
      <w:pPr>
        <w:spacing w:line="348" w:lineRule="auto"/>
        <w:ind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p>
    <w:p w14:paraId="2A7A84EA">
      <w:pPr>
        <w:pStyle w:val="44"/>
        <w:rPr>
          <w:rFonts w:hint="eastAsia" w:asciiTheme="minorEastAsia" w:hAnsiTheme="minorEastAsia" w:eastAsiaTheme="minorEastAsia" w:cstheme="minorEastAsia"/>
          <w:color w:val="000000" w:themeColor="text1"/>
          <w:sz w:val="24"/>
          <w14:textFill>
            <w14:solidFill>
              <w14:schemeClr w14:val="tx1"/>
            </w14:solidFill>
          </w14:textFill>
        </w:rPr>
      </w:pPr>
    </w:p>
    <w:p w14:paraId="3949C752">
      <w:pPr>
        <w:pStyle w:val="44"/>
        <w:rPr>
          <w:rFonts w:hint="eastAsia" w:asciiTheme="minorEastAsia" w:hAnsiTheme="minorEastAsia" w:eastAsiaTheme="minorEastAsia" w:cstheme="minorEastAsia"/>
          <w:color w:val="000000" w:themeColor="text1"/>
          <w:sz w:val="24"/>
          <w14:textFill>
            <w14:solidFill>
              <w14:schemeClr w14:val="tx1"/>
            </w14:solidFill>
          </w14:textFill>
        </w:rPr>
      </w:pPr>
    </w:p>
    <w:p w14:paraId="5E70651C">
      <w:pPr>
        <w:rPr>
          <w:rFonts w:hint="eastAsia" w:asciiTheme="minorEastAsia" w:hAnsiTheme="minorEastAsia" w:eastAsiaTheme="minorEastAsia" w:cstheme="minorEastAsia"/>
          <w:color w:val="000000" w:themeColor="text1"/>
          <w14:textFill>
            <w14:solidFill>
              <w14:schemeClr w14:val="tx1"/>
            </w14:solidFill>
          </w14:textFill>
        </w:rPr>
      </w:pPr>
    </w:p>
    <w:p w14:paraId="18E3D896">
      <w:pPr>
        <w:spacing w:line="360" w:lineRule="auto"/>
        <w:ind w:firstLine="420" w:firstLineChars="200"/>
        <w:jc w:val="right"/>
        <w:rPr>
          <w:rFonts w:hint="eastAsia" w:asciiTheme="minorEastAsia" w:hAnsiTheme="minorEastAsia" w:eastAsiaTheme="minorEastAsia" w:cstheme="minorEastAsia"/>
          <w:color w:val="000000" w:themeColor="text1"/>
          <w:szCs w:val="21"/>
          <w:lang w:val="zh-CN"/>
          <w14:textFill>
            <w14:solidFill>
              <w14:schemeClr w14:val="tx1"/>
            </w14:solidFill>
          </w14:textFill>
        </w:rPr>
      </w:pPr>
    </w:p>
    <w:p w14:paraId="77F8BE2B">
      <w:pPr>
        <w:rPr>
          <w:rFonts w:hint="eastAsia" w:asciiTheme="minorEastAsia" w:hAnsiTheme="minorEastAsia" w:eastAsiaTheme="minorEastAsia" w:cstheme="minorEastAsia"/>
          <w:color w:val="000000" w:themeColor="text1"/>
          <w:sz w:val="15"/>
          <w:szCs w:val="18"/>
          <w:lang w:val="zh-CN"/>
          <w14:textFill>
            <w14:solidFill>
              <w14:schemeClr w14:val="tx1"/>
            </w14:solidFill>
          </w14:textFill>
        </w:rPr>
      </w:pPr>
    </w:p>
    <w:sectPr>
      <w:pgSz w:w="11911" w:h="16838"/>
      <w:pgMar w:top="1440" w:right="1080" w:bottom="1440" w:left="1080" w:header="0" w:footer="998" w:gutter="0"/>
      <w:pgNumType w:fmt="numberInDash"/>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粗圆简">
    <w:panose1 w:val="02010600000101010101"/>
    <w:charset w:val="86"/>
    <w:family w:val="auto"/>
    <w:pitch w:val="default"/>
    <w:sig w:usb0="00000001" w:usb1="080E0800" w:usb2="00000002" w:usb3="00000000" w:csb0="00040000" w:csb1="00000000"/>
  </w:font>
  <w:font w:name="仓耳渔阳体 W02">
    <w:panose1 w:val="02020400000000000000"/>
    <w:charset w:val="86"/>
    <w:family w:val="auto"/>
    <w:pitch w:val="default"/>
    <w:sig w:usb0="80000003" w:usb1="08012000" w:usb2="00000012" w:usb3="00000000" w:csb0="00040001" w:csb1="00000000"/>
  </w:font>
  <w:font w:name="汉仪君黑-45简">
    <w:panose1 w:val="020B0604020202020204"/>
    <w:charset w:val="86"/>
    <w:family w:val="swiss"/>
    <w:pitch w:val="default"/>
    <w:sig w:usb0="A00002BF" w:usb1="0ACF7CFA" w:usb2="00000016" w:usb3="00000000" w:csb0="2004000F" w:csb1="00000000"/>
  </w:font>
  <w:font w:name="新宋体">
    <w:panose1 w:val="02010609030101010101"/>
    <w:charset w:val="86"/>
    <w:family w:val="auto"/>
    <w:pitch w:val="default"/>
    <w:sig w:usb0="00000283" w:usb1="288F0000" w:usb2="00000006" w:usb3="00000000" w:csb0="00040001"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9C06F">
    <w:pPr>
      <w:autoSpaceDE w:val="0"/>
      <w:autoSpaceDN w:val="0"/>
      <w:spacing w:line="14" w:lineRule="auto"/>
      <w:jc w:val="left"/>
      <w:rPr>
        <w:rFonts w:hint="eastAsia" w:ascii="宋体" w:hAnsi="宋体" w:eastAsia="宋体" w:cs="宋体"/>
        <w:sz w:val="12"/>
        <w:lang w:val="zh-CN" w:bidi="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DDDB9">
    <w:pPr>
      <w:autoSpaceDE w:val="0"/>
      <w:autoSpaceDN w:val="0"/>
      <w:spacing w:line="14" w:lineRule="auto"/>
      <w:jc w:val="left"/>
      <w:rPr>
        <w:rFonts w:hint="eastAsia" w:ascii="宋体" w:hAnsi="宋体" w:eastAsia="宋体" w:cs="宋体"/>
        <w:sz w:val="2"/>
        <w:lang w:val="zh-CN" w:bidi="zh-CN"/>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845A">
                          <w:pPr>
                            <w:pStyle w:val="14"/>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A97845A">
                    <w:pPr>
                      <w:pStyle w:val="14"/>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0A496">
    <w:pPr>
      <w:autoSpaceDE w:val="0"/>
      <w:autoSpaceDN w:val="0"/>
      <w:spacing w:line="14" w:lineRule="auto"/>
      <w:jc w:val="left"/>
      <w:rPr>
        <w:rFonts w:hint="eastAsia" w:ascii="宋体" w:hAnsi="宋体" w:eastAsia="宋体" w:cs="宋体"/>
        <w:sz w:val="12"/>
        <w:lang w:val="zh-CN" w:bidi="zh-CN"/>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FFEC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EFFECF">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2C462">
    <w:pPr>
      <w:autoSpaceDE w:val="0"/>
      <w:autoSpaceDN w:val="0"/>
      <w:spacing w:line="14" w:lineRule="auto"/>
      <w:jc w:val="left"/>
      <w:rPr>
        <w:rFonts w:hint="eastAsia" w:ascii="宋体" w:hAnsi="宋体" w:eastAsia="宋体" w:cs="宋体"/>
        <w:sz w:val="20"/>
        <w:lang w:val="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1A29F">
                          <w:pPr>
                            <w:pStyle w:val="1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41A29F">
                    <w:pPr>
                      <w:pStyle w:val="1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490FC">
    <w:pPr>
      <w:pStyle w:val="8"/>
      <w:kinsoku w:val="0"/>
      <w:overflowPunct w:val="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AF8EE">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8CAF8EE">
                    <w:pPr>
                      <w:pStyle w:val="1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79715">
    <w:pPr>
      <w:autoSpaceDE w:val="0"/>
      <w:autoSpaceDN w:val="0"/>
      <w:spacing w:line="14" w:lineRule="auto"/>
      <w:jc w:val="left"/>
      <w:rPr>
        <w:rFonts w:hint="eastAsia" w:ascii="宋体" w:hAnsi="宋体" w:eastAsia="宋体" w:cs="宋体"/>
        <w:sz w:val="20"/>
        <w:lang w:val="zh-CN" w:bidi="zh-CN"/>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0E771">
                          <w:pPr>
                            <w:pStyle w:val="1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E0E771">
                    <w:pPr>
                      <w:pStyle w:val="1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53109">
    <w:pPr>
      <w:autoSpaceDE w:val="0"/>
      <w:autoSpaceDN w:val="0"/>
      <w:spacing w:line="14" w:lineRule="auto"/>
      <w:jc w:val="left"/>
      <w:rPr>
        <w:rFonts w:hint="eastAsia" w:ascii="宋体" w:hAnsi="宋体" w:eastAsia="宋体" w:cs="宋体"/>
        <w:sz w:val="20"/>
        <w:lang w:val="zh-CN" w:bidi="zh-CN"/>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854BA3">
                          <w:pPr>
                            <w:pStyle w:val="1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854BA3">
                    <w:pPr>
                      <w:pStyle w:val="1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8B652">
    <w:pPr>
      <w:spacing w:line="176" w:lineRule="auto"/>
      <w:ind w:left="40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16BA6">
                          <w:pPr>
                            <w:pStyle w:val="1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8216BA6">
                    <w:pPr>
                      <w:pStyle w:val="14"/>
                    </w:pPr>
                    <w:r>
                      <w:fldChar w:fldCharType="begin"/>
                    </w:r>
                    <w:r>
                      <w:instrText xml:space="preserve"> PAGE  \* MERGEFORMAT </w:instrText>
                    </w:r>
                    <w:r>
                      <w:fldChar w:fldCharType="separate"/>
                    </w:r>
                    <w:r>
                      <w:t>118</w:t>
                    </w:r>
                    <w:r>
                      <w:fldChar w:fldCharType="end"/>
                    </w:r>
                  </w:p>
                </w:txbxContent>
              </v:textbox>
            </v:shape>
          </w:pict>
        </mc:Fallback>
      </mc:AlternateContent>
    </w:r>
    <w:r>
      <w:rPr>
        <w:rFonts w:ascii="Times New Roman" w:hAnsi="Times New Roman" w:eastAsia="Times New Roman" w:cs="Times New Roman"/>
        <w:spacing w:val="-9"/>
        <w:sz w:val="18"/>
        <w:szCs w:val="18"/>
      </w:rPr>
      <w:t>117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C7FB2">
    <w:pPr>
      <w:spacing w:line="176"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98529">
                          <w:pPr>
                            <w:pStyle w:val="1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1298529">
                    <w:pPr>
                      <w:pStyle w:val="14"/>
                    </w:pPr>
                    <w:r>
                      <w:fldChar w:fldCharType="begin"/>
                    </w:r>
                    <w:r>
                      <w:instrText xml:space="preserve"> PAGE  \* MERGEFORMAT </w:instrText>
                    </w:r>
                    <w:r>
                      <w:fldChar w:fldCharType="separate"/>
                    </w:r>
                    <w:r>
                      <w:t>119</w:t>
                    </w:r>
                    <w:r>
                      <w:fldChar w:fldCharType="end"/>
                    </w:r>
                  </w:p>
                </w:txbxContent>
              </v:textbox>
            </v:shape>
          </w:pict>
        </mc:Fallback>
      </mc:AlternateContent>
    </w:r>
    <w:r>
      <w:rPr>
        <w:rFonts w:hint="eastAsia" w:ascii="Times New Roman" w:hAnsi="Times New Roman" w:eastAsia="宋体" w:cs="Times New Roman"/>
        <w:sz w:val="18"/>
        <w:szCs w:val="18"/>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14629">
    <w:pPr>
      <w:spacing w:line="176" w:lineRule="auto"/>
      <w:ind w:left="40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6EFCC">
                          <w:pPr>
                            <w:pStyle w:val="1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1F6EFCC">
                    <w:pPr>
                      <w:pStyle w:val="1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2F06">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B85B0"/>
    <w:multiLevelType w:val="singleLevel"/>
    <w:tmpl w:val="850B85B0"/>
    <w:lvl w:ilvl="0" w:tentative="0">
      <w:start w:val="6"/>
      <w:numFmt w:val="decimal"/>
      <w:suff w:val="nothing"/>
      <w:lvlText w:val="（%1）"/>
      <w:lvlJc w:val="left"/>
      <w:rPr>
        <w:rFonts w:cs="Times New Roman"/>
      </w:rPr>
    </w:lvl>
  </w:abstractNum>
  <w:abstractNum w:abstractNumId="1">
    <w:nsid w:val="C38D28C4"/>
    <w:multiLevelType w:val="singleLevel"/>
    <w:tmpl w:val="C38D28C4"/>
    <w:lvl w:ilvl="0" w:tentative="0">
      <w:start w:val="3"/>
      <w:numFmt w:val="decimal"/>
      <w:suff w:val="nothing"/>
      <w:lvlText w:val="（%1）"/>
      <w:lvlJc w:val="left"/>
    </w:lvl>
  </w:abstractNum>
  <w:abstractNum w:abstractNumId="2">
    <w:nsid w:val="D77AAF49"/>
    <w:multiLevelType w:val="singleLevel"/>
    <w:tmpl w:val="D77AAF49"/>
    <w:lvl w:ilvl="0" w:tentative="0">
      <w:start w:val="1"/>
      <w:numFmt w:val="chineseCounting"/>
      <w:suff w:val="nothing"/>
      <w:lvlText w:val="（%1）"/>
      <w:lvlJc w:val="left"/>
      <w:rPr>
        <w:rFonts w:hint="eastAsia"/>
      </w:rPr>
    </w:lvl>
  </w:abstractNum>
  <w:abstractNum w:abstractNumId="3">
    <w:nsid w:val="DA489FA3"/>
    <w:multiLevelType w:val="multilevel"/>
    <w:tmpl w:val="DA489FA3"/>
    <w:lvl w:ilvl="0" w:tentative="0">
      <w:start w:val="1"/>
      <w:numFmt w:val="decimal"/>
      <w:suff w:val="nothing"/>
      <w:lvlText w:val="%1．"/>
      <w:lvlJc w:val="left"/>
      <w:pPr>
        <w:ind w:left="0" w:firstLine="400"/>
      </w:pPr>
      <w:rPr>
        <w:rFonts w:hint="default"/>
      </w:rPr>
    </w:lvl>
    <w:lvl w:ilvl="1" w:tentative="0">
      <w:start w:val="1"/>
      <w:numFmt w:val="decimal"/>
      <w:lvlText w:val="(%2)"/>
      <w:lvlJc w:val="left"/>
      <w:pPr>
        <w:tabs>
          <w:tab w:val="left" w:pos="840"/>
        </w:tabs>
        <w:ind w:left="1240" w:hanging="420"/>
      </w:pPr>
      <w:rPr>
        <w:rFonts w:hint="default"/>
      </w:rPr>
    </w:lvl>
    <w:lvl w:ilvl="2" w:tentative="0">
      <w:start w:val="1"/>
      <w:numFmt w:val="decimalEnclosedCircleChinese"/>
      <w:lvlText w:val="%3"/>
      <w:lvlJc w:val="left"/>
      <w:pPr>
        <w:tabs>
          <w:tab w:val="left" w:pos="1260"/>
        </w:tabs>
        <w:ind w:left="1660" w:hanging="420"/>
      </w:pPr>
      <w:rPr>
        <w:rFonts w:hint="default"/>
      </w:rPr>
    </w:lvl>
    <w:lvl w:ilvl="3" w:tentative="0">
      <w:start w:val="1"/>
      <w:numFmt w:val="decimal"/>
      <w:lvlText w:val="%4)"/>
      <w:lvlJc w:val="left"/>
      <w:pPr>
        <w:tabs>
          <w:tab w:val="left" w:pos="1680"/>
        </w:tabs>
        <w:ind w:left="2080" w:hanging="420"/>
      </w:pPr>
      <w:rPr>
        <w:rFonts w:hint="default"/>
      </w:rPr>
    </w:lvl>
    <w:lvl w:ilvl="4" w:tentative="0">
      <w:start w:val="1"/>
      <w:numFmt w:val="lowerLetter"/>
      <w:lvlText w:val="%5."/>
      <w:lvlJc w:val="left"/>
      <w:pPr>
        <w:tabs>
          <w:tab w:val="left" w:pos="2100"/>
        </w:tabs>
        <w:ind w:left="2500" w:hanging="420"/>
      </w:pPr>
      <w:rPr>
        <w:rFonts w:hint="default"/>
      </w:rPr>
    </w:lvl>
    <w:lvl w:ilvl="5" w:tentative="0">
      <w:start w:val="1"/>
      <w:numFmt w:val="lowerLetter"/>
      <w:lvlText w:val="%6)"/>
      <w:lvlJc w:val="left"/>
      <w:pPr>
        <w:tabs>
          <w:tab w:val="left" w:pos="2520"/>
        </w:tabs>
        <w:ind w:left="2920" w:hanging="420"/>
      </w:pPr>
      <w:rPr>
        <w:rFonts w:hint="default"/>
      </w:rPr>
    </w:lvl>
    <w:lvl w:ilvl="6" w:tentative="0">
      <w:start w:val="1"/>
      <w:numFmt w:val="lowerRoman"/>
      <w:lvlText w:val="%7."/>
      <w:lvlJc w:val="left"/>
      <w:pPr>
        <w:tabs>
          <w:tab w:val="left" w:pos="2940"/>
        </w:tabs>
        <w:ind w:left="3340" w:hanging="420"/>
      </w:pPr>
      <w:rPr>
        <w:rFonts w:hint="default"/>
      </w:rPr>
    </w:lvl>
    <w:lvl w:ilvl="7" w:tentative="0">
      <w:start w:val="1"/>
      <w:numFmt w:val="lowerRoman"/>
      <w:lvlText w:val="%8)"/>
      <w:lvlJc w:val="left"/>
      <w:pPr>
        <w:tabs>
          <w:tab w:val="left" w:pos="3360"/>
        </w:tabs>
        <w:ind w:left="3760" w:hanging="420"/>
      </w:pPr>
      <w:rPr>
        <w:rFonts w:hint="default"/>
      </w:rPr>
    </w:lvl>
    <w:lvl w:ilvl="8" w:tentative="0">
      <w:start w:val="1"/>
      <w:numFmt w:val="lowerLetter"/>
      <w:lvlText w:val="%9."/>
      <w:lvlJc w:val="left"/>
      <w:pPr>
        <w:tabs>
          <w:tab w:val="left" w:pos="3780"/>
        </w:tabs>
        <w:ind w:left="4180" w:hanging="420"/>
      </w:pPr>
      <w:rPr>
        <w:rFonts w:hint="default"/>
      </w:rPr>
    </w:lvl>
  </w:abstractNum>
  <w:abstractNum w:abstractNumId="4">
    <w:nsid w:val="FBDDA889"/>
    <w:multiLevelType w:val="multilevel"/>
    <w:tmpl w:val="FBDDA889"/>
    <w:lvl w:ilvl="0" w:tentative="0">
      <w:start w:val="1"/>
      <w:numFmt w:val="decimal"/>
      <w:lvlText w:val="%1."/>
      <w:lvlJc w:val="left"/>
      <w:pPr>
        <w:ind w:left="71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FF2395AD"/>
    <w:multiLevelType w:val="singleLevel"/>
    <w:tmpl w:val="FF2395AD"/>
    <w:lvl w:ilvl="0" w:tentative="0">
      <w:start w:val="1"/>
      <w:numFmt w:val="decimal"/>
      <w:suff w:val="nothing"/>
      <w:lvlText w:val="（%1）"/>
      <w:lvlJc w:val="left"/>
    </w:lvl>
  </w:abstractNum>
  <w:abstractNum w:abstractNumId="6">
    <w:nsid w:val="258033A9"/>
    <w:multiLevelType w:val="singleLevel"/>
    <w:tmpl w:val="258033A9"/>
    <w:lvl w:ilvl="0" w:tentative="0">
      <w:start w:val="4"/>
      <w:numFmt w:val="decimal"/>
      <w:suff w:val="nothing"/>
      <w:lvlText w:val="%1、"/>
      <w:lvlJc w:val="left"/>
    </w:lvl>
  </w:abstractNum>
  <w:abstractNum w:abstractNumId="7">
    <w:nsid w:val="30ACB4AF"/>
    <w:multiLevelType w:val="singleLevel"/>
    <w:tmpl w:val="30ACB4AF"/>
    <w:lvl w:ilvl="0" w:tentative="0">
      <w:start w:val="3"/>
      <w:numFmt w:val="decimal"/>
      <w:suff w:val="nothing"/>
      <w:lvlText w:val="%1."/>
      <w:lvlJc w:val="left"/>
    </w:lvl>
  </w:abstractNum>
  <w:abstractNum w:abstractNumId="8">
    <w:nsid w:val="541EF322"/>
    <w:multiLevelType w:val="singleLevel"/>
    <w:tmpl w:val="541EF322"/>
    <w:lvl w:ilvl="0" w:tentative="0">
      <w:start w:val="2"/>
      <w:numFmt w:val="chineseCounting"/>
      <w:suff w:val="nothing"/>
      <w:lvlText w:val="（%1）"/>
      <w:lvlJc w:val="left"/>
      <w:rPr>
        <w:rFonts w:hint="eastAsia"/>
      </w:rPr>
    </w:lvl>
  </w:abstractNum>
  <w:abstractNum w:abstractNumId="9">
    <w:nsid w:val="5AAF1C38"/>
    <w:multiLevelType w:val="multilevel"/>
    <w:tmpl w:val="5AAF1C38"/>
    <w:lvl w:ilvl="0" w:tentative="0">
      <w:start w:val="1"/>
      <w:numFmt w:val="chineseCountingThousand"/>
      <w:suff w:val="space"/>
      <w:lvlText w:val="第%1章  "/>
      <w:lvlJc w:val="left"/>
      <w:rPr>
        <w:rFonts w:hint="eastAsia" w:cs="Times New Roman"/>
      </w:rPr>
    </w:lvl>
    <w:lvl w:ilvl="1" w:tentative="0">
      <w:start w:val="1"/>
      <w:numFmt w:val="decimal"/>
      <w:pStyle w:val="50"/>
      <w:suff w:val="space"/>
      <w:lvlText w:val="%2."/>
      <w:lvlJc w:val="left"/>
      <w:pPr>
        <w:tabs>
          <w:tab w:val="left" w:pos="0"/>
        </w:tabs>
        <w:ind w:left="284"/>
      </w:pPr>
      <w:rPr>
        <w:rFonts w:hint="eastAsia" w:ascii="宋体" w:hAnsi="宋体" w:eastAsia="宋体" w:cs="宋体"/>
      </w:rPr>
    </w:lvl>
    <w:lvl w:ilvl="2" w:tentative="0">
      <w:start w:val="1"/>
      <w:numFmt w:val="decimal"/>
      <w:suff w:val="space"/>
      <w:lvlText w:val="%2.%3"/>
      <w:lvlJc w:val="left"/>
      <w:pPr>
        <w:tabs>
          <w:tab w:val="left" w:pos="0"/>
        </w:tabs>
        <w:ind w:left="425" w:hanging="425"/>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0">
    <w:nsid w:val="5BFEFA0B"/>
    <w:multiLevelType w:val="singleLevel"/>
    <w:tmpl w:val="5BFEFA0B"/>
    <w:lvl w:ilvl="0" w:tentative="0">
      <w:start w:val="1"/>
      <w:numFmt w:val="decimal"/>
      <w:suff w:val="nothing"/>
      <w:lvlText w:val="%1."/>
      <w:lvlJc w:val="left"/>
    </w:lvl>
  </w:abstractNum>
  <w:abstractNum w:abstractNumId="11">
    <w:nsid w:val="679D5D0E"/>
    <w:multiLevelType w:val="singleLevel"/>
    <w:tmpl w:val="679D5D0E"/>
    <w:lvl w:ilvl="0" w:tentative="0">
      <w:start w:val="2"/>
      <w:numFmt w:val="decimal"/>
      <w:suff w:val="space"/>
      <w:lvlText w:val="%1."/>
      <w:lvlJc w:val="left"/>
    </w:lvl>
  </w:abstractNum>
  <w:num w:numId="1">
    <w:abstractNumId w:val="9"/>
  </w:num>
  <w:num w:numId="2">
    <w:abstractNumId w:val="6"/>
  </w:num>
  <w:num w:numId="3">
    <w:abstractNumId w:val="2"/>
  </w:num>
  <w:num w:numId="4">
    <w:abstractNumId w:val="1"/>
  </w:num>
  <w:num w:numId="5">
    <w:abstractNumId w:val="7"/>
  </w:num>
  <w:num w:numId="6">
    <w:abstractNumId w:val="10"/>
  </w:num>
  <w:num w:numId="7">
    <w:abstractNumId w:val="5"/>
  </w:num>
  <w:num w:numId="8">
    <w:abstractNumId w:val="0"/>
  </w:num>
  <w:num w:numId="9">
    <w:abstractNumId w:val="4"/>
  </w:num>
  <w:num w:numId="10">
    <w:abstractNumId w:val="8"/>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xNmRkOTgyZmJiZjcxZDcyMTQ4ZDk0OTMyY2RjMjQifQ=="/>
  </w:docVars>
  <w:rsids>
    <w:rsidRoot w:val="27425797"/>
    <w:rsid w:val="0001239D"/>
    <w:rsid w:val="0001406F"/>
    <w:rsid w:val="00046CA0"/>
    <w:rsid w:val="000C4DBF"/>
    <w:rsid w:val="00357739"/>
    <w:rsid w:val="0046168F"/>
    <w:rsid w:val="004E2B4C"/>
    <w:rsid w:val="005C5C20"/>
    <w:rsid w:val="00681272"/>
    <w:rsid w:val="006B03DD"/>
    <w:rsid w:val="0071760A"/>
    <w:rsid w:val="00926105"/>
    <w:rsid w:val="00A644F6"/>
    <w:rsid w:val="00A93995"/>
    <w:rsid w:val="00C13411"/>
    <w:rsid w:val="00C80934"/>
    <w:rsid w:val="00F61E70"/>
    <w:rsid w:val="01626374"/>
    <w:rsid w:val="01C5370F"/>
    <w:rsid w:val="02567C4E"/>
    <w:rsid w:val="029A3508"/>
    <w:rsid w:val="02CB4FE7"/>
    <w:rsid w:val="036234AF"/>
    <w:rsid w:val="03E42D6F"/>
    <w:rsid w:val="03EC0635"/>
    <w:rsid w:val="046E742B"/>
    <w:rsid w:val="049D3B67"/>
    <w:rsid w:val="04A575B9"/>
    <w:rsid w:val="04CE3D21"/>
    <w:rsid w:val="05693BAD"/>
    <w:rsid w:val="05D0738E"/>
    <w:rsid w:val="05D1531A"/>
    <w:rsid w:val="05E02F4A"/>
    <w:rsid w:val="05F47E49"/>
    <w:rsid w:val="0691202B"/>
    <w:rsid w:val="07891A90"/>
    <w:rsid w:val="07FD149A"/>
    <w:rsid w:val="0810712E"/>
    <w:rsid w:val="081C4DA3"/>
    <w:rsid w:val="084B7355"/>
    <w:rsid w:val="08BE11E5"/>
    <w:rsid w:val="08D51B22"/>
    <w:rsid w:val="09073405"/>
    <w:rsid w:val="09556B29"/>
    <w:rsid w:val="09610630"/>
    <w:rsid w:val="096156B5"/>
    <w:rsid w:val="0A9652E1"/>
    <w:rsid w:val="0A9F2B94"/>
    <w:rsid w:val="0ABB6AF5"/>
    <w:rsid w:val="0B01472B"/>
    <w:rsid w:val="0B0E30C9"/>
    <w:rsid w:val="0B184E1C"/>
    <w:rsid w:val="0B3C0B3E"/>
    <w:rsid w:val="0B50371D"/>
    <w:rsid w:val="0BC70954"/>
    <w:rsid w:val="0C49569A"/>
    <w:rsid w:val="0C4D19CF"/>
    <w:rsid w:val="0C550926"/>
    <w:rsid w:val="0C914690"/>
    <w:rsid w:val="0CCF0636"/>
    <w:rsid w:val="0CE642FD"/>
    <w:rsid w:val="0CEE31B2"/>
    <w:rsid w:val="0D0522AA"/>
    <w:rsid w:val="0D1A4879"/>
    <w:rsid w:val="0E183C70"/>
    <w:rsid w:val="0E1C0F1B"/>
    <w:rsid w:val="0EE9262B"/>
    <w:rsid w:val="0F7F6343"/>
    <w:rsid w:val="10935C29"/>
    <w:rsid w:val="115263C4"/>
    <w:rsid w:val="115D650F"/>
    <w:rsid w:val="116D2515"/>
    <w:rsid w:val="118D1F29"/>
    <w:rsid w:val="11CC64D3"/>
    <w:rsid w:val="139768AD"/>
    <w:rsid w:val="13C76C24"/>
    <w:rsid w:val="13E825B7"/>
    <w:rsid w:val="140340BA"/>
    <w:rsid w:val="144D17AB"/>
    <w:rsid w:val="14AA45D9"/>
    <w:rsid w:val="14D16964"/>
    <w:rsid w:val="1537321C"/>
    <w:rsid w:val="156744BA"/>
    <w:rsid w:val="159005EC"/>
    <w:rsid w:val="161F1C5E"/>
    <w:rsid w:val="165661F4"/>
    <w:rsid w:val="16CD5BE6"/>
    <w:rsid w:val="174C51CF"/>
    <w:rsid w:val="18027B12"/>
    <w:rsid w:val="185B7082"/>
    <w:rsid w:val="187F7652"/>
    <w:rsid w:val="18B9134A"/>
    <w:rsid w:val="18F049F5"/>
    <w:rsid w:val="18F177F9"/>
    <w:rsid w:val="190B5ED5"/>
    <w:rsid w:val="19A075E2"/>
    <w:rsid w:val="1A8D030D"/>
    <w:rsid w:val="1A93484E"/>
    <w:rsid w:val="1AF743F8"/>
    <w:rsid w:val="1B534BF4"/>
    <w:rsid w:val="1B9F05B1"/>
    <w:rsid w:val="1C120218"/>
    <w:rsid w:val="1C664FAC"/>
    <w:rsid w:val="1C6B5CDA"/>
    <w:rsid w:val="1C8651B5"/>
    <w:rsid w:val="1CAB3535"/>
    <w:rsid w:val="1CE178F7"/>
    <w:rsid w:val="1CEE3ECC"/>
    <w:rsid w:val="1D2D3FD8"/>
    <w:rsid w:val="1E6516E2"/>
    <w:rsid w:val="1E6716A0"/>
    <w:rsid w:val="1E6B73EA"/>
    <w:rsid w:val="1E8F0EB4"/>
    <w:rsid w:val="1E9F4C97"/>
    <w:rsid w:val="1ED8072D"/>
    <w:rsid w:val="1F2A56EB"/>
    <w:rsid w:val="1F3E05CA"/>
    <w:rsid w:val="1F5A5C3B"/>
    <w:rsid w:val="1F8E4729"/>
    <w:rsid w:val="1F9E0A66"/>
    <w:rsid w:val="1FB90D66"/>
    <w:rsid w:val="1FD926C2"/>
    <w:rsid w:val="2067237D"/>
    <w:rsid w:val="20744B4D"/>
    <w:rsid w:val="20CC567E"/>
    <w:rsid w:val="20DD137B"/>
    <w:rsid w:val="21354AB4"/>
    <w:rsid w:val="213B5E42"/>
    <w:rsid w:val="21891AB9"/>
    <w:rsid w:val="21E139A7"/>
    <w:rsid w:val="21F16701"/>
    <w:rsid w:val="21F91A01"/>
    <w:rsid w:val="21FE2E3E"/>
    <w:rsid w:val="22185927"/>
    <w:rsid w:val="22194943"/>
    <w:rsid w:val="22726258"/>
    <w:rsid w:val="22763D13"/>
    <w:rsid w:val="2308736F"/>
    <w:rsid w:val="234E3E91"/>
    <w:rsid w:val="235412AD"/>
    <w:rsid w:val="23714F18"/>
    <w:rsid w:val="237D2495"/>
    <w:rsid w:val="23CA3EEA"/>
    <w:rsid w:val="24220136"/>
    <w:rsid w:val="248F17E9"/>
    <w:rsid w:val="24F020D9"/>
    <w:rsid w:val="24F33B97"/>
    <w:rsid w:val="259B28FC"/>
    <w:rsid w:val="25DD2E18"/>
    <w:rsid w:val="260F621B"/>
    <w:rsid w:val="26AD1757"/>
    <w:rsid w:val="26EC7CC4"/>
    <w:rsid w:val="27137A76"/>
    <w:rsid w:val="27425797"/>
    <w:rsid w:val="275E60CE"/>
    <w:rsid w:val="280B2A12"/>
    <w:rsid w:val="287D6ACA"/>
    <w:rsid w:val="28AB6C89"/>
    <w:rsid w:val="28B53B8D"/>
    <w:rsid w:val="28BA534D"/>
    <w:rsid w:val="28E868B0"/>
    <w:rsid w:val="28EB582E"/>
    <w:rsid w:val="28FA67CD"/>
    <w:rsid w:val="28FF2B33"/>
    <w:rsid w:val="29121B7F"/>
    <w:rsid w:val="29447394"/>
    <w:rsid w:val="294944A3"/>
    <w:rsid w:val="29705A8B"/>
    <w:rsid w:val="29AF4C04"/>
    <w:rsid w:val="29BA7AD7"/>
    <w:rsid w:val="2A70421B"/>
    <w:rsid w:val="2AA42CAA"/>
    <w:rsid w:val="2B07257E"/>
    <w:rsid w:val="2B3658D3"/>
    <w:rsid w:val="2B9742E8"/>
    <w:rsid w:val="2C363DD6"/>
    <w:rsid w:val="2CB53445"/>
    <w:rsid w:val="2CF3569E"/>
    <w:rsid w:val="2D2325AC"/>
    <w:rsid w:val="2D7C52A3"/>
    <w:rsid w:val="2DBD724B"/>
    <w:rsid w:val="2E46096A"/>
    <w:rsid w:val="2E4D7864"/>
    <w:rsid w:val="2E5166F1"/>
    <w:rsid w:val="2E6B1950"/>
    <w:rsid w:val="2F31615F"/>
    <w:rsid w:val="2F36237D"/>
    <w:rsid w:val="2F627787"/>
    <w:rsid w:val="308224F4"/>
    <w:rsid w:val="312267DB"/>
    <w:rsid w:val="319853E0"/>
    <w:rsid w:val="31A1652F"/>
    <w:rsid w:val="31AE172A"/>
    <w:rsid w:val="31E2512B"/>
    <w:rsid w:val="31EF5153"/>
    <w:rsid w:val="31F41E54"/>
    <w:rsid w:val="324F79A0"/>
    <w:rsid w:val="32A16AD1"/>
    <w:rsid w:val="330459CA"/>
    <w:rsid w:val="3307441B"/>
    <w:rsid w:val="340331CE"/>
    <w:rsid w:val="34297E64"/>
    <w:rsid w:val="34B2369C"/>
    <w:rsid w:val="34B418EF"/>
    <w:rsid w:val="350C63BC"/>
    <w:rsid w:val="35637DF7"/>
    <w:rsid w:val="359B6364"/>
    <w:rsid w:val="35BD3443"/>
    <w:rsid w:val="35D35F50"/>
    <w:rsid w:val="35D643E6"/>
    <w:rsid w:val="35E9335B"/>
    <w:rsid w:val="36267B31"/>
    <w:rsid w:val="364A0BAA"/>
    <w:rsid w:val="365E28A7"/>
    <w:rsid w:val="366773FA"/>
    <w:rsid w:val="36750B70"/>
    <w:rsid w:val="367C7A04"/>
    <w:rsid w:val="36AA36BF"/>
    <w:rsid w:val="36AE4BBC"/>
    <w:rsid w:val="36C05922"/>
    <w:rsid w:val="36CA0386"/>
    <w:rsid w:val="371051BC"/>
    <w:rsid w:val="37192BAD"/>
    <w:rsid w:val="373B1C22"/>
    <w:rsid w:val="373F1F65"/>
    <w:rsid w:val="373F5BE4"/>
    <w:rsid w:val="3785518C"/>
    <w:rsid w:val="384B0D26"/>
    <w:rsid w:val="3856625D"/>
    <w:rsid w:val="38C1292E"/>
    <w:rsid w:val="38E30E42"/>
    <w:rsid w:val="394D67B0"/>
    <w:rsid w:val="39612A04"/>
    <w:rsid w:val="39D5048A"/>
    <w:rsid w:val="39DA1FFC"/>
    <w:rsid w:val="3A2268D0"/>
    <w:rsid w:val="3A577DD4"/>
    <w:rsid w:val="3B4029FD"/>
    <w:rsid w:val="3BD530ED"/>
    <w:rsid w:val="3C2D6464"/>
    <w:rsid w:val="3D361E88"/>
    <w:rsid w:val="3D4C0960"/>
    <w:rsid w:val="3DE43692"/>
    <w:rsid w:val="3DEB0EC4"/>
    <w:rsid w:val="3E04704F"/>
    <w:rsid w:val="3E8F72DF"/>
    <w:rsid w:val="3EA826CA"/>
    <w:rsid w:val="3EE657AE"/>
    <w:rsid w:val="3EE93DB6"/>
    <w:rsid w:val="3F1F7C06"/>
    <w:rsid w:val="3F52184C"/>
    <w:rsid w:val="3F942E96"/>
    <w:rsid w:val="3FA6795C"/>
    <w:rsid w:val="3FD61AE1"/>
    <w:rsid w:val="3FDF2363"/>
    <w:rsid w:val="3FE23C01"/>
    <w:rsid w:val="406D70B3"/>
    <w:rsid w:val="40972C3D"/>
    <w:rsid w:val="40B71B43"/>
    <w:rsid w:val="40C23A54"/>
    <w:rsid w:val="41402FA6"/>
    <w:rsid w:val="4177460C"/>
    <w:rsid w:val="41CE7007"/>
    <w:rsid w:val="41EC6AFB"/>
    <w:rsid w:val="42425BDF"/>
    <w:rsid w:val="4290203A"/>
    <w:rsid w:val="42E07137"/>
    <w:rsid w:val="43187E7B"/>
    <w:rsid w:val="431E0B71"/>
    <w:rsid w:val="432D7889"/>
    <w:rsid w:val="437C2970"/>
    <w:rsid w:val="43824B84"/>
    <w:rsid w:val="445F49C9"/>
    <w:rsid w:val="44655D4A"/>
    <w:rsid w:val="44AE50B5"/>
    <w:rsid w:val="44C92A79"/>
    <w:rsid w:val="45184A87"/>
    <w:rsid w:val="45A86893"/>
    <w:rsid w:val="45D22A41"/>
    <w:rsid w:val="469B0FAE"/>
    <w:rsid w:val="46A612D2"/>
    <w:rsid w:val="46EC1B8D"/>
    <w:rsid w:val="46FC1EB8"/>
    <w:rsid w:val="477B4BEC"/>
    <w:rsid w:val="47820442"/>
    <w:rsid w:val="47F34FED"/>
    <w:rsid w:val="482F7ED5"/>
    <w:rsid w:val="489F43AF"/>
    <w:rsid w:val="48C61172"/>
    <w:rsid w:val="493A288C"/>
    <w:rsid w:val="497F752D"/>
    <w:rsid w:val="49B4660E"/>
    <w:rsid w:val="4A4B60EE"/>
    <w:rsid w:val="4A557F75"/>
    <w:rsid w:val="4A635353"/>
    <w:rsid w:val="4ACB00B3"/>
    <w:rsid w:val="4B2555ED"/>
    <w:rsid w:val="4B4979F4"/>
    <w:rsid w:val="4BB500A5"/>
    <w:rsid w:val="4BE13B57"/>
    <w:rsid w:val="4BEF6F43"/>
    <w:rsid w:val="4BF50531"/>
    <w:rsid w:val="4BFA7BB7"/>
    <w:rsid w:val="4C181A3D"/>
    <w:rsid w:val="4C560042"/>
    <w:rsid w:val="4C651E42"/>
    <w:rsid w:val="4C9D528B"/>
    <w:rsid w:val="4CBC3D6C"/>
    <w:rsid w:val="4D686C8D"/>
    <w:rsid w:val="4D926C66"/>
    <w:rsid w:val="4DA64DAF"/>
    <w:rsid w:val="4DDC0687"/>
    <w:rsid w:val="4DDF0ECE"/>
    <w:rsid w:val="4DFC36E7"/>
    <w:rsid w:val="4E002804"/>
    <w:rsid w:val="4E3F48D6"/>
    <w:rsid w:val="4E9257F6"/>
    <w:rsid w:val="4EED166D"/>
    <w:rsid w:val="4F5F0DCA"/>
    <w:rsid w:val="4FAA367F"/>
    <w:rsid w:val="4FDA3B18"/>
    <w:rsid w:val="503A72CF"/>
    <w:rsid w:val="51490042"/>
    <w:rsid w:val="51695F30"/>
    <w:rsid w:val="517174DB"/>
    <w:rsid w:val="51725477"/>
    <w:rsid w:val="51823496"/>
    <w:rsid w:val="51E911C7"/>
    <w:rsid w:val="51F34A36"/>
    <w:rsid w:val="52121BB5"/>
    <w:rsid w:val="523A78CD"/>
    <w:rsid w:val="52BE22AC"/>
    <w:rsid w:val="52D04371"/>
    <w:rsid w:val="52FF18B2"/>
    <w:rsid w:val="530144A2"/>
    <w:rsid w:val="53205334"/>
    <w:rsid w:val="53263DD7"/>
    <w:rsid w:val="532C0A2A"/>
    <w:rsid w:val="53D977D3"/>
    <w:rsid w:val="5406621B"/>
    <w:rsid w:val="544A6CFB"/>
    <w:rsid w:val="547560E2"/>
    <w:rsid w:val="54DA0EF3"/>
    <w:rsid w:val="551E41EB"/>
    <w:rsid w:val="551E4B6D"/>
    <w:rsid w:val="55C11BA8"/>
    <w:rsid w:val="56401774"/>
    <w:rsid w:val="56DA342C"/>
    <w:rsid w:val="57766F67"/>
    <w:rsid w:val="577F753D"/>
    <w:rsid w:val="57D246DF"/>
    <w:rsid w:val="587F7F83"/>
    <w:rsid w:val="58896DCA"/>
    <w:rsid w:val="588C69A8"/>
    <w:rsid w:val="58B575DB"/>
    <w:rsid w:val="58C0702C"/>
    <w:rsid w:val="58D420C4"/>
    <w:rsid w:val="58FA1B08"/>
    <w:rsid w:val="58FE1654"/>
    <w:rsid w:val="59A97D59"/>
    <w:rsid w:val="5A2B10DC"/>
    <w:rsid w:val="5A47702B"/>
    <w:rsid w:val="5A9322FB"/>
    <w:rsid w:val="5AB83F5E"/>
    <w:rsid w:val="5AB916A1"/>
    <w:rsid w:val="5AE64A95"/>
    <w:rsid w:val="5AE92C91"/>
    <w:rsid w:val="5B241A3E"/>
    <w:rsid w:val="5B7025AB"/>
    <w:rsid w:val="5B984B49"/>
    <w:rsid w:val="5C6C00C1"/>
    <w:rsid w:val="5C936557"/>
    <w:rsid w:val="5D504587"/>
    <w:rsid w:val="5D8F3E11"/>
    <w:rsid w:val="5DE828D3"/>
    <w:rsid w:val="5E026B94"/>
    <w:rsid w:val="5F125E59"/>
    <w:rsid w:val="5F452B83"/>
    <w:rsid w:val="5FE9464D"/>
    <w:rsid w:val="60033294"/>
    <w:rsid w:val="6159055E"/>
    <w:rsid w:val="61D70C94"/>
    <w:rsid w:val="61DF4EDA"/>
    <w:rsid w:val="61EF732C"/>
    <w:rsid w:val="62414960"/>
    <w:rsid w:val="62A32CCC"/>
    <w:rsid w:val="62AB7EE4"/>
    <w:rsid w:val="62F06C2B"/>
    <w:rsid w:val="636617EB"/>
    <w:rsid w:val="636E7FEF"/>
    <w:rsid w:val="63912AC9"/>
    <w:rsid w:val="64044135"/>
    <w:rsid w:val="642E4E6F"/>
    <w:rsid w:val="64604302"/>
    <w:rsid w:val="65BF55A0"/>
    <w:rsid w:val="65F938CF"/>
    <w:rsid w:val="66124E77"/>
    <w:rsid w:val="66925736"/>
    <w:rsid w:val="66FB5425"/>
    <w:rsid w:val="67094641"/>
    <w:rsid w:val="6711073F"/>
    <w:rsid w:val="67B4503D"/>
    <w:rsid w:val="68144EAF"/>
    <w:rsid w:val="687861F6"/>
    <w:rsid w:val="68B55291"/>
    <w:rsid w:val="68D60116"/>
    <w:rsid w:val="696C4C32"/>
    <w:rsid w:val="69A559AA"/>
    <w:rsid w:val="69AC67B3"/>
    <w:rsid w:val="69B30239"/>
    <w:rsid w:val="6AA33E8D"/>
    <w:rsid w:val="6AF503DD"/>
    <w:rsid w:val="6C213E03"/>
    <w:rsid w:val="6C435C36"/>
    <w:rsid w:val="6C5A38D0"/>
    <w:rsid w:val="6CC74094"/>
    <w:rsid w:val="6D7F5608"/>
    <w:rsid w:val="6DAA34D8"/>
    <w:rsid w:val="6EE75201"/>
    <w:rsid w:val="6F3E2FA3"/>
    <w:rsid w:val="6F767D3E"/>
    <w:rsid w:val="6FAC38CB"/>
    <w:rsid w:val="6FB27657"/>
    <w:rsid w:val="6FC24913"/>
    <w:rsid w:val="70680E0E"/>
    <w:rsid w:val="708E10B8"/>
    <w:rsid w:val="70AE5C7B"/>
    <w:rsid w:val="70F35414"/>
    <w:rsid w:val="70FE623D"/>
    <w:rsid w:val="71167876"/>
    <w:rsid w:val="715F2A54"/>
    <w:rsid w:val="72181581"/>
    <w:rsid w:val="72CF30E2"/>
    <w:rsid w:val="73221EC5"/>
    <w:rsid w:val="73792BEC"/>
    <w:rsid w:val="73A062E6"/>
    <w:rsid w:val="73B7051D"/>
    <w:rsid w:val="73DC09EB"/>
    <w:rsid w:val="74544D8A"/>
    <w:rsid w:val="74817C4B"/>
    <w:rsid w:val="75671ED7"/>
    <w:rsid w:val="75E07DEC"/>
    <w:rsid w:val="761F7E4B"/>
    <w:rsid w:val="76612002"/>
    <w:rsid w:val="76660EC4"/>
    <w:rsid w:val="76FB1360"/>
    <w:rsid w:val="77646F7F"/>
    <w:rsid w:val="778A1901"/>
    <w:rsid w:val="77AF0AC8"/>
    <w:rsid w:val="77D0358D"/>
    <w:rsid w:val="781911D4"/>
    <w:rsid w:val="78513FDA"/>
    <w:rsid w:val="78F97604"/>
    <w:rsid w:val="78FE25B0"/>
    <w:rsid w:val="796013F3"/>
    <w:rsid w:val="7A5A10AE"/>
    <w:rsid w:val="7A90282B"/>
    <w:rsid w:val="7AA40846"/>
    <w:rsid w:val="7AD46D1A"/>
    <w:rsid w:val="7AE57589"/>
    <w:rsid w:val="7AFB72A4"/>
    <w:rsid w:val="7B05466C"/>
    <w:rsid w:val="7B1B3063"/>
    <w:rsid w:val="7B3F192C"/>
    <w:rsid w:val="7B6964C7"/>
    <w:rsid w:val="7BC3509B"/>
    <w:rsid w:val="7BDD39EC"/>
    <w:rsid w:val="7C0407F2"/>
    <w:rsid w:val="7C250010"/>
    <w:rsid w:val="7CB73744"/>
    <w:rsid w:val="7CFE2A3C"/>
    <w:rsid w:val="7D600EF5"/>
    <w:rsid w:val="7DA243F4"/>
    <w:rsid w:val="7DC5002D"/>
    <w:rsid w:val="7DE93DD1"/>
    <w:rsid w:val="7E400169"/>
    <w:rsid w:val="7E8E6555"/>
    <w:rsid w:val="7EC71543"/>
    <w:rsid w:val="7FB42512"/>
    <w:rsid w:val="7FDC3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29"/>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30"/>
    <w:unhideWhenUsed/>
    <w:qFormat/>
    <w:uiPriority w:val="0"/>
    <w:pPr>
      <w:keepNext/>
      <w:keepLines/>
      <w:spacing w:before="260" w:after="260" w:line="413" w:lineRule="auto"/>
      <w:outlineLvl w:val="2"/>
    </w:pPr>
    <w:rPr>
      <w:b/>
      <w:sz w:val="32"/>
    </w:rPr>
  </w:style>
  <w:style w:type="paragraph" w:styleId="5">
    <w:name w:val="heading 4"/>
    <w:basedOn w:val="1"/>
    <w:next w:val="1"/>
    <w:link w:val="32"/>
    <w:semiHidden/>
    <w:unhideWhenUsed/>
    <w:qFormat/>
    <w:uiPriority w:val="0"/>
    <w:pPr>
      <w:keepNext/>
      <w:keepLines/>
      <w:spacing w:before="280" w:after="29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pPr>
    <w:rPr>
      <w:rFonts w:eastAsia="方正仿宋_GB2312"/>
    </w:rPr>
  </w:style>
  <w:style w:type="paragraph" w:styleId="7">
    <w:name w:val="annotation text"/>
    <w:basedOn w:val="1"/>
    <w:next w:val="1"/>
    <w:qFormat/>
    <w:uiPriority w:val="0"/>
    <w:pPr>
      <w:jc w:val="left"/>
    </w:pPr>
  </w:style>
  <w:style w:type="paragraph" w:styleId="8">
    <w:name w:val="Body Text"/>
    <w:basedOn w:val="1"/>
    <w:next w:val="1"/>
    <w:qFormat/>
    <w:uiPriority w:val="99"/>
    <w:pPr>
      <w:spacing w:after="120"/>
    </w:pPr>
    <w:rPr>
      <w:rFonts w:ascii="Times New Roman" w:hAnsi="Times New Roman" w:eastAsia="宋体" w:cs="Times New Roman"/>
    </w:rPr>
  </w:style>
  <w:style w:type="paragraph" w:styleId="9">
    <w:name w:val="Body Text Indent"/>
    <w:qFormat/>
    <w:uiPriority w:val="99"/>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0">
    <w:name w:val="toc 3"/>
    <w:basedOn w:val="1"/>
    <w:next w:val="1"/>
    <w:qFormat/>
    <w:uiPriority w:val="0"/>
    <w:pPr>
      <w:ind w:left="840" w:leftChars="400"/>
    </w:pPr>
  </w:style>
  <w:style w:type="paragraph" w:styleId="11">
    <w:name w:val="Plain Text"/>
    <w:basedOn w:val="1"/>
    <w:next w:val="12"/>
    <w:qFormat/>
    <w:uiPriority w:val="0"/>
    <w:rPr>
      <w:rFonts w:ascii="宋体" w:hAnsi="Courier New" w:eastAsia="宋体" w:cs="Times New Roman"/>
      <w:szCs w:val="20"/>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3">
    <w:name w:val="Balloon Text"/>
    <w:basedOn w:val="1"/>
    <w:link w:val="56"/>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Body Text 2"/>
    <w:basedOn w:val="1"/>
    <w:next w:val="8"/>
    <w:qFormat/>
    <w:uiPriority w:val="99"/>
    <w:rPr>
      <w:rFonts w:ascii="宋体" w:hAnsi="宋体" w:eastAsia="宋体" w:cs="Times New Roman"/>
      <w:sz w:val="28"/>
    </w:rPr>
  </w:style>
  <w:style w:type="paragraph" w:styleId="19">
    <w:name w:val="Normal (Web)"/>
    <w:basedOn w:val="1"/>
    <w:qFormat/>
    <w:uiPriority w:val="0"/>
    <w:pPr>
      <w:spacing w:beforeAutospacing="1" w:afterAutospacing="1"/>
      <w:jc w:val="left"/>
    </w:pPr>
    <w:rPr>
      <w:kern w:val="0"/>
      <w:sz w:val="24"/>
    </w:rPr>
  </w:style>
  <w:style w:type="paragraph" w:styleId="20">
    <w:name w:val="Body Text First Indent"/>
    <w:basedOn w:val="8"/>
    <w:qFormat/>
    <w:uiPriority w:val="0"/>
    <w:pPr>
      <w:spacing w:line="312" w:lineRule="auto"/>
      <w:ind w:firstLine="420"/>
    </w:pPr>
    <w:rPr>
      <w:rFonts w:asciiTheme="minorHAnsi" w:hAnsiTheme="minorHAnsi" w:eastAsiaTheme="minorEastAsia" w:cstheme="minorBidi"/>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qFormat/>
    <w:uiPriority w:val="0"/>
    <w:rPr>
      <w:color w:val="0000FF"/>
      <w:u w:val="single"/>
    </w:rPr>
  </w:style>
  <w:style w:type="character" w:styleId="25">
    <w:name w:val="annotation reference"/>
    <w:qFormat/>
    <w:uiPriority w:val="0"/>
    <w:rPr>
      <w:sz w:val="21"/>
      <w:szCs w:val="21"/>
    </w:rPr>
  </w:style>
  <w:style w:type="paragraph" w:customStyle="1" w:styleId="26">
    <w:name w:val="样式1"/>
    <w:basedOn w:val="1"/>
    <w:link w:val="33"/>
    <w:qFormat/>
    <w:uiPriority w:val="0"/>
    <w:pPr>
      <w:spacing w:line="360" w:lineRule="auto"/>
      <w:jc w:val="center"/>
    </w:pPr>
    <w:rPr>
      <w:b/>
      <w:sz w:val="28"/>
      <w:lang w:val="zh-CN"/>
    </w:rPr>
  </w:style>
  <w:style w:type="paragraph" w:customStyle="1" w:styleId="27">
    <w:name w:val="6'"/>
    <w:next w:val="28"/>
    <w:qFormat/>
    <w:uiPriority w:val="99"/>
    <w:pPr>
      <w:widowControl w:val="0"/>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 w:val="21"/>
      <w:lang w:val="en-US" w:eastAsia="zh-CN" w:bidi="ar-SA"/>
    </w:rPr>
  </w:style>
  <w:style w:type="paragraph" w:customStyle="1" w:styleId="28">
    <w:name w:val="AOHead3"/>
    <w:next w:val="1"/>
    <w:qFormat/>
    <w:uiPriority w:val="0"/>
    <w:pPr>
      <w:spacing w:line="360" w:lineRule="auto"/>
      <w:ind w:left="1260"/>
      <w:jc w:val="both"/>
      <w:outlineLvl w:val="2"/>
    </w:pPr>
    <w:rPr>
      <w:rFonts w:ascii="宋体" w:hAnsi="Times New Roman" w:eastAsia="宋体" w:cs="Times New Roman"/>
      <w:color w:val="0000FF"/>
      <w:kern w:val="2"/>
      <w:sz w:val="24"/>
      <w:szCs w:val="24"/>
      <w:lang w:val="en-US" w:eastAsia="zh-CN" w:bidi="ar-SA"/>
    </w:rPr>
  </w:style>
  <w:style w:type="character" w:customStyle="1" w:styleId="29">
    <w:name w:val="标题 2 字符"/>
    <w:link w:val="3"/>
    <w:qFormat/>
    <w:uiPriority w:val="0"/>
    <w:rPr>
      <w:rFonts w:ascii="Arial" w:hAnsi="Arial" w:eastAsia="黑体"/>
      <w:b/>
      <w:sz w:val="32"/>
    </w:rPr>
  </w:style>
  <w:style w:type="character" w:customStyle="1" w:styleId="30">
    <w:name w:val="标题 3 字符"/>
    <w:link w:val="4"/>
    <w:qFormat/>
    <w:uiPriority w:val="0"/>
    <w:rPr>
      <w:b/>
      <w:sz w:val="32"/>
    </w:rPr>
  </w:style>
  <w:style w:type="paragraph" w:customStyle="1" w:styleId="31">
    <w:name w:val="正文正"/>
    <w:basedOn w:val="1"/>
    <w:qFormat/>
    <w:uiPriority w:val="0"/>
    <w:pPr>
      <w:spacing w:line="560" w:lineRule="exact"/>
      <w:ind w:firstLine="561"/>
    </w:pPr>
    <w:rPr>
      <w:rFonts w:ascii="Calibri" w:hAnsi="Calibri" w:cs="Calibri"/>
      <w:sz w:val="28"/>
      <w:szCs w:val="28"/>
    </w:rPr>
  </w:style>
  <w:style w:type="character" w:customStyle="1" w:styleId="32">
    <w:name w:val="标题 4 字符"/>
    <w:link w:val="5"/>
    <w:qFormat/>
    <w:uiPriority w:val="0"/>
    <w:rPr>
      <w:rFonts w:ascii="Arial" w:hAnsi="Arial" w:eastAsia="黑体"/>
      <w:b/>
      <w:sz w:val="28"/>
    </w:rPr>
  </w:style>
  <w:style w:type="character" w:customStyle="1" w:styleId="33">
    <w:name w:val="样式1 Char"/>
    <w:link w:val="26"/>
    <w:qFormat/>
    <w:uiPriority w:val="0"/>
    <w:rPr>
      <w:rFonts w:hint="default" w:asciiTheme="minorHAnsi" w:hAnsiTheme="minorHAnsi"/>
      <w:b/>
      <w:sz w:val="28"/>
      <w:lang w:val="zh-CN"/>
    </w:rPr>
  </w:style>
  <w:style w:type="paragraph" w:customStyle="1" w:styleId="34">
    <w:name w:val="Table Paragraph"/>
    <w:basedOn w:val="35"/>
    <w:qFormat/>
    <w:uiPriority w:val="1"/>
    <w:rPr>
      <w:rFonts w:ascii="宋体" w:hAnsi="宋体" w:cs="宋体"/>
      <w:lang w:val="zh-CN" w:bidi="zh-CN"/>
    </w:rPr>
  </w:style>
  <w:style w:type="paragraph" w:customStyle="1" w:styleId="35">
    <w:name w:val="正文 New New New New"/>
    <w:next w:val="36"/>
    <w:unhideWhenUsed/>
    <w:qFormat/>
    <w:uiPriority w:val="99"/>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36">
    <w:name w:val="正文文本缩进 New New New New"/>
    <w:basedOn w:val="37"/>
    <w:unhideWhenUsed/>
    <w:qFormat/>
    <w:uiPriority w:val="99"/>
    <w:pPr>
      <w:ind w:left="420" w:leftChars="200"/>
    </w:pPr>
  </w:style>
  <w:style w:type="paragraph" w:customStyle="1" w:styleId="37">
    <w:name w:val="正文文本 New New New New"/>
    <w:basedOn w:val="38"/>
    <w:unhideWhenUsed/>
    <w:qFormat/>
    <w:uiPriority w:val="99"/>
    <w:pPr>
      <w:spacing w:before="32"/>
      <w:ind w:left="138"/>
    </w:pPr>
    <w:rPr>
      <w:rFonts w:eastAsia="Times New Roman"/>
    </w:rPr>
  </w:style>
  <w:style w:type="paragraph" w:customStyle="1" w:styleId="38">
    <w:name w:val="正文 New New New New New New"/>
    <w:next w:val="39"/>
    <w:unhideWhenUsed/>
    <w:qFormat/>
    <w:uiPriority w:val="99"/>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39">
    <w:name w:val="正文文本缩进 New New New New New New"/>
    <w:basedOn w:val="40"/>
    <w:unhideWhenUsed/>
    <w:qFormat/>
    <w:uiPriority w:val="99"/>
    <w:pPr>
      <w:ind w:left="420" w:leftChars="200"/>
    </w:pPr>
  </w:style>
  <w:style w:type="paragraph" w:customStyle="1" w:styleId="40">
    <w:name w:val="正文文本 New New New New New New New New New New"/>
    <w:basedOn w:val="41"/>
    <w:unhideWhenUsed/>
    <w:qFormat/>
    <w:uiPriority w:val="99"/>
    <w:pPr>
      <w:spacing w:before="32"/>
      <w:ind w:left="138"/>
    </w:pPr>
    <w:rPr>
      <w:rFonts w:eastAsia="Times New Roman"/>
    </w:rPr>
  </w:style>
  <w:style w:type="paragraph" w:customStyle="1" w:styleId="41">
    <w:name w:val="正文 New New New New New New New New New New New"/>
    <w:next w:val="39"/>
    <w:unhideWhenUsed/>
    <w:qFormat/>
    <w:uiPriority w:val="99"/>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42">
    <w:name w:val="WPSOffice手动目录 1"/>
    <w:qFormat/>
    <w:uiPriority w:val="0"/>
    <w:rPr>
      <w:rFonts w:asciiTheme="minorHAnsi" w:hAnsiTheme="minorHAnsi" w:eastAsiaTheme="minorEastAsia" w:cstheme="minorBidi"/>
      <w:lang w:val="en-US" w:eastAsia="zh-CN" w:bidi="ar-SA"/>
    </w:rPr>
  </w:style>
  <w:style w:type="paragraph" w:customStyle="1" w:styleId="43">
    <w:name w:val="Plain Text1"/>
    <w:basedOn w:val="1"/>
    <w:qFormat/>
    <w:uiPriority w:val="0"/>
    <w:rPr>
      <w:rFonts w:ascii="Courier New" w:hAnsi="Courier New"/>
      <w:szCs w:val="20"/>
    </w:rPr>
  </w:style>
  <w:style w:type="paragraph" w:customStyle="1" w:styleId="44">
    <w:name w:val="样式 宋体 行距: 1.5 倍行距"/>
    <w:basedOn w:val="45"/>
    <w:next w:val="1"/>
    <w:qFormat/>
    <w:uiPriority w:val="0"/>
    <w:pPr>
      <w:jc w:val="center"/>
    </w:pPr>
    <w:rPr>
      <w:b/>
    </w:rPr>
  </w:style>
  <w:style w:type="paragraph" w:customStyle="1" w:styleId="4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4"/>
    <w:qFormat/>
    <w:uiPriority w:val="0"/>
    <w:pPr>
      <w:widowControl w:val="0"/>
      <w:jc w:val="both"/>
    </w:pPr>
    <w:rPr>
      <w:rFonts w:ascii="Calibri" w:hAnsi="Calibri" w:eastAsia="宋体" w:cs="黑体"/>
      <w:kern w:val="2"/>
      <w:sz w:val="21"/>
      <w:szCs w:val="24"/>
      <w:lang w:val="en-US" w:eastAsia="zh-CN" w:bidi="ar-SA"/>
    </w:rPr>
  </w:style>
  <w:style w:type="paragraph" w:customStyle="1" w:styleId="46">
    <w:name w:val="正文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7">
    <w:name w:val="招标正文"/>
    <w:basedOn w:val="1"/>
    <w:qFormat/>
    <w:uiPriority w:val="0"/>
    <w:pPr>
      <w:autoSpaceDE w:val="0"/>
      <w:autoSpaceDN w:val="0"/>
      <w:adjustRightInd w:val="0"/>
      <w:ind w:firstLine="480" w:firstLineChars="200"/>
    </w:pPr>
    <w:rPr>
      <w:rFonts w:cs="微软雅黑"/>
      <w:kern w:val="0"/>
      <w:sz w:val="24"/>
    </w:rPr>
  </w:style>
  <w:style w:type="paragraph" w:customStyle="1" w:styleId="48">
    <w:name w:val="表格内容"/>
    <w:basedOn w:val="47"/>
    <w:qFormat/>
    <w:uiPriority w:val="0"/>
    <w:pPr>
      <w:ind w:firstLine="0" w:firstLineChars="0"/>
      <w:jc w:val="center"/>
    </w:pPr>
  </w:style>
  <w:style w:type="character" w:customStyle="1" w:styleId="49">
    <w:name w:val="fontstyle01"/>
    <w:basedOn w:val="23"/>
    <w:qFormat/>
    <w:uiPriority w:val="0"/>
    <w:rPr>
      <w:rFonts w:hint="eastAsia" w:ascii="宋体" w:hAnsi="宋体" w:eastAsia="宋体"/>
      <w:color w:val="000000"/>
      <w:sz w:val="22"/>
      <w:szCs w:val="22"/>
    </w:rPr>
  </w:style>
  <w:style w:type="paragraph" w:customStyle="1" w:styleId="50">
    <w:name w:val="标题1、"/>
    <w:basedOn w:val="3"/>
    <w:qFormat/>
    <w:uiPriority w:val="0"/>
    <w:pPr>
      <w:numPr>
        <w:ilvl w:val="1"/>
        <w:numId w:val="1"/>
      </w:numPr>
      <w:autoSpaceDE w:val="0"/>
      <w:autoSpaceDN w:val="0"/>
      <w:adjustRightInd w:val="0"/>
      <w:spacing w:beforeLines="50"/>
      <w:jc w:val="left"/>
    </w:pPr>
    <w:rPr>
      <w:rFonts w:ascii="Times New Roman" w:hAnsi="Times New Roman"/>
      <w:kern w:val="0"/>
      <w:sz w:val="24"/>
    </w:rPr>
  </w:style>
  <w:style w:type="paragraph" w:customStyle="1" w:styleId="51">
    <w:name w:val="条款正文"/>
    <w:basedOn w:val="47"/>
    <w:qFormat/>
    <w:uiPriority w:val="0"/>
    <w:pPr>
      <w:ind w:firstLine="0" w:firstLineChars="0"/>
    </w:pPr>
  </w:style>
  <w:style w:type="paragraph" w:customStyle="1" w:styleId="52">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Table Text"/>
    <w:basedOn w:val="1"/>
    <w:semiHidden/>
    <w:qFormat/>
    <w:uiPriority w:val="0"/>
    <w:pPr>
      <w:widowControl/>
      <w:kinsoku w:val="0"/>
      <w:adjustRightInd w:val="0"/>
      <w:snapToGrid w:val="0"/>
      <w:jc w:val="left"/>
      <w:textAlignment w:val="baseline"/>
    </w:pPr>
    <w:rPr>
      <w:rFonts w:ascii="宋体" w:hAnsi="宋体" w:cs="宋体"/>
      <w:snapToGrid w:val="0"/>
      <w:color w:val="000000"/>
      <w:kern w:val="0"/>
      <w:szCs w:val="21"/>
      <w:lang w:eastAsia="en-US"/>
    </w:rPr>
  </w:style>
  <w:style w:type="table" w:customStyle="1" w:styleId="54">
    <w:name w:val="Table Normal"/>
    <w:unhideWhenUsed/>
    <w:qFormat/>
    <w:uiPriority w:val="0"/>
    <w:tblPr>
      <w:tblCellMar>
        <w:top w:w="0" w:type="dxa"/>
        <w:left w:w="0" w:type="dxa"/>
        <w:bottom w:w="0" w:type="dxa"/>
        <w:right w:w="0" w:type="dxa"/>
      </w:tblCellMar>
    </w:tblPr>
  </w:style>
  <w:style w:type="paragraph" w:customStyle="1" w:styleId="55">
    <w:name w:val="标准正文"/>
    <w:basedOn w:val="1"/>
    <w:qFormat/>
    <w:uiPriority w:val="0"/>
    <w:pPr>
      <w:spacing w:line="360" w:lineRule="auto"/>
      <w:ind w:firstLine="480" w:firstLineChars="200"/>
    </w:pPr>
    <w:rPr>
      <w:rFonts w:ascii="Arial" w:hAnsi="Arial"/>
      <w:color w:val="000000"/>
    </w:rPr>
  </w:style>
  <w:style w:type="character" w:customStyle="1" w:styleId="56">
    <w:name w:val="批注框文本 字符"/>
    <w:basedOn w:val="23"/>
    <w:link w:val="13"/>
    <w:qFormat/>
    <w:uiPriority w:val="0"/>
    <w:rPr>
      <w:rFonts w:asciiTheme="minorHAnsi" w:hAnsiTheme="minorHAnsi" w:eastAsiaTheme="minorEastAsia" w:cstheme="minorBidi"/>
      <w:kern w:val="2"/>
      <w:sz w:val="18"/>
      <w:szCs w:val="18"/>
    </w:rPr>
  </w:style>
  <w:style w:type="paragraph" w:styleId="5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161</Pages>
  <Words>105543</Words>
  <Characters>113622</Characters>
  <Lines>835</Lines>
  <Paragraphs>235</Paragraphs>
  <TotalTime>3</TotalTime>
  <ScaleCrop>false</ScaleCrop>
  <LinksUpToDate>false</LinksUpToDate>
  <CharactersWithSpaces>114248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2024-09-09T15:46:00Z</dcterms:created>
  <dc:creator>Island</dc:creator>
  <cp:lastModifiedBy>Chloe</cp:lastModifiedBy>
  <cp:lastPrinted>2024-09-14T01:15:00Z</cp:lastPrinted>
  <dcterms:modified xsi:type="dcterms:W3CDTF">2024-09-19T04:38:21Z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B5CB0093CE994B7C9DEF4AB4712664DA_13</vt:lpwstr>
  </property>
  <property fmtid="{D5CDD505-2E9C-101B-9397-08002B2CF9AE}" pid="4" name="commondata">
    <vt:lpwstr>eyJoZGlkIjoiZGFkOWUxNjkwZTE4ZDBkYjY1NjBkNGExOWVmNzU0ZTgifQ==</vt:lpwstr>
  </property>
</Properties>
</file>