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D73B45">
      <w:pPr>
        <w:jc w:val="center"/>
        <w:rPr>
          <w:rFonts w:ascii="宋体" w:hAnsi="宋体" w:cs="宋体"/>
          <w:b/>
          <w:color w:val="000000" w:themeColor="text1"/>
          <w:kern w:val="0"/>
          <w:sz w:val="72"/>
          <w:szCs w:val="72"/>
          <w:highlight w:val="none"/>
          <w:shd w:val="clear" w:color="auto" w:fill="FFFFFF"/>
          <w14:textFill>
            <w14:solidFill>
              <w14:schemeClr w14:val="tx1"/>
            </w14:solidFill>
          </w14:textFill>
        </w:rPr>
      </w:pPr>
      <w:r>
        <w:rPr>
          <w:rFonts w:hint="eastAsia" w:ascii="宋体" w:hAnsi="宋体" w:cs="宋体"/>
          <w:b/>
          <w:color w:val="000000" w:themeColor="text1"/>
          <w:kern w:val="0"/>
          <w:sz w:val="72"/>
          <w:szCs w:val="72"/>
          <w:highlight w:val="none"/>
          <w:shd w:val="clear" w:color="auto" w:fill="FFFFFF"/>
          <w14:textFill>
            <w14:solidFill>
              <w14:schemeClr w14:val="tx1"/>
            </w14:solidFill>
          </w14:textFill>
        </w:rPr>
        <w:t>广 东 省</w:t>
      </w:r>
    </w:p>
    <w:p w14:paraId="1731DCF6">
      <w:pPr>
        <w:pStyle w:val="55"/>
        <w:rPr>
          <w:b/>
          <w:color w:val="000000" w:themeColor="text1"/>
          <w:highlight w:val="none"/>
          <w14:textFill>
            <w14:solidFill>
              <w14:schemeClr w14:val="tx1"/>
            </w14:solidFill>
          </w14:textFill>
        </w:rPr>
      </w:pPr>
    </w:p>
    <w:p w14:paraId="589AF14A">
      <w:pPr>
        <w:jc w:val="center"/>
        <w:rPr>
          <w:rFonts w:ascii="宋体" w:hAnsi="宋体" w:cs="宋体"/>
          <w:b/>
          <w:color w:val="000000" w:themeColor="text1"/>
          <w:kern w:val="0"/>
          <w:sz w:val="44"/>
          <w:szCs w:val="44"/>
          <w:highlight w:val="none"/>
          <w:shd w:val="clear" w:color="auto" w:fill="FFFFFF"/>
          <w14:textFill>
            <w14:solidFill>
              <w14:schemeClr w14:val="tx1"/>
            </w14:solidFill>
          </w14:textFill>
        </w:rPr>
      </w:pPr>
      <w:r>
        <w:rPr>
          <w:rFonts w:hint="eastAsia" w:ascii="宋体" w:hAnsi="宋体" w:cs="宋体"/>
          <w:b/>
          <w:color w:val="000000" w:themeColor="text1"/>
          <w:kern w:val="0"/>
          <w:sz w:val="44"/>
          <w:szCs w:val="44"/>
          <w:highlight w:val="none"/>
          <w:shd w:val="clear" w:color="auto" w:fill="FFFFFF"/>
          <w:lang w:eastAsia="zh-CN"/>
          <w14:textFill>
            <w14:solidFill>
              <w14:schemeClr w14:val="tx1"/>
            </w14:solidFill>
          </w14:textFill>
        </w:rPr>
        <w:t>长征国家文化公园(乐昌段)旅游公路建设项目</w:t>
      </w:r>
      <w:r>
        <w:rPr>
          <w:rFonts w:hint="eastAsia" w:ascii="宋体" w:hAnsi="宋体" w:cs="宋体"/>
          <w:b/>
          <w:color w:val="000000" w:themeColor="text1"/>
          <w:kern w:val="0"/>
          <w:sz w:val="44"/>
          <w:szCs w:val="44"/>
          <w:highlight w:val="none"/>
          <w:shd w:val="clear" w:color="auto" w:fill="FFFFFF"/>
          <w:lang w:val="en-US" w:eastAsia="zh-CN"/>
          <w14:textFill>
            <w14:solidFill>
              <w14:schemeClr w14:val="tx1"/>
            </w14:solidFill>
          </w14:textFill>
        </w:rPr>
        <w:t>--</w:t>
      </w:r>
      <w:r>
        <w:rPr>
          <w:rFonts w:hint="eastAsia" w:ascii="宋体" w:hAnsi="宋体" w:cs="宋体"/>
          <w:b/>
          <w:color w:val="000000" w:themeColor="text1"/>
          <w:kern w:val="0"/>
          <w:sz w:val="44"/>
          <w:szCs w:val="44"/>
          <w:highlight w:val="none"/>
          <w:shd w:val="clear" w:color="auto" w:fill="FFFFFF"/>
          <w:lang w:eastAsia="zh-CN"/>
          <w14:textFill>
            <w14:solidFill>
              <w14:schemeClr w14:val="tx1"/>
            </w14:solidFill>
          </w14:textFill>
        </w:rPr>
        <w:t>Y657线山溪至小源改建工程（单改双）施工</w:t>
      </w:r>
      <w:r>
        <w:rPr>
          <w:rFonts w:hint="eastAsia" w:ascii="宋体" w:hAnsi="宋体" w:cs="宋体"/>
          <w:b/>
          <w:color w:val="000000" w:themeColor="text1"/>
          <w:kern w:val="0"/>
          <w:sz w:val="44"/>
          <w:szCs w:val="44"/>
          <w:highlight w:val="none"/>
          <w:shd w:val="clear" w:color="auto" w:fill="FFFFFF"/>
          <w14:textFill>
            <w14:solidFill>
              <w14:schemeClr w14:val="tx1"/>
            </w14:solidFill>
          </w14:textFill>
        </w:rPr>
        <w:t>招标</w:t>
      </w:r>
    </w:p>
    <w:p w14:paraId="4D489F6E">
      <w:pPr>
        <w:pStyle w:val="18"/>
        <w:rPr>
          <w:color w:val="000000" w:themeColor="text1"/>
          <w:highlight w:val="none"/>
          <w14:textFill>
            <w14:solidFill>
              <w14:schemeClr w14:val="tx1"/>
            </w14:solidFill>
          </w14:textFill>
        </w:rPr>
      </w:pPr>
    </w:p>
    <w:p w14:paraId="019F2C3B">
      <w:pPr>
        <w:pStyle w:val="55"/>
        <w:rPr>
          <w:color w:val="000000" w:themeColor="text1"/>
          <w:highlight w:val="none"/>
          <w14:textFill>
            <w14:solidFill>
              <w14:schemeClr w14:val="tx1"/>
            </w14:solidFill>
          </w14:textFill>
        </w:rPr>
      </w:pPr>
    </w:p>
    <w:p w14:paraId="4A650EEB">
      <w:pPr>
        <w:pStyle w:val="55"/>
        <w:rPr>
          <w:rFonts w:ascii="宋体" w:hAnsi="宋体"/>
          <w:b/>
          <w:color w:val="000000" w:themeColor="text1"/>
          <w:sz w:val="84"/>
          <w:szCs w:val="84"/>
          <w:highlight w:val="none"/>
          <w14:textFill>
            <w14:solidFill>
              <w14:schemeClr w14:val="tx1"/>
            </w14:solidFill>
          </w14:textFill>
        </w:rPr>
      </w:pPr>
    </w:p>
    <w:p w14:paraId="3E833C41">
      <w:pPr>
        <w:pStyle w:val="55"/>
        <w:rPr>
          <w:rFonts w:ascii="宋体" w:hAnsi="宋体"/>
          <w:b/>
          <w:color w:val="000000" w:themeColor="text1"/>
          <w:sz w:val="84"/>
          <w:szCs w:val="84"/>
          <w:highlight w:val="none"/>
          <w14:textFill>
            <w14:solidFill>
              <w14:schemeClr w14:val="tx1"/>
            </w14:solidFill>
          </w14:textFill>
        </w:rPr>
      </w:pPr>
    </w:p>
    <w:p w14:paraId="153D5E42">
      <w:pPr>
        <w:pStyle w:val="55"/>
        <w:rPr>
          <w:rFonts w:ascii="宋体" w:hAnsi="宋体"/>
          <w:b/>
          <w:color w:val="000000" w:themeColor="text1"/>
          <w:sz w:val="84"/>
          <w:szCs w:val="84"/>
          <w:highlight w:val="none"/>
          <w14:textFill>
            <w14:solidFill>
              <w14:schemeClr w14:val="tx1"/>
            </w14:solidFill>
          </w14:textFill>
        </w:rPr>
      </w:pPr>
    </w:p>
    <w:p w14:paraId="03C90ECA">
      <w:pPr>
        <w:pStyle w:val="55"/>
        <w:rPr>
          <w:rFonts w:ascii="宋体" w:hAnsi="宋体"/>
          <w:b/>
          <w:color w:val="000000" w:themeColor="text1"/>
          <w:sz w:val="84"/>
          <w:szCs w:val="84"/>
          <w:highlight w:val="none"/>
          <w14:textFill>
            <w14:solidFill>
              <w14:schemeClr w14:val="tx1"/>
            </w14:solidFill>
          </w14:textFill>
        </w:rPr>
      </w:pPr>
    </w:p>
    <w:p w14:paraId="17E1308C">
      <w:pPr>
        <w:jc w:val="center"/>
        <w:rPr>
          <w:rFonts w:ascii="宋体" w:hAnsi="宋体"/>
          <w:b/>
          <w:color w:val="000000" w:themeColor="text1"/>
          <w:sz w:val="84"/>
          <w:szCs w:val="84"/>
          <w:highlight w:val="none"/>
          <w14:textFill>
            <w14:solidFill>
              <w14:schemeClr w14:val="tx1"/>
            </w14:solidFill>
          </w14:textFill>
        </w:rPr>
      </w:pPr>
      <w:r>
        <w:rPr>
          <w:rFonts w:ascii="宋体" w:hAnsi="宋体"/>
          <w:b/>
          <w:color w:val="000000" w:themeColor="text1"/>
          <w:sz w:val="84"/>
          <w:szCs w:val="84"/>
          <w:highlight w:val="none"/>
          <w14:textFill>
            <w14:solidFill>
              <w14:schemeClr w14:val="tx1"/>
            </w14:solidFill>
          </w14:textFill>
        </w:rPr>
        <w:t>招标文件</w:t>
      </w:r>
    </w:p>
    <w:p w14:paraId="23CA3963">
      <w:pPr>
        <w:ind w:firstLine="1600" w:firstLineChars="500"/>
        <w:jc w:val="center"/>
        <w:rPr>
          <w:rFonts w:ascii="宋体" w:hAnsi="宋体"/>
          <w:color w:val="000000" w:themeColor="text1"/>
          <w:sz w:val="32"/>
          <w:szCs w:val="32"/>
          <w:highlight w:val="none"/>
          <w14:textFill>
            <w14:solidFill>
              <w14:schemeClr w14:val="tx1"/>
            </w14:solidFill>
          </w14:textFill>
        </w:rPr>
      </w:pPr>
    </w:p>
    <w:p w14:paraId="3E9A7771">
      <w:pPr>
        <w:pStyle w:val="18"/>
        <w:jc w:val="center"/>
        <w:rPr>
          <w:color w:val="000000" w:themeColor="text1"/>
          <w:highlight w:val="none"/>
          <w14:textFill>
            <w14:solidFill>
              <w14:schemeClr w14:val="tx1"/>
            </w14:solidFill>
          </w14:textFill>
        </w:rPr>
      </w:pPr>
    </w:p>
    <w:p w14:paraId="15F8DD80">
      <w:pPr>
        <w:pStyle w:val="18"/>
        <w:jc w:val="center"/>
        <w:rPr>
          <w:color w:val="000000" w:themeColor="text1"/>
          <w:highlight w:val="none"/>
          <w14:textFill>
            <w14:solidFill>
              <w14:schemeClr w14:val="tx1"/>
            </w14:solidFill>
          </w14:textFill>
        </w:rPr>
      </w:pPr>
    </w:p>
    <w:p w14:paraId="3C30D8FA">
      <w:pPr>
        <w:pStyle w:val="18"/>
        <w:jc w:val="center"/>
        <w:rPr>
          <w:color w:val="000000" w:themeColor="text1"/>
          <w:highlight w:val="none"/>
          <w14:textFill>
            <w14:solidFill>
              <w14:schemeClr w14:val="tx1"/>
            </w14:solidFill>
          </w14:textFill>
        </w:rPr>
      </w:pPr>
    </w:p>
    <w:p w14:paraId="19C6EB2D">
      <w:pPr>
        <w:pStyle w:val="18"/>
        <w:jc w:val="center"/>
        <w:rPr>
          <w:color w:val="000000" w:themeColor="text1"/>
          <w:highlight w:val="none"/>
          <w14:textFill>
            <w14:solidFill>
              <w14:schemeClr w14:val="tx1"/>
            </w14:solidFill>
          </w14:textFill>
        </w:rPr>
      </w:pPr>
    </w:p>
    <w:p w14:paraId="13657A6C">
      <w:pPr>
        <w:pStyle w:val="18"/>
        <w:jc w:val="center"/>
        <w:rPr>
          <w:color w:val="000000" w:themeColor="text1"/>
          <w:highlight w:val="none"/>
          <w14:textFill>
            <w14:solidFill>
              <w14:schemeClr w14:val="tx1"/>
            </w14:solidFill>
          </w14:textFill>
        </w:rPr>
      </w:pPr>
    </w:p>
    <w:p w14:paraId="0D7F2C82">
      <w:pPr>
        <w:pStyle w:val="18"/>
        <w:jc w:val="center"/>
        <w:rPr>
          <w:color w:val="000000" w:themeColor="text1"/>
          <w:highlight w:val="none"/>
          <w14:textFill>
            <w14:solidFill>
              <w14:schemeClr w14:val="tx1"/>
            </w14:solidFill>
          </w14:textFill>
        </w:rPr>
      </w:pPr>
    </w:p>
    <w:p w14:paraId="2170238E">
      <w:pPr>
        <w:pStyle w:val="18"/>
        <w:jc w:val="center"/>
        <w:rPr>
          <w:color w:val="000000" w:themeColor="text1"/>
          <w:highlight w:val="none"/>
          <w14:textFill>
            <w14:solidFill>
              <w14:schemeClr w14:val="tx1"/>
            </w14:solidFill>
          </w14:textFill>
        </w:rPr>
      </w:pPr>
    </w:p>
    <w:p w14:paraId="687149D5">
      <w:pPr>
        <w:pStyle w:val="18"/>
        <w:jc w:val="center"/>
        <w:rPr>
          <w:color w:val="000000" w:themeColor="text1"/>
          <w:highlight w:val="none"/>
          <w14:textFill>
            <w14:solidFill>
              <w14:schemeClr w14:val="tx1"/>
            </w14:solidFill>
          </w14:textFill>
        </w:rPr>
      </w:pPr>
    </w:p>
    <w:p w14:paraId="687EB047">
      <w:pPr>
        <w:pStyle w:val="18"/>
        <w:jc w:val="center"/>
        <w:rPr>
          <w:color w:val="000000" w:themeColor="text1"/>
          <w:highlight w:val="none"/>
          <w14:textFill>
            <w14:solidFill>
              <w14:schemeClr w14:val="tx1"/>
            </w14:solidFill>
          </w14:textFill>
        </w:rPr>
      </w:pPr>
    </w:p>
    <w:p w14:paraId="669D981F">
      <w:pPr>
        <w:pStyle w:val="18"/>
        <w:jc w:val="center"/>
        <w:rPr>
          <w:color w:val="000000" w:themeColor="text1"/>
          <w:highlight w:val="none"/>
          <w14:textFill>
            <w14:solidFill>
              <w14:schemeClr w14:val="tx1"/>
            </w14:solidFill>
          </w14:textFill>
        </w:rPr>
      </w:pPr>
    </w:p>
    <w:p w14:paraId="67F01578">
      <w:pPr>
        <w:pStyle w:val="18"/>
        <w:jc w:val="center"/>
        <w:rPr>
          <w:color w:val="000000" w:themeColor="text1"/>
          <w:highlight w:val="none"/>
          <w14:textFill>
            <w14:solidFill>
              <w14:schemeClr w14:val="tx1"/>
            </w14:solidFill>
          </w14:textFill>
        </w:rPr>
      </w:pPr>
    </w:p>
    <w:p w14:paraId="5AACA7D9">
      <w:pPr>
        <w:pStyle w:val="18"/>
        <w:jc w:val="center"/>
        <w:rPr>
          <w:color w:val="000000" w:themeColor="text1"/>
          <w:highlight w:val="none"/>
          <w14:textFill>
            <w14:solidFill>
              <w14:schemeClr w14:val="tx1"/>
            </w14:solidFill>
          </w14:textFill>
        </w:rPr>
      </w:pPr>
    </w:p>
    <w:p w14:paraId="6059CDFD">
      <w:pPr>
        <w:pStyle w:val="18"/>
        <w:jc w:val="center"/>
        <w:rPr>
          <w:color w:val="000000" w:themeColor="text1"/>
          <w:highlight w:val="none"/>
          <w14:textFill>
            <w14:solidFill>
              <w14:schemeClr w14:val="tx1"/>
            </w14:solidFill>
          </w14:textFill>
        </w:rPr>
      </w:pPr>
    </w:p>
    <w:p w14:paraId="78499370">
      <w:pPr>
        <w:pStyle w:val="18"/>
        <w:jc w:val="center"/>
        <w:rPr>
          <w:color w:val="000000" w:themeColor="text1"/>
          <w:highlight w:val="none"/>
          <w14:textFill>
            <w14:solidFill>
              <w14:schemeClr w14:val="tx1"/>
            </w14:solidFill>
          </w14:textFill>
        </w:rPr>
      </w:pPr>
    </w:p>
    <w:p w14:paraId="58F3F1B4">
      <w:pPr>
        <w:pStyle w:val="18"/>
        <w:jc w:val="center"/>
        <w:rPr>
          <w:color w:val="000000" w:themeColor="text1"/>
          <w:highlight w:val="none"/>
          <w14:textFill>
            <w14:solidFill>
              <w14:schemeClr w14:val="tx1"/>
            </w14:solidFill>
          </w14:textFill>
        </w:rPr>
      </w:pPr>
    </w:p>
    <w:p w14:paraId="27F2B8C2">
      <w:pPr>
        <w:pStyle w:val="18"/>
        <w:jc w:val="center"/>
        <w:rPr>
          <w:color w:val="000000" w:themeColor="text1"/>
          <w:highlight w:val="none"/>
          <w14:textFill>
            <w14:solidFill>
              <w14:schemeClr w14:val="tx1"/>
            </w14:solidFill>
          </w14:textFill>
        </w:rPr>
      </w:pPr>
    </w:p>
    <w:p w14:paraId="170843A5">
      <w:pPr>
        <w:pStyle w:val="18"/>
        <w:jc w:val="center"/>
        <w:rPr>
          <w:color w:val="000000" w:themeColor="text1"/>
          <w:highlight w:val="none"/>
          <w14:textFill>
            <w14:solidFill>
              <w14:schemeClr w14:val="tx1"/>
            </w14:solidFill>
          </w14:textFill>
        </w:rPr>
      </w:pPr>
    </w:p>
    <w:p w14:paraId="5071B832">
      <w:pPr>
        <w:tabs>
          <w:tab w:val="left" w:pos="3730"/>
        </w:tabs>
        <w:jc w:val="lef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ab/>
      </w:r>
    </w:p>
    <w:p w14:paraId="443DB090">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招   标   人：</w:t>
      </w:r>
      <w:r>
        <w:rPr>
          <w:rFonts w:hint="eastAsia" w:ascii="宋体" w:hAnsi="宋体" w:cs="宋体"/>
          <w:b/>
          <w:color w:val="000000" w:themeColor="text1"/>
          <w:sz w:val="30"/>
          <w:szCs w:val="30"/>
          <w:highlight w:val="none"/>
          <w:lang w:eastAsia="zh-CN"/>
          <w14:textFill>
            <w14:solidFill>
              <w14:schemeClr w14:val="tx1"/>
            </w14:solidFill>
          </w14:textFill>
        </w:rPr>
        <w:t>乐昌市五山镇人民政府</w:t>
      </w:r>
      <w:r>
        <w:rPr>
          <w:rFonts w:hint="eastAsia" w:ascii="宋体" w:hAnsi="宋体"/>
          <w:b/>
          <w:color w:val="000000" w:themeColor="text1"/>
          <w:sz w:val="30"/>
          <w:szCs w:val="30"/>
          <w:highlight w:val="none"/>
          <w14:textFill>
            <w14:solidFill>
              <w14:schemeClr w14:val="tx1"/>
            </w14:solidFill>
          </w14:textFill>
        </w:rPr>
        <w:t>（盖单位章）</w:t>
      </w:r>
    </w:p>
    <w:p w14:paraId="29D55F26">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招标代理机构：</w:t>
      </w:r>
      <w:r>
        <w:rPr>
          <w:rFonts w:hint="eastAsia" w:ascii="宋体" w:hAnsi="宋体" w:cs="宋体"/>
          <w:b/>
          <w:color w:val="000000" w:themeColor="text1"/>
          <w:sz w:val="30"/>
          <w:szCs w:val="30"/>
          <w:highlight w:val="none"/>
          <w:lang w:eastAsia="zh-CN"/>
          <w14:textFill>
            <w14:solidFill>
              <w14:schemeClr w14:val="tx1"/>
            </w14:solidFill>
          </w14:textFill>
        </w:rPr>
        <w:t>乐昌市淘金招标代理有限公司</w:t>
      </w:r>
      <w:r>
        <w:rPr>
          <w:rFonts w:hint="eastAsia" w:ascii="宋体" w:hAnsi="宋体"/>
          <w:b/>
          <w:color w:val="000000" w:themeColor="text1"/>
          <w:sz w:val="30"/>
          <w:szCs w:val="30"/>
          <w:highlight w:val="none"/>
          <w14:textFill>
            <w14:solidFill>
              <w14:schemeClr w14:val="tx1"/>
            </w14:solidFill>
          </w14:textFill>
        </w:rPr>
        <w:t>（盖单位章）</w:t>
      </w:r>
    </w:p>
    <w:p w14:paraId="27B74111">
      <w:pPr>
        <w:jc w:val="center"/>
        <w:rPr>
          <w:rFonts w:ascii="宋体" w:hAnsi="宋体"/>
          <w:b/>
          <w:color w:val="000000" w:themeColor="text1"/>
          <w:sz w:val="30"/>
          <w:szCs w:val="30"/>
          <w:highlight w:val="none"/>
          <w14:textFill>
            <w14:solidFill>
              <w14:schemeClr w14:val="tx1"/>
            </w14:solidFill>
          </w14:textFill>
        </w:rPr>
        <w:sectPr>
          <w:headerReference r:id="rId3" w:type="first"/>
          <w:footerReference r:id="rId4" w:type="default"/>
          <w:pgSz w:w="11910" w:h="16840"/>
          <w:pgMar w:top="941" w:right="720" w:bottom="1179" w:left="980" w:header="707" w:footer="998" w:gutter="0"/>
          <w:cols w:space="720" w:num="1"/>
        </w:sectPr>
      </w:pPr>
      <w:r>
        <w:rPr>
          <w:rFonts w:hint="eastAsia" w:ascii="宋体" w:hAnsi="宋体" w:cs="宋体"/>
          <w:b/>
          <w:color w:val="000000" w:themeColor="text1"/>
          <w:sz w:val="30"/>
          <w:szCs w:val="30"/>
          <w:highlight w:val="none"/>
          <w14:textFill>
            <w14:solidFill>
              <w14:schemeClr w14:val="tx1"/>
            </w14:solidFill>
          </w14:textFill>
        </w:rPr>
        <w:t>2024年</w:t>
      </w:r>
      <w:r>
        <w:rPr>
          <w:rFonts w:hint="eastAsia" w:ascii="宋体" w:hAnsi="宋体" w:cs="宋体"/>
          <w:b/>
          <w:color w:val="000000" w:themeColor="text1"/>
          <w:sz w:val="30"/>
          <w:szCs w:val="30"/>
          <w:highlight w:val="none"/>
          <w:lang w:val="en-US" w:eastAsia="zh-CN"/>
          <w14:textFill>
            <w14:solidFill>
              <w14:schemeClr w14:val="tx1"/>
            </w14:solidFill>
          </w14:textFill>
        </w:rPr>
        <w:t>10</w:t>
      </w:r>
      <w:r>
        <w:rPr>
          <w:rFonts w:hint="eastAsia" w:ascii="宋体" w:hAnsi="宋体" w:cs="宋体"/>
          <w:b/>
          <w:color w:val="000000" w:themeColor="text1"/>
          <w:sz w:val="30"/>
          <w:szCs w:val="30"/>
          <w:highlight w:val="none"/>
          <w14:textFill>
            <w14:solidFill>
              <w14:schemeClr w14:val="tx1"/>
            </w14:solidFill>
          </w14:textFill>
        </w:rPr>
        <w:t>月</w:t>
      </w:r>
    </w:p>
    <w:p w14:paraId="2DD4336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F83B0AB">
      <w:pPr>
        <w:pStyle w:val="5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color w:val="000000" w:themeColor="text1"/>
          <w:highlight w:val="none"/>
          <w14:textFill>
            <w14:solidFill>
              <w14:schemeClr w14:val="tx1"/>
            </w14:solidFill>
          </w14:textFill>
        </w:rPr>
        <w:sectPr>
          <w:footerReference r:id="rId5" w:type="default"/>
          <w:pgSz w:w="11910" w:h="16840"/>
          <w:pgMar w:top="941" w:right="720" w:bottom="1179" w:left="980" w:header="707" w:footer="998" w:gutter="0"/>
          <w:pgNumType w:start="1"/>
          <w:cols w:space="720" w:num="1"/>
        </w:sectPr>
      </w:pPr>
    </w:p>
    <w:p w14:paraId="6679AC85">
      <w:pPr>
        <w:pStyle w:val="55"/>
        <w:rPr>
          <w:color w:val="000000" w:themeColor="text1"/>
          <w:highlight w:val="none"/>
          <w14:textFill>
            <w14:solidFill>
              <w14:schemeClr w14:val="tx1"/>
            </w14:solidFill>
          </w14:textFill>
        </w:rPr>
      </w:pPr>
    </w:p>
    <w:p w14:paraId="20627B8C">
      <w:pPr>
        <w:spacing w:line="60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5C469A1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fldChar w:fldCharType="begin"/>
      </w:r>
      <w:r>
        <w:rPr>
          <w:rFonts w:hint="eastAsia" w:ascii="宋体" w:hAnsi="宋体" w:cs="宋体"/>
          <w:color w:val="000000" w:themeColor="text1"/>
          <w:sz w:val="24"/>
          <w:highlight w:val="none"/>
          <w:u w:val="single"/>
          <w14:textFill>
            <w14:solidFill>
              <w14:schemeClr w14:val="tx1"/>
            </w14:solidFill>
          </w14:textFill>
        </w:rPr>
        <w:instrText xml:space="preserve">TOC \o "1-4" \h \u </w:instrText>
      </w:r>
      <w:r>
        <w:rPr>
          <w:rFonts w:hint="eastAsia" w:ascii="宋体" w:hAnsi="宋体" w:cs="宋体"/>
          <w:color w:val="000000" w:themeColor="text1"/>
          <w:sz w:val="24"/>
          <w:highlight w:val="none"/>
          <w:u w:val="singl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"_Toc43475653"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第一章 招标公告</w:t>
      </w:r>
      <w:r>
        <w:rPr>
          <w:rStyle w:val="52"/>
          <w:rFonts w:ascii="宋体" w:hAnsi="宋体"/>
          <w:color w:val="000000" w:themeColor="text1"/>
          <w:highlight w:val="none"/>
          <w14:textFill>
            <w14:solidFill>
              <w14:schemeClr w14:val="tx1"/>
            </w14:solidFill>
          </w14:textFill>
        </w:rPr>
        <w:t>(</w:t>
      </w:r>
      <w:r>
        <w:rPr>
          <w:rStyle w:val="52"/>
          <w:rFonts w:hint="eastAsia" w:ascii="宋体" w:hAnsi="宋体"/>
          <w:color w:val="000000" w:themeColor="text1"/>
          <w:highlight w:val="none"/>
          <w14:textFill>
            <w14:solidFill>
              <w14:schemeClr w14:val="tx1"/>
            </w14:solidFill>
          </w14:textFill>
        </w:rPr>
        <w:t>未进行资格预审</w:t>
      </w:r>
      <w:r>
        <w:rPr>
          <w:rStyle w:val="52"/>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BEF943">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"_Toc43475654"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1</w:t>
      </w:r>
      <w:r>
        <w:rPr>
          <w:rStyle w:val="52"/>
          <w:rFonts w:hint="eastAsia" w:ascii="宋体" w:hAnsi="宋体" w:cs="黑体"/>
          <w:color w:val="000000" w:themeColor="text1"/>
          <w:highlight w:val="none"/>
          <w14:textFill>
            <w14:solidFill>
              <w14:schemeClr w14:val="tx1"/>
            </w14:solidFill>
          </w14:textFill>
        </w:rPr>
        <w:t>.招标条件</w:t>
      </w:r>
      <w:r>
        <w:rPr>
          <w:rStyle w:val="52"/>
          <w:rFonts w:hint="eastAsia" w:ascii="宋体" w:hAnsi="宋体" w:cs="黑体"/>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3A9D6E25">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"_Toc43475655"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2</w:t>
      </w:r>
      <w:r>
        <w:rPr>
          <w:rStyle w:val="52"/>
          <w:rFonts w:hint="eastAsia" w:ascii="宋体" w:hAnsi="宋体" w:cs="黑体"/>
          <w:color w:val="000000" w:themeColor="text1"/>
          <w:highlight w:val="none"/>
          <w14:textFill>
            <w14:solidFill>
              <w14:schemeClr w14:val="tx1"/>
            </w14:solidFill>
          </w14:textFill>
        </w:rPr>
        <w:t>.项目概况与招标范围</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6A80AFC2">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"_Toc43475656"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3</w:t>
      </w:r>
      <w:r>
        <w:rPr>
          <w:rStyle w:val="52"/>
          <w:rFonts w:hint="eastAsia" w:ascii="宋体" w:hAnsi="宋体" w:cs="黑体"/>
          <w:color w:val="000000" w:themeColor="text1"/>
          <w:highlight w:val="none"/>
          <w14:textFill>
            <w14:solidFill>
              <w14:schemeClr w14:val="tx1"/>
            </w14:solidFill>
          </w14:textFill>
        </w:rPr>
        <w:t>.投标人资格要求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14:paraId="41CD7249">
      <w:pPr>
        <w:pStyle w:val="36"/>
        <w:tabs>
          <w:tab w:val="right" w:leader="dot" w:pos="10200"/>
        </w:tabs>
        <w:spacing w:line="25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"_Toc43475657"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4</w:t>
      </w:r>
      <w:r>
        <w:rPr>
          <w:rStyle w:val="52"/>
          <w:rFonts w:hint="eastAsia" w:ascii="宋体" w:hAnsi="宋体" w:cs="黑体"/>
          <w:color w:val="000000" w:themeColor="text1"/>
          <w:highlight w:val="none"/>
          <w14:textFill>
            <w14:solidFill>
              <w14:schemeClr w14:val="tx1"/>
            </w14:solidFill>
          </w14:textFill>
        </w:rPr>
        <w:t>.招标文件的获取</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p w14:paraId="148E6FF3">
      <w:pPr>
        <w:ind w:firstLine="360" w:firstLineChars="200"/>
        <w:rPr>
          <w:color w:val="000000" w:themeColor="text1"/>
          <w:highlight w:val="none"/>
          <w14:textFill>
            <w14:solidFill>
              <w14:schemeClr w14:val="tx1"/>
            </w14:solidFill>
          </w14:textFill>
        </w:rPr>
      </w:pPr>
      <w:r>
        <w:rPr>
          <w:rStyle w:val="52"/>
          <w:rFonts w:hint="eastAsia" w:ascii="宋体" w:hAnsi="宋体" w:cs="黑体"/>
          <w:color w:val="000000" w:themeColor="text1"/>
          <w:highlight w:val="none"/>
          <w:u w:val="none"/>
          <w14:textFill>
            <w14:solidFill>
              <w14:schemeClr w14:val="tx1"/>
            </w14:solidFill>
          </w14:textFill>
        </w:rPr>
        <w:t>5.电子投标及相关事宜</w:t>
      </w:r>
      <w:r>
        <w:rPr>
          <w:color w:val="000000" w:themeColor="text1"/>
          <w:sz w:val="18"/>
          <w:szCs w:val="2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..13</w:t>
      </w:r>
    </w:p>
    <w:p w14:paraId="106A39FE">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"_Toc43475658"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6</w:t>
      </w:r>
      <w:r>
        <w:rPr>
          <w:rStyle w:val="52"/>
          <w:rFonts w:hint="eastAsia" w:ascii="宋体" w:hAnsi="宋体" w:cs="黑体"/>
          <w:color w:val="000000" w:themeColor="text1"/>
          <w:highlight w:val="none"/>
          <w14:textFill>
            <w14:solidFill>
              <w14:schemeClr w14:val="tx1"/>
            </w14:solidFill>
          </w14:textFill>
        </w:rPr>
        <w:t>.发布公告的媒介</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4</w:t>
      </w:r>
    </w:p>
    <w:p w14:paraId="4A9A6FAE">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"_Toc43475659"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7</w:t>
      </w:r>
      <w:r>
        <w:rPr>
          <w:rStyle w:val="52"/>
          <w:rFonts w:hint="eastAsia" w:ascii="宋体" w:hAnsi="宋体" w:cs="黑体"/>
          <w:color w:val="000000" w:themeColor="text1"/>
          <w:highlight w:val="none"/>
          <w14:textFill>
            <w14:solidFill>
              <w14:schemeClr w14:val="tx1"/>
            </w14:solidFill>
          </w14:textFill>
        </w:rPr>
        <w:t>.联系方式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6C94596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"_Toc43475660"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8.重要事项时间地点一览表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5440062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"_Toc43475661"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第二章投标人须知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2F6A16">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5E624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"_Toc43475663"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1  </w:t>
      </w:r>
      <w:r>
        <w:rPr>
          <w:rStyle w:val="52"/>
          <w:rFonts w:hint="eastAsia" w:ascii="宋体" w:hAnsi="宋体" w:cs="黑体"/>
          <w:color w:val="000000" w:themeColor="text1"/>
          <w:highlight w:val="none"/>
          <w14:textFill>
            <w14:solidFill>
              <w14:schemeClr w14:val="tx1"/>
            </w14:solidFill>
          </w14:textFill>
        </w:rPr>
        <w:t>资格审查条件（资质最低要求）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17439B">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"_Toc43475664"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2  </w:t>
      </w:r>
      <w:r>
        <w:rPr>
          <w:rStyle w:val="52"/>
          <w:rFonts w:hint="eastAsia" w:ascii="宋体" w:hAnsi="宋体" w:cs="黑体"/>
          <w:color w:val="000000" w:themeColor="text1"/>
          <w:highlight w:val="none"/>
          <w14:textFill>
            <w14:solidFill>
              <w14:schemeClr w14:val="tx1"/>
            </w14:solidFill>
          </w14:textFill>
        </w:rPr>
        <w:t>资格审查条件（财务最低要求）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2CEDA275">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"_Toc43475665"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3  </w:t>
      </w:r>
      <w:r>
        <w:rPr>
          <w:rStyle w:val="52"/>
          <w:rFonts w:hint="eastAsia" w:ascii="宋体" w:hAnsi="宋体" w:cs="黑体"/>
          <w:color w:val="000000" w:themeColor="text1"/>
          <w:highlight w:val="none"/>
          <w14:textFill>
            <w14:solidFill>
              <w14:schemeClr w14:val="tx1"/>
            </w14:solidFill>
          </w14:textFill>
        </w:rPr>
        <w:t>资格审查条件（业绩最低要求）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7A5761D5">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"_Toc43475666"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附录</w:t>
      </w:r>
      <w:r>
        <w:rPr>
          <w:rStyle w:val="52"/>
          <w:color w:val="000000" w:themeColor="text1"/>
          <w:highlight w:val="none"/>
          <w14:textFill>
            <w14:solidFill>
              <w14:schemeClr w14:val="tx1"/>
            </w14:solidFill>
          </w14:textFill>
        </w:rPr>
        <w:t xml:space="preserve">4  </w:t>
      </w:r>
      <w:r>
        <w:rPr>
          <w:rStyle w:val="52"/>
          <w:rFonts w:hint="eastAsia"/>
          <w:color w:val="000000" w:themeColor="text1"/>
          <w:highlight w:val="none"/>
          <w14:textFill>
            <w14:solidFill>
              <w14:schemeClr w14:val="tx1"/>
            </w14:solidFill>
          </w14:textFill>
        </w:rPr>
        <w:t>资格审查条件</w:t>
      </w:r>
      <w:r>
        <w:rPr>
          <w:rStyle w:val="52"/>
          <w:color w:val="000000" w:themeColor="text1"/>
          <w:highlight w:val="none"/>
          <w14:textFill>
            <w14:solidFill>
              <w14:schemeClr w14:val="tx1"/>
            </w14:solidFill>
          </w14:textFill>
        </w:rPr>
        <w:t>(</w:t>
      </w:r>
      <w:r>
        <w:rPr>
          <w:rStyle w:val="52"/>
          <w:rFonts w:hint="eastAsia"/>
          <w:color w:val="000000" w:themeColor="text1"/>
          <w:highlight w:val="none"/>
          <w14:textFill>
            <w14:solidFill>
              <w14:schemeClr w14:val="tx1"/>
            </w14:solidFill>
          </w14:textFill>
        </w:rPr>
        <w:t>信誉最低要求</w:t>
      </w:r>
      <w:r>
        <w:rPr>
          <w:rStyle w:val="52"/>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14:paraId="55AD27E2">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"_Toc43475667"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5  </w:t>
      </w:r>
      <w:r>
        <w:rPr>
          <w:rStyle w:val="52"/>
          <w:rFonts w:hint="eastAsia" w:ascii="宋体" w:hAnsi="宋体" w:cs="黑体"/>
          <w:color w:val="000000" w:themeColor="text1"/>
          <w:highlight w:val="none"/>
          <w14:textFill>
            <w14:solidFill>
              <w14:schemeClr w14:val="tx1"/>
            </w14:solidFill>
          </w14:textFill>
        </w:rPr>
        <w:t>资格审查条件</w:t>
      </w:r>
      <w:r>
        <w:rPr>
          <w:rStyle w:val="52"/>
          <w:rFonts w:ascii="宋体" w:hAnsi="宋体" w:cs="黑体"/>
          <w:color w:val="000000" w:themeColor="text1"/>
          <w:highlight w:val="none"/>
          <w14:textFill>
            <w14:solidFill>
              <w14:schemeClr w14:val="tx1"/>
            </w14:solidFill>
          </w14:textFill>
        </w:rPr>
        <w:t>(</w:t>
      </w:r>
      <w:r>
        <w:rPr>
          <w:rStyle w:val="52"/>
          <w:rFonts w:hint="eastAsia" w:ascii="宋体" w:hAnsi="宋体" w:cs="黑体"/>
          <w:color w:val="000000" w:themeColor="text1"/>
          <w:highlight w:val="none"/>
          <w14:textFill>
            <w14:solidFill>
              <w14:schemeClr w14:val="tx1"/>
            </w14:solidFill>
          </w14:textFill>
        </w:rPr>
        <w:t>项目经理和项目总工最低要求</w:t>
      </w:r>
      <w:r>
        <w:rPr>
          <w:rStyle w:val="52"/>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14:paraId="16F959DF">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"_Toc43475668"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6  </w:t>
      </w:r>
      <w:r>
        <w:rPr>
          <w:rStyle w:val="52"/>
          <w:rFonts w:hint="eastAsia" w:ascii="宋体" w:hAnsi="宋体" w:cs="黑体"/>
          <w:color w:val="000000" w:themeColor="text1"/>
          <w:highlight w:val="none"/>
          <w14:textFill>
            <w14:solidFill>
              <w14:schemeClr w14:val="tx1"/>
            </w14:solidFill>
          </w14:textFill>
        </w:rPr>
        <w:t>资格审查条件</w:t>
      </w:r>
      <w:r>
        <w:rPr>
          <w:rStyle w:val="52"/>
          <w:rFonts w:ascii="宋体" w:hAnsi="宋体" w:cs="黑体"/>
          <w:color w:val="000000" w:themeColor="text1"/>
          <w:highlight w:val="none"/>
          <w14:textFill>
            <w14:solidFill>
              <w14:schemeClr w14:val="tx1"/>
            </w14:solidFill>
          </w14:textFill>
        </w:rPr>
        <w:t>(</w:t>
      </w:r>
      <w:r>
        <w:rPr>
          <w:rStyle w:val="52"/>
          <w:rFonts w:hint="eastAsia" w:ascii="宋体" w:hAnsi="宋体" w:cs="黑体"/>
          <w:color w:val="000000" w:themeColor="text1"/>
          <w:highlight w:val="none"/>
          <w14:textFill>
            <w14:solidFill>
              <w14:schemeClr w14:val="tx1"/>
            </w14:solidFill>
          </w14:textFill>
        </w:rPr>
        <w:t>其他管理人员和技术人员最低要求</w:t>
      </w:r>
      <w:r>
        <w:rPr>
          <w:rStyle w:val="52"/>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p w14:paraId="4505CB31">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"_Toc43475669"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7  </w:t>
      </w:r>
      <w:r>
        <w:rPr>
          <w:rStyle w:val="52"/>
          <w:rFonts w:hint="eastAsia" w:ascii="宋体" w:hAnsi="宋体" w:cs="黑体"/>
          <w:color w:val="000000" w:themeColor="text1"/>
          <w:highlight w:val="none"/>
          <w14:textFill>
            <w14:solidFill>
              <w14:schemeClr w14:val="tx1"/>
            </w14:solidFill>
          </w14:textFill>
        </w:rPr>
        <w:t>资格审查条件（主要设备最低要求）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3</w:t>
      </w:r>
    </w:p>
    <w:p w14:paraId="6E175F93">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w:t>
      </w:r>
      <w:r>
        <w:rPr>
          <w:rStyle w:val="52"/>
          <w:rFonts w:hint="eastAsia"/>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05B58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w:t>
      </w:r>
      <w:r>
        <w:rPr>
          <w:rStyle w:val="52"/>
          <w:rFonts w:hint="eastAsia"/>
          <w:color w:val="000000" w:themeColor="text1"/>
          <w:highlight w:val="none"/>
          <w14:textFill>
            <w14:solidFill>
              <w14:schemeClr w14:val="tx1"/>
            </w14:solidFill>
          </w14:textFill>
        </w:rPr>
        <w:t>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70571F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1.2</w:t>
      </w:r>
      <w:r>
        <w:rPr>
          <w:rStyle w:val="52"/>
          <w:rFonts w:hint="eastAsia"/>
          <w:color w:val="000000" w:themeColor="text1"/>
          <w:highlight w:val="none"/>
          <w14:textFill>
            <w14:solidFill>
              <w14:schemeClr w14:val="tx1"/>
            </w14:solidFill>
          </w14:textFill>
        </w:rPr>
        <w:t>招标项目的资金来源和落实情况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92D24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"_Toc43475673"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1.3</w:t>
      </w:r>
      <w:r>
        <w:rPr>
          <w:rStyle w:val="52"/>
          <w:rFonts w:hint="eastAsia"/>
          <w:color w:val="000000" w:themeColor="text1"/>
          <w:highlight w:val="none"/>
          <w14:textFill>
            <w14:solidFill>
              <w14:schemeClr w14:val="tx1"/>
            </w14:solidFill>
          </w14:textFill>
        </w:rPr>
        <w:t>招标范围、计划工期、质量要求和安全目标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F9396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"_Toc43475674"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1.4</w:t>
      </w:r>
      <w:r>
        <w:rPr>
          <w:rStyle w:val="52"/>
          <w:rFonts w:hint="eastAsia"/>
          <w:color w:val="000000" w:themeColor="text1"/>
          <w:highlight w:val="none"/>
          <w14:textFill>
            <w14:solidFill>
              <w14:schemeClr w14:val="tx1"/>
            </w14:solidFill>
          </w14:textFill>
        </w:rPr>
        <w:t>投标人资格要求（适用于未进行资格预审的）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237C3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"_Toc43475675"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1.5</w:t>
      </w:r>
      <w:r>
        <w:rPr>
          <w:rStyle w:val="52"/>
          <w:rFonts w:hint="eastAsia"/>
          <w:color w:val="000000" w:themeColor="text1"/>
          <w:highlight w:val="none"/>
          <w14:textFill>
            <w14:solidFill>
              <w14:schemeClr w14:val="tx1"/>
            </w14:solidFill>
          </w14:textFill>
        </w:rPr>
        <w:t>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03D53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"_Toc43475676"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1.6</w:t>
      </w:r>
      <w:r>
        <w:rPr>
          <w:rStyle w:val="52"/>
          <w:rFonts w:hint="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551B9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"_Toc43475677"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1.7</w:t>
      </w:r>
      <w:r>
        <w:rPr>
          <w:rStyle w:val="52"/>
          <w:rFonts w:hint="eastAsia"/>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B5ADD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"_Toc43475678"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1.8</w:t>
      </w:r>
      <w:r>
        <w:rPr>
          <w:rStyle w:val="52"/>
          <w:rFonts w:hint="eastAsia"/>
          <w:color w:val="000000" w:themeColor="text1"/>
          <w:highlight w:val="none"/>
          <w14:textFill>
            <w14:solidFill>
              <w14:schemeClr w14:val="tx1"/>
            </w14:solidFill>
          </w14:textFill>
        </w:rPr>
        <w:t>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EE1C0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"_Toc43475679"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1.9</w:t>
      </w:r>
      <w:r>
        <w:rPr>
          <w:rStyle w:val="52"/>
          <w:rFonts w:hint="eastAsia"/>
          <w:color w:val="000000" w:themeColor="text1"/>
          <w:highlight w:val="none"/>
          <w14:textFill>
            <w14:solidFill>
              <w14:schemeClr w14:val="tx1"/>
            </w14:solidFill>
          </w14:textFill>
        </w:rPr>
        <w:t>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FAB94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"_Toc43475680"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1.10</w:t>
      </w:r>
      <w:r>
        <w:rPr>
          <w:rStyle w:val="52"/>
          <w:rFonts w:hint="eastAsia"/>
          <w:color w:val="000000" w:themeColor="text1"/>
          <w:highlight w:val="none"/>
          <w14:textFill>
            <w14:solidFill>
              <w14:schemeClr w14:val="tx1"/>
            </w14:solidFill>
          </w14:textFill>
        </w:rPr>
        <w:t>投标预备会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7C2CC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1.11</w:t>
      </w:r>
      <w:r>
        <w:rPr>
          <w:rStyle w:val="52"/>
          <w:rFonts w:hint="eastAsia"/>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6649B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1.12</w:t>
      </w:r>
      <w:r>
        <w:rPr>
          <w:rStyle w:val="52"/>
          <w:rFonts w:hint="eastAsia"/>
          <w:color w:val="000000" w:themeColor="text1"/>
          <w:highlight w:val="none"/>
          <w14:textFill>
            <w14:solidFill>
              <w14:schemeClr w14:val="tx1"/>
            </w14:solidFill>
          </w14:textFill>
        </w:rPr>
        <w:t>响应和偏差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576F31">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w:t>
      </w:r>
      <w:r>
        <w:rPr>
          <w:rStyle w:val="52"/>
          <w:rFonts w:hint="eastAsia"/>
          <w:color w:val="000000" w:themeColor="text1"/>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1B933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"_Toc43475684"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2.1</w:t>
      </w:r>
      <w:r>
        <w:rPr>
          <w:rStyle w:val="52"/>
          <w:rFonts w:hint="eastAsia"/>
          <w:color w:val="000000" w:themeColor="text1"/>
          <w:highlight w:val="none"/>
          <w14:textFill>
            <w14:solidFill>
              <w14:schemeClr w14:val="tx1"/>
            </w14:solidFill>
          </w14:textFill>
        </w:rPr>
        <w:t>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399D4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"_Toc43475685"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2.2</w:t>
      </w:r>
      <w:r>
        <w:rPr>
          <w:rStyle w:val="52"/>
          <w:rFonts w:hint="eastAsia"/>
          <w:color w:val="000000" w:themeColor="text1"/>
          <w:highlight w:val="none"/>
          <w14:textFill>
            <w14:solidFill>
              <w14:schemeClr w14:val="tx1"/>
            </w14:solidFill>
          </w14:textFill>
        </w:rPr>
        <w:t>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48B8B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"_Toc43475686"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2.3</w:t>
      </w:r>
      <w:r>
        <w:rPr>
          <w:rStyle w:val="52"/>
          <w:rFonts w:hint="eastAsia"/>
          <w:color w:val="000000" w:themeColor="text1"/>
          <w:highlight w:val="none"/>
          <w14:textFill>
            <w14:solidFill>
              <w14:schemeClr w14:val="tx1"/>
            </w14:solidFill>
          </w14:textFill>
        </w:rPr>
        <w:t>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456BC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"_Toc43475687"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2.4</w:t>
      </w:r>
      <w:r>
        <w:rPr>
          <w:rStyle w:val="52"/>
          <w:rFonts w:hint="eastAsia"/>
          <w:color w:val="000000" w:themeColor="text1"/>
          <w:highlight w:val="none"/>
          <w14:textFill>
            <w14:solidFill>
              <w14:schemeClr w14:val="tx1"/>
            </w14:solidFill>
          </w14:textFill>
        </w:rPr>
        <w:t>招标文件的异议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BA3DD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w:t>
      </w:r>
      <w:r>
        <w:rPr>
          <w:rStyle w:val="52"/>
          <w:rFonts w:hint="eastAsia"/>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40139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"_Toc43475689"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3.1</w:t>
      </w:r>
      <w:r>
        <w:rPr>
          <w:rStyle w:val="52"/>
          <w:rFonts w:hint="eastAsia"/>
          <w:color w:val="000000" w:themeColor="text1"/>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4724A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"_Toc43475690"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3.2</w:t>
      </w:r>
      <w:r>
        <w:rPr>
          <w:rStyle w:val="52"/>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8D71B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3.3</w:t>
      </w:r>
      <w:r>
        <w:rPr>
          <w:rStyle w:val="52"/>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6F447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3.4</w:t>
      </w:r>
      <w:r>
        <w:rPr>
          <w:rStyle w:val="52"/>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534B9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"_Toc43475693"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3.5</w:t>
      </w:r>
      <w:r>
        <w:rPr>
          <w:rStyle w:val="52"/>
          <w:rFonts w:hint="eastAsia"/>
          <w:color w:val="000000" w:themeColor="text1"/>
          <w:highlight w:val="none"/>
          <w14:textFill>
            <w14:solidFill>
              <w14:schemeClr w14:val="tx1"/>
            </w14:solidFill>
          </w14:textFill>
        </w:rPr>
        <w:t>资格审查资料（适用于未进行资格预审的）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1CB42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"_Toc43475694"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3.6</w:t>
      </w:r>
      <w:r>
        <w:rPr>
          <w:rStyle w:val="52"/>
          <w:rFonts w:hint="eastAsia"/>
          <w:color w:val="000000" w:themeColor="text1"/>
          <w:highlight w:val="none"/>
          <w14:textFill>
            <w14:solidFill>
              <w14:schemeClr w14:val="tx1"/>
            </w14:solidFill>
          </w14:textFill>
        </w:rPr>
        <w:t>备选投标方案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5EB2E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"_Toc43475695"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3.7</w:t>
      </w:r>
      <w:r>
        <w:rPr>
          <w:rStyle w:val="52"/>
          <w:rFonts w:hint="eastAsia"/>
          <w:color w:val="000000" w:themeColor="text1"/>
          <w:highlight w:val="none"/>
          <w14:textFill>
            <w14:solidFill>
              <w14:schemeClr w14:val="tx1"/>
            </w14:solidFill>
          </w14:textFill>
        </w:rPr>
        <w:t>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B4F62D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w:t>
      </w:r>
      <w:r>
        <w:rPr>
          <w:rStyle w:val="52"/>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628EA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"_Toc43475697"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4.1</w:t>
      </w:r>
      <w:r>
        <w:rPr>
          <w:rStyle w:val="52"/>
          <w:rFonts w:hint="eastAsia"/>
          <w:color w:val="000000" w:themeColor="text1"/>
          <w:highlight w:val="none"/>
          <w14:textFill>
            <w14:solidFill>
              <w14:schemeClr w14:val="tx1"/>
            </w14:solidFill>
          </w14:textFill>
        </w:rPr>
        <w:t>投标文件的密封和标识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C9E9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"_Toc43475698"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4.2</w:t>
      </w:r>
      <w:r>
        <w:rPr>
          <w:rStyle w:val="52"/>
          <w:rFonts w:hint="eastAsia"/>
          <w:color w:val="000000" w:themeColor="text1"/>
          <w:highlight w:val="none"/>
          <w14:textFill>
            <w14:solidFill>
              <w14:schemeClr w14:val="tx1"/>
            </w14:solidFill>
          </w14:textFill>
        </w:rPr>
        <w:t>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BBCEE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"_Toc43475699"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4.3</w:t>
      </w:r>
      <w:r>
        <w:rPr>
          <w:rStyle w:val="52"/>
          <w:rFonts w:hint="eastAsia"/>
          <w:color w:val="000000" w:themeColor="text1"/>
          <w:highlight w:val="none"/>
          <w14:textFill>
            <w14:solidFill>
              <w14:schemeClr w14:val="tx1"/>
            </w14:solidFill>
          </w14:textFill>
        </w:rPr>
        <w:t>投标文件的修改与撤回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16A72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5.</w:t>
      </w:r>
      <w:r>
        <w:rPr>
          <w:rStyle w:val="52"/>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BBB0B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 xml:space="preserve">5.1 </w:t>
      </w:r>
      <w:r>
        <w:rPr>
          <w:rStyle w:val="52"/>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149D3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 xml:space="preserve">5.1 </w:t>
      </w:r>
      <w:r>
        <w:rPr>
          <w:rStyle w:val="52"/>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97607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5.2 </w:t>
      </w:r>
      <w:r>
        <w:rPr>
          <w:rStyle w:val="52"/>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6506F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5.2 </w:t>
      </w:r>
      <w:r>
        <w:rPr>
          <w:rStyle w:val="52"/>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93603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w:t>
      </w:r>
      <w:r>
        <w:rPr>
          <w:rStyle w:val="52"/>
          <w:rFonts w:hint="eastAsia"/>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10CC0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6.1 </w:t>
      </w:r>
      <w:r>
        <w:rPr>
          <w:rStyle w:val="52"/>
          <w:rFonts w:hint="eastAsia" w:ascii="宋体" w:hAnsi="宋体" w:cs="宋体"/>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9EBB9B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6.2 </w:t>
      </w:r>
      <w:r>
        <w:rPr>
          <w:rStyle w:val="52"/>
          <w:rFonts w:hint="eastAsia" w:ascii="宋体" w:hAnsi="宋体" w:cs="宋体"/>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C0591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6.3 </w:t>
      </w:r>
      <w:r>
        <w:rPr>
          <w:rStyle w:val="52"/>
          <w:rFonts w:hint="eastAsia" w:ascii="宋体" w:hAnsi="宋体" w:cs="宋体"/>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C59372">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w:t>
      </w:r>
      <w:r>
        <w:rPr>
          <w:rStyle w:val="52"/>
          <w:rFonts w:hint="eastAsia"/>
          <w:color w:val="000000" w:themeColor="text1"/>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1A1CE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7.1</w:t>
      </w:r>
      <w:r>
        <w:rPr>
          <w:rStyle w:val="52"/>
          <w:rFonts w:hint="eastAsia" w:ascii="宋体" w:hAnsi="宋体" w:cs="宋体"/>
          <w:color w:val="000000" w:themeColor="text1"/>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E276E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7.2</w:t>
      </w:r>
      <w:r>
        <w:rPr>
          <w:rStyle w:val="52"/>
          <w:rFonts w:hint="eastAsia" w:ascii="宋体" w:hAnsi="宋体" w:cs="宋体"/>
          <w:color w:val="000000" w:themeColor="text1"/>
          <w:highlight w:val="none"/>
          <w14:textFill>
            <w14:solidFill>
              <w14:schemeClr w14:val="tx1"/>
            </w14:solidFill>
          </w14:textFill>
        </w:rPr>
        <w:t>评标结果异议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66BD2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7.3</w:t>
      </w:r>
      <w:r>
        <w:rPr>
          <w:rStyle w:val="52"/>
          <w:rFonts w:hint="eastAsia" w:ascii="宋体" w:hAnsi="宋体" w:cs="宋体"/>
          <w:color w:val="000000" w:themeColor="text1"/>
          <w:highlight w:val="none"/>
          <w14:textFill>
            <w14:solidFill>
              <w14:schemeClr w14:val="tx1"/>
            </w14:solidFill>
          </w14:textFill>
        </w:rPr>
        <w:t>中标候选人履约能力审查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A5E86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7.4</w:t>
      </w:r>
      <w:r>
        <w:rPr>
          <w:rStyle w:val="52"/>
          <w:rFonts w:hint="eastAsia" w:ascii="宋体" w:hAnsi="宋体" w:cs="宋体"/>
          <w:color w:val="000000" w:themeColor="text1"/>
          <w:highlight w:val="none"/>
          <w14:textFill>
            <w14:solidFill>
              <w14:schemeClr w14:val="tx1"/>
            </w14:solidFill>
          </w14:textFill>
        </w:rPr>
        <w:t>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455A3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7.5</w:t>
      </w:r>
      <w:r>
        <w:rPr>
          <w:rStyle w:val="52"/>
          <w:rFonts w:hint="eastAsia" w:ascii="宋体" w:hAnsi="宋体" w:cs="宋体"/>
          <w:color w:val="000000" w:themeColor="text1"/>
          <w:highlight w:val="none"/>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D05A1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7.6</w:t>
      </w:r>
      <w:r>
        <w:rPr>
          <w:rStyle w:val="52"/>
          <w:rFonts w:hint="eastAsia" w:ascii="宋体" w:hAnsi="宋体" w:cs="宋体"/>
          <w:color w:val="000000" w:themeColor="text1"/>
          <w:highlight w:val="none"/>
          <w14:textFill>
            <w14:solidFill>
              <w14:schemeClr w14:val="tx1"/>
            </w14:solidFill>
          </w14:textFill>
        </w:rPr>
        <w:t>中标结果公告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B2E43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7.7</w:t>
      </w:r>
      <w:r>
        <w:rPr>
          <w:rStyle w:val="52"/>
          <w:rFonts w:hint="eastAsia" w:ascii="宋体" w:hAnsi="宋体" w:cs="宋体"/>
          <w:color w:val="000000" w:themeColor="text1"/>
          <w:highlight w:val="none"/>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F7265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7.8</w:t>
      </w:r>
      <w:r>
        <w:rPr>
          <w:rStyle w:val="52"/>
          <w:rFonts w:hint="eastAsia" w:ascii="宋体" w:hAnsi="宋体" w:cs="宋体"/>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9C525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w:t>
      </w:r>
      <w:r>
        <w:rPr>
          <w:rStyle w:val="52"/>
          <w:rFonts w:hint="eastAsia"/>
          <w:color w:val="000000" w:themeColor="text1"/>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4EC26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8.1</w:t>
      </w:r>
      <w:r>
        <w:rPr>
          <w:rStyle w:val="52"/>
          <w:rFonts w:hint="eastAsia" w:ascii="宋体" w:hAnsi="宋体" w:cs="宋体"/>
          <w:color w:val="000000" w:themeColor="text1"/>
          <w:highlight w:val="none"/>
          <w14:textFill>
            <w14:solidFill>
              <w14:schemeClr w14:val="tx1"/>
            </w14:solidFill>
          </w14:textFill>
        </w:rPr>
        <w:t>对招标人的纪律要求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F2B9B8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8.2</w:t>
      </w:r>
      <w:r>
        <w:rPr>
          <w:rStyle w:val="52"/>
          <w:rFonts w:hint="eastAsia" w:ascii="宋体" w:hAnsi="宋体" w:cs="宋体"/>
          <w:color w:val="000000" w:themeColor="text1"/>
          <w:highlight w:val="none"/>
          <w14:textFill>
            <w14:solidFill>
              <w14:schemeClr w14:val="tx1"/>
            </w14:solidFill>
          </w14:textFill>
        </w:rPr>
        <w:t>对投标人的纪律要求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0A47A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8.3</w:t>
      </w:r>
      <w:r>
        <w:rPr>
          <w:rStyle w:val="52"/>
          <w:rFonts w:hint="eastAsia" w:ascii="宋体" w:hAnsi="宋体" w:cs="宋体"/>
          <w:color w:val="000000" w:themeColor="text1"/>
          <w:highlight w:val="none"/>
          <w14:textFill>
            <w14:solidFill>
              <w14:schemeClr w14:val="tx1"/>
            </w14:solidFill>
          </w14:textFill>
        </w:rPr>
        <w:t>对评标委员会成员的纪律要求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EA0AA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8.4</w:t>
      </w:r>
      <w:r>
        <w:rPr>
          <w:rStyle w:val="52"/>
          <w:rFonts w:hint="eastAsia" w:ascii="宋体" w:hAnsi="宋体" w:cs="宋体"/>
          <w:color w:val="000000" w:themeColor="text1"/>
          <w:highlight w:val="none"/>
          <w14:textFill>
            <w14:solidFill>
              <w14:schemeClr w14:val="tx1"/>
            </w14:solidFill>
          </w14:textFill>
        </w:rPr>
        <w:t>对与评标活动有关的工作人员的纪律要求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25552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8.5</w:t>
      </w:r>
      <w:r>
        <w:rPr>
          <w:rStyle w:val="52"/>
          <w:rFonts w:hint="eastAsia" w:ascii="宋体" w:hAnsi="宋体" w:cs="宋体"/>
          <w:color w:val="000000" w:themeColor="text1"/>
          <w:highlight w:val="none"/>
          <w14:textFill>
            <w14:solidFill>
              <w14:schemeClr w14:val="tx1"/>
            </w14:solidFill>
          </w14:textFill>
        </w:rPr>
        <w:t>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A42348">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color w:val="000000" w:themeColor="text1"/>
          <w:highlight w:val="none"/>
          <w14:textFill>
            <w14:solidFill>
              <w14:schemeClr w14:val="tx1"/>
            </w14:solidFill>
          </w14:textFill>
        </w:rPr>
        <w:t>是否采用电子招标投标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70EFB8">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w:t>
      </w:r>
      <w:r>
        <w:rPr>
          <w:rStyle w:val="52"/>
          <w:rFonts w:hint="eastAsia" w:ascii="宋体" w:hAnsi="宋体" w:cs="宋体"/>
          <w:color w:val="000000" w:themeColor="text1"/>
          <w:highlight w:val="none"/>
          <w14:textFill>
            <w14:solidFill>
              <w14:schemeClr w14:val="tx1"/>
            </w14:solidFill>
          </w14:textFill>
        </w:rPr>
        <w:t xml:space="preserve">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D2F31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"_Toc43475726"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附件一：开标记录表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9DD64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"_Toc43475727"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附件二：问题澄清通知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9E7C8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"_Toc43475728"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附件三：问题的澄清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525FA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"_Toc43475729"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附件四：中标通知书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41F3F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"_Toc43475730"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附件五：中标结果通知书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204F1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"_Toc43475731"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附表六：确认通知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43C71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第三章评标办法（双信封的技术评分最低标价法）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E5191F">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"_Toc43475733"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评标办法前附表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8</w:t>
      </w:r>
    </w:p>
    <w:p w14:paraId="5AA6DFF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"_Toc43475734"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 </w:t>
      </w:r>
      <w:r>
        <w:rPr>
          <w:rStyle w:val="52"/>
          <w:rFonts w:hint="eastAsia" w:ascii="宋体" w:hAnsi="宋体"/>
          <w:color w:val="000000" w:themeColor="text1"/>
          <w:highlight w:val="none"/>
          <w14:textFill>
            <w14:solidFill>
              <w14:schemeClr w14:val="tx1"/>
            </w14:solidFill>
          </w14:textFill>
        </w:rPr>
        <w:t>评标方法</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01A6FEE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"_Toc43475735"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 </w:t>
      </w:r>
      <w:r>
        <w:rPr>
          <w:rStyle w:val="52"/>
          <w:rFonts w:hint="eastAsia" w:ascii="宋体" w:hAnsi="宋体"/>
          <w:color w:val="000000" w:themeColor="text1"/>
          <w:highlight w:val="none"/>
          <w14:textFill>
            <w14:solidFill>
              <w14:schemeClr w14:val="tx1"/>
            </w14:solidFill>
          </w14:textFill>
        </w:rPr>
        <w:t>评审标准</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3EDE59E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"_Toc43475738"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3. </w:t>
      </w:r>
      <w:r>
        <w:rPr>
          <w:rStyle w:val="52"/>
          <w:rFonts w:hint="eastAsia" w:ascii="宋体" w:hAnsi="宋体"/>
          <w:color w:val="000000" w:themeColor="text1"/>
          <w:highlight w:val="none"/>
          <w14:textFill>
            <w14:solidFill>
              <w14:schemeClr w14:val="tx1"/>
            </w14:solidFill>
          </w14:textFill>
        </w:rPr>
        <w:t>评标程序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0EF661D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"_Toc43475747"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83474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"_Toc43475748"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第一节通用合同条款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1E80CC">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"_Toc43475749"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 </w:t>
      </w:r>
      <w:r>
        <w:rPr>
          <w:rStyle w:val="52"/>
          <w:rFonts w:hint="eastAsia" w:ascii="宋体" w:hAnsi="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416AF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 </w:t>
      </w:r>
      <w:r>
        <w:rPr>
          <w:rStyle w:val="52"/>
          <w:rFonts w:hint="eastAsia" w:ascii="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A47A6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 </w:t>
      </w:r>
      <w:r>
        <w:rPr>
          <w:rStyle w:val="52"/>
          <w:rFonts w:hint="eastAsia" w:ascii="宋体"/>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2F487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 </w:t>
      </w:r>
      <w:r>
        <w:rPr>
          <w:rStyle w:val="52"/>
          <w:rFonts w:hint="eastAsia" w:ascii="宋体"/>
          <w:color w:val="000000" w:themeColor="text1"/>
          <w:highlight w:val="none"/>
          <w14:textFill>
            <w14:solidFill>
              <w14:schemeClr w14:val="tx1"/>
            </w14:solidFill>
          </w14:textFill>
        </w:rPr>
        <w:t>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C66B8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 </w:t>
      </w:r>
      <w:r>
        <w:rPr>
          <w:rStyle w:val="52"/>
          <w:rFonts w:hint="eastAsia" w:ascii="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0D9F9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 </w:t>
      </w:r>
      <w:r>
        <w:rPr>
          <w:rStyle w:val="52"/>
          <w:rFonts w:hint="eastAsia" w:ascii="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2CF69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1.6 </w:t>
      </w:r>
      <w:r>
        <w:rPr>
          <w:rStyle w:val="52"/>
          <w:rFonts w:hint="eastAsia" w:ascii="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C5232D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 </w:t>
      </w:r>
      <w:r>
        <w:rPr>
          <w:rStyle w:val="52"/>
          <w:rFonts w:hint="eastAsia" w:ascii="宋体"/>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6FBF9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 </w:t>
      </w:r>
      <w:r>
        <w:rPr>
          <w:rStyle w:val="52"/>
          <w:rFonts w:hint="eastAsia" w:ascii="宋体"/>
          <w:color w:val="000000" w:themeColor="text1"/>
          <w:highlight w:val="none"/>
          <w14:textFill>
            <w14:solidFill>
              <w14:schemeClr w14:val="tx1"/>
            </w14:solidFill>
          </w14:textFill>
        </w:rPr>
        <w:t>转让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1F001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 </w:t>
      </w:r>
      <w:r>
        <w:rPr>
          <w:rStyle w:val="52"/>
          <w:rFonts w:hint="eastAsia" w:ascii="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20160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1.10 </w:t>
      </w:r>
      <w:r>
        <w:rPr>
          <w:rStyle w:val="52"/>
          <w:rFonts w:hint="eastAsia" w:ascii="宋体"/>
          <w:color w:val="000000" w:themeColor="text1"/>
          <w:highlight w:val="none"/>
          <w14:textFill>
            <w14:solidFill>
              <w14:schemeClr w14:val="tx1"/>
            </w14:solidFill>
          </w14:textFill>
        </w:rPr>
        <w:t>化石、文物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111E7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1.11 </w:t>
      </w:r>
      <w:r>
        <w:rPr>
          <w:rStyle w:val="52"/>
          <w:rFonts w:hint="eastAsia" w:ascii="宋体"/>
          <w:color w:val="000000" w:themeColor="text1"/>
          <w:highlight w:val="none"/>
          <w14:textFill>
            <w14:solidFill>
              <w14:schemeClr w14:val="tx1"/>
            </w14:solidFill>
          </w14:textFill>
        </w:rPr>
        <w:t>专利技术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E868A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1.12 </w:t>
      </w:r>
      <w:r>
        <w:rPr>
          <w:rStyle w:val="52"/>
          <w:rFonts w:hint="eastAsia" w:ascii="宋体"/>
          <w:color w:val="000000" w:themeColor="text1"/>
          <w:highlight w:val="none"/>
          <w14:textFill>
            <w14:solidFill>
              <w14:schemeClr w14:val="tx1"/>
            </w14:solidFill>
          </w14:textFill>
        </w:rPr>
        <w:t>图纸和文件的保密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C3C7F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"_Toc43475762"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 </w:t>
      </w:r>
      <w:r>
        <w:rPr>
          <w:rStyle w:val="52"/>
          <w:rFonts w:hint="eastAsia" w:ascii="宋体" w:hAnsi="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FFBA7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 </w:t>
      </w:r>
      <w:r>
        <w:rPr>
          <w:rStyle w:val="52"/>
          <w:rFonts w:hint="eastAsia" w:ascii="宋体"/>
          <w:color w:val="000000" w:themeColor="text1"/>
          <w:highlight w:val="none"/>
          <w14:textFill>
            <w14:solidFill>
              <w14:schemeClr w14:val="tx1"/>
            </w14:solidFill>
          </w14:textFill>
        </w:rPr>
        <w:t>遵守法律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44CA1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 </w:t>
      </w:r>
      <w:r>
        <w:rPr>
          <w:rStyle w:val="52"/>
          <w:rFonts w:hint="eastAsia" w:ascii="宋体"/>
          <w:color w:val="000000" w:themeColor="text1"/>
          <w:highlight w:val="none"/>
          <w14:textFill>
            <w14:solidFill>
              <w14:schemeClr w14:val="tx1"/>
            </w14:solidFill>
          </w14:textFill>
        </w:rPr>
        <w:t>发出开工通知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66930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 </w:t>
      </w:r>
      <w:r>
        <w:rPr>
          <w:rStyle w:val="52"/>
          <w:rFonts w:hint="eastAsia" w:ascii="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BC63E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 </w:t>
      </w:r>
      <w:r>
        <w:rPr>
          <w:rStyle w:val="52"/>
          <w:rFonts w:hint="eastAsia" w:ascii="宋体"/>
          <w:color w:val="000000" w:themeColor="text1"/>
          <w:highlight w:val="none"/>
          <w14:textFill>
            <w14:solidFill>
              <w14:schemeClr w14:val="tx1"/>
            </w14:solidFill>
          </w14:textFill>
        </w:rPr>
        <w:t>协助承包人办理证件和批件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2C45C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2.5 </w:t>
      </w:r>
      <w:r>
        <w:rPr>
          <w:rStyle w:val="52"/>
          <w:rFonts w:hint="eastAsia" w:ascii="宋体"/>
          <w:color w:val="000000" w:themeColor="text1"/>
          <w:highlight w:val="none"/>
          <w14:textFill>
            <w14:solidFill>
              <w14:schemeClr w14:val="tx1"/>
            </w14:solidFill>
          </w14:textFill>
        </w:rPr>
        <w:t>组织设计交底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2F07E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2.6 </w:t>
      </w:r>
      <w:r>
        <w:rPr>
          <w:rStyle w:val="52"/>
          <w:rFonts w:hint="eastAsia" w:ascii="宋体"/>
          <w:color w:val="000000" w:themeColor="text1"/>
          <w:highlight w:val="none"/>
          <w14:textFill>
            <w14:solidFill>
              <w14:schemeClr w14:val="tx1"/>
            </w14:solidFill>
          </w14:textFill>
        </w:rPr>
        <w:t>支付合同价款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74704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2.7 </w:t>
      </w:r>
      <w:r>
        <w:rPr>
          <w:rStyle w:val="52"/>
          <w:rFonts w:hint="eastAsia" w:ascii="宋体"/>
          <w:color w:val="000000" w:themeColor="text1"/>
          <w:highlight w:val="none"/>
          <w14:textFill>
            <w14:solidFill>
              <w14:schemeClr w14:val="tx1"/>
            </w14:solidFill>
          </w14:textFill>
        </w:rPr>
        <w:t>组织竣工验收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42A88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2.8 </w:t>
      </w:r>
      <w:r>
        <w:rPr>
          <w:rStyle w:val="52"/>
          <w:rFonts w:hint="eastAsia" w:ascii="宋体"/>
          <w:color w:val="000000" w:themeColor="text1"/>
          <w:highlight w:val="none"/>
          <w14:textFill>
            <w14:solidFill>
              <w14:schemeClr w14:val="tx1"/>
            </w14:solidFill>
          </w14:textFill>
        </w:rPr>
        <w:t>其他义务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A91B7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"_Toc43475771"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3. </w:t>
      </w:r>
      <w:r>
        <w:rPr>
          <w:rStyle w:val="52"/>
          <w:rFonts w:hint="eastAsia" w:ascii="宋体" w:hAnsi="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8A9C8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3.1 </w:t>
      </w:r>
      <w:r>
        <w:rPr>
          <w:rStyle w:val="52"/>
          <w:rFonts w:hint="eastAsia" w:ascii="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0B65F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3.2 </w:t>
      </w:r>
      <w:r>
        <w:rPr>
          <w:rStyle w:val="52"/>
          <w:rFonts w:hint="eastAsia" w:ascii="宋体"/>
          <w:color w:val="000000" w:themeColor="text1"/>
          <w:highlight w:val="none"/>
          <w14:textFill>
            <w14:solidFill>
              <w14:schemeClr w14:val="tx1"/>
            </w14:solidFill>
          </w14:textFill>
        </w:rPr>
        <w:t>总监理工程师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F8645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3.3 </w:t>
      </w:r>
      <w:r>
        <w:rPr>
          <w:rStyle w:val="52"/>
          <w:rFonts w:hint="eastAsia" w:ascii="宋体"/>
          <w:color w:val="000000" w:themeColor="text1"/>
          <w:highlight w:val="none"/>
          <w14:textFill>
            <w14:solidFill>
              <w14:schemeClr w14:val="tx1"/>
            </w14:solidFill>
          </w14:textFill>
        </w:rPr>
        <w:t>监理人员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0AB62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3.4 </w:t>
      </w:r>
      <w:r>
        <w:rPr>
          <w:rStyle w:val="52"/>
          <w:rFonts w:hint="eastAsia" w:ascii="宋体"/>
          <w:color w:val="000000" w:themeColor="text1"/>
          <w:highlight w:val="none"/>
          <w14:textFill>
            <w14:solidFill>
              <w14:schemeClr w14:val="tx1"/>
            </w14:solidFill>
          </w14:textFill>
        </w:rPr>
        <w:t>监理人的指示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97EFA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3.5 </w:t>
      </w:r>
      <w:r>
        <w:rPr>
          <w:rStyle w:val="52"/>
          <w:rFonts w:hint="eastAsia" w:ascii="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84386C">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4. </w:t>
      </w:r>
      <w:r>
        <w:rPr>
          <w:rStyle w:val="52"/>
          <w:rFonts w:hint="eastAsia" w:ascii="宋体" w:hAnsi="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6D576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4.1 </w:t>
      </w:r>
      <w:r>
        <w:rPr>
          <w:rStyle w:val="52"/>
          <w:rFonts w:hint="eastAsia" w:ascii="宋体"/>
          <w:color w:val="000000" w:themeColor="text1"/>
          <w:highlight w:val="none"/>
          <w14:textFill>
            <w14:solidFill>
              <w14:schemeClr w14:val="tx1"/>
            </w14:solidFill>
          </w14:textFill>
        </w:rPr>
        <w:t>承包人的一般义务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C2E75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4.2 </w:t>
      </w:r>
      <w:r>
        <w:rPr>
          <w:rStyle w:val="52"/>
          <w:rFonts w:hint="eastAsia" w:ascii="宋体"/>
          <w:color w:val="000000" w:themeColor="text1"/>
          <w:highlight w:val="none"/>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45C76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4.3 </w:t>
      </w:r>
      <w:r>
        <w:rPr>
          <w:rStyle w:val="52"/>
          <w:rFonts w:hint="eastAsia" w:ascii="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6F853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4.4 </w:t>
      </w:r>
      <w:r>
        <w:rPr>
          <w:rStyle w:val="52"/>
          <w:rFonts w:hint="eastAsia" w:ascii="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D63F4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4.5 </w:t>
      </w:r>
      <w:r>
        <w:rPr>
          <w:rStyle w:val="52"/>
          <w:rFonts w:hint="eastAsia" w:ascii="宋体"/>
          <w:color w:val="000000" w:themeColor="text1"/>
          <w:highlight w:val="none"/>
          <w14:textFill>
            <w14:solidFill>
              <w14:schemeClr w14:val="tx1"/>
            </w14:solidFill>
          </w14:textFill>
        </w:rPr>
        <w:t>承包人项目经理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033B1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4.6 </w:t>
      </w:r>
      <w:r>
        <w:rPr>
          <w:rStyle w:val="52"/>
          <w:rFonts w:hint="eastAsia" w:ascii="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DA56B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4.7 </w:t>
      </w:r>
      <w:r>
        <w:rPr>
          <w:rStyle w:val="52"/>
          <w:rFonts w:hint="eastAsia" w:ascii="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16033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4.8 </w:t>
      </w:r>
      <w:r>
        <w:rPr>
          <w:rStyle w:val="52"/>
          <w:rFonts w:hint="eastAsia" w:ascii="宋体"/>
          <w:color w:val="000000" w:themeColor="text1"/>
          <w:highlight w:val="none"/>
          <w14:textFill>
            <w14:solidFill>
              <w14:schemeClr w14:val="tx1"/>
            </w14:solidFill>
          </w14:textFill>
        </w:rPr>
        <w:t>保障承包人人员的合法权益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DBE83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4.9 </w:t>
      </w:r>
      <w:r>
        <w:rPr>
          <w:rStyle w:val="52"/>
          <w:rFonts w:hint="eastAsia" w:ascii="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ECECF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4.10 </w:t>
      </w:r>
      <w:r>
        <w:rPr>
          <w:rStyle w:val="52"/>
          <w:rFonts w:hint="eastAsia" w:ascii="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AB00B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4.11 </w:t>
      </w:r>
      <w:r>
        <w:rPr>
          <w:rStyle w:val="52"/>
          <w:rFonts w:hint="eastAsia" w:ascii="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2EACA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"_Toc43475789"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5. </w:t>
      </w:r>
      <w:r>
        <w:rPr>
          <w:rStyle w:val="52"/>
          <w:rFonts w:hint="eastAsia" w:ascii="宋体" w:hAnsi="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B102C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5.1 </w:t>
      </w:r>
      <w:r>
        <w:rPr>
          <w:rStyle w:val="52"/>
          <w:rFonts w:hint="eastAsia" w:ascii="宋体"/>
          <w:color w:val="000000" w:themeColor="text1"/>
          <w:highlight w:val="none"/>
          <w14:textFill>
            <w14:solidFill>
              <w14:schemeClr w14:val="tx1"/>
            </w14:solidFill>
          </w14:textFill>
        </w:rPr>
        <w:t>承包人提供的材料和工程设备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C1BFA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5.2 </w:t>
      </w:r>
      <w:r>
        <w:rPr>
          <w:rStyle w:val="52"/>
          <w:rFonts w:hint="eastAsia" w:ascii="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FD6DC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5.3 </w:t>
      </w:r>
      <w:r>
        <w:rPr>
          <w:rStyle w:val="52"/>
          <w:rFonts w:hint="eastAsia" w:ascii="宋体"/>
          <w:color w:val="000000" w:themeColor="text1"/>
          <w:highlight w:val="none"/>
          <w14:textFill>
            <w14:solidFill>
              <w14:schemeClr w14:val="tx1"/>
            </w14:solidFill>
          </w14:textFill>
        </w:rPr>
        <w:t>材料和工程设备专用于合同工程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D8750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5.4 </w:t>
      </w:r>
      <w:r>
        <w:rPr>
          <w:rStyle w:val="52"/>
          <w:rFonts w:hint="eastAsia" w:ascii="宋体"/>
          <w:color w:val="000000" w:themeColor="text1"/>
          <w:highlight w:val="none"/>
          <w14:textFill>
            <w14:solidFill>
              <w14:schemeClr w14:val="tx1"/>
            </w14:solidFill>
          </w14:textFill>
        </w:rPr>
        <w:t>禁止使用不合格的材料和工程设备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66F15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"_Toc43475794"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6. </w:t>
      </w:r>
      <w:r>
        <w:rPr>
          <w:rStyle w:val="52"/>
          <w:rFonts w:hint="eastAsia" w:ascii="宋体" w:hAnsi="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5CD20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6.1 </w:t>
      </w:r>
      <w:r>
        <w:rPr>
          <w:rStyle w:val="52"/>
          <w:rFonts w:hint="eastAsia" w:ascii="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03F31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6.2 </w:t>
      </w:r>
      <w:r>
        <w:rPr>
          <w:rStyle w:val="52"/>
          <w:rFonts w:hint="eastAsia" w:ascii="宋体"/>
          <w:color w:val="000000" w:themeColor="text1"/>
          <w:highlight w:val="none"/>
          <w14:textFill>
            <w14:solidFill>
              <w14:schemeClr w14:val="tx1"/>
            </w14:solidFill>
          </w14:textFill>
        </w:rPr>
        <w:t>发包人提供的施工设备和临时设施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D568E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6.3 </w:t>
      </w:r>
      <w:r>
        <w:rPr>
          <w:rStyle w:val="52"/>
          <w:rFonts w:hint="eastAsia" w:ascii="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C2B79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6.4 </w:t>
      </w:r>
      <w:r>
        <w:rPr>
          <w:rStyle w:val="52"/>
          <w:rFonts w:hint="eastAsia" w:ascii="宋体"/>
          <w:color w:val="000000" w:themeColor="text1"/>
          <w:highlight w:val="none"/>
          <w14:textFill>
            <w14:solidFill>
              <w14:schemeClr w14:val="tx1"/>
            </w14:solidFill>
          </w14:textFill>
        </w:rPr>
        <w:t>施工设备和临时设施专用于合同工程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98148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"_Toc43475799"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7. </w:t>
      </w:r>
      <w:r>
        <w:rPr>
          <w:rStyle w:val="52"/>
          <w:rFonts w:hint="eastAsia" w:ascii="宋体" w:hAnsi="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99843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7.1 </w:t>
      </w:r>
      <w:r>
        <w:rPr>
          <w:rStyle w:val="52"/>
          <w:rFonts w:hint="eastAsia" w:ascii="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9119D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7.2 </w:t>
      </w:r>
      <w:r>
        <w:rPr>
          <w:rStyle w:val="52"/>
          <w:rFonts w:hint="eastAsia" w:ascii="宋体"/>
          <w:color w:val="000000" w:themeColor="text1"/>
          <w:highlight w:val="none"/>
          <w14:textFill>
            <w14:solidFill>
              <w14:schemeClr w14:val="tx1"/>
            </w14:solidFill>
          </w14:textFill>
        </w:rPr>
        <w:t>场内施工道路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A82DD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7.3 </w:t>
      </w:r>
      <w:r>
        <w:rPr>
          <w:rStyle w:val="52"/>
          <w:rFonts w:hint="eastAsia" w:ascii="宋体"/>
          <w:color w:val="000000" w:themeColor="text1"/>
          <w:highlight w:val="none"/>
          <w14:textFill>
            <w14:solidFill>
              <w14:schemeClr w14:val="tx1"/>
            </w14:solidFill>
          </w14:textFill>
        </w:rPr>
        <w:t>场外交通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8D8EC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7.4 </w:t>
      </w:r>
      <w:r>
        <w:rPr>
          <w:rStyle w:val="52"/>
          <w:rFonts w:hint="eastAsia" w:ascii="宋体"/>
          <w:color w:val="000000" w:themeColor="text1"/>
          <w:highlight w:val="none"/>
          <w14:textFill>
            <w14:solidFill>
              <w14:schemeClr w14:val="tx1"/>
            </w14:solidFill>
          </w14:textFill>
        </w:rPr>
        <w:t>超大件和超重件的运输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28ACB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7.5 </w:t>
      </w:r>
      <w:r>
        <w:rPr>
          <w:rStyle w:val="52"/>
          <w:rFonts w:hint="eastAsia" w:ascii="宋体"/>
          <w:color w:val="000000" w:themeColor="text1"/>
          <w:highlight w:val="none"/>
          <w14:textFill>
            <w14:solidFill>
              <w14:schemeClr w14:val="tx1"/>
            </w14:solidFill>
          </w14:textFill>
        </w:rPr>
        <w:t>道路和桥梁的损坏责任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E5D06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7.6 </w:t>
      </w:r>
      <w:r>
        <w:rPr>
          <w:rStyle w:val="52"/>
          <w:rFonts w:hint="eastAsia" w:ascii="宋体"/>
          <w:color w:val="000000" w:themeColor="text1"/>
          <w:highlight w:val="none"/>
          <w14:textFill>
            <w14:solidFill>
              <w14:schemeClr w14:val="tx1"/>
            </w14:solidFill>
          </w14:textFill>
        </w:rPr>
        <w:t>水路和航空运输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DE87F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"_Toc43475806"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8. </w:t>
      </w:r>
      <w:r>
        <w:rPr>
          <w:rStyle w:val="52"/>
          <w:rFonts w:hint="eastAsia" w:ascii="宋体" w:hAnsi="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0BD8E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8.1 </w:t>
      </w:r>
      <w:r>
        <w:rPr>
          <w:rStyle w:val="52"/>
          <w:rFonts w:hint="eastAsia" w:ascii="宋体"/>
          <w:color w:val="000000" w:themeColor="text1"/>
          <w:highlight w:val="none"/>
          <w14:textFill>
            <w14:solidFill>
              <w14:schemeClr w14:val="tx1"/>
            </w14:solidFill>
          </w14:textFill>
        </w:rPr>
        <w:t>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1CF2F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8.2 </w:t>
      </w:r>
      <w:r>
        <w:rPr>
          <w:rStyle w:val="52"/>
          <w:rFonts w:hint="eastAsia" w:ascii="宋体"/>
          <w:color w:val="000000" w:themeColor="text1"/>
          <w:highlight w:val="none"/>
          <w14:textFill>
            <w14:solidFill>
              <w14:schemeClr w14:val="tx1"/>
            </w14:solidFill>
          </w14:textFill>
        </w:rPr>
        <w:t>施工测量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409C4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8.3 </w:t>
      </w:r>
      <w:r>
        <w:rPr>
          <w:rStyle w:val="52"/>
          <w:rFonts w:hint="eastAsia" w:ascii="宋体"/>
          <w:color w:val="000000" w:themeColor="text1"/>
          <w:highlight w:val="none"/>
          <w14:textFill>
            <w14:solidFill>
              <w14:schemeClr w14:val="tx1"/>
            </w14:solidFill>
          </w14:textFill>
        </w:rPr>
        <w:t>基准资料错误的责任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C2440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8.4 </w:t>
      </w:r>
      <w:r>
        <w:rPr>
          <w:rStyle w:val="52"/>
          <w:rFonts w:hint="eastAsia" w:ascii="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5C14C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"_Toc43475811"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9. </w:t>
      </w:r>
      <w:r>
        <w:rPr>
          <w:rStyle w:val="52"/>
          <w:rFonts w:hint="eastAsia" w:ascii="宋体" w:hAnsi="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86347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9.1 </w:t>
      </w:r>
      <w:r>
        <w:rPr>
          <w:rStyle w:val="52"/>
          <w:rFonts w:hint="eastAsia" w:ascii="宋体"/>
          <w:color w:val="000000" w:themeColor="text1"/>
          <w:highlight w:val="none"/>
          <w14:textFill>
            <w14:solidFill>
              <w14:schemeClr w14:val="tx1"/>
            </w14:solidFill>
          </w14:textFill>
        </w:rPr>
        <w:t>发包人的施工安全责任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735A6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9.2 </w:t>
      </w:r>
      <w:r>
        <w:rPr>
          <w:rStyle w:val="52"/>
          <w:rFonts w:hint="eastAsia" w:ascii="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E3132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9.3 </w:t>
      </w:r>
      <w:r>
        <w:rPr>
          <w:rStyle w:val="52"/>
          <w:rFonts w:hint="eastAsia" w:ascii="宋体"/>
          <w:color w:val="000000" w:themeColor="text1"/>
          <w:highlight w:val="none"/>
          <w14:textFill>
            <w14:solidFill>
              <w14:schemeClr w14:val="tx1"/>
            </w14:solidFill>
          </w14:textFill>
        </w:rPr>
        <w:t>治安保卫</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E59613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9.4 </w:t>
      </w:r>
      <w:r>
        <w:rPr>
          <w:rStyle w:val="52"/>
          <w:rFonts w:hint="eastAsia" w:ascii="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F59F6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9.5 </w:t>
      </w:r>
      <w:r>
        <w:rPr>
          <w:rStyle w:val="52"/>
          <w:rFonts w:hint="eastAsia" w:ascii="宋体"/>
          <w:color w:val="000000" w:themeColor="text1"/>
          <w:highlight w:val="none"/>
          <w14:textFill>
            <w14:solidFill>
              <w14:schemeClr w14:val="tx1"/>
            </w14:solidFill>
          </w14:textFill>
        </w:rPr>
        <w:t>事故处理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B63AF6">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10. </w:t>
      </w:r>
      <w:r>
        <w:rPr>
          <w:rStyle w:val="52"/>
          <w:rFonts w:hint="eastAsia" w:ascii="宋体" w:hAnsi="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B72D7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10.1 </w:t>
      </w:r>
      <w:r>
        <w:rPr>
          <w:rStyle w:val="52"/>
          <w:rFonts w:hint="eastAsia" w:ascii="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9426B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10.2 </w:t>
      </w:r>
      <w:r>
        <w:rPr>
          <w:rStyle w:val="52"/>
          <w:rFonts w:hint="eastAsia" w:ascii="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D8C288">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11. </w:t>
      </w:r>
      <w:r>
        <w:rPr>
          <w:rStyle w:val="52"/>
          <w:rFonts w:hint="eastAsia" w:ascii="宋体" w:hAnsi="宋体"/>
          <w:color w:val="000000" w:themeColor="text1"/>
          <w:highlight w:val="none"/>
          <w14:textFill>
            <w14:solidFill>
              <w14:schemeClr w14:val="tx1"/>
            </w14:solidFill>
          </w14:textFill>
        </w:rPr>
        <w:t>开工和竣工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75186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11.1 </w:t>
      </w:r>
      <w:r>
        <w:rPr>
          <w:rStyle w:val="52"/>
          <w:rFonts w:hint="eastAsia" w:ascii="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53C12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11.2 </w:t>
      </w:r>
      <w:r>
        <w:rPr>
          <w:rStyle w:val="52"/>
          <w:rFonts w:hint="eastAsia" w:ascii="宋体"/>
          <w:color w:val="000000" w:themeColor="text1"/>
          <w:highlight w:val="none"/>
          <w14:textFill>
            <w14:solidFill>
              <w14:schemeClr w14:val="tx1"/>
            </w14:solidFill>
          </w14:textFill>
        </w:rPr>
        <w:t>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3E2A7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11.3 </w:t>
      </w:r>
      <w:r>
        <w:rPr>
          <w:rStyle w:val="52"/>
          <w:rFonts w:hint="eastAsia" w:ascii="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F0ECD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11.4 </w:t>
      </w:r>
      <w:r>
        <w:rPr>
          <w:rStyle w:val="52"/>
          <w:rFonts w:hint="eastAsia" w:ascii="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67869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11.5 </w:t>
      </w:r>
      <w:r>
        <w:rPr>
          <w:rStyle w:val="52"/>
          <w:rFonts w:hint="eastAsia" w:ascii="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860F7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11.6 </w:t>
      </w:r>
      <w:r>
        <w:rPr>
          <w:rStyle w:val="52"/>
          <w:rFonts w:hint="eastAsia" w:ascii="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8F625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12. </w:t>
      </w:r>
      <w:r>
        <w:rPr>
          <w:rStyle w:val="52"/>
          <w:rFonts w:hint="eastAsia" w:ascii="宋体" w:hAnsi="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3B9A5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12.1 </w:t>
      </w:r>
      <w:r>
        <w:rPr>
          <w:rStyle w:val="52"/>
          <w:rFonts w:hint="eastAsia" w:ascii="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C71B7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12.2 </w:t>
      </w:r>
      <w:r>
        <w:rPr>
          <w:rStyle w:val="52"/>
          <w:rFonts w:hint="eastAsia" w:ascii="宋体"/>
          <w:color w:val="000000" w:themeColor="text1"/>
          <w:highlight w:val="none"/>
          <w14:textFill>
            <w14:solidFill>
              <w14:schemeClr w14:val="tx1"/>
            </w14:solidFill>
          </w14:textFill>
        </w:rPr>
        <w:t>发包人暂停施工的责任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E1DFA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12.3 </w:t>
      </w:r>
      <w:r>
        <w:rPr>
          <w:rStyle w:val="52"/>
          <w:rFonts w:hint="eastAsia" w:ascii="宋体"/>
          <w:color w:val="000000" w:themeColor="text1"/>
          <w:highlight w:val="none"/>
          <w14:textFill>
            <w14:solidFill>
              <w14:schemeClr w14:val="tx1"/>
            </w14:solidFill>
          </w14:textFill>
        </w:rPr>
        <w:t>监理人暂停施工指示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5A936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12.4 </w:t>
      </w:r>
      <w:r>
        <w:rPr>
          <w:rStyle w:val="52"/>
          <w:rFonts w:hint="eastAsia" w:ascii="宋体"/>
          <w:color w:val="000000" w:themeColor="text1"/>
          <w:highlight w:val="none"/>
          <w14:textFill>
            <w14:solidFill>
              <w14:schemeClr w14:val="tx1"/>
            </w14:solidFill>
          </w14:textFill>
        </w:rPr>
        <w:t>暂停施工后的复工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B7E26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12.5 </w:t>
      </w:r>
      <w:r>
        <w:rPr>
          <w:rStyle w:val="52"/>
          <w:rFonts w:hint="eastAsia" w:ascii="宋体"/>
          <w:color w:val="000000" w:themeColor="text1"/>
          <w:highlight w:val="none"/>
          <w14:textFill>
            <w14:solidFill>
              <w14:schemeClr w14:val="tx1"/>
            </w14:solidFill>
          </w14:textFill>
        </w:rPr>
        <w:t>暂停施工持续</w:t>
      </w:r>
      <w:r>
        <w:rPr>
          <w:rStyle w:val="52"/>
          <w:rFonts w:ascii="宋体"/>
          <w:color w:val="000000" w:themeColor="text1"/>
          <w:highlight w:val="none"/>
          <w14:textFill>
            <w14:solidFill>
              <w14:schemeClr w14:val="tx1"/>
            </w14:solidFill>
          </w14:textFill>
        </w:rPr>
        <w:t>56</w:t>
      </w:r>
      <w:r>
        <w:rPr>
          <w:rStyle w:val="52"/>
          <w:rFonts w:hint="eastAsia" w:ascii="宋体"/>
          <w:color w:val="000000" w:themeColor="text1"/>
          <w:highlight w:val="none"/>
          <w14:textFill>
            <w14:solidFill>
              <w14:schemeClr w14:val="tx1"/>
            </w14:solidFill>
          </w14:textFill>
        </w:rPr>
        <w:t>天以上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DDB39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"_Toc43475833"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13. </w:t>
      </w:r>
      <w:r>
        <w:rPr>
          <w:rStyle w:val="52"/>
          <w:rFonts w:hint="eastAsia" w:ascii="宋体" w:hAnsi="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01328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13.1 </w:t>
      </w:r>
      <w:r>
        <w:rPr>
          <w:rStyle w:val="52"/>
          <w:rFonts w:hint="eastAsia" w:ascii="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0D943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13.2 </w:t>
      </w:r>
      <w:r>
        <w:rPr>
          <w:rStyle w:val="52"/>
          <w:rFonts w:hint="eastAsia" w:ascii="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87BFA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13.3 </w:t>
      </w:r>
      <w:r>
        <w:rPr>
          <w:rStyle w:val="52"/>
          <w:rFonts w:hint="eastAsia" w:ascii="宋体"/>
          <w:color w:val="000000" w:themeColor="text1"/>
          <w:highlight w:val="none"/>
          <w14:textFill>
            <w14:solidFill>
              <w14:schemeClr w14:val="tx1"/>
            </w14:solidFill>
          </w14:textFill>
        </w:rPr>
        <w:t>承包人的质量检查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090CE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13.4 </w:t>
      </w:r>
      <w:r>
        <w:rPr>
          <w:rStyle w:val="52"/>
          <w:rFonts w:hint="eastAsia" w:ascii="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CF836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13.5 </w:t>
      </w:r>
      <w:r>
        <w:rPr>
          <w:rStyle w:val="52"/>
          <w:rFonts w:hint="eastAsia" w:ascii="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39AD2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13.6 </w:t>
      </w:r>
      <w:r>
        <w:rPr>
          <w:rStyle w:val="52"/>
          <w:rFonts w:hint="eastAsia" w:ascii="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266FB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14. </w:t>
      </w:r>
      <w:r>
        <w:rPr>
          <w:rStyle w:val="52"/>
          <w:rFonts w:hint="eastAsia" w:ascii="宋体" w:hAnsi="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A0917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14.1 </w:t>
      </w:r>
      <w:r>
        <w:rPr>
          <w:rStyle w:val="52"/>
          <w:rFonts w:hint="eastAsia" w:ascii="宋体"/>
          <w:color w:val="000000" w:themeColor="text1"/>
          <w:highlight w:val="none"/>
          <w14:textFill>
            <w14:solidFill>
              <w14:schemeClr w14:val="tx1"/>
            </w14:solidFill>
          </w14:textFill>
        </w:rPr>
        <w:t>材料、工程设备和工程的试验和检验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3CF9A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14.2 </w:t>
      </w:r>
      <w:r>
        <w:rPr>
          <w:rStyle w:val="52"/>
          <w:rFonts w:hint="eastAsia" w:ascii="宋体"/>
          <w:color w:val="000000" w:themeColor="text1"/>
          <w:highlight w:val="none"/>
          <w14:textFill>
            <w14:solidFill>
              <w14:schemeClr w14:val="tx1"/>
            </w14:solidFill>
          </w14:textFill>
        </w:rPr>
        <w:t>现场材料试验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69973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14.3 </w:t>
      </w:r>
      <w:r>
        <w:rPr>
          <w:rStyle w:val="52"/>
          <w:rFonts w:hint="eastAsia" w:ascii="宋体"/>
          <w:color w:val="000000" w:themeColor="text1"/>
          <w:highlight w:val="none"/>
          <w14:textFill>
            <w14:solidFill>
              <w14:schemeClr w14:val="tx1"/>
            </w14:solidFill>
          </w14:textFill>
        </w:rPr>
        <w:t>现场工艺试验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2AFAC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"_Toc43475844"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15. </w:t>
      </w:r>
      <w:r>
        <w:rPr>
          <w:rStyle w:val="52"/>
          <w:rFonts w:hint="eastAsia" w:ascii="宋体" w:hAnsi="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DBF89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15.1 </w:t>
      </w:r>
      <w:r>
        <w:rPr>
          <w:rStyle w:val="52"/>
          <w:rFonts w:hint="eastAsia" w:ascii="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24AD4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15.2 </w:t>
      </w:r>
      <w:r>
        <w:rPr>
          <w:rStyle w:val="52"/>
          <w:rFonts w:hint="eastAsia" w:ascii="宋体"/>
          <w:color w:val="000000" w:themeColor="text1"/>
          <w:highlight w:val="none"/>
          <w14:textFill>
            <w14:solidFill>
              <w14:schemeClr w14:val="tx1"/>
            </w14:solidFill>
          </w14:textFill>
        </w:rPr>
        <w:t>变更权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7D8124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15.3 </w:t>
      </w:r>
      <w:r>
        <w:rPr>
          <w:rStyle w:val="52"/>
          <w:rFonts w:hint="eastAsia" w:ascii="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915B7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15.4 </w:t>
      </w:r>
      <w:r>
        <w:rPr>
          <w:rStyle w:val="52"/>
          <w:rFonts w:hint="eastAsia" w:ascii="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82063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15.5 </w:t>
      </w:r>
      <w:r>
        <w:rPr>
          <w:rStyle w:val="52"/>
          <w:rFonts w:hint="eastAsia" w:ascii="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48CEB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15.6 </w:t>
      </w:r>
      <w:r>
        <w:rPr>
          <w:rStyle w:val="52"/>
          <w:rFonts w:hint="eastAsia" w:ascii="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B623A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15.7 </w:t>
      </w:r>
      <w:r>
        <w:rPr>
          <w:rStyle w:val="52"/>
          <w:rFonts w:hint="eastAsia" w:ascii="宋体"/>
          <w:color w:val="000000" w:themeColor="text1"/>
          <w:highlight w:val="none"/>
          <w14:textFill>
            <w14:solidFill>
              <w14:schemeClr w14:val="tx1"/>
            </w14:solidFill>
          </w14:textFill>
        </w:rPr>
        <w:t>计日工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3EEF2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15.8 </w:t>
      </w:r>
      <w:r>
        <w:rPr>
          <w:rStyle w:val="52"/>
          <w:rFonts w:hint="eastAsia" w:ascii="宋体"/>
          <w:color w:val="000000" w:themeColor="text1"/>
          <w:highlight w:val="none"/>
          <w14:textFill>
            <w14:solidFill>
              <w14:schemeClr w14:val="tx1"/>
            </w14:solidFill>
          </w14:textFill>
        </w:rPr>
        <w:t>暂估价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A3A5D1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"_Toc43475853"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16. </w:t>
      </w:r>
      <w:r>
        <w:rPr>
          <w:rStyle w:val="52"/>
          <w:rFonts w:hint="eastAsia" w:ascii="宋体" w:hAnsi="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4F91C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16.1 </w:t>
      </w:r>
      <w:r>
        <w:rPr>
          <w:rStyle w:val="52"/>
          <w:rFonts w:hint="eastAsia" w:ascii="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43012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16.2 </w:t>
      </w:r>
      <w:r>
        <w:rPr>
          <w:rStyle w:val="52"/>
          <w:rFonts w:hint="eastAsia" w:ascii="宋体"/>
          <w:color w:val="000000" w:themeColor="text1"/>
          <w:highlight w:val="none"/>
          <w14:textFill>
            <w14:solidFill>
              <w14:schemeClr w14:val="tx1"/>
            </w14:solidFill>
          </w14:textFill>
        </w:rPr>
        <w:t>法律变化引起的价格调整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286DE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"_Toc43475856"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17. </w:t>
      </w:r>
      <w:r>
        <w:rPr>
          <w:rStyle w:val="52"/>
          <w:rFonts w:hint="eastAsia" w:ascii="宋体" w:hAnsi="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A20EB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17.1 </w:t>
      </w:r>
      <w:r>
        <w:rPr>
          <w:rStyle w:val="52"/>
          <w:rFonts w:hint="eastAsia" w:ascii="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C4067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17.2 </w:t>
      </w:r>
      <w:r>
        <w:rPr>
          <w:rStyle w:val="52"/>
          <w:rFonts w:hint="eastAsia" w:ascii="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A3543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17.3 </w:t>
      </w:r>
      <w:r>
        <w:rPr>
          <w:rStyle w:val="52"/>
          <w:rFonts w:hint="eastAsia" w:ascii="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71FB7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17.4 </w:t>
      </w:r>
      <w:r>
        <w:rPr>
          <w:rStyle w:val="52"/>
          <w:rFonts w:hint="eastAsia" w:ascii="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D1AF6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17.5 </w:t>
      </w:r>
      <w:r>
        <w:rPr>
          <w:rStyle w:val="52"/>
          <w:rFonts w:hint="eastAsia" w:ascii="宋体"/>
          <w:color w:val="000000" w:themeColor="text1"/>
          <w:highlight w:val="none"/>
          <w14:textFill>
            <w14:solidFill>
              <w14:schemeClr w14:val="tx1"/>
            </w14:solidFill>
          </w14:textFill>
        </w:rPr>
        <w:t>竣工结算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A44FBE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17.6 </w:t>
      </w:r>
      <w:r>
        <w:rPr>
          <w:rStyle w:val="52"/>
          <w:rFonts w:hint="eastAsia" w:ascii="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94F1D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"_Toc43475863"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18. </w:t>
      </w:r>
      <w:r>
        <w:rPr>
          <w:rStyle w:val="52"/>
          <w:rFonts w:hint="eastAsia" w:ascii="宋体" w:hAnsi="宋体"/>
          <w:color w:val="000000" w:themeColor="text1"/>
          <w:highlight w:val="none"/>
          <w14:textFill>
            <w14:solidFill>
              <w14:schemeClr w14:val="tx1"/>
            </w14:solidFill>
          </w14:textFill>
        </w:rPr>
        <w:t>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828C8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18.1 </w:t>
      </w:r>
      <w:r>
        <w:rPr>
          <w:rStyle w:val="52"/>
          <w:rFonts w:hint="eastAsia" w:ascii="宋体"/>
          <w:color w:val="000000" w:themeColor="text1"/>
          <w:highlight w:val="none"/>
          <w14:textFill>
            <w14:solidFill>
              <w14:schemeClr w14:val="tx1"/>
            </w14:solidFill>
          </w14:textFill>
        </w:rPr>
        <w:t>竣工验收的含义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7B20F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18.2 </w:t>
      </w:r>
      <w:r>
        <w:rPr>
          <w:rStyle w:val="52"/>
          <w:rFonts w:hint="eastAsia" w:ascii="宋体"/>
          <w:color w:val="000000" w:themeColor="text1"/>
          <w:highlight w:val="none"/>
          <w14:textFill>
            <w14:solidFill>
              <w14:schemeClr w14:val="tx1"/>
            </w14:solidFill>
          </w14:textFill>
        </w:rPr>
        <w:t>竣工验收申请报告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1152B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18.3 </w:t>
      </w:r>
      <w:r>
        <w:rPr>
          <w:rStyle w:val="52"/>
          <w:rFonts w:hint="eastAsia" w:ascii="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94DAE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18.4 </w:t>
      </w:r>
      <w:r>
        <w:rPr>
          <w:rStyle w:val="52"/>
          <w:rFonts w:hint="eastAsia" w:ascii="宋体"/>
          <w:color w:val="000000" w:themeColor="text1"/>
          <w:highlight w:val="none"/>
          <w14:textFill>
            <w14:solidFill>
              <w14:schemeClr w14:val="tx1"/>
            </w14:solidFill>
          </w14:textFill>
        </w:rPr>
        <w:t>单位工程验收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59B1E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18.5 </w:t>
      </w:r>
      <w:r>
        <w:rPr>
          <w:rStyle w:val="52"/>
          <w:rFonts w:hint="eastAsia" w:ascii="宋体"/>
          <w:color w:val="000000" w:themeColor="text1"/>
          <w:highlight w:val="none"/>
          <w14:textFill>
            <w14:solidFill>
              <w14:schemeClr w14:val="tx1"/>
            </w14:solidFill>
          </w14:textFill>
        </w:rPr>
        <w:t>施工期运行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B52AE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18.6 </w:t>
      </w:r>
      <w:r>
        <w:rPr>
          <w:rStyle w:val="52"/>
          <w:rFonts w:hint="eastAsia" w:ascii="宋体"/>
          <w:color w:val="000000" w:themeColor="text1"/>
          <w:highlight w:val="none"/>
          <w14:textFill>
            <w14:solidFill>
              <w14:schemeClr w14:val="tx1"/>
            </w14:solidFill>
          </w14:textFill>
        </w:rPr>
        <w:t>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ECD42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18.7 </w:t>
      </w:r>
      <w:r>
        <w:rPr>
          <w:rStyle w:val="52"/>
          <w:rFonts w:hint="eastAsia" w:ascii="宋体"/>
          <w:color w:val="000000" w:themeColor="text1"/>
          <w:highlight w:val="none"/>
          <w14:textFill>
            <w14:solidFill>
              <w14:schemeClr w14:val="tx1"/>
            </w14:solidFill>
          </w14:textFill>
        </w:rPr>
        <w:t>竣工清场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1C5A1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18.8 </w:t>
      </w:r>
      <w:r>
        <w:rPr>
          <w:rStyle w:val="52"/>
          <w:rFonts w:hint="eastAsia" w:ascii="宋体"/>
          <w:color w:val="000000" w:themeColor="text1"/>
          <w:highlight w:val="none"/>
          <w14:textFill>
            <w14:solidFill>
              <w14:schemeClr w14:val="tx1"/>
            </w14:solidFill>
          </w14:textFill>
        </w:rPr>
        <w:t>施工队伍的撤离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FCAE8AC">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"_Toc43475872"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19. </w:t>
      </w:r>
      <w:r>
        <w:rPr>
          <w:rStyle w:val="52"/>
          <w:rFonts w:hint="eastAsia" w:ascii="宋体" w:hAnsi="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1951B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19.1 </w:t>
      </w:r>
      <w:r>
        <w:rPr>
          <w:rStyle w:val="52"/>
          <w:rFonts w:hint="eastAsia" w:ascii="宋体"/>
          <w:color w:val="000000" w:themeColor="text1"/>
          <w:highlight w:val="none"/>
          <w14:textFill>
            <w14:solidFill>
              <w14:schemeClr w14:val="tx1"/>
            </w14:solidFill>
          </w14:textFill>
        </w:rPr>
        <w:t>缺陷责任期的起算时间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93C14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19.2 </w:t>
      </w:r>
      <w:r>
        <w:rPr>
          <w:rStyle w:val="52"/>
          <w:rFonts w:hint="eastAsia" w:ascii="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AA772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19.3 </w:t>
      </w:r>
      <w:r>
        <w:rPr>
          <w:rStyle w:val="52"/>
          <w:rFonts w:hint="eastAsia" w:ascii="宋体"/>
          <w:color w:val="000000" w:themeColor="text1"/>
          <w:highlight w:val="none"/>
          <w14:textFill>
            <w14:solidFill>
              <w14:schemeClr w14:val="tx1"/>
            </w14:solidFill>
          </w14:textFill>
        </w:rPr>
        <w:t>缺陷责任期的延长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5A478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19.4 </w:t>
      </w:r>
      <w:r>
        <w:rPr>
          <w:rStyle w:val="52"/>
          <w:rFonts w:hint="eastAsia" w:ascii="宋体"/>
          <w:color w:val="000000" w:themeColor="text1"/>
          <w:highlight w:val="none"/>
          <w14:textFill>
            <w14:solidFill>
              <w14:schemeClr w14:val="tx1"/>
            </w14:solidFill>
          </w14:textFill>
        </w:rPr>
        <w:t>进一步试验和试运行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E0D27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19.5 </w:t>
      </w:r>
      <w:r>
        <w:rPr>
          <w:rStyle w:val="52"/>
          <w:rFonts w:hint="eastAsia" w:ascii="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E94FE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19.6 </w:t>
      </w:r>
      <w:r>
        <w:rPr>
          <w:rStyle w:val="52"/>
          <w:rFonts w:hint="eastAsia" w:ascii="宋体"/>
          <w:color w:val="000000" w:themeColor="text1"/>
          <w:highlight w:val="none"/>
          <w14:textFill>
            <w14:solidFill>
              <w14:schemeClr w14:val="tx1"/>
            </w14:solidFill>
          </w14:textFill>
        </w:rPr>
        <w:t>缺陷责任期终止证书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22A35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19.7 </w:t>
      </w:r>
      <w:r>
        <w:rPr>
          <w:rStyle w:val="52"/>
          <w:rFonts w:hint="eastAsia" w:ascii="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14299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20. </w:t>
      </w:r>
      <w:r>
        <w:rPr>
          <w:rStyle w:val="52"/>
          <w:rFonts w:hint="eastAsia" w:ascii="宋体" w:hAnsi="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5B58F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20.1 </w:t>
      </w:r>
      <w:r>
        <w:rPr>
          <w:rStyle w:val="52"/>
          <w:rFonts w:hint="eastAsia" w:ascii="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5BC11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20.2 </w:t>
      </w:r>
      <w:r>
        <w:rPr>
          <w:rStyle w:val="52"/>
          <w:rFonts w:hint="eastAsia" w:ascii="宋体"/>
          <w:color w:val="000000" w:themeColor="text1"/>
          <w:highlight w:val="none"/>
          <w14:textFill>
            <w14:solidFill>
              <w14:schemeClr w14:val="tx1"/>
            </w14:solidFill>
          </w14:textFill>
        </w:rPr>
        <w:t>人员工伤事故的保险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81629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20.3 </w:t>
      </w:r>
      <w:r>
        <w:rPr>
          <w:rStyle w:val="52"/>
          <w:rFonts w:hint="eastAsia" w:ascii="宋体"/>
          <w:color w:val="000000" w:themeColor="text1"/>
          <w:highlight w:val="none"/>
          <w14:textFill>
            <w14:solidFill>
              <w14:schemeClr w14:val="tx1"/>
            </w14:solidFill>
          </w14:textFill>
        </w:rPr>
        <w:t>人身意外伤害险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FBA96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20.4 </w:t>
      </w:r>
      <w:r>
        <w:rPr>
          <w:rStyle w:val="52"/>
          <w:rFonts w:hint="eastAsia" w:ascii="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05D10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20.5 </w:t>
      </w:r>
      <w:r>
        <w:rPr>
          <w:rStyle w:val="52"/>
          <w:rFonts w:hint="eastAsia" w:ascii="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6E98A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20.6 </w:t>
      </w:r>
      <w:r>
        <w:rPr>
          <w:rStyle w:val="52"/>
          <w:rFonts w:hint="eastAsia" w:ascii="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FD6AE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21. </w:t>
      </w:r>
      <w:r>
        <w:rPr>
          <w:rStyle w:val="52"/>
          <w:rFonts w:hint="eastAsia" w:ascii="宋体" w:hAnsi="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FF989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21.1 </w:t>
      </w:r>
      <w:r>
        <w:rPr>
          <w:rStyle w:val="52"/>
          <w:rFonts w:hint="eastAsia" w:ascii="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B9230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21.2 </w:t>
      </w:r>
      <w:r>
        <w:rPr>
          <w:rStyle w:val="52"/>
          <w:rFonts w:hint="eastAsia" w:ascii="宋体"/>
          <w:color w:val="000000" w:themeColor="text1"/>
          <w:highlight w:val="none"/>
          <w14:textFill>
            <w14:solidFill>
              <w14:schemeClr w14:val="tx1"/>
            </w14:solidFill>
          </w14:textFill>
        </w:rPr>
        <w:t>不可抗力的通知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799E35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21.3 </w:t>
      </w:r>
      <w:r>
        <w:rPr>
          <w:rStyle w:val="52"/>
          <w:rFonts w:hint="eastAsia" w:ascii="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9168D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"_Toc43475891"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22. </w:t>
      </w:r>
      <w:r>
        <w:rPr>
          <w:rStyle w:val="52"/>
          <w:rFonts w:hint="eastAsia" w:ascii="宋体" w:hAnsi="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9138E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22.1 </w:t>
      </w:r>
      <w:r>
        <w:rPr>
          <w:rStyle w:val="52"/>
          <w:rFonts w:hint="eastAsia" w:ascii="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1852B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22.2 </w:t>
      </w:r>
      <w:r>
        <w:rPr>
          <w:rStyle w:val="52"/>
          <w:rFonts w:hint="eastAsia" w:ascii="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D500B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22.3 </w:t>
      </w:r>
      <w:r>
        <w:rPr>
          <w:rStyle w:val="52"/>
          <w:rFonts w:hint="eastAsia" w:ascii="宋体"/>
          <w:color w:val="000000" w:themeColor="text1"/>
          <w:highlight w:val="none"/>
          <w14:textFill>
            <w14:solidFill>
              <w14:schemeClr w14:val="tx1"/>
            </w14:solidFill>
          </w14:textFill>
        </w:rPr>
        <w:t>第三人造成的违约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80330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"_Toc43475895"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23. </w:t>
      </w:r>
      <w:r>
        <w:rPr>
          <w:rStyle w:val="52"/>
          <w:rFonts w:hint="eastAsia" w:ascii="宋体" w:hAnsi="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3DEB4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23.1 </w:t>
      </w:r>
      <w:r>
        <w:rPr>
          <w:rStyle w:val="52"/>
          <w:rFonts w:hint="eastAsia" w:ascii="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11398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23.2 </w:t>
      </w:r>
      <w:r>
        <w:rPr>
          <w:rStyle w:val="52"/>
          <w:rFonts w:hint="eastAsia" w:ascii="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B7DB8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23.3 </w:t>
      </w:r>
      <w:r>
        <w:rPr>
          <w:rStyle w:val="52"/>
          <w:rFonts w:hint="eastAsia" w:ascii="宋体"/>
          <w:color w:val="000000" w:themeColor="text1"/>
          <w:highlight w:val="none"/>
          <w14:textFill>
            <w14:solidFill>
              <w14:schemeClr w14:val="tx1"/>
            </w14:solidFill>
          </w14:textFill>
        </w:rPr>
        <w:t>承包人提出索赔的期限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21121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23.4 </w:t>
      </w:r>
      <w:r>
        <w:rPr>
          <w:rStyle w:val="52"/>
          <w:rFonts w:hint="eastAsia" w:ascii="宋体"/>
          <w:color w:val="000000" w:themeColor="text1"/>
          <w:highlight w:val="none"/>
          <w14:textFill>
            <w14:solidFill>
              <w14:schemeClr w14:val="tx1"/>
            </w14:solidFill>
          </w14:textFill>
        </w:rPr>
        <w:t>发包人的索赔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BD855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24. </w:t>
      </w:r>
      <w:r>
        <w:rPr>
          <w:rStyle w:val="52"/>
          <w:rFonts w:hint="eastAsia" w:ascii="宋体" w:hAnsi="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7215C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24.1 </w:t>
      </w:r>
      <w:r>
        <w:rPr>
          <w:rStyle w:val="52"/>
          <w:rFonts w:hint="eastAsia" w:ascii="宋体"/>
          <w:color w:val="000000" w:themeColor="text1"/>
          <w:highlight w:val="none"/>
          <w14:textFill>
            <w14:solidFill>
              <w14:schemeClr w14:val="tx1"/>
            </w14:solidFill>
          </w14:textFill>
        </w:rPr>
        <w:t>争议的解决方式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4B4F9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24.2 </w:t>
      </w:r>
      <w:r>
        <w:rPr>
          <w:rStyle w:val="52"/>
          <w:rFonts w:hint="eastAsia" w:ascii="宋体"/>
          <w:color w:val="000000" w:themeColor="text1"/>
          <w:highlight w:val="none"/>
          <w14:textFill>
            <w14:solidFill>
              <w14:schemeClr w14:val="tx1"/>
            </w14:solidFill>
          </w14:textFill>
        </w:rPr>
        <w:t>友好解决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B8F1F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24.3 </w:t>
      </w:r>
      <w:r>
        <w:rPr>
          <w:rStyle w:val="52"/>
          <w:rFonts w:hint="eastAsia" w:ascii="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38A25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"_Toc43475904"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第二节专用合同条款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E001B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28FB2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49323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1.4</w:t>
      </w:r>
      <w:r>
        <w:rPr>
          <w:rStyle w:val="52"/>
          <w:rFonts w:hint="eastAsia" w:ascii="宋体" w:hAnsi="宋体" w:cs="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E17EE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47F41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1.6</w:t>
      </w:r>
      <w:r>
        <w:rPr>
          <w:rStyle w:val="52"/>
          <w:rFonts w:hint="eastAsia" w:ascii="宋体" w:hAnsi="宋体" w:cs="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EE36E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w:t>
      </w:r>
      <w:r>
        <w:rPr>
          <w:rStyle w:val="52"/>
          <w:rFonts w:hint="eastAsia" w:ascii="宋体" w:hAnsi="宋体" w:cs="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8B9A8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w:t>
      </w:r>
      <w:r>
        <w:rPr>
          <w:rStyle w:val="52"/>
          <w:rFonts w:hint="eastAsia" w:ascii="宋体" w:hAnsi="宋体" w:cs="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E57E6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w:t>
      </w:r>
      <w:r>
        <w:rPr>
          <w:rStyle w:val="52"/>
          <w:rFonts w:hint="eastAsia" w:ascii="宋体" w:hAnsi="宋体" w:cs="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2AEED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w:t>
      </w:r>
      <w:r>
        <w:rPr>
          <w:rStyle w:val="52"/>
          <w:rFonts w:hint="eastAsia" w:ascii="宋体" w:hAnsi="宋体" w:cs="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0DE08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3.1</w:t>
      </w:r>
      <w:r>
        <w:rPr>
          <w:rStyle w:val="52"/>
          <w:rFonts w:hint="eastAsia" w:ascii="宋体" w:hAnsi="宋体" w:cs="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23042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3.5</w:t>
      </w:r>
      <w:r>
        <w:rPr>
          <w:rStyle w:val="52"/>
          <w:rFonts w:hint="eastAsia" w:ascii="宋体" w:hAnsi="宋体" w:cs="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A064E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9F9C4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w:t>
      </w:r>
      <w:r>
        <w:rPr>
          <w:rStyle w:val="52"/>
          <w:rFonts w:hint="eastAsia" w:ascii="宋体" w:hAnsi="宋体" w:cs="宋体"/>
          <w:color w:val="000000" w:themeColor="text1"/>
          <w:highlight w:val="none"/>
          <w14:textFill>
            <w14:solidFill>
              <w14:schemeClr w14:val="tx1"/>
            </w14:solidFill>
          </w14:textFill>
        </w:rPr>
        <w:t>承包工的一般义务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2BAA56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4.2</w:t>
      </w:r>
      <w:r>
        <w:rPr>
          <w:rStyle w:val="52"/>
          <w:rFonts w:hint="eastAsia" w:ascii="宋体" w:hAnsi="宋体" w:cs="宋体"/>
          <w:color w:val="000000" w:themeColor="text1"/>
          <w:highlight w:val="none"/>
          <w:lang w:val="zh-CN"/>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A2DB68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4.3 </w:t>
      </w:r>
      <w:r>
        <w:rPr>
          <w:rStyle w:val="52"/>
          <w:rFonts w:hint="eastAsia" w:ascii="宋体" w:hAnsi="宋体" w:cs="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D3984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4.4</w:t>
      </w:r>
      <w:r>
        <w:rPr>
          <w:rStyle w:val="52"/>
          <w:rFonts w:hint="eastAsia" w:ascii="宋体" w:hAnsi="宋体" w:cs="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F321C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4.6</w:t>
      </w:r>
      <w:r>
        <w:rPr>
          <w:rStyle w:val="52"/>
          <w:rFonts w:hint="eastAsia" w:ascii="宋体" w:hAnsi="宋体" w:cs="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59609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4.7</w:t>
      </w:r>
      <w:r>
        <w:rPr>
          <w:rStyle w:val="52"/>
          <w:rFonts w:hint="eastAsia" w:ascii="宋体" w:hAnsi="宋体" w:cs="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F749F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4.9</w:t>
      </w:r>
      <w:r>
        <w:rPr>
          <w:rStyle w:val="52"/>
          <w:rFonts w:hint="eastAsia" w:ascii="宋体" w:hAnsi="宋体" w:cs="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D1ACC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4.10</w:t>
      </w:r>
      <w:r>
        <w:rPr>
          <w:rStyle w:val="52"/>
          <w:rFonts w:hint="eastAsia" w:ascii="宋体" w:hAnsi="宋体" w:cs="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2DC174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4.11</w:t>
      </w:r>
      <w:r>
        <w:rPr>
          <w:rStyle w:val="52"/>
          <w:rFonts w:hint="eastAsia" w:ascii="宋体" w:hAnsi="宋体" w:cs="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D4365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4.12</w:t>
      </w:r>
      <w:r>
        <w:rPr>
          <w:rStyle w:val="52"/>
          <w:rFonts w:hint="eastAsia" w:ascii="宋体" w:hAnsi="宋体" w:cs="宋体"/>
          <w:color w:val="000000" w:themeColor="text1"/>
          <w:highlight w:val="none"/>
          <w14:textFill>
            <w14:solidFill>
              <w14:schemeClr w14:val="tx1"/>
            </w14:solidFill>
          </w14:textFill>
        </w:rPr>
        <w:t>投标文件的完备性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E61DE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4.13</w:t>
      </w:r>
      <w:r>
        <w:rPr>
          <w:rStyle w:val="52"/>
          <w:rFonts w:hint="eastAsia" w:ascii="宋体" w:hAnsi="宋体" w:cs="宋体"/>
          <w:color w:val="000000" w:themeColor="text1"/>
          <w:highlight w:val="none"/>
          <w:lang w:val="zh-CN"/>
          <w14:textFill>
            <w14:solidFill>
              <w14:schemeClr w14:val="tx1"/>
            </w14:solidFill>
          </w14:textFill>
        </w:rPr>
        <w:t>开展党建工作要求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DC054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5</w:t>
      </w:r>
      <w:r>
        <w:rPr>
          <w:rStyle w:val="52"/>
          <w:rFonts w:hint="eastAsia" w:ascii="宋体" w:hAnsi="宋体" w:cs="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AA6F8B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5.2</w:t>
      </w:r>
      <w:r>
        <w:rPr>
          <w:rStyle w:val="52"/>
          <w:rFonts w:hint="eastAsia" w:ascii="宋体" w:hAnsi="宋体" w:cs="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E15F2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w:t>
      </w:r>
      <w:r>
        <w:rPr>
          <w:rStyle w:val="52"/>
          <w:rFonts w:hint="eastAsia" w:ascii="宋体" w:hAnsi="宋体" w:cs="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B1595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6.2</w:t>
      </w:r>
      <w:r>
        <w:rPr>
          <w:rStyle w:val="52"/>
          <w:rFonts w:hint="eastAsia" w:ascii="宋体" w:hAnsi="宋体" w:cs="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79788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6.3</w:t>
      </w:r>
      <w:r>
        <w:rPr>
          <w:rStyle w:val="52"/>
          <w:rFonts w:hint="eastAsia" w:ascii="宋体" w:hAnsi="宋体" w:cs="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C5EAE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w:t>
      </w:r>
      <w:r>
        <w:rPr>
          <w:rStyle w:val="52"/>
          <w:rFonts w:hint="eastAsia" w:ascii="宋体" w:hAnsi="宋体" w:cs="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A146E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7.1</w:t>
      </w:r>
      <w:r>
        <w:rPr>
          <w:rStyle w:val="52"/>
          <w:rFonts w:hint="eastAsia" w:ascii="宋体" w:hAnsi="宋体" w:cs="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50094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w:t>
      </w:r>
      <w:r>
        <w:rPr>
          <w:rStyle w:val="52"/>
          <w:rFonts w:hint="eastAsia" w:ascii="宋体" w:hAnsi="宋体" w:cs="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E65C1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8.4</w:t>
      </w:r>
      <w:r>
        <w:rPr>
          <w:rStyle w:val="52"/>
          <w:rFonts w:hint="eastAsia" w:ascii="宋体" w:hAnsi="宋体" w:cs="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1584B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ascii="宋体" w:hAnsi="宋体" w:cs="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5B8B1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2</w:t>
      </w:r>
      <w:r>
        <w:rPr>
          <w:rStyle w:val="52"/>
          <w:rFonts w:hint="eastAsia" w:ascii="宋体" w:hAnsi="宋体" w:cs="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481C0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BE4C2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w:t>
      </w:r>
      <w:r>
        <w:rPr>
          <w:rStyle w:val="52"/>
          <w:rFonts w:hint="eastAsia" w:ascii="宋体" w:hAnsi="宋体" w:cs="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1CB2B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10.1</w:t>
      </w:r>
      <w:r>
        <w:rPr>
          <w:rStyle w:val="52"/>
          <w:rFonts w:hint="eastAsia" w:ascii="宋体" w:hAnsi="宋体" w:cs="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D1804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10.2</w:t>
      </w:r>
      <w:r>
        <w:rPr>
          <w:rStyle w:val="52"/>
          <w:rFonts w:hint="eastAsia" w:ascii="宋体" w:hAnsi="宋体" w:cs="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CA419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10.3</w:t>
      </w:r>
      <w:r>
        <w:rPr>
          <w:rStyle w:val="52"/>
          <w:rFonts w:hint="eastAsia" w:ascii="宋体" w:hAnsi="宋体" w:cs="宋体"/>
          <w:color w:val="000000" w:themeColor="text1"/>
          <w:highlight w:val="none"/>
          <w14:textFill>
            <w14:solidFill>
              <w14:schemeClr w14:val="tx1"/>
            </w14:solidFill>
          </w14:textFill>
        </w:rPr>
        <w:t>年度施工计划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DFB9A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10.4</w:t>
      </w:r>
      <w:r>
        <w:rPr>
          <w:rStyle w:val="52"/>
          <w:rFonts w:hint="eastAsia" w:ascii="宋体" w:hAnsi="宋体" w:cs="宋体"/>
          <w:color w:val="000000" w:themeColor="text1"/>
          <w:highlight w:val="none"/>
          <w14:textFill>
            <w14:solidFill>
              <w14:schemeClr w14:val="tx1"/>
            </w14:solidFill>
          </w14:textFill>
        </w:rPr>
        <w:t>合同用款计划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3758B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.开工和交工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CE561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11.1</w:t>
      </w:r>
      <w:r>
        <w:rPr>
          <w:rStyle w:val="52"/>
          <w:rFonts w:hint="eastAsia" w:ascii="宋体" w:hAnsi="宋体" w:cs="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58EE8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11.3</w:t>
      </w:r>
      <w:r>
        <w:rPr>
          <w:rStyle w:val="52"/>
          <w:rFonts w:hint="eastAsia" w:ascii="宋体" w:hAnsi="宋体" w:cs="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A07A6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11.4</w:t>
      </w:r>
      <w:r>
        <w:rPr>
          <w:rStyle w:val="52"/>
          <w:rFonts w:hint="eastAsia" w:ascii="宋体" w:hAnsi="宋体" w:cs="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928BB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11.5</w:t>
      </w:r>
      <w:r>
        <w:rPr>
          <w:rStyle w:val="52"/>
          <w:rFonts w:hint="eastAsia" w:ascii="宋体" w:hAnsi="宋体" w:cs="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3862E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6</w:t>
      </w:r>
      <w:r>
        <w:rPr>
          <w:rStyle w:val="52"/>
          <w:rFonts w:hint="eastAsia" w:ascii="宋体" w:hAnsi="宋体" w:cs="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D3CD9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7</w:t>
      </w:r>
      <w:r>
        <w:rPr>
          <w:rStyle w:val="52"/>
          <w:rFonts w:hint="eastAsia" w:ascii="宋体" w:hAnsi="宋体" w:cs="宋体"/>
          <w:color w:val="000000" w:themeColor="text1"/>
          <w:highlight w:val="none"/>
          <w14:textFill>
            <w14:solidFill>
              <w14:schemeClr w14:val="tx1"/>
            </w14:solidFill>
          </w14:textFill>
        </w:rPr>
        <w:t>工作时间的限制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E2733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12</w:t>
      </w:r>
      <w:r>
        <w:rPr>
          <w:rStyle w:val="52"/>
          <w:rFonts w:hint="eastAsia" w:ascii="宋体" w:hAnsi="宋体" w:cs="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ECEFA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12</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50A530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1BEF2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5D9F56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2</w:t>
      </w:r>
      <w:r>
        <w:rPr>
          <w:rStyle w:val="52"/>
          <w:rFonts w:hint="eastAsia" w:ascii="宋体" w:hAnsi="宋体" w:cs="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952D2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66FD1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5</w:t>
      </w:r>
      <w:r>
        <w:rPr>
          <w:rStyle w:val="52"/>
          <w:rFonts w:hint="eastAsia" w:ascii="宋体" w:hAnsi="宋体" w:cs="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4402E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6</w:t>
      </w:r>
      <w:r>
        <w:rPr>
          <w:rStyle w:val="52"/>
          <w:rFonts w:hint="eastAsia" w:ascii="宋体" w:hAnsi="宋体" w:cs="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8CB39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14</w:t>
      </w:r>
      <w:r>
        <w:rPr>
          <w:rStyle w:val="52"/>
          <w:rFonts w:hint="eastAsia" w:ascii="宋体" w:hAnsi="宋体" w:cs="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9E32B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14</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试验和检验费用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A4A21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6C748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0DD8D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3</w:t>
      </w:r>
      <w:r>
        <w:rPr>
          <w:rStyle w:val="52"/>
          <w:rFonts w:hint="eastAsia" w:ascii="宋体" w:hAnsi="宋体" w:cs="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23D12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C0161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15.5</w:t>
      </w:r>
      <w:r>
        <w:rPr>
          <w:rStyle w:val="52"/>
          <w:rFonts w:hint="eastAsia" w:ascii="宋体" w:hAnsi="宋体" w:cs="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27363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15.6</w:t>
      </w:r>
      <w:r>
        <w:rPr>
          <w:rStyle w:val="52"/>
          <w:rFonts w:hint="eastAsia" w:ascii="宋体" w:hAnsi="宋体" w:cs="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B1150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16.</w:t>
      </w:r>
      <w:r>
        <w:rPr>
          <w:rStyle w:val="52"/>
          <w:rFonts w:hint="eastAsia" w:ascii="宋体" w:hAnsi="宋体" w:cs="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2558A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16.1</w:t>
      </w:r>
      <w:r>
        <w:rPr>
          <w:rStyle w:val="52"/>
          <w:rFonts w:hint="eastAsia" w:ascii="宋体" w:hAnsi="宋体" w:cs="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45974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w:t>
      </w:r>
      <w:r>
        <w:rPr>
          <w:rStyle w:val="52"/>
          <w:rFonts w:hint="eastAsia" w:ascii="宋体" w:hAnsi="宋体" w:cs="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BE3FF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17.1</w:t>
      </w:r>
      <w:r>
        <w:rPr>
          <w:rStyle w:val="52"/>
          <w:rFonts w:hint="eastAsia" w:ascii="宋体" w:hAnsi="宋体" w:cs="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D7D7E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17.2</w:t>
      </w:r>
      <w:r>
        <w:rPr>
          <w:rStyle w:val="52"/>
          <w:rFonts w:hint="eastAsia" w:ascii="宋体" w:hAnsi="宋体" w:cs="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C7F49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17.3</w:t>
      </w:r>
      <w:r>
        <w:rPr>
          <w:rStyle w:val="52"/>
          <w:rFonts w:hint="eastAsia" w:ascii="宋体" w:hAnsi="宋体" w:cs="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45B10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17.4</w:t>
      </w:r>
      <w:r>
        <w:rPr>
          <w:rStyle w:val="52"/>
          <w:rFonts w:hint="eastAsia" w:ascii="宋体" w:hAnsi="宋体" w:cs="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EA63F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17.5</w:t>
      </w:r>
      <w:r>
        <w:rPr>
          <w:rStyle w:val="52"/>
          <w:rFonts w:hint="eastAsia" w:ascii="宋体" w:hAnsi="宋体" w:cs="宋体"/>
          <w:color w:val="000000" w:themeColor="text1"/>
          <w:highlight w:val="none"/>
          <w14:textFill>
            <w14:solidFill>
              <w14:schemeClr w14:val="tx1"/>
            </w14:solidFill>
          </w14:textFill>
        </w:rPr>
        <w:t>交工结算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48E8F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17.6</w:t>
      </w:r>
      <w:r>
        <w:rPr>
          <w:rStyle w:val="52"/>
          <w:rFonts w:hint="eastAsia" w:ascii="宋体" w:hAnsi="宋体" w:cs="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518CF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18</w:t>
      </w:r>
      <w:r>
        <w:rPr>
          <w:rStyle w:val="52"/>
          <w:rFonts w:hint="eastAsia" w:ascii="宋体" w:hAnsi="宋体" w:cs="宋体"/>
          <w:color w:val="000000" w:themeColor="text1"/>
          <w:highlight w:val="none"/>
          <w14:textFill>
            <w14:solidFill>
              <w14:schemeClr w14:val="tx1"/>
            </w14:solidFill>
          </w14:textFill>
        </w:rPr>
        <w:t>.交工验收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9064B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18.2</w:t>
      </w:r>
      <w:r>
        <w:rPr>
          <w:rStyle w:val="52"/>
          <w:rFonts w:hint="eastAsia" w:ascii="宋体" w:hAnsi="宋体" w:cs="宋体"/>
          <w:color w:val="000000" w:themeColor="text1"/>
          <w:highlight w:val="none"/>
          <w14:textFill>
            <w14:solidFill>
              <w14:schemeClr w14:val="tx1"/>
            </w14:solidFill>
          </w14:textFill>
        </w:rPr>
        <w:t>交工验收申请报告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15029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18.3 </w:t>
      </w:r>
      <w:r>
        <w:rPr>
          <w:rStyle w:val="52"/>
          <w:rFonts w:hint="eastAsia" w:ascii="宋体" w:hAnsi="宋体" w:cs="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782DE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18.9</w:t>
      </w:r>
      <w:r>
        <w:rPr>
          <w:rStyle w:val="52"/>
          <w:rFonts w:hint="eastAsia" w:ascii="宋体" w:hAnsi="宋体" w:cs="宋体"/>
          <w:color w:val="000000" w:themeColor="text1"/>
          <w:highlight w:val="none"/>
          <w14:textFill>
            <w14:solidFill>
              <w14:schemeClr w14:val="tx1"/>
            </w14:solidFill>
          </w14:textFill>
        </w:rPr>
        <w:t>竣工文件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459CE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w:t>
      </w:r>
      <w:r>
        <w:rPr>
          <w:rStyle w:val="52"/>
          <w:rFonts w:hint="eastAsia" w:ascii="宋体" w:hAnsi="宋体" w:cs="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4389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19.2</w:t>
      </w:r>
      <w:r>
        <w:rPr>
          <w:rStyle w:val="52"/>
          <w:rFonts w:hint="eastAsia" w:ascii="宋体" w:hAnsi="宋体" w:cs="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5B3FD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19.5</w:t>
      </w:r>
      <w:r>
        <w:rPr>
          <w:rStyle w:val="52"/>
          <w:rFonts w:hint="eastAsia" w:ascii="宋体" w:hAnsi="宋体" w:cs="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C13F6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19.7</w:t>
      </w:r>
      <w:r>
        <w:rPr>
          <w:rStyle w:val="52"/>
          <w:rFonts w:hint="eastAsia" w:ascii="宋体" w:hAnsi="宋体" w:cs="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349CF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w:t>
      </w:r>
      <w:r>
        <w:rPr>
          <w:rStyle w:val="52"/>
          <w:rFonts w:hint="eastAsia" w:ascii="宋体" w:hAnsi="宋体" w:cs="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88151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20.1</w:t>
      </w:r>
      <w:r>
        <w:rPr>
          <w:rStyle w:val="52"/>
          <w:rFonts w:hint="eastAsia" w:ascii="宋体" w:hAnsi="宋体" w:cs="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B2EFE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20.4</w:t>
      </w:r>
      <w:r>
        <w:rPr>
          <w:rStyle w:val="52"/>
          <w:rFonts w:hint="eastAsia" w:ascii="宋体" w:hAnsi="宋体" w:cs="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98447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20.5</w:t>
      </w:r>
      <w:r>
        <w:rPr>
          <w:rStyle w:val="52"/>
          <w:rFonts w:hint="eastAsia" w:ascii="宋体" w:hAnsi="宋体" w:cs="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3B535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20.6</w:t>
      </w:r>
      <w:r>
        <w:rPr>
          <w:rStyle w:val="52"/>
          <w:rFonts w:hint="eastAsia" w:ascii="宋体" w:hAnsi="宋体" w:cs="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45EC2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21</w:t>
      </w:r>
      <w:r>
        <w:rPr>
          <w:rStyle w:val="52"/>
          <w:rFonts w:hint="eastAsia" w:ascii="宋体" w:hAnsi="宋体" w:cs="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564C1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21.1</w:t>
      </w:r>
      <w:r>
        <w:rPr>
          <w:rStyle w:val="52"/>
          <w:rFonts w:hint="eastAsia" w:ascii="宋体" w:hAnsi="宋体" w:cs="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BA772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21.3</w:t>
      </w:r>
      <w:r>
        <w:rPr>
          <w:rStyle w:val="52"/>
          <w:rFonts w:hint="eastAsia" w:ascii="宋体" w:hAnsi="宋体" w:cs="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359ED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22</w:t>
      </w:r>
      <w:r>
        <w:rPr>
          <w:rStyle w:val="52"/>
          <w:rFonts w:hint="eastAsia" w:ascii="宋体" w:hAnsi="宋体" w:cs="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59779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22.1</w:t>
      </w:r>
      <w:r>
        <w:rPr>
          <w:rStyle w:val="52"/>
          <w:rFonts w:hint="eastAsia" w:ascii="宋体" w:hAnsi="宋体" w:cs="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FA99E2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22.2</w:t>
      </w:r>
      <w:r>
        <w:rPr>
          <w:rStyle w:val="52"/>
          <w:rFonts w:hint="eastAsia" w:ascii="宋体" w:hAnsi="宋体" w:cs="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A8643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w:t>
      </w:r>
      <w:r>
        <w:rPr>
          <w:rStyle w:val="52"/>
          <w:rFonts w:hint="eastAsia" w:ascii="宋体" w:hAnsi="宋体" w:cs="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08521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23.1</w:t>
      </w:r>
      <w:r>
        <w:rPr>
          <w:rStyle w:val="52"/>
          <w:rFonts w:hint="eastAsia" w:ascii="宋体" w:hAnsi="宋体" w:cs="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78C243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23.2</w:t>
      </w:r>
      <w:r>
        <w:rPr>
          <w:rStyle w:val="52"/>
          <w:rFonts w:hint="eastAsia" w:ascii="宋体" w:hAnsi="宋体" w:cs="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849C5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w:t>
      </w:r>
      <w:r>
        <w:rPr>
          <w:rStyle w:val="52"/>
          <w:rFonts w:hint="eastAsia" w:ascii="宋体" w:hAnsi="宋体" w:cs="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F2CAA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24.3</w:t>
      </w:r>
      <w:r>
        <w:rPr>
          <w:rStyle w:val="52"/>
          <w:rFonts w:hint="eastAsia" w:ascii="宋体" w:hAnsi="宋体" w:cs="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13DB5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24.4</w:t>
      </w:r>
      <w:r>
        <w:rPr>
          <w:rStyle w:val="52"/>
          <w:rFonts w:hint="eastAsia" w:ascii="宋体" w:hAnsi="宋体" w:cs="宋体"/>
          <w:color w:val="000000" w:themeColor="text1"/>
          <w:highlight w:val="none"/>
          <w14:textFill>
            <w14:solidFill>
              <w14:schemeClr w14:val="tx1"/>
            </w14:solidFill>
          </w14:textFill>
        </w:rPr>
        <w:t>仲裁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28869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24.5</w:t>
      </w:r>
      <w:r>
        <w:rPr>
          <w:rStyle w:val="52"/>
          <w:rFonts w:hint="eastAsia" w:ascii="宋体" w:hAnsi="宋体" w:cs="宋体"/>
          <w:color w:val="000000" w:themeColor="text1"/>
          <w:highlight w:val="none"/>
          <w14:textFill>
            <w14:solidFill>
              <w14:schemeClr w14:val="tx1"/>
            </w14:solidFill>
          </w14:textFill>
        </w:rPr>
        <w:t>仲裁的执行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44C2B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"_Toc43476003"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B.</w:t>
      </w:r>
      <w:r>
        <w:rPr>
          <w:rStyle w:val="52"/>
          <w:rFonts w:hint="eastAsia"/>
          <w:color w:val="000000" w:themeColor="text1"/>
          <w:highlight w:val="none"/>
          <w14:textFill>
            <w14:solidFill>
              <w14:schemeClr w14:val="tx1"/>
            </w14:solidFill>
          </w14:textFill>
        </w:rPr>
        <w:t>项目专用合同条款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5C409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"_Toc43476004"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项目专用条款数据表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7F70F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"_Toc43476005"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第三节合同附件格式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4734B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"_Toc43476006"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附件一合同协议书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34517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"_Toc43476007"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附件二廉政合同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5EDD4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"_Toc43476008"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附件三安全生产合同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5D2E1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"_Toc43476009"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附件四其他管理人员和技术人员最低要求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0DA761">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"_Toc43476010"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附件五主要设备最低要求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F5D573">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附件六项目经理委托书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ECF0E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"_Toc43476013"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附件七履约担保格式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6C9DE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"_Toc43476014"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附件八工程资金监管协议格式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CBA0B3">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"_Toc43476015"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附件九 特殊材料设备供应一览表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632B6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"_Toc43476016"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附件十 统一采购供应材料一览表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E850B8">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"_Toc43476017"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附件十一承包人违约金一览表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00</w:t>
      </w:r>
    </w:p>
    <w:p w14:paraId="1E03E068">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"_Toc43476018"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附件十二工程质量、安全及文明施工处罚项目一览表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F69E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"_Toc43476019"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附件十三建设工程农民工工资支付保证书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11B178">
      <w:pPr>
        <w:pStyle w:val="31"/>
        <w:tabs>
          <w:tab w:val="right" w:leader="dot" w:pos="10200"/>
        </w:tabs>
        <w:spacing w:line="250" w:lineRule="exact"/>
        <w:ind w:firstLine="360" w:firstLineChars="200"/>
        <w:rPr>
          <w:rStyle w:val="52"/>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2"/>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附件十四工程结算协议</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212</w:t>
      </w:r>
    </w:p>
    <w:p w14:paraId="44596131">
      <w:pPr>
        <w:pStyle w:val="31"/>
        <w:tabs>
          <w:tab w:val="right" w:leader="dot" w:pos="10200"/>
        </w:tabs>
        <w:spacing w:line="250" w:lineRule="exact"/>
        <w:ind w:firstLine="360" w:firstLineChars="200"/>
        <w:rPr>
          <w:rStyle w:val="52"/>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2"/>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附件十五分包合同</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214</w:t>
      </w:r>
    </w:p>
    <w:p w14:paraId="07E86D11">
      <w:pPr>
        <w:pStyle w:val="31"/>
        <w:tabs>
          <w:tab w:val="right" w:leader="dot" w:pos="10200"/>
        </w:tabs>
        <w:spacing w:line="250" w:lineRule="exact"/>
        <w:ind w:firstLine="360" w:firstLineChars="200"/>
        <w:rPr>
          <w:rStyle w:val="52"/>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2"/>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附件十六施工劳务合作协议</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228</w:t>
      </w:r>
    </w:p>
    <w:p w14:paraId="4FEFFC7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"_Toc43476023"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第五章工程量清单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42C5C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"_Toc43476024"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工程量清单（另册）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5B289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"_Toc43476025"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ED6EB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"_Toc43476026"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第六章图纸（另册）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96577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"_Toc43476027"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E679D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"_Toc43476028"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第七章技术规范（自行收集）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50DB9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"_Toc43476029"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第八章工程量清单计量规则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0D8D8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"_Toc43476030"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第四卷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96C9B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"_Toc43476031"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第九章投标文件格式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9E146D">
      <w:pPr>
        <w:spacing w:line="250" w:lineRule="exact"/>
        <w:ind w:firstLine="1058" w:firstLineChars="504"/>
        <w:rPr>
          <w:rFonts w:ascii="宋体" w:hAnsi="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end"/>
      </w:r>
    </w:p>
    <w:p w14:paraId="77089119">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32"/>
          <w:szCs w:val="32"/>
          <w:highlight w:val="none"/>
          <w:u w:val="single"/>
          <w14:textFill>
            <w14:solidFill>
              <w14:schemeClr w14:val="tx1"/>
            </w14:solidFill>
          </w14:textFill>
        </w:rPr>
        <w:br w:type="page"/>
      </w:r>
    </w:p>
    <w:p w14:paraId="1F42EC53">
      <w:pPr>
        <w:jc w:val="center"/>
        <w:rPr>
          <w:rFonts w:ascii="宋体" w:hAnsi="宋体"/>
          <w:color w:val="000000" w:themeColor="text1"/>
          <w:sz w:val="72"/>
          <w:szCs w:val="72"/>
          <w:highlight w:val="none"/>
          <w:u w:val="single"/>
          <w14:textFill>
            <w14:solidFill>
              <w14:schemeClr w14:val="tx1"/>
            </w14:solidFill>
          </w14:textFill>
        </w:rPr>
      </w:pPr>
    </w:p>
    <w:p w14:paraId="4CB326A3">
      <w:pPr>
        <w:jc w:val="center"/>
        <w:rPr>
          <w:rFonts w:ascii="宋体" w:hAnsi="宋体"/>
          <w:color w:val="000000" w:themeColor="text1"/>
          <w:sz w:val="72"/>
          <w:szCs w:val="72"/>
          <w:highlight w:val="none"/>
          <w:u w:val="single"/>
          <w14:textFill>
            <w14:solidFill>
              <w14:schemeClr w14:val="tx1"/>
            </w14:solidFill>
          </w14:textFill>
        </w:rPr>
      </w:pPr>
    </w:p>
    <w:p w14:paraId="59023AEA">
      <w:pPr>
        <w:jc w:val="center"/>
        <w:rPr>
          <w:rFonts w:ascii="宋体" w:hAnsi="宋体"/>
          <w:color w:val="000000" w:themeColor="text1"/>
          <w:sz w:val="72"/>
          <w:szCs w:val="72"/>
          <w:highlight w:val="none"/>
          <w:u w:val="single"/>
          <w14:textFill>
            <w14:solidFill>
              <w14:schemeClr w14:val="tx1"/>
            </w14:solidFill>
          </w14:textFill>
        </w:rPr>
      </w:pPr>
    </w:p>
    <w:p w14:paraId="42657841">
      <w:pPr>
        <w:jc w:val="center"/>
        <w:rPr>
          <w:rFonts w:ascii="宋体" w:hAnsi="宋体"/>
          <w:color w:val="000000" w:themeColor="text1"/>
          <w:sz w:val="72"/>
          <w:szCs w:val="72"/>
          <w:highlight w:val="none"/>
          <w:u w:val="single"/>
          <w14:textFill>
            <w14:solidFill>
              <w14:schemeClr w14:val="tx1"/>
            </w14:solidFill>
          </w14:textFill>
        </w:rPr>
      </w:pPr>
    </w:p>
    <w:p w14:paraId="5237ED36">
      <w:pPr>
        <w:jc w:val="center"/>
        <w:rPr>
          <w:rFonts w:ascii="宋体" w:hAnsi="宋体"/>
          <w:color w:val="000000" w:themeColor="text1"/>
          <w:sz w:val="72"/>
          <w:szCs w:val="72"/>
          <w:highlight w:val="none"/>
          <w:u w:val="single"/>
          <w14:textFill>
            <w14:solidFill>
              <w14:schemeClr w14:val="tx1"/>
            </w14:solidFill>
          </w14:textFill>
        </w:rPr>
      </w:pPr>
    </w:p>
    <w:p w14:paraId="36DE5EFD">
      <w:pPr>
        <w:jc w:val="center"/>
        <w:rPr>
          <w:rFonts w:ascii="宋体" w:hAnsi="宋体"/>
          <w:color w:val="000000" w:themeColor="text1"/>
          <w:sz w:val="72"/>
          <w:szCs w:val="72"/>
          <w:highlight w:val="none"/>
          <w:u w:val="single"/>
          <w14:textFill>
            <w14:solidFill>
              <w14:schemeClr w14:val="tx1"/>
            </w14:solidFill>
          </w14:textFill>
        </w:rPr>
      </w:pPr>
    </w:p>
    <w:p w14:paraId="4B843526">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第  一  卷</w:t>
      </w:r>
    </w:p>
    <w:p w14:paraId="4F63A146">
      <w:pPr>
        <w:jc w:val="center"/>
        <w:rPr>
          <w:rFonts w:ascii="宋体" w:hAnsi="宋体"/>
          <w:color w:val="000000" w:themeColor="text1"/>
          <w:sz w:val="72"/>
          <w:szCs w:val="72"/>
          <w:highlight w:val="none"/>
          <w14:textFill>
            <w14:solidFill>
              <w14:schemeClr w14:val="tx1"/>
            </w14:solidFill>
          </w14:textFill>
        </w:rPr>
      </w:pPr>
    </w:p>
    <w:p w14:paraId="06A589F8">
      <w:pPr>
        <w:jc w:val="center"/>
        <w:rPr>
          <w:rFonts w:ascii="宋体" w:hAnsi="宋体"/>
          <w:color w:val="000000" w:themeColor="text1"/>
          <w:sz w:val="72"/>
          <w:szCs w:val="72"/>
          <w:highlight w:val="none"/>
          <w14:textFill>
            <w14:solidFill>
              <w14:schemeClr w14:val="tx1"/>
            </w14:solidFill>
          </w14:textFill>
        </w:rPr>
      </w:pPr>
    </w:p>
    <w:p w14:paraId="36D05D83">
      <w:pPr>
        <w:jc w:val="center"/>
        <w:rPr>
          <w:rFonts w:ascii="宋体" w:hAnsi="宋体"/>
          <w:color w:val="000000" w:themeColor="text1"/>
          <w:sz w:val="72"/>
          <w:szCs w:val="72"/>
          <w:highlight w:val="none"/>
          <w14:textFill>
            <w14:solidFill>
              <w14:schemeClr w14:val="tx1"/>
            </w14:solidFill>
          </w14:textFill>
        </w:rPr>
      </w:pPr>
    </w:p>
    <w:p w14:paraId="5A3F5250">
      <w:pPr>
        <w:jc w:val="center"/>
        <w:rPr>
          <w:rFonts w:ascii="宋体" w:hAnsi="宋体"/>
          <w:color w:val="000000" w:themeColor="text1"/>
          <w:sz w:val="72"/>
          <w:szCs w:val="72"/>
          <w:highlight w:val="none"/>
          <w14:textFill>
            <w14:solidFill>
              <w14:schemeClr w14:val="tx1"/>
            </w14:solidFill>
          </w14:textFill>
        </w:rPr>
      </w:pPr>
    </w:p>
    <w:p w14:paraId="6890BAC2">
      <w:pPr>
        <w:jc w:val="center"/>
        <w:rPr>
          <w:rFonts w:ascii="宋体" w:hAnsi="宋体"/>
          <w:color w:val="000000" w:themeColor="text1"/>
          <w:sz w:val="72"/>
          <w:szCs w:val="72"/>
          <w:highlight w:val="none"/>
          <w14:textFill>
            <w14:solidFill>
              <w14:schemeClr w14:val="tx1"/>
            </w14:solidFill>
          </w14:textFill>
        </w:rPr>
      </w:pPr>
    </w:p>
    <w:p w14:paraId="35F44762">
      <w:pPr>
        <w:jc w:val="center"/>
        <w:rPr>
          <w:rFonts w:ascii="宋体" w:hAnsi="宋体"/>
          <w:color w:val="000000" w:themeColor="text1"/>
          <w:sz w:val="72"/>
          <w:szCs w:val="72"/>
          <w:highlight w:val="none"/>
          <w14:textFill>
            <w14:solidFill>
              <w14:schemeClr w14:val="tx1"/>
            </w14:solidFill>
          </w14:textFill>
        </w:rPr>
      </w:pPr>
    </w:p>
    <w:p w14:paraId="10A0B0B1">
      <w:pPr>
        <w:jc w:val="center"/>
        <w:rPr>
          <w:rFonts w:ascii="宋体" w:hAnsi="宋体"/>
          <w:color w:val="000000" w:themeColor="text1"/>
          <w:sz w:val="72"/>
          <w:szCs w:val="72"/>
          <w:highlight w:val="none"/>
          <w14:textFill>
            <w14:solidFill>
              <w14:schemeClr w14:val="tx1"/>
            </w14:solidFill>
          </w14:textFill>
        </w:rPr>
      </w:pPr>
    </w:p>
    <w:p w14:paraId="71F8D8C3">
      <w:pPr>
        <w:jc w:val="center"/>
        <w:rPr>
          <w:rFonts w:ascii="宋体" w:hAnsi="宋体"/>
          <w:color w:val="000000" w:themeColor="text1"/>
          <w:sz w:val="72"/>
          <w:szCs w:val="72"/>
          <w:highlight w:val="none"/>
          <w:u w:val="single"/>
          <w14:textFill>
            <w14:solidFill>
              <w14:schemeClr w14:val="tx1"/>
            </w14:solidFill>
          </w14:textFill>
        </w:rPr>
      </w:pPr>
    </w:p>
    <w:p w14:paraId="3E05C94B">
      <w:pPr>
        <w:jc w:val="center"/>
        <w:rPr>
          <w:rFonts w:ascii="宋体" w:hAnsi="宋体"/>
          <w:color w:val="000000" w:themeColor="text1"/>
          <w:sz w:val="72"/>
          <w:szCs w:val="72"/>
          <w:highlight w:val="none"/>
          <w:u w:val="single"/>
          <w14:textFill>
            <w14:solidFill>
              <w14:schemeClr w14:val="tx1"/>
            </w14:solidFill>
          </w14:textFill>
        </w:rPr>
      </w:pPr>
    </w:p>
    <w:p w14:paraId="7F75E644">
      <w:pPr>
        <w:jc w:val="center"/>
        <w:rPr>
          <w:rFonts w:ascii="宋体" w:hAnsi="宋体"/>
          <w:color w:val="000000" w:themeColor="text1"/>
          <w:sz w:val="72"/>
          <w:szCs w:val="72"/>
          <w:highlight w:val="none"/>
          <w:u w:val="single"/>
          <w14:textFill>
            <w14:solidFill>
              <w14:schemeClr w14:val="tx1"/>
            </w14:solidFill>
          </w14:textFill>
        </w:rPr>
      </w:pPr>
    </w:p>
    <w:p w14:paraId="2161A8AB">
      <w:pPr>
        <w:jc w:val="center"/>
        <w:rPr>
          <w:rFonts w:ascii="宋体" w:hAnsi="宋体"/>
          <w:color w:val="000000" w:themeColor="text1"/>
          <w:sz w:val="72"/>
          <w:szCs w:val="72"/>
          <w:highlight w:val="none"/>
          <w:u w:val="single"/>
          <w14:textFill>
            <w14:solidFill>
              <w14:schemeClr w14:val="tx1"/>
            </w14:solidFill>
          </w14:textFill>
        </w:rPr>
      </w:pPr>
    </w:p>
    <w:p w14:paraId="2CF16AE2">
      <w:pPr>
        <w:jc w:val="center"/>
        <w:rPr>
          <w:rFonts w:ascii="宋体" w:hAnsi="宋体"/>
          <w:color w:val="000000" w:themeColor="text1"/>
          <w:sz w:val="72"/>
          <w:szCs w:val="72"/>
          <w:highlight w:val="none"/>
          <w:u w:val="single"/>
          <w14:textFill>
            <w14:solidFill>
              <w14:schemeClr w14:val="tx1"/>
            </w14:solidFill>
          </w14:textFill>
        </w:rPr>
      </w:pPr>
    </w:p>
    <w:p w14:paraId="55D558E8">
      <w:pPr>
        <w:jc w:val="center"/>
        <w:rPr>
          <w:rFonts w:ascii="宋体" w:hAnsi="宋体"/>
          <w:color w:val="000000" w:themeColor="text1"/>
          <w:sz w:val="72"/>
          <w:szCs w:val="72"/>
          <w:highlight w:val="none"/>
          <w:u w:val="single"/>
          <w14:textFill>
            <w14:solidFill>
              <w14:schemeClr w14:val="tx1"/>
            </w14:solidFill>
          </w14:textFill>
        </w:rPr>
      </w:pPr>
    </w:p>
    <w:p w14:paraId="659E0414">
      <w:pPr>
        <w:jc w:val="center"/>
        <w:rPr>
          <w:rFonts w:ascii="宋体" w:hAnsi="宋体"/>
          <w:color w:val="000000" w:themeColor="text1"/>
          <w:sz w:val="72"/>
          <w:szCs w:val="72"/>
          <w:highlight w:val="none"/>
          <w:u w:val="single"/>
          <w14:textFill>
            <w14:solidFill>
              <w14:schemeClr w14:val="tx1"/>
            </w14:solidFill>
          </w14:textFill>
        </w:rPr>
      </w:pPr>
    </w:p>
    <w:p w14:paraId="2F9A37F6">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第一章  招标公告</w:t>
      </w:r>
    </w:p>
    <w:p w14:paraId="4F26BE6A">
      <w:pPr>
        <w:jc w:val="center"/>
        <w:rPr>
          <w:rFonts w:ascii="宋体" w:hAnsi="宋体"/>
          <w:color w:val="000000" w:themeColor="text1"/>
          <w:sz w:val="72"/>
          <w:szCs w:val="72"/>
          <w:highlight w:val="none"/>
          <w14:textFill>
            <w14:solidFill>
              <w14:schemeClr w14:val="tx1"/>
            </w14:solidFill>
          </w14:textFill>
        </w:rPr>
      </w:pPr>
    </w:p>
    <w:p w14:paraId="6E61FECC">
      <w:pPr>
        <w:jc w:val="center"/>
        <w:rPr>
          <w:rFonts w:ascii="宋体" w:hAnsi="宋体"/>
          <w:color w:val="000000" w:themeColor="text1"/>
          <w:sz w:val="72"/>
          <w:szCs w:val="72"/>
          <w:highlight w:val="none"/>
          <w14:textFill>
            <w14:solidFill>
              <w14:schemeClr w14:val="tx1"/>
            </w14:solidFill>
          </w14:textFill>
        </w:rPr>
      </w:pPr>
    </w:p>
    <w:p w14:paraId="3677FE6B">
      <w:pPr>
        <w:jc w:val="center"/>
        <w:rPr>
          <w:rFonts w:ascii="宋体" w:hAnsi="宋体"/>
          <w:color w:val="000000" w:themeColor="text1"/>
          <w:sz w:val="72"/>
          <w:szCs w:val="72"/>
          <w:highlight w:val="none"/>
          <w14:textFill>
            <w14:solidFill>
              <w14:schemeClr w14:val="tx1"/>
            </w14:solidFill>
          </w14:textFill>
        </w:rPr>
      </w:pPr>
    </w:p>
    <w:p w14:paraId="38DE55D3">
      <w:pPr>
        <w:jc w:val="center"/>
        <w:rPr>
          <w:rFonts w:ascii="宋体" w:hAnsi="宋体"/>
          <w:color w:val="000000" w:themeColor="text1"/>
          <w:sz w:val="72"/>
          <w:szCs w:val="72"/>
          <w:highlight w:val="none"/>
          <w14:textFill>
            <w14:solidFill>
              <w14:schemeClr w14:val="tx1"/>
            </w14:solidFill>
          </w14:textFill>
        </w:rPr>
      </w:pPr>
    </w:p>
    <w:p w14:paraId="1B150CEF">
      <w:pPr>
        <w:jc w:val="center"/>
        <w:rPr>
          <w:rFonts w:ascii="宋体" w:hAnsi="宋体"/>
          <w:color w:val="000000" w:themeColor="text1"/>
          <w:sz w:val="72"/>
          <w:szCs w:val="72"/>
          <w:highlight w:val="none"/>
          <w14:textFill>
            <w14:solidFill>
              <w14:schemeClr w14:val="tx1"/>
            </w14:solidFill>
          </w14:textFill>
        </w:rPr>
      </w:pPr>
    </w:p>
    <w:p w14:paraId="78E8C545">
      <w:pPr>
        <w:jc w:val="center"/>
        <w:rPr>
          <w:rFonts w:ascii="宋体" w:hAnsi="宋体"/>
          <w:color w:val="000000" w:themeColor="text1"/>
          <w:sz w:val="72"/>
          <w:szCs w:val="72"/>
          <w:highlight w:val="none"/>
          <w14:textFill>
            <w14:solidFill>
              <w14:schemeClr w14:val="tx1"/>
            </w14:solidFill>
          </w14:textFill>
        </w:rPr>
      </w:pPr>
    </w:p>
    <w:p w14:paraId="4570D5CF">
      <w:pPr>
        <w:jc w:val="center"/>
        <w:rPr>
          <w:rFonts w:ascii="宋体" w:hAnsi="宋体"/>
          <w:color w:val="000000" w:themeColor="text1"/>
          <w:sz w:val="72"/>
          <w:szCs w:val="72"/>
          <w:highlight w:val="none"/>
          <w14:textFill>
            <w14:solidFill>
              <w14:schemeClr w14:val="tx1"/>
            </w14:solidFill>
          </w14:textFill>
        </w:rPr>
      </w:pPr>
    </w:p>
    <w:p w14:paraId="7DA0100E">
      <w:pPr>
        <w:pStyle w:val="4"/>
        <w:numPr>
          <w:ilvl w:val="0"/>
          <w:numId w:val="2"/>
        </w:numPr>
        <w:adjustRightInd w:val="0"/>
        <w:snapToGrid w:val="0"/>
        <w:spacing w:before="120" w:line="240" w:lineRule="auto"/>
        <w:jc w:val="center"/>
        <w:rPr>
          <w:rFonts w:ascii="宋体" w:hAnsi="宋体"/>
          <w:color w:val="000000" w:themeColor="text1"/>
          <w:sz w:val="36"/>
          <w:highlight w:val="none"/>
          <w14:textFill>
            <w14:solidFill>
              <w14:schemeClr w14:val="tx1"/>
            </w14:solidFill>
          </w14:textFill>
        </w:rPr>
        <w:sectPr>
          <w:footerReference r:id="rId7" w:type="first"/>
          <w:footerReference r:id="rId6" w:type="default"/>
          <w:pgSz w:w="11910" w:h="16840"/>
          <w:pgMar w:top="941" w:right="720" w:bottom="1179" w:left="980" w:header="707" w:footer="998" w:gutter="0"/>
          <w:pgNumType w:start="1"/>
          <w:cols w:space="720" w:num="1"/>
        </w:sectPr>
      </w:pPr>
    </w:p>
    <w:p w14:paraId="161212AB">
      <w:pPr>
        <w:pStyle w:val="4"/>
        <w:numPr>
          <w:ilvl w:val="0"/>
          <w:numId w:val="2"/>
        </w:numPr>
        <w:adjustRightInd w:val="0"/>
        <w:snapToGrid w:val="0"/>
        <w:spacing w:before="120" w:after="100" w:line="240" w:lineRule="auto"/>
        <w:jc w:val="center"/>
        <w:rPr>
          <w:rFonts w:ascii="宋体" w:hAnsi="宋体"/>
          <w:color w:val="000000" w:themeColor="text1"/>
          <w:sz w:val="36"/>
          <w:highlight w:val="none"/>
          <w14:textFill>
            <w14:solidFill>
              <w14:schemeClr w14:val="tx1"/>
            </w14:solidFill>
          </w14:textFill>
        </w:rPr>
      </w:pPr>
      <w:bookmarkStart w:id="0" w:name="_Toc11768"/>
      <w:bookmarkEnd w:id="0"/>
      <w:bookmarkStart w:id="1" w:name="_Toc43475653"/>
      <w:bookmarkEnd w:id="1"/>
      <w:bookmarkStart w:id="2" w:name="_Toc10454"/>
      <w:bookmarkStart w:id="3" w:name="_Toc9236"/>
      <w:bookmarkStart w:id="4" w:name="_Toc234382586"/>
      <w:r>
        <w:rPr>
          <w:rFonts w:ascii="宋体" w:hAnsi="宋体"/>
          <w:color w:val="000000" w:themeColor="text1"/>
          <w:sz w:val="36"/>
          <w:highlight w:val="none"/>
          <w14:textFill>
            <w14:solidFill>
              <w14:schemeClr w14:val="tx1"/>
            </w14:solidFill>
          </w14:textFill>
        </w:rPr>
        <w:t>招标公告</w:t>
      </w:r>
      <w:bookmarkEnd w:id="2"/>
    </w:p>
    <w:p w14:paraId="3A6D402D">
      <w:pPr>
        <w:pStyle w:val="75"/>
        <w:rPr>
          <w:rFonts w:cs="宋体"/>
          <w:color w:val="000000" w:themeColor="text1"/>
          <w:szCs w:val="28"/>
          <w:highlight w:val="none"/>
          <w14:textFill>
            <w14:solidFill>
              <w14:schemeClr w14:val="tx1"/>
            </w14:solidFill>
          </w14:textFill>
        </w:rPr>
      </w:pPr>
      <w:bookmarkStart w:id="5" w:name="_Toc424739344"/>
      <w:r>
        <w:rPr>
          <w:rFonts w:hint="eastAsia" w:cs="宋体"/>
          <w:color w:val="000000" w:themeColor="text1"/>
          <w:szCs w:val="28"/>
          <w:highlight w:val="none"/>
          <w:lang w:eastAsia="zh-CN"/>
          <w14:textFill>
            <w14:solidFill>
              <w14:schemeClr w14:val="tx1"/>
            </w14:solidFill>
          </w14:textFill>
        </w:rPr>
        <w:t>长征国家文化公园(乐昌段)旅游公路建设项目</w:t>
      </w:r>
      <w:r>
        <w:rPr>
          <w:rFonts w:hint="eastAsia" w:cs="宋体"/>
          <w:color w:val="000000" w:themeColor="text1"/>
          <w:szCs w:val="28"/>
          <w:highlight w:val="none"/>
          <w:lang w:val="en-US" w:eastAsia="zh-CN"/>
          <w14:textFill>
            <w14:solidFill>
              <w14:schemeClr w14:val="tx1"/>
            </w14:solidFill>
          </w14:textFill>
        </w:rPr>
        <w:t>--</w:t>
      </w:r>
      <w:r>
        <w:rPr>
          <w:rFonts w:hint="eastAsia" w:cs="宋体"/>
          <w:color w:val="000000" w:themeColor="text1"/>
          <w:szCs w:val="28"/>
          <w:highlight w:val="none"/>
          <w:lang w:eastAsia="zh-CN"/>
          <w14:textFill>
            <w14:solidFill>
              <w14:schemeClr w14:val="tx1"/>
            </w14:solidFill>
          </w14:textFill>
        </w:rPr>
        <w:t>Y657线山溪至小源改建工程（单改双）施工</w:t>
      </w:r>
      <w:r>
        <w:rPr>
          <w:rFonts w:hint="eastAsia" w:cs="宋体"/>
          <w:color w:val="000000" w:themeColor="text1"/>
          <w:szCs w:val="28"/>
          <w:highlight w:val="none"/>
          <w14:textFill>
            <w14:solidFill>
              <w14:schemeClr w14:val="tx1"/>
            </w14:solidFill>
          </w14:textFill>
        </w:rPr>
        <w:t>招标公告</w:t>
      </w:r>
    </w:p>
    <w:p w14:paraId="116A9F9A">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6" w:name="_Toc30127"/>
      <w:bookmarkStart w:id="7" w:name="_Toc18249"/>
      <w:r>
        <w:rPr>
          <w:rFonts w:hint="eastAsia" w:ascii="宋体" w:hAnsi="宋体" w:eastAsia="宋体" w:cs="黑体"/>
          <w:bCs w:val="0"/>
          <w:color w:val="000000" w:themeColor="text1"/>
          <w:sz w:val="28"/>
          <w:szCs w:val="28"/>
          <w:highlight w:val="none"/>
          <w14:textFill>
            <w14:solidFill>
              <w14:schemeClr w14:val="tx1"/>
            </w14:solidFill>
          </w14:textFill>
        </w:rPr>
        <w:t>1.招标条件</w:t>
      </w:r>
      <w:bookmarkEnd w:id="5"/>
      <w:bookmarkEnd w:id="6"/>
      <w:bookmarkEnd w:id="7"/>
    </w:p>
    <w:p w14:paraId="6BA87DFD">
      <w:pPr>
        <w:spacing w:line="360" w:lineRule="auto"/>
        <w:ind w:firstLine="480" w:firstLineChars="200"/>
        <w:rPr>
          <w:rFonts w:hAnsi="宋体"/>
          <w:color w:val="000000" w:themeColor="text1"/>
          <w:sz w:val="24"/>
          <w:highlight w:val="none"/>
          <w14:textFill>
            <w14:solidFill>
              <w14:schemeClr w14:val="tx1"/>
            </w14:solidFill>
          </w14:textFill>
        </w:rPr>
      </w:pPr>
      <w:bookmarkStart w:id="8" w:name="_Toc544"/>
      <w:bookmarkStart w:id="9" w:name="_Toc424739345"/>
      <w:r>
        <w:rPr>
          <w:rFonts w:hint="eastAsia" w:hAnsi="宋体"/>
          <w:color w:val="000000" w:themeColor="text1"/>
          <w:sz w:val="24"/>
          <w:highlight w:val="none"/>
          <w14:textFill>
            <w14:solidFill>
              <w14:schemeClr w14:val="tx1"/>
            </w14:solidFill>
          </w14:textFill>
        </w:rPr>
        <w:t>本招标项目</w:t>
      </w:r>
      <w:r>
        <w:rPr>
          <w:rFonts w:hint="eastAsia" w:hAnsi="宋体"/>
          <w:color w:val="000000" w:themeColor="text1"/>
          <w:sz w:val="24"/>
          <w:highlight w:val="none"/>
          <w:u w:val="single"/>
          <w:lang w:eastAsia="zh-CN"/>
          <w14:textFill>
            <w14:solidFill>
              <w14:schemeClr w14:val="tx1"/>
            </w14:solidFill>
          </w14:textFill>
        </w:rPr>
        <w:t>长征国家文化公园(乐昌段)旅游公路建设项目</w:t>
      </w:r>
      <w:r>
        <w:rPr>
          <w:rFonts w:hint="eastAsia" w:hAnsi="宋体"/>
          <w:color w:val="000000" w:themeColor="text1"/>
          <w:sz w:val="24"/>
          <w:highlight w:val="none"/>
          <w:u w:val="single"/>
          <w:lang w:val="en-US" w:eastAsia="zh-CN"/>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Y657线山溪至小源改建工程（单改双）</w:t>
      </w:r>
      <w:r>
        <w:rPr>
          <w:rFonts w:hint="eastAsia" w:hAnsi="宋体"/>
          <w:color w:val="000000" w:themeColor="text1"/>
          <w:sz w:val="24"/>
          <w:highlight w:val="none"/>
          <w14:textFill>
            <w14:solidFill>
              <w14:schemeClr w14:val="tx1"/>
            </w14:solidFill>
          </w14:textFill>
        </w:rPr>
        <w:t>已由</w:t>
      </w:r>
      <w:r>
        <w:rPr>
          <w:rFonts w:hint="eastAsia" w:hAnsi="宋体"/>
          <w:color w:val="000000" w:themeColor="text1"/>
          <w:sz w:val="24"/>
          <w:highlight w:val="none"/>
          <w:u w:val="single"/>
          <w:lang w:val="en-US" w:eastAsia="zh-CN"/>
          <w14:textFill>
            <w14:solidFill>
              <w14:schemeClr w14:val="tx1"/>
            </w14:solidFill>
          </w14:textFill>
        </w:rPr>
        <w:t>乐昌市发展和改革局</w:t>
      </w:r>
      <w:r>
        <w:rPr>
          <w:rFonts w:hint="eastAsia"/>
          <w:color w:val="000000" w:themeColor="text1"/>
          <w:spacing w:val="9"/>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14:textFill>
            <w14:solidFill>
              <w14:schemeClr w14:val="tx1"/>
            </w14:solidFill>
          </w14:textFill>
        </w:rPr>
        <w:t>关于长征国家文化公园(乐昌段)旅游公路建设项目可行性研究报告的批复</w:t>
      </w:r>
      <w:r>
        <w:rPr>
          <w:rFonts w:hint="eastAsia"/>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（乐发改</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2021]82号) </w:t>
      </w:r>
      <w:r>
        <w:rPr>
          <w:rFonts w:hint="eastAsia" w:hAnsi="宋体"/>
          <w:color w:val="000000" w:themeColor="text1"/>
          <w:sz w:val="24"/>
          <w:highlight w:val="none"/>
          <w14:textFill>
            <w14:solidFill>
              <w14:schemeClr w14:val="tx1"/>
            </w14:solidFill>
          </w14:textFill>
        </w:rPr>
        <w:t>批准建设，</w:t>
      </w:r>
      <w:r>
        <w:rPr>
          <w:rFonts w:hint="eastAsia" w:ascii="宋体" w:hAnsi="宋体" w:cs="宋体"/>
          <w:color w:val="000000" w:themeColor="text1"/>
          <w:sz w:val="24"/>
          <w:highlight w:val="none"/>
          <w14:textFill>
            <w14:solidFill>
              <w14:schemeClr w14:val="tx1"/>
            </w14:solidFill>
          </w14:textFill>
        </w:rPr>
        <w:t>施工图设计已由</w:t>
      </w:r>
      <w:r>
        <w:rPr>
          <w:rFonts w:hint="eastAsia" w:ascii="宋体" w:hAnsi="宋体" w:cs="宋体"/>
          <w:color w:val="000000" w:themeColor="text1"/>
          <w:sz w:val="24"/>
          <w:highlight w:val="none"/>
          <w:u w:val="single"/>
          <w:lang w:val="en-US" w:eastAsia="zh-CN"/>
          <w14:textFill>
            <w14:solidFill>
              <w14:schemeClr w14:val="tx1"/>
            </w14:solidFill>
          </w14:textFill>
        </w:rPr>
        <w:t>乐昌</w:t>
      </w:r>
      <w:r>
        <w:rPr>
          <w:rFonts w:hint="eastAsia" w:ascii="宋体" w:hAnsi="宋体" w:cs="宋体"/>
          <w:color w:val="000000" w:themeColor="text1"/>
          <w:sz w:val="24"/>
          <w:highlight w:val="none"/>
          <w:u w:val="single"/>
          <w14:textFill>
            <w14:solidFill>
              <w14:schemeClr w14:val="tx1"/>
            </w14:solidFill>
          </w14:textFill>
        </w:rPr>
        <w:t>市交通运输局</w:t>
      </w:r>
      <w:r>
        <w:rPr>
          <w:rFonts w:hint="eastAsia" w:ascii="宋体" w:hAnsi="宋体" w:cs="宋体"/>
          <w:color w:val="000000" w:themeColor="text1"/>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《关于Y759线凉树下至流山改建工程(单改双)等3个项目施工图设计的批复》（</w:t>
      </w:r>
      <w:r>
        <w:rPr>
          <w:rFonts w:hint="eastAsia" w:ascii="宋体" w:hAnsi="宋体" w:eastAsia="宋体" w:cs="宋体"/>
          <w:color w:val="000000" w:themeColor="text1"/>
          <w:sz w:val="24"/>
          <w:highlight w:val="none"/>
          <w:u w:val="single"/>
          <w14:textFill>
            <w14:solidFill>
              <w14:schemeClr w14:val="tx1"/>
            </w14:solidFill>
          </w14:textFill>
        </w:rPr>
        <w:t>乐交字</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14:textFill>
            <w14:solidFill>
              <w14:schemeClr w14:val="tx1"/>
            </w14:solidFill>
          </w14:textFill>
        </w:rPr>
        <w:t>号</w:t>
      </w:r>
      <w:r>
        <w:rPr>
          <w:rFonts w:hint="eastAsia"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批复，</w:t>
      </w:r>
      <w:r>
        <w:rPr>
          <w:rFonts w:hint="eastAsia" w:hAnsi="宋体"/>
          <w:color w:val="000000" w:themeColor="text1"/>
          <w:sz w:val="24"/>
          <w:highlight w:val="none"/>
          <w14:textFill>
            <w14:solidFill>
              <w14:schemeClr w14:val="tx1"/>
            </w14:solidFill>
          </w14:textFill>
        </w:rPr>
        <w:t>投资项目统一代码为</w:t>
      </w:r>
      <w:r>
        <w:rPr>
          <w:rFonts w:hint="eastAsia" w:hAnsi="宋体"/>
          <w:color w:val="000000" w:themeColor="text1"/>
          <w:sz w:val="24"/>
          <w:highlight w:val="none"/>
          <w:u w:val="single"/>
          <w14:textFill>
            <w14:solidFill>
              <w14:schemeClr w14:val="tx1"/>
            </w14:solidFill>
          </w14:textFill>
        </w:rPr>
        <w:t>2107-440000-04-01-184965</w:t>
      </w:r>
      <w:r>
        <w:rPr>
          <w:rFonts w:hint="eastAsia" w:hAnsi="宋体"/>
          <w:color w:val="000000" w:themeColor="text1"/>
          <w:sz w:val="24"/>
          <w:highlight w:val="none"/>
          <w14:textFill>
            <w14:solidFill>
              <w14:schemeClr w14:val="tx1"/>
            </w14:solidFill>
          </w14:textFill>
        </w:rPr>
        <w:t>；项目业主为</w:t>
      </w:r>
      <w:r>
        <w:rPr>
          <w:rFonts w:hint="eastAsia" w:hAnsi="宋体"/>
          <w:color w:val="000000" w:themeColor="text1"/>
          <w:sz w:val="24"/>
          <w:highlight w:val="none"/>
          <w:u w:val="single"/>
          <w:lang w:eastAsia="zh-CN"/>
          <w14:textFill>
            <w14:solidFill>
              <w14:schemeClr w14:val="tx1"/>
            </w14:solidFill>
          </w14:textFill>
        </w:rPr>
        <w:t>乐昌市五山镇人民政府</w:t>
      </w:r>
      <w:r>
        <w:rPr>
          <w:rFonts w:hint="eastAsia" w:hAnsi="宋体"/>
          <w:color w:val="000000" w:themeColor="text1"/>
          <w:sz w:val="24"/>
          <w:highlight w:val="none"/>
          <w14:textFill>
            <w14:solidFill>
              <w14:schemeClr w14:val="tx1"/>
            </w14:solidFill>
          </w14:textFill>
        </w:rPr>
        <w:t>，建设资金来源为</w:t>
      </w:r>
      <w:r>
        <w:rPr>
          <w:rFonts w:hint="eastAsia" w:hAnsi="宋体"/>
          <w:color w:val="000000" w:themeColor="text1"/>
          <w:sz w:val="24"/>
          <w:highlight w:val="none"/>
          <w:u w:val="single"/>
          <w14:textFill>
            <w14:solidFill>
              <w14:schemeClr w14:val="tx1"/>
            </w14:solidFill>
          </w14:textFill>
        </w:rPr>
        <w:t>除争取省按有关政策给予专项资金补助外，不足部分由地方自筹解决</w:t>
      </w:r>
      <w:r>
        <w:rPr>
          <w:rFonts w:hint="eastAsia" w:hAnsi="宋体"/>
          <w:color w:val="000000" w:themeColor="text1"/>
          <w:sz w:val="24"/>
          <w:highlight w:val="none"/>
          <w14:textFill>
            <w14:solidFill>
              <w14:schemeClr w14:val="tx1"/>
            </w14:solidFill>
          </w14:textFill>
        </w:rPr>
        <w:t>，项目出资比例为</w:t>
      </w:r>
      <w:r>
        <w:rPr>
          <w:rFonts w:hint="eastAsia" w:hAnsi="宋体"/>
          <w:color w:val="000000" w:themeColor="text1"/>
          <w:sz w:val="24"/>
          <w:highlight w:val="none"/>
          <w:u w:val="single"/>
          <w14:textFill>
            <w14:solidFill>
              <w14:schemeClr w14:val="tx1"/>
            </w14:solidFill>
          </w14:textFill>
        </w:rPr>
        <w:t>100%</w:t>
      </w:r>
      <w:r>
        <w:rPr>
          <w:rFonts w:hint="eastAsia" w:hAnsi="宋体"/>
          <w:color w:val="000000" w:themeColor="text1"/>
          <w:sz w:val="24"/>
          <w:highlight w:val="none"/>
          <w14:textFill>
            <w14:solidFill>
              <w14:schemeClr w14:val="tx1"/>
            </w14:solidFill>
          </w14:textFill>
        </w:rPr>
        <w:t>。招标人为</w:t>
      </w:r>
      <w:r>
        <w:rPr>
          <w:rFonts w:hint="eastAsia" w:hAnsi="宋体"/>
          <w:color w:val="000000" w:themeColor="text1"/>
          <w:sz w:val="24"/>
          <w:highlight w:val="none"/>
          <w:u w:val="single"/>
          <w:lang w:eastAsia="zh-CN"/>
          <w14:textFill>
            <w14:solidFill>
              <w14:schemeClr w14:val="tx1"/>
            </w14:solidFill>
          </w14:textFill>
        </w:rPr>
        <w:t>乐昌市五山镇人民政府</w:t>
      </w:r>
      <w:r>
        <w:rPr>
          <w:rFonts w:ascii="宋体" w:hAnsi="宋体" w:cs="宋体"/>
          <w:color w:val="000000" w:themeColor="text1"/>
          <w:spacing w:val="-11"/>
          <w:sz w:val="23"/>
          <w:szCs w:val="23"/>
          <w:highlight w:val="none"/>
          <w14:textFill>
            <w14:solidFill>
              <w14:schemeClr w14:val="tx1"/>
            </w14:solidFill>
          </w14:textFill>
        </w:rPr>
        <w:t>。</w:t>
      </w:r>
      <w:r>
        <w:rPr>
          <w:rFonts w:ascii="宋体" w:hAnsi="宋体" w:cs="宋体"/>
          <w:color w:val="000000" w:themeColor="text1"/>
          <w:spacing w:val="-11"/>
          <w:sz w:val="24"/>
          <w:highlight w:val="none"/>
          <w14:textFill>
            <w14:solidFill>
              <w14:schemeClr w14:val="tx1"/>
            </w14:solidFill>
          </w14:textFill>
        </w:rPr>
        <w:t>项目已具备招标条件，</w:t>
      </w:r>
      <w:r>
        <w:rPr>
          <w:rFonts w:hint="eastAsia" w:hAnsi="宋体"/>
          <w:color w:val="000000" w:themeColor="text1"/>
          <w:sz w:val="24"/>
          <w:highlight w:val="none"/>
          <w14:textFill>
            <w14:solidFill>
              <w14:schemeClr w14:val="tx1"/>
            </w14:solidFill>
          </w14:textFill>
        </w:rPr>
        <w:t>现对该项目的施工采用资格后审方式进行公开招标。</w:t>
      </w:r>
    </w:p>
    <w:p w14:paraId="3078078C">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0" w:name="_Toc27864"/>
    </w:p>
    <w:p w14:paraId="5B75270E">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2.项目概况与招标范围</w:t>
      </w:r>
      <w:bookmarkEnd w:id="8"/>
      <w:bookmarkEnd w:id="9"/>
      <w:bookmarkEnd w:id="10"/>
    </w:p>
    <w:p w14:paraId="7D8D40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 </w:t>
      </w:r>
      <w:r>
        <w:rPr>
          <w:rFonts w:ascii="宋体" w:hAnsi="宋体"/>
          <w:color w:val="000000" w:themeColor="text1"/>
          <w:sz w:val="24"/>
          <w:highlight w:val="none"/>
          <w14:textFill>
            <w14:solidFill>
              <w14:schemeClr w14:val="tx1"/>
            </w14:solidFill>
          </w14:textFill>
        </w:rPr>
        <w:t>项目概况与招标</w:t>
      </w:r>
      <w:r>
        <w:rPr>
          <w:rFonts w:hint="eastAsia" w:ascii="宋体" w:hAnsi="宋体"/>
          <w:color w:val="000000" w:themeColor="text1"/>
          <w:sz w:val="24"/>
          <w:highlight w:val="none"/>
          <w14:textFill>
            <w14:solidFill>
              <w14:schemeClr w14:val="tx1"/>
            </w14:solidFill>
          </w14:textFill>
        </w:rPr>
        <w:t>范围</w:t>
      </w:r>
    </w:p>
    <w:p w14:paraId="337C9E7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建设地点：</w:t>
      </w:r>
      <w:r>
        <w:rPr>
          <w:rFonts w:hint="eastAsia" w:ascii="宋体" w:hAnsi="宋体" w:cs="宋体"/>
          <w:color w:val="000000" w:themeColor="text1"/>
          <w:sz w:val="24"/>
          <w:highlight w:val="none"/>
          <w:u w:val="single"/>
          <w:lang w:val="en-US" w:eastAsia="zh-CN"/>
          <w14:textFill>
            <w14:solidFill>
              <w14:schemeClr w14:val="tx1"/>
            </w14:solidFill>
          </w14:textFill>
        </w:rPr>
        <w:t>乐昌</w:t>
      </w:r>
      <w:r>
        <w:rPr>
          <w:rFonts w:hint="eastAsia" w:ascii="宋体" w:hAnsi="宋体" w:cs="宋体"/>
          <w:color w:val="000000" w:themeColor="text1"/>
          <w:sz w:val="24"/>
          <w:highlight w:val="none"/>
          <w:u w:val="single"/>
          <w14:textFill>
            <w14:solidFill>
              <w14:schemeClr w14:val="tx1"/>
            </w14:solidFill>
          </w14:textFill>
        </w:rPr>
        <w:t>市</w:t>
      </w:r>
      <w:r>
        <w:rPr>
          <w:rFonts w:hint="eastAsia" w:ascii="宋体" w:hAnsi="宋体" w:cs="宋体"/>
          <w:color w:val="000000" w:themeColor="text1"/>
          <w:sz w:val="24"/>
          <w:highlight w:val="none"/>
          <w:u w:val="single"/>
          <w:lang w:val="en-US" w:eastAsia="zh-CN"/>
          <w14:textFill>
            <w14:solidFill>
              <w14:schemeClr w14:val="tx1"/>
            </w14:solidFill>
          </w14:textFill>
        </w:rPr>
        <w:t>五山镇</w:t>
      </w:r>
      <w:r>
        <w:rPr>
          <w:rFonts w:hint="eastAsia" w:ascii="宋体" w:hAnsi="宋体"/>
          <w:color w:val="000000" w:themeColor="text1"/>
          <w:sz w:val="24"/>
          <w:highlight w:val="none"/>
          <w14:textFill>
            <w14:solidFill>
              <w14:schemeClr w14:val="tx1"/>
            </w14:solidFill>
          </w14:textFill>
        </w:rPr>
        <w:t>。</w:t>
      </w:r>
    </w:p>
    <w:p w14:paraId="20053907">
      <w:pPr>
        <w:widowControl/>
        <w:spacing w:line="360" w:lineRule="auto"/>
        <w:ind w:firstLine="48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 建设内容及规</w:t>
      </w:r>
      <w:r>
        <w:rPr>
          <w:rFonts w:hint="eastAsia" w:ascii="宋体" w:hAnsi="宋体" w:eastAsia="宋体" w:cs="宋体"/>
          <w:color w:val="000000" w:themeColor="text1"/>
          <w:sz w:val="24"/>
          <w:szCs w:val="24"/>
          <w:highlight w:val="none"/>
          <w14:textFill>
            <w14:solidFill>
              <w14:schemeClr w14:val="tx1"/>
            </w14:solidFill>
          </w14:textFill>
        </w:rPr>
        <w:t>模：</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本项目位于乐昌市五山镇，起点与省道S247线平交，起点桩号K0+000，终点位于车路坑附近，终点桩号K10+817，路线全长10.817公里。该项目按四级公路标准建设，设计时速15公里/小时。改建完成后路面宽6.0米，路基宽6.5米。</w:t>
      </w:r>
    </w:p>
    <w:p w14:paraId="6504CBE6">
      <w:pPr>
        <w:spacing w:line="400" w:lineRule="atLeas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 招标范</w:t>
      </w:r>
      <w:r>
        <w:rPr>
          <w:rFonts w:hint="eastAsia" w:ascii="宋体" w:hAnsi="宋体" w:cs="Arial"/>
          <w:color w:val="000000" w:themeColor="text1"/>
          <w:sz w:val="24"/>
          <w:highlight w:val="none"/>
          <w14:textFill>
            <w14:solidFill>
              <w14:schemeClr w14:val="tx1"/>
            </w14:solidFill>
          </w14:textFill>
        </w:rPr>
        <w:t>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本项目施工图设计和工程量清单范围内的工程施工</w:t>
      </w:r>
      <w:r>
        <w:rPr>
          <w:rFonts w:hint="eastAsia" w:ascii="宋体" w:hAnsi="宋体"/>
          <w:color w:val="000000" w:themeColor="text1"/>
          <w:sz w:val="24"/>
          <w:highlight w:val="none"/>
          <w14:textFill>
            <w14:solidFill>
              <w14:schemeClr w14:val="tx1"/>
            </w14:solidFill>
          </w14:textFill>
        </w:rPr>
        <w:t>。</w:t>
      </w:r>
    </w:p>
    <w:p w14:paraId="0BF5F1F8">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2.1.4 </w:t>
      </w:r>
      <w:r>
        <w:rPr>
          <w:rFonts w:hint="eastAsia" w:ascii="宋体" w:hAnsi="宋体" w:cs="Arial"/>
          <w:color w:val="000000" w:themeColor="text1"/>
          <w:sz w:val="24"/>
          <w:highlight w:val="none"/>
          <w14:textFill>
            <w14:solidFill>
              <w14:schemeClr w14:val="tx1"/>
            </w14:solidFill>
          </w14:textFill>
        </w:rPr>
        <w:t>计划工期：</w:t>
      </w:r>
      <w:r>
        <w:rPr>
          <w:rFonts w:hint="eastAsia" w:ascii="宋体" w:hAnsi="宋体"/>
          <w:color w:val="000000" w:themeColor="text1"/>
          <w:kern w:val="0"/>
          <w:sz w:val="24"/>
          <w:highlight w:val="none"/>
          <w:u w:val="single"/>
          <w:lang w:val="en-US" w:eastAsia="zh-CN"/>
          <w14:textFill>
            <w14:solidFill>
              <w14:schemeClr w14:val="tx1"/>
            </w14:solidFill>
          </w14:textFill>
        </w:rPr>
        <w:t>365</w:t>
      </w:r>
      <w:r>
        <w:rPr>
          <w:rFonts w:hint="eastAsia" w:ascii="宋体" w:hAnsi="宋体"/>
          <w:color w:val="000000" w:themeColor="text1"/>
          <w:kern w:val="0"/>
          <w:sz w:val="24"/>
          <w:highlight w:val="none"/>
          <w:u w:val="single"/>
          <w14:textFill>
            <w14:solidFill>
              <w14:schemeClr w14:val="tx1"/>
            </w14:solidFill>
          </w14:textFill>
        </w:rPr>
        <w:t>日历天</w:t>
      </w:r>
      <w:r>
        <w:rPr>
          <w:rFonts w:hint="eastAsia" w:ascii="宋体" w:hAnsi="宋体"/>
          <w:color w:val="000000" w:themeColor="text1"/>
          <w:sz w:val="24"/>
          <w:highlight w:val="none"/>
          <w14:textFill>
            <w14:solidFill>
              <w14:schemeClr w14:val="tx1"/>
            </w14:solidFill>
          </w14:textFill>
        </w:rPr>
        <w:t>；实际开工时间以监理签发开工令为准。</w:t>
      </w:r>
    </w:p>
    <w:p w14:paraId="3286F4A5">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工程投资：</w:t>
      </w:r>
      <w:r>
        <w:rPr>
          <w:rFonts w:hint="eastAsia" w:ascii="宋体" w:hAnsi="宋体" w:cs="宋体"/>
          <w:color w:val="000000" w:themeColor="text1"/>
          <w:sz w:val="24"/>
          <w:highlight w:val="none"/>
          <w:lang w:val="en-US" w:eastAsia="zh-CN"/>
          <w14:textFill>
            <w14:solidFill>
              <w14:schemeClr w14:val="tx1"/>
            </w14:solidFill>
          </w14:textFill>
        </w:rPr>
        <w:t>本项目预算总金额为969.6143万元，其中建安费808.3512万元</w:t>
      </w:r>
      <w:r>
        <w:rPr>
          <w:rFonts w:hint="eastAsia" w:ascii="宋体" w:hAnsi="宋体" w:cs="宋体"/>
          <w:color w:val="000000" w:themeColor="text1"/>
          <w:sz w:val="24"/>
          <w:highlight w:val="none"/>
          <w14:textFill>
            <w14:solidFill>
              <w14:schemeClr w14:val="tx1"/>
            </w14:solidFill>
          </w14:textFill>
        </w:rPr>
        <w:t>。</w:t>
      </w:r>
    </w:p>
    <w:p w14:paraId="1E21A6E5">
      <w:pPr>
        <w:spacing w:line="400" w:lineRule="atLeast"/>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 标段划分：本次施工招标只设一个标段。</w:t>
      </w:r>
    </w:p>
    <w:tbl>
      <w:tblPr>
        <w:tblStyle w:val="45"/>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859"/>
        <w:gridCol w:w="1136"/>
        <w:gridCol w:w="985"/>
        <w:gridCol w:w="928"/>
        <w:gridCol w:w="3046"/>
        <w:gridCol w:w="1445"/>
      </w:tblGrid>
      <w:tr w14:paraId="61DE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37" w:type="dxa"/>
            <w:vAlign w:val="center"/>
          </w:tcPr>
          <w:p w14:paraId="784B9FE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bookmarkStart w:id="11" w:name="_Toc20608"/>
            <w:bookmarkStart w:id="12" w:name="_Toc424739346"/>
            <w:r>
              <w:rPr>
                <w:rFonts w:hint="eastAsia" w:ascii="宋体" w:hAnsi="宋体" w:cs="宋体"/>
                <w:color w:val="000000" w:themeColor="text1"/>
                <w:sz w:val="24"/>
                <w:highlight w:val="none"/>
                <w14:textFill>
                  <w14:solidFill>
                    <w14:schemeClr w14:val="tx1"/>
                  </w14:solidFill>
                </w14:textFill>
              </w:rPr>
              <w:t>标段类别</w:t>
            </w:r>
          </w:p>
        </w:tc>
        <w:tc>
          <w:tcPr>
            <w:tcW w:w="859" w:type="dxa"/>
            <w:vAlign w:val="center"/>
          </w:tcPr>
          <w:p w14:paraId="476E2F0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w:t>
            </w:r>
          </w:p>
        </w:tc>
        <w:tc>
          <w:tcPr>
            <w:tcW w:w="1136" w:type="dxa"/>
            <w:vAlign w:val="center"/>
          </w:tcPr>
          <w:p w14:paraId="7E0B5D8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起讫桩号</w:t>
            </w:r>
          </w:p>
        </w:tc>
        <w:tc>
          <w:tcPr>
            <w:tcW w:w="985" w:type="dxa"/>
            <w:vAlign w:val="center"/>
          </w:tcPr>
          <w:p w14:paraId="00B6F7A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长度（km）</w:t>
            </w:r>
          </w:p>
        </w:tc>
        <w:tc>
          <w:tcPr>
            <w:tcW w:w="928" w:type="dxa"/>
            <w:vAlign w:val="center"/>
          </w:tcPr>
          <w:p w14:paraId="6A17BC2D">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主要工程项目</w:t>
            </w:r>
          </w:p>
        </w:tc>
        <w:tc>
          <w:tcPr>
            <w:tcW w:w="3046" w:type="dxa"/>
            <w:vAlign w:val="center"/>
          </w:tcPr>
          <w:p w14:paraId="70D68087">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对投标人资质要求</w:t>
            </w:r>
          </w:p>
        </w:tc>
        <w:tc>
          <w:tcPr>
            <w:tcW w:w="1445" w:type="dxa"/>
            <w:vAlign w:val="center"/>
          </w:tcPr>
          <w:p w14:paraId="68CD3D35">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7E98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345" w:type="dxa"/>
            <w:gridSpan w:val="5"/>
            <w:shd w:val="clear" w:color="auto" w:fill="FFFFFF" w:themeFill="background1"/>
            <w:vAlign w:val="center"/>
          </w:tcPr>
          <w:p w14:paraId="2B9B0611">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标段的划分及主要工程项目情况详见本招标公告2.1及2.2条</w:t>
            </w:r>
          </w:p>
        </w:tc>
        <w:tc>
          <w:tcPr>
            <w:tcW w:w="3046" w:type="dxa"/>
            <w:vAlign w:val="center"/>
          </w:tcPr>
          <w:p w14:paraId="24C1283F">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具备《建筑业企业资质标准》（建市[2014]159号）规定的公路工程施工总承包三级以上（含三级）资质。</w:t>
            </w:r>
          </w:p>
        </w:tc>
        <w:tc>
          <w:tcPr>
            <w:tcW w:w="1445" w:type="dxa"/>
            <w:vAlign w:val="center"/>
          </w:tcPr>
          <w:p w14:paraId="5CD1FA51">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资格审查条件见招标文件附录1至附录7</w:t>
            </w:r>
          </w:p>
        </w:tc>
      </w:tr>
    </w:tbl>
    <w:p w14:paraId="534205CE">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3" w:name="_Toc32609"/>
    </w:p>
    <w:p w14:paraId="765259DB">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3.投标人资格要求</w:t>
      </w:r>
      <w:bookmarkEnd w:id="11"/>
      <w:bookmarkEnd w:id="12"/>
      <w:bookmarkEnd w:id="13"/>
    </w:p>
    <w:p w14:paraId="09A8654B">
      <w:pPr>
        <w:pStyle w:val="18"/>
        <w:spacing w:line="400" w:lineRule="atLeas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sz w:val="24"/>
          <w:highlight w:val="none"/>
          <w14:textFill>
            <w14:solidFill>
              <w14:schemeClr w14:val="tx1"/>
            </w14:solidFill>
          </w14:textFill>
        </w:rPr>
        <w:t>本次招标要求投标人须具备</w:t>
      </w:r>
      <w:r>
        <w:rPr>
          <w:rFonts w:hint="eastAsia" w:ascii="宋体" w:hAnsi="宋体" w:cs="宋体"/>
          <w:color w:val="000000" w:themeColor="text1"/>
          <w:sz w:val="24"/>
          <w:highlight w:val="none"/>
          <w:u w:val="single"/>
          <w14:textFill>
            <w14:solidFill>
              <w14:schemeClr w14:val="tx1"/>
            </w14:solidFill>
          </w14:textFill>
        </w:rPr>
        <w:t>上述第2.2款表中所列相应</w:t>
      </w:r>
      <w:r>
        <w:rPr>
          <w:rFonts w:hint="eastAsia" w:ascii="宋体" w:hAnsi="宋体" w:cs="宋体"/>
          <w:color w:val="000000" w:themeColor="text1"/>
          <w:kern w:val="0"/>
          <w:sz w:val="24"/>
          <w:highlight w:val="none"/>
          <w14:textFill>
            <w14:solidFill>
              <w14:schemeClr w14:val="tx1"/>
            </w14:solidFill>
          </w14:textFill>
        </w:rPr>
        <w:t>资质、</w:t>
      </w:r>
      <w:r>
        <w:rPr>
          <w:rFonts w:hint="eastAsia" w:ascii="宋体" w:hAnsi="宋体" w:cs="宋体"/>
          <w:color w:val="000000" w:themeColor="text1"/>
          <w:sz w:val="24"/>
          <w:highlight w:val="none"/>
          <w:u w:val="single"/>
          <w14:textFill>
            <w14:solidFill>
              <w14:schemeClr w14:val="tx1"/>
            </w14:solidFill>
          </w14:textFill>
        </w:rPr>
        <w:t>类似工程</w:t>
      </w:r>
      <w:r>
        <w:rPr>
          <w:rFonts w:hint="eastAsia" w:ascii="宋体" w:hAnsi="宋体" w:cs="宋体"/>
          <w:color w:val="000000" w:themeColor="text1"/>
          <w:sz w:val="24"/>
          <w:highlight w:val="none"/>
          <w14:textFill>
            <w14:solidFill>
              <w14:schemeClr w14:val="tx1"/>
            </w14:solidFill>
          </w14:textFill>
        </w:rPr>
        <w:t>业绩，并在人员、设备、资金等方面具有相应的施工能力。</w:t>
      </w:r>
    </w:p>
    <w:p w14:paraId="25224997">
      <w:pPr>
        <w:wordWrap w:val="0"/>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投标人应进入交通运输部“全国公路建设市场监督管理系统（https://hwdms.mot.gov.cn/BMWebSite/）”中的公路工程施工资质企业名录，且投标人名称和资质与该名录中的相应企业名称和资质完全一致。</w:t>
      </w:r>
    </w:p>
    <w:p w14:paraId="547C28FC">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 本次招标</w:t>
      </w:r>
      <w:r>
        <w:rPr>
          <w:rFonts w:hint="eastAsia" w:ascii="宋体" w:hAnsi="宋体"/>
          <w:color w:val="000000" w:themeColor="text1"/>
          <w:sz w:val="24"/>
          <w:highlight w:val="none"/>
          <w:u w:val="single"/>
          <w14:textFill>
            <w14:solidFill>
              <w14:schemeClr w14:val="tx1"/>
            </w14:solidFill>
          </w14:textFill>
        </w:rPr>
        <w:t>不接受</w:t>
      </w:r>
      <w:r>
        <w:rPr>
          <w:rFonts w:hint="eastAsia" w:ascii="宋体" w:hAnsi="宋体"/>
          <w:color w:val="000000" w:themeColor="text1"/>
          <w:sz w:val="24"/>
          <w:highlight w:val="none"/>
          <w14:textFill>
            <w14:solidFill>
              <w14:schemeClr w14:val="tx1"/>
            </w14:solidFill>
          </w14:textFill>
        </w:rPr>
        <w:t>联合体投标。</w:t>
      </w:r>
    </w:p>
    <w:p w14:paraId="748250CB">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 在本次招标中，每个投标人可对</w:t>
      </w:r>
      <w:r>
        <w:rPr>
          <w:rFonts w:hint="eastAsia"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个标段投标，且只允许中</w:t>
      </w:r>
      <w:r>
        <w:rPr>
          <w:rFonts w:hint="eastAsia"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14:textFill>
            <w14:solidFill>
              <w14:schemeClr w14:val="tx1"/>
            </w14:solidFill>
          </w14:textFill>
        </w:rPr>
        <w:t>个标。</w:t>
      </w:r>
    </w:p>
    <w:p w14:paraId="499CCB9C">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14:paraId="15CEC5C9">
      <w:pPr>
        <w:pStyle w:val="18"/>
        <w:spacing w:line="40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注：①单位负责人是指：单位的法定代表人或者法律、行政法规规定代表单位行使职权的主要负责人；</w:t>
      </w:r>
    </w:p>
    <w:p w14:paraId="0D29A626">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②控股是指：控股是指：出资额占有限责任公司资本总额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14:paraId="1F2DDDB9">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③管理关系是指：不具有出资持股关系的其它单位之间存在的管理与被管理关系。</w:t>
      </w:r>
    </w:p>
    <w:p w14:paraId="20A40AEC">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 在“信用中国”网站（https://www.creditchina.gov.cn/）中被列入失信被执行人名单的投标人、在“国家企业信用信息公示系统” (https://www.gsxt.gov.cn) 中被列入严重违法失信企业名单的投标人，均按否决投标处理。</w:t>
      </w:r>
    </w:p>
    <w:p w14:paraId="2A806948">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color w:val="000000" w:themeColor="text1"/>
          <w:sz w:val="24"/>
          <w:highlight w:val="none"/>
          <w14:textFill>
            <w14:solidFill>
              <w14:schemeClr w14:val="tx1"/>
            </w14:solidFill>
          </w14:textFill>
        </w:rPr>
        <w:t>。</w:t>
      </w:r>
    </w:p>
    <w:p w14:paraId="12375DE2">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4" w:name="_Toc424739347"/>
      <w:bookmarkStart w:id="15" w:name="_Toc28412"/>
      <w:bookmarkStart w:id="16" w:name="_Toc27732"/>
    </w:p>
    <w:p w14:paraId="54975A48">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4.</w:t>
      </w:r>
      <w:bookmarkEnd w:id="14"/>
      <w:r>
        <w:rPr>
          <w:rFonts w:hint="eastAsia" w:ascii="宋体" w:hAnsi="宋体" w:eastAsia="宋体" w:cs="黑体"/>
          <w:bCs w:val="0"/>
          <w:color w:val="000000" w:themeColor="text1"/>
          <w:sz w:val="28"/>
          <w:szCs w:val="28"/>
          <w:highlight w:val="none"/>
          <w14:textFill>
            <w14:solidFill>
              <w14:schemeClr w14:val="tx1"/>
            </w14:solidFill>
          </w14:textFill>
        </w:rPr>
        <w:t>招标文件的获取</w:t>
      </w:r>
      <w:bookmarkEnd w:id="15"/>
      <w:bookmarkEnd w:id="16"/>
    </w:p>
    <w:p w14:paraId="79A18BCC">
      <w:pPr>
        <w:pStyle w:val="73"/>
        <w:widowControl/>
        <w:snapToGrid w:val="0"/>
        <w:spacing w:line="400" w:lineRule="atLeast"/>
        <w:ind w:firstLine="480"/>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4.1 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见本章第二节“重要事项时间地点一览表”，招标文件获取期间与招标公告发布时间一致），投标人须登录全国公共资源交易平台（广东省·韶关市）（https://ygp.gdzwfw.gov.cn/ggzy-portal/#/440200/index）下载招标文件及相关附件，并于电子投标截止时间（见本章第二节“重要事项时间地点一览表”）前完成电子投标。投标人可登录全国公共资源交易平台（广东省·韶关市）（https://ygp.gdzwfw.gov.cn/ggzy-portal/#/440200/index），在【服务指南】栏目中下载《韶关市公共资源交易平台-投标人操作指南（电子评标）》，了解网上获取招标文件操作流程。技术咨询电话：18819797080/0751-8379671 伍先生，业务咨询电话：0751-8633211、8379023。</w:t>
      </w:r>
    </w:p>
    <w:p w14:paraId="43B5C088">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4.2 只有申领了数字证书（CA）、“粤企签”或GDCA/SZCA/NETCA等符合法律法规规定的电子印章，并在交易平台中完成企业信息数据入库的投标人，方可在交易平台获取招标文件和电子投标。</w:t>
      </w:r>
    </w:p>
    <w:p w14:paraId="6E6C031C">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CDCCC92">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14:paraId="6758A634">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1E06D9AE">
      <w:pPr>
        <w:pStyle w:val="58"/>
        <w:spacing w:line="440" w:lineRule="exact"/>
        <w:rPr>
          <w:rFonts w:ascii="宋体" w:hAnsi="宋体" w:cs="宋体"/>
          <w:bCs/>
          <w:color w:val="000000" w:themeColor="text1"/>
          <w:highlight w:val="none"/>
          <w14:textFill>
            <w14:solidFill>
              <w14:schemeClr w14:val="tx1"/>
            </w14:solidFill>
          </w14:textFill>
        </w:rPr>
      </w:pPr>
      <w:bookmarkStart w:id="17" w:name="OLE_LINK4"/>
      <w:bookmarkStart w:id="18" w:name="_Toc26909"/>
      <w:r>
        <w:rPr>
          <w:rFonts w:hint="eastAsia" w:ascii="宋体" w:hAnsi="宋体" w:cs="宋体"/>
          <w:bCs/>
          <w:color w:val="000000" w:themeColor="text1"/>
          <w:highlight w:val="none"/>
          <w14:textFill>
            <w14:solidFill>
              <w14:schemeClr w14:val="tx1"/>
            </w14:solidFill>
          </w14:textFill>
        </w:rPr>
        <w:t>4.3 投标保证金</w:t>
      </w:r>
    </w:p>
    <w:p w14:paraId="4F8F8263">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4.3.1 投标人须缴纳金额为人民币</w:t>
      </w:r>
      <w:r>
        <w:rPr>
          <w:rFonts w:hint="eastAsia" w:ascii="宋体" w:hAnsi="宋体" w:cs="宋体"/>
          <w:bCs/>
          <w:color w:val="000000" w:themeColor="text1"/>
          <w:highlight w:val="none"/>
          <w:u w:val="single"/>
          <w:lang w:val="en-US" w:eastAsia="zh-CN"/>
          <w14:textFill>
            <w14:solidFill>
              <w14:schemeClr w14:val="tx1"/>
            </w14:solidFill>
          </w14:textFill>
        </w:rPr>
        <w:t>10</w:t>
      </w:r>
      <w:r>
        <w:rPr>
          <w:rFonts w:hint="eastAsia" w:ascii="宋体" w:hAnsi="宋体" w:cs="宋体"/>
          <w:bCs/>
          <w:color w:val="000000" w:themeColor="text1"/>
          <w:highlight w:val="none"/>
          <w:u w:val="single"/>
          <w14:textFill>
            <w14:solidFill>
              <w14:schemeClr w14:val="tx1"/>
            </w14:solidFill>
          </w14:textFill>
        </w:rPr>
        <w:t>万元</w:t>
      </w:r>
      <w:r>
        <w:rPr>
          <w:rFonts w:hint="eastAsia" w:ascii="宋体" w:hAnsi="宋体" w:cs="宋体"/>
          <w:bCs/>
          <w:color w:val="000000" w:themeColor="text1"/>
          <w:highlight w:val="none"/>
          <w14:textFill>
            <w14:solidFill>
              <w14:schemeClr w14:val="tx1"/>
            </w14:solidFill>
          </w14:textFill>
        </w:rPr>
        <w:t>的投标保证。</w:t>
      </w:r>
    </w:p>
    <w:p w14:paraId="1A1C6AAC">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4.3.2 投标保证的形式包括投标保证金、投标保证担保、投标保证保险三种，由投标人自主选择。</w:t>
      </w:r>
    </w:p>
    <w:p w14:paraId="42B680DB">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5806CFFF">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采用投标保证担保的，投标人应提交有效的电子保函，电子保函的有效期不得短于投标有效期。投标人必须在投标保证担保截止时间（详见“重要事项时间地点一览表”）前，在交易平台完成网上办理电子保函。</w:t>
      </w:r>
    </w:p>
    <w:p w14:paraId="3E5A9D63">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14:paraId="12B02CD3">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温馨提醒：投标人采用投标保证担保或投标保证保险的，为避免在评标过程中因有效期发生争议，建议投标人将电子保函或电子保单有效期设置为较招标文件规定的投标有效期延长不少于20个日历天。</w:t>
      </w:r>
    </w:p>
    <w:p w14:paraId="595889AA">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4.3.3若投标人因自身原因未能正确完成网上获取招标文件、电子投标、缴纳投标保证的，其投标无效。</w:t>
      </w:r>
    </w:p>
    <w:p w14:paraId="238FC922">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4.4 </w:t>
      </w:r>
      <w:r>
        <w:rPr>
          <w:rFonts w:hint="eastAsia" w:ascii="宋体" w:hAnsi="宋体"/>
          <w:color w:val="000000" w:themeColor="text1"/>
          <w:highlight w:val="none"/>
          <w14:textFill>
            <w14:solidFill>
              <w14:schemeClr w14:val="tx1"/>
            </w14:solidFill>
          </w14:textFill>
        </w:rPr>
        <w:t>获取招标文件等资料的方式：已经在</w:t>
      </w:r>
      <w:r>
        <w:rPr>
          <w:rFonts w:hint="eastAsia" w:ascii="宋体" w:hAnsi="宋体" w:cs="宋体"/>
          <w:color w:val="000000" w:themeColor="text1"/>
          <w:highlight w:val="none"/>
          <w14:textFill>
            <w14:solidFill>
              <w14:schemeClr w14:val="tx1"/>
            </w14:solidFill>
          </w14:textFill>
        </w:rPr>
        <w:t>全国公共资源交易平台 （广东省·韶关市）</w:t>
      </w:r>
      <w:r>
        <w:rPr>
          <w:rFonts w:hint="eastAsia" w:ascii="宋体" w:hAnsi="宋体"/>
          <w:color w:val="000000" w:themeColor="text1"/>
          <w:highlight w:val="none"/>
          <w14:textFill>
            <w14:solidFill>
              <w14:schemeClr w14:val="tx1"/>
            </w14:solidFill>
          </w14:textFill>
        </w:rPr>
        <w:t>报名的投标人可直接在平台中获取招标文件</w:t>
      </w:r>
      <w:r>
        <w:rPr>
          <w:rFonts w:hint="eastAsia" w:ascii="宋体" w:hAnsi="宋体" w:cs="宋体"/>
          <w:bCs/>
          <w:color w:val="000000" w:themeColor="text1"/>
          <w:highlight w:val="none"/>
          <w14:textFill>
            <w14:solidFill>
              <w14:schemeClr w14:val="tx1"/>
            </w14:solidFill>
          </w14:textFill>
        </w:rPr>
        <w:t>、工程量清单、图纸等相关资料。</w:t>
      </w:r>
      <w:bookmarkEnd w:id="17"/>
    </w:p>
    <w:p w14:paraId="6A3045A3">
      <w:pPr>
        <w:pStyle w:val="5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ascii="宋体" w:hAnsi="宋体" w:cs="宋体"/>
          <w:bCs/>
          <w:color w:val="000000" w:themeColor="text1"/>
          <w:highlight w:val="none"/>
          <w14:textFill>
            <w14:solidFill>
              <w14:schemeClr w14:val="tx1"/>
            </w14:solidFill>
          </w14:textFill>
        </w:rPr>
      </w:pPr>
    </w:p>
    <w:p w14:paraId="3F8CA5C7">
      <w:pPr>
        <w:spacing w:line="440" w:lineRule="exact"/>
        <w:outlineLvl w:val="0"/>
        <w:rPr>
          <w:rFonts w:ascii="宋体" w:hAnsi="宋体" w:cs="宋体"/>
          <w:b/>
          <w:color w:val="000000" w:themeColor="text1"/>
          <w:sz w:val="28"/>
          <w:szCs w:val="28"/>
          <w:highlight w:val="none"/>
          <w14:textFill>
            <w14:solidFill>
              <w14:schemeClr w14:val="tx1"/>
            </w14:solidFill>
          </w14:textFill>
        </w:rPr>
      </w:pPr>
      <w:bookmarkStart w:id="19" w:name="_Toc27968"/>
      <w:r>
        <w:rPr>
          <w:rFonts w:hint="eastAsia" w:ascii="宋体" w:hAnsi="宋体" w:cs="黑体"/>
          <w:color w:val="000000" w:themeColor="text1"/>
          <w:sz w:val="28"/>
          <w:szCs w:val="28"/>
          <w:highlight w:val="none"/>
          <w14:textFill>
            <w14:solidFill>
              <w14:schemeClr w14:val="tx1"/>
            </w14:solidFill>
          </w14:textFill>
        </w:rPr>
        <w:t>5.</w:t>
      </w:r>
      <w:bookmarkEnd w:id="18"/>
      <w:bookmarkStart w:id="20" w:name="_Toc5243"/>
      <w:r>
        <w:rPr>
          <w:rFonts w:hint="eastAsia" w:ascii="宋体" w:hAnsi="宋体" w:cs="宋体"/>
          <w:b/>
          <w:color w:val="000000" w:themeColor="text1"/>
          <w:sz w:val="28"/>
          <w:szCs w:val="28"/>
          <w:highlight w:val="none"/>
          <w14:textFill>
            <w14:solidFill>
              <w14:schemeClr w14:val="tx1"/>
            </w14:solidFill>
          </w14:textFill>
        </w:rPr>
        <w:t>电子投标及相关事宜</w:t>
      </w:r>
      <w:bookmarkEnd w:id="19"/>
    </w:p>
    <w:p w14:paraId="151DBF49">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投标人若对招标文件、工程量清单等资料有疑问，应在提问截止时间（见“重要事项时间地点一览表”）前使用交易平台提出问题。未在指定时间前、未采用指定方式提出的，招标人不予受理。</w:t>
      </w:r>
    </w:p>
    <w:p w14:paraId="39879A3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招标人在提问截止时间（见“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52EC5CB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招标人对招标文件所作的答疑（或修改）公告，构成招标文件的组成部分。</w:t>
      </w:r>
    </w:p>
    <w:p w14:paraId="4780D92D">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5.4投标人必须在规定的截止时间前使用交易平台完成网上获取招标文件、缴纳投标保证和全流程电子投标。只有满足以上所有条件，方为有效投标。</w:t>
      </w:r>
    </w:p>
    <w:p w14:paraId="5E1D3603">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及下载中标通知书等业务。全流程电子化招标投标项目不再接收纸质投标文件，也不接收纸质保函等单证资料。</w:t>
      </w:r>
    </w:p>
    <w:p w14:paraId="148000A8">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176E7A29">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 开标时间和地点：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14:paraId="25B3FB36">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21" w:name="_Toc13025"/>
    </w:p>
    <w:p w14:paraId="7CFA9738">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6.发布公告的媒介</w:t>
      </w:r>
      <w:bookmarkEnd w:id="20"/>
      <w:bookmarkEnd w:id="21"/>
    </w:p>
    <w:p w14:paraId="5284F7F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2" w:name="_Toc19457"/>
      <w:r>
        <w:rPr>
          <w:rFonts w:hint="eastAsia" w:ascii="宋体" w:hAnsi="宋体" w:cs="宋体"/>
          <w:color w:val="000000" w:themeColor="text1"/>
          <w:kern w:val="0"/>
          <w:sz w:val="24"/>
          <w:highlight w:val="none"/>
          <w14:textFill>
            <w14:solidFill>
              <w14:schemeClr w14:val="tx1"/>
            </w14:solidFill>
          </w14:textFill>
        </w:rPr>
        <w:t>本次招标公告同时在①广东省招标投标监管网（http://zbtb.gd.gov.cn/）、②</w:t>
      </w:r>
      <w:r>
        <w:rPr>
          <w:rFonts w:hint="eastAsia" w:ascii="宋体" w:hAnsi="宋体" w:cs="宋体"/>
          <w:color w:val="000000" w:themeColor="text1"/>
          <w:sz w:val="24"/>
          <w:highlight w:val="none"/>
          <w14:textFill>
            <w14:solidFill>
              <w14:schemeClr w14:val="tx1"/>
            </w14:solidFill>
          </w14:textFill>
        </w:rPr>
        <w:t>全国公共资源交易平台 （广东省·韶关市）（https://ygp.gdzwfw.gov.cn/ggzy-portal/#/440200/index）</w:t>
      </w:r>
      <w:r>
        <w:rPr>
          <w:rFonts w:hint="eastAsia" w:ascii="宋体" w:hAnsi="宋体" w:cs="宋体"/>
          <w:color w:val="000000" w:themeColor="text1"/>
          <w:kern w:val="0"/>
          <w:sz w:val="24"/>
          <w:highlight w:val="none"/>
          <w14:textFill>
            <w14:solidFill>
              <w14:schemeClr w14:val="tx1"/>
            </w14:solidFill>
          </w14:textFill>
        </w:rPr>
        <w:t>上发布。如公告详细内容不一致者，以</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公告为准。</w:t>
      </w:r>
    </w:p>
    <w:p w14:paraId="5F3797A8">
      <w:pPr>
        <w:spacing w:after="136" w:line="360" w:lineRule="auto"/>
        <w:ind w:firstLine="600" w:firstLineChars="2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在规定的报名期间，如本项目报名的投标人不足3家时，招标人依法有权选择以下任一方式：（1）在</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发布公告延长报名时间，在延期报名时间内，已报名投标人的资料仍有效并可自行补充资料，未报名的投标人可根据公告的约定进行报名；（2）依法重新组织招标。</w:t>
      </w:r>
    </w:p>
    <w:p w14:paraId="29AB06D4">
      <w:pPr>
        <w:spacing w:after="136"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保证金缴纳截止时间到期后，若交易平台显示成功缴纳投标保证金的投标人数量少于3家时，招标人将取消于次日召开的项目开标会，发布公告延长报名时间或依法重新组织招标。投标人可在投标保证金缴纳截止时间起至电子投标截止时间前自行登录全国公共资源交易平台 （广东省·韶关市）（https://ygp.gdzwfw.gov.cn/ggzy-portal/#/440200/index）查询是否发布了取消项目开标会的相关信息。</w:t>
      </w:r>
    </w:p>
    <w:p w14:paraId="3905B0A0">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23" w:name="_Toc27075"/>
    </w:p>
    <w:p w14:paraId="1AD3DD67">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7.</w:t>
      </w:r>
      <w:bookmarkStart w:id="24" w:name="_Toc13961"/>
      <w:bookmarkStart w:id="25" w:name="_Toc435045826"/>
      <w:bookmarkStart w:id="26" w:name="_Toc328560386"/>
      <w:r>
        <w:rPr>
          <w:rFonts w:hint="eastAsia" w:ascii="宋体" w:hAnsi="宋体" w:eastAsia="宋体" w:cs="黑体"/>
          <w:bCs w:val="0"/>
          <w:color w:val="000000" w:themeColor="text1"/>
          <w:sz w:val="28"/>
          <w:szCs w:val="28"/>
          <w:highlight w:val="none"/>
          <w14:textFill>
            <w14:solidFill>
              <w14:schemeClr w14:val="tx1"/>
            </w14:solidFill>
          </w14:textFill>
        </w:rPr>
        <w:t>联系方式</w:t>
      </w:r>
      <w:bookmarkEnd w:id="22"/>
      <w:bookmarkEnd w:id="23"/>
      <w:bookmarkEnd w:id="24"/>
    </w:p>
    <w:bookmarkEnd w:id="25"/>
    <w:bookmarkEnd w:id="26"/>
    <w:tbl>
      <w:tblPr>
        <w:tblStyle w:val="46"/>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14:paraId="0FC5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14:paraId="00DCAC64">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w:t>
            </w:r>
            <w:r>
              <w:rPr>
                <w:rFonts w:hint="eastAsia" w:ascii="宋体" w:hAnsi="宋体"/>
                <w:color w:val="000000" w:themeColor="text1"/>
                <w:sz w:val="24"/>
                <w:highlight w:val="none"/>
                <w:lang w:eastAsia="zh-CN"/>
                <w14:textFill>
                  <w14:solidFill>
                    <w14:schemeClr w14:val="tx1"/>
                  </w14:solidFill>
                </w14:textFill>
              </w:rPr>
              <w:t>乐昌市五山镇人民政府</w:t>
            </w:r>
          </w:p>
          <w:p w14:paraId="6FBD0B9C">
            <w:pPr>
              <w:spacing w:line="420" w:lineRule="exac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  址：韶关市乐昌市麻坑街</w:t>
            </w:r>
          </w:p>
          <w:p w14:paraId="59856CFF">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邓</w:t>
            </w:r>
            <w:r>
              <w:rPr>
                <w:rFonts w:hint="eastAsia" w:ascii="宋体" w:hAnsi="宋体" w:cs="宋体"/>
                <w:color w:val="000000" w:themeColor="text1"/>
                <w:kern w:val="0"/>
                <w:sz w:val="24"/>
                <w:highlight w:val="none"/>
                <w14:textFill>
                  <w14:solidFill>
                    <w14:schemeClr w14:val="tx1"/>
                  </w14:solidFill>
                </w14:textFill>
              </w:rPr>
              <w:t>工</w:t>
            </w:r>
          </w:p>
          <w:p w14:paraId="2DABABA9">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话：0751-</w:t>
            </w:r>
            <w:r>
              <w:rPr>
                <w:rFonts w:hint="eastAsia" w:ascii="宋体" w:hAnsi="宋体" w:cs="宋体"/>
                <w:color w:val="000000" w:themeColor="text1"/>
                <w:kern w:val="0"/>
                <w:sz w:val="24"/>
                <w:highlight w:val="none"/>
                <w:lang w:val="en-US" w:eastAsia="zh-CN"/>
                <w14:textFill>
                  <w14:solidFill>
                    <w14:schemeClr w14:val="tx1"/>
                  </w14:solidFill>
                </w14:textFill>
              </w:rPr>
              <w:t>5600128</w:t>
            </w:r>
          </w:p>
        </w:tc>
        <w:tc>
          <w:tcPr>
            <w:tcW w:w="4926" w:type="dxa"/>
            <w:tcBorders>
              <w:tl2br w:val="nil"/>
              <w:tr2bl w:val="nil"/>
            </w:tcBorders>
          </w:tcPr>
          <w:p w14:paraId="276BAB6D">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单位名称：</w:t>
            </w:r>
            <w:r>
              <w:rPr>
                <w:rFonts w:hint="eastAsia" w:ascii="宋体" w:hAnsi="宋体" w:cs="宋体"/>
                <w:color w:val="000000" w:themeColor="text1"/>
                <w:kern w:val="0"/>
                <w:sz w:val="24"/>
                <w:highlight w:val="none"/>
                <w:lang w:eastAsia="zh-CN"/>
                <w14:textFill>
                  <w14:solidFill>
                    <w14:schemeClr w14:val="tx1"/>
                  </w14:solidFill>
                </w14:textFill>
              </w:rPr>
              <w:t>乐昌市淘金招标代理有限公司</w:t>
            </w:r>
          </w:p>
          <w:p w14:paraId="119ED863">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办公地址：</w:t>
            </w:r>
            <w:r>
              <w:rPr>
                <w:rFonts w:hint="eastAsia" w:ascii="宋体" w:hAnsi="宋体" w:cs="宋体"/>
                <w:color w:val="000000" w:themeColor="text1"/>
                <w:kern w:val="0"/>
                <w:sz w:val="24"/>
                <w:highlight w:val="none"/>
                <w:lang w:eastAsia="zh-CN"/>
                <w14:textFill>
                  <w14:solidFill>
                    <w14:schemeClr w14:val="tx1"/>
                  </w14:solidFill>
                </w14:textFill>
              </w:rPr>
              <w:t>韶关市</w:t>
            </w:r>
            <w:r>
              <w:rPr>
                <w:rFonts w:hint="eastAsia" w:ascii="宋体" w:hAnsi="宋体" w:cs="宋体"/>
                <w:color w:val="000000" w:themeColor="text1"/>
                <w:kern w:val="0"/>
                <w:sz w:val="24"/>
                <w:highlight w:val="none"/>
                <w:lang w:val="en-US" w:eastAsia="zh-CN"/>
                <w14:textFill>
                  <w14:solidFill>
                    <w14:schemeClr w14:val="tx1"/>
                  </w14:solidFill>
                </w14:textFill>
              </w:rPr>
              <w:t>乐昌市佗城下路33号灏景蓝湾2幢B单元204号</w:t>
            </w:r>
          </w:p>
          <w:p w14:paraId="262135BD">
            <w:pPr>
              <w:spacing w:line="420" w:lineRule="exac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谢</w:t>
            </w:r>
            <w:r>
              <w:rPr>
                <w:rFonts w:hint="eastAsia" w:ascii="宋体" w:hAnsi="宋体" w:cs="宋体"/>
                <w:color w:val="000000" w:themeColor="text1"/>
                <w:kern w:val="0"/>
                <w:sz w:val="24"/>
                <w:highlight w:val="none"/>
                <w14:textFill>
                  <w14:solidFill>
                    <w14:schemeClr w14:val="tx1"/>
                  </w14:solidFill>
                </w14:textFill>
              </w:rPr>
              <w:t>工</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邓工</w:t>
            </w:r>
          </w:p>
          <w:p w14:paraId="31B6ED3C">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联系电话：</w:t>
            </w:r>
            <w:r>
              <w:rPr>
                <w:rFonts w:hint="eastAsia" w:ascii="宋体" w:hAnsi="宋体" w:cs="宋体"/>
                <w:color w:val="000000" w:themeColor="text1"/>
                <w:kern w:val="0"/>
                <w:sz w:val="24"/>
                <w:highlight w:val="none"/>
                <w:lang w:eastAsia="zh-CN"/>
                <w14:textFill>
                  <w14:solidFill>
                    <w14:schemeClr w14:val="tx1"/>
                  </w14:solidFill>
                </w14:textFill>
              </w:rPr>
              <w:t>0751-5558628</w:t>
            </w:r>
          </w:p>
        </w:tc>
      </w:tr>
      <w:tr w14:paraId="09F1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852" w:type="dxa"/>
            <w:gridSpan w:val="2"/>
            <w:tcBorders>
              <w:tl2br w:val="nil"/>
              <w:tr2bl w:val="nil"/>
            </w:tcBorders>
          </w:tcPr>
          <w:p w14:paraId="43A1F50A">
            <w:pPr>
              <w:pStyle w:val="39"/>
              <w:widowControl/>
              <w:spacing w:beforeLines="100"/>
              <w:jc w:val="righ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2024年</w:t>
            </w:r>
            <w:r>
              <w:rPr>
                <w:rFonts w:hint="eastAsia" w:ascii="宋体" w:hAnsi="宋体" w:cs="宋体"/>
                <w:color w:val="000000" w:themeColor="text1"/>
                <w:highlight w:val="none"/>
                <w:u w:val="single"/>
                <w:lang w:val="en-US" w:eastAsia="zh-CN"/>
                <w14:textFill>
                  <w14:solidFill>
                    <w14:schemeClr w14:val="tx1"/>
                  </w14:solidFill>
                </w14:textFill>
              </w:rPr>
              <w:t>10</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31</w:t>
            </w:r>
            <w:r>
              <w:rPr>
                <w:rFonts w:hint="eastAsia" w:ascii="宋体" w:hAnsi="宋体" w:cs="宋体"/>
                <w:color w:val="000000" w:themeColor="text1"/>
                <w:highlight w:val="none"/>
                <w:u w:val="single"/>
                <w14:textFill>
                  <w14:solidFill>
                    <w14:schemeClr w14:val="tx1"/>
                  </w14:solidFill>
                </w14:textFill>
              </w:rPr>
              <w:t>日</w:t>
            </w:r>
          </w:p>
        </w:tc>
      </w:tr>
    </w:tbl>
    <w:p w14:paraId="511353D5">
      <w:pPr>
        <w:pStyle w:val="5"/>
        <w:numPr>
          <w:ilvl w:val="0"/>
          <w:numId w:val="4"/>
        </w:numPr>
        <w:spacing w:before="140" w:after="140" w:line="240" w:lineRule="auto"/>
        <w:rPr>
          <w:rFonts w:ascii="宋体" w:hAnsi="宋体" w:eastAsia="宋体" w:cs="黑体"/>
          <w:color w:val="000000" w:themeColor="text1"/>
          <w:sz w:val="30"/>
          <w:szCs w:val="30"/>
          <w:highlight w:val="none"/>
          <w14:textFill>
            <w14:solidFill>
              <w14:schemeClr w14:val="tx1"/>
            </w14:solidFill>
          </w14:textFill>
        </w:rPr>
      </w:pPr>
      <w:bookmarkStart w:id="1764" w:name="_GoBack"/>
      <w:bookmarkEnd w:id="1764"/>
      <w:r>
        <w:rPr>
          <w:rFonts w:hint="eastAsia" w:ascii="宋体" w:hAnsi="宋体" w:eastAsia="宋体" w:cs="黑体"/>
          <w:b w:val="0"/>
          <w:bCs w:val="0"/>
          <w:color w:val="000000" w:themeColor="text1"/>
          <w:sz w:val="30"/>
          <w:szCs w:val="30"/>
          <w:highlight w:val="none"/>
          <w14:textFill>
            <w14:solidFill>
              <w14:schemeClr w14:val="tx1"/>
            </w14:solidFill>
          </w14:textFill>
        </w:rPr>
        <w:br w:type="page"/>
      </w:r>
      <w:bookmarkStart w:id="27" w:name="_Toc19197"/>
      <w:r>
        <w:rPr>
          <w:rFonts w:hint="eastAsia" w:ascii="宋体" w:hAnsi="宋体" w:eastAsia="宋体" w:cs="黑体"/>
          <w:color w:val="000000" w:themeColor="text1"/>
          <w:sz w:val="30"/>
          <w:szCs w:val="30"/>
          <w:highlight w:val="none"/>
          <w14:textFill>
            <w14:solidFill>
              <w14:schemeClr w14:val="tx1"/>
            </w14:solidFill>
          </w14:textFill>
        </w:rPr>
        <w:t>重要事项时间地点一览表</w:t>
      </w:r>
      <w:bookmarkEnd w:id="27"/>
    </w:p>
    <w:tbl>
      <w:tblPr>
        <w:tblStyle w:val="45"/>
        <w:tblW w:w="100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2"/>
        <w:gridCol w:w="1425"/>
        <w:gridCol w:w="8212"/>
      </w:tblGrid>
      <w:tr w14:paraId="4FAABD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0AE07C31">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w:t>
            </w:r>
          </w:p>
        </w:tc>
        <w:tc>
          <w:tcPr>
            <w:tcW w:w="1425" w:type="dxa"/>
            <w:tcBorders>
              <w:top w:val="single" w:color="080000" w:sz="4" w:space="0"/>
              <w:left w:val="single" w:color="080000" w:sz="4" w:space="0"/>
              <w:bottom w:val="single" w:color="080000" w:sz="4" w:space="0"/>
              <w:right w:val="single" w:color="080000" w:sz="4" w:space="0"/>
            </w:tcBorders>
            <w:vAlign w:val="center"/>
          </w:tcPr>
          <w:p w14:paraId="0CEFC872">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招标公告发布时间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36B7FEA4">
            <w:pPr>
              <w:pStyle w:val="73"/>
              <w:wordWrap w:val="0"/>
              <w:adjustRightInd w:val="0"/>
              <w:snapToGrid w:val="0"/>
              <w:spacing w:line="400" w:lineRule="exact"/>
              <w:ind w:firstLine="240" w:firstLineChars="100"/>
              <w:jc w:val="left"/>
              <w:rPr>
                <w:rFonts w:hAnsi="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31</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17</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00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分至</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21</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09</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7F61C0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7"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1BFF77EF">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2</w:t>
            </w:r>
          </w:p>
        </w:tc>
        <w:tc>
          <w:tcPr>
            <w:tcW w:w="1425" w:type="dxa"/>
            <w:tcBorders>
              <w:top w:val="single" w:color="080000" w:sz="4" w:space="0"/>
              <w:left w:val="single" w:color="080000" w:sz="4" w:space="0"/>
              <w:bottom w:val="single" w:color="080000" w:sz="4" w:space="0"/>
              <w:right w:val="single" w:color="080000" w:sz="4" w:space="0"/>
            </w:tcBorders>
            <w:vAlign w:val="center"/>
          </w:tcPr>
          <w:p w14:paraId="14AE41CE">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获取招标文件截止时间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37302532">
            <w:pPr>
              <w:pStyle w:val="73"/>
              <w:wordWrap w:val="0"/>
              <w:adjustRightInd w:val="0"/>
              <w:snapToGrid w:val="0"/>
              <w:spacing w:line="400" w:lineRule="exact"/>
              <w:ind w:firstLine="240" w:firstLineChars="100"/>
              <w:jc w:val="left"/>
              <w:rPr>
                <w:rFonts w:hAnsi="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21</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09</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12998B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4"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374272BB">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3</w:t>
            </w:r>
          </w:p>
        </w:tc>
        <w:tc>
          <w:tcPr>
            <w:tcW w:w="1425" w:type="dxa"/>
            <w:tcBorders>
              <w:top w:val="single" w:color="080000" w:sz="4" w:space="0"/>
              <w:left w:val="single" w:color="080000" w:sz="4" w:space="0"/>
              <w:bottom w:val="single" w:color="080000" w:sz="4" w:space="0"/>
              <w:right w:val="single" w:color="080000" w:sz="4" w:space="0"/>
            </w:tcBorders>
            <w:vAlign w:val="center"/>
          </w:tcPr>
          <w:p w14:paraId="3CB923EC">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网上提问截止时间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29DFA07C">
            <w:pPr>
              <w:pStyle w:val="73"/>
              <w:wordWrap w:val="0"/>
              <w:adjustRightInd w:val="0"/>
              <w:snapToGrid w:val="0"/>
              <w:spacing w:line="400" w:lineRule="exact"/>
              <w:ind w:firstLine="240" w:firstLineChars="100"/>
              <w:jc w:val="left"/>
              <w:rPr>
                <w:rFonts w:hAnsi="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16</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00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78D5A1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31191FE3">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4</w:t>
            </w:r>
          </w:p>
        </w:tc>
        <w:tc>
          <w:tcPr>
            <w:tcW w:w="1425" w:type="dxa"/>
            <w:tcBorders>
              <w:top w:val="single" w:color="080000" w:sz="4" w:space="0"/>
              <w:left w:val="single" w:color="080000" w:sz="4" w:space="0"/>
              <w:bottom w:val="single" w:color="080000" w:sz="4" w:space="0"/>
              <w:right w:val="single" w:color="080000" w:sz="4" w:space="0"/>
            </w:tcBorders>
            <w:vAlign w:val="center"/>
          </w:tcPr>
          <w:p w14:paraId="067C993C">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网上答疑时间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3CB1C444">
            <w:pPr>
              <w:pStyle w:val="73"/>
              <w:wordWrap w:val="0"/>
              <w:adjustRightInd w:val="0"/>
              <w:snapToGrid w:val="0"/>
              <w:spacing w:line="400" w:lineRule="exact"/>
              <w:ind w:firstLine="240" w:firstLineChars="100"/>
              <w:jc w:val="left"/>
              <w:rPr>
                <w:rFonts w:hAnsi="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16</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分至</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14</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16</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00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03E8CC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8"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AB6C6BD">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bookmarkStart w:id="28" w:name="OLE_LINK5" w:colFirst="1" w:colLast="2"/>
            <w:r>
              <w:rPr>
                <w:rFonts w:hint="eastAsia" w:hAnsi="宋体" w:cs="宋体"/>
                <w:snapToGrid w:val="0"/>
                <w:color w:val="000000" w:themeColor="text1"/>
                <w:kern w:val="0"/>
                <w:szCs w:val="24"/>
                <w:highlight w:val="none"/>
                <w14:textFill>
                  <w14:solidFill>
                    <w14:schemeClr w14:val="tx1"/>
                  </w14:solidFill>
                </w14:textFill>
              </w:rPr>
              <w:t>5</w:t>
            </w:r>
          </w:p>
        </w:tc>
        <w:tc>
          <w:tcPr>
            <w:tcW w:w="1425" w:type="dxa"/>
            <w:tcBorders>
              <w:top w:val="single" w:color="080000" w:sz="4" w:space="0"/>
              <w:left w:val="single" w:color="080000" w:sz="4" w:space="0"/>
              <w:bottom w:val="single" w:color="080000" w:sz="4" w:space="0"/>
              <w:right w:val="single" w:color="080000" w:sz="4" w:space="0"/>
            </w:tcBorders>
            <w:vAlign w:val="center"/>
          </w:tcPr>
          <w:p w14:paraId="02FD2E85">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投标保证缴</w:t>
            </w:r>
          </w:p>
          <w:p w14:paraId="4FDC05B8">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纳截止时间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4A23396D">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投标保证金到账截止时间：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20</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09</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14:paraId="633D086B">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投标保证担保提交截止时间：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20</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09</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14:paraId="2A5A25DB">
            <w:pPr>
              <w:pStyle w:val="38"/>
              <w:wordWrap w:val="0"/>
              <w:adjustRightInd w:val="0"/>
              <w:snapToGrid w:val="0"/>
              <w:spacing w:line="400" w:lineRule="exact"/>
              <w:ind w:firstLine="240" w:firstLineChars="1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投标保证保险投保截止时间：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20</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09</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bookmarkEnd w:id="28"/>
      <w:tr w14:paraId="0408E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6"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0997BC20">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6</w:t>
            </w:r>
          </w:p>
        </w:tc>
        <w:tc>
          <w:tcPr>
            <w:tcW w:w="1425" w:type="dxa"/>
            <w:tcBorders>
              <w:top w:val="single" w:color="080000" w:sz="4" w:space="0"/>
              <w:left w:val="single" w:color="080000" w:sz="4" w:space="0"/>
              <w:bottom w:val="single" w:color="080000" w:sz="4" w:space="0"/>
              <w:right w:val="single" w:color="080000" w:sz="4" w:space="0"/>
            </w:tcBorders>
            <w:vAlign w:val="center"/>
          </w:tcPr>
          <w:p w14:paraId="1FF7B0B2">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电子投标截止时间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7DF989BB">
            <w:pPr>
              <w:pStyle w:val="38"/>
              <w:wordWrap w:val="0"/>
              <w:adjustRightInd w:val="0"/>
              <w:snapToGrid w:val="0"/>
              <w:spacing w:line="400" w:lineRule="exact"/>
              <w:ind w:firstLine="240" w:firstLineChars="1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21</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09</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2E6CB6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288B8313">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7</w:t>
            </w:r>
          </w:p>
        </w:tc>
        <w:tc>
          <w:tcPr>
            <w:tcW w:w="1425" w:type="dxa"/>
            <w:tcBorders>
              <w:top w:val="single" w:color="080000" w:sz="4" w:space="0"/>
              <w:left w:val="single" w:color="080000" w:sz="4" w:space="0"/>
              <w:bottom w:val="single" w:color="080000" w:sz="4" w:space="0"/>
              <w:right w:val="single" w:color="080000" w:sz="4" w:space="0"/>
            </w:tcBorders>
            <w:vAlign w:val="center"/>
          </w:tcPr>
          <w:p w14:paraId="2B61FD29">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评审原件（如有）递交时间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7DC0CF9B">
            <w:pPr>
              <w:wordWrap w:val="0"/>
              <w:adjustRightInd w:val="0"/>
              <w:snapToGrid w:val="0"/>
              <w:spacing w:line="400" w:lineRule="exact"/>
              <w:ind w:firstLine="240" w:firstLineChars="100"/>
              <w:jc w:val="left"/>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21</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09</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00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分至</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21</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09</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05509E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5DC1C1A8">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8</w:t>
            </w:r>
          </w:p>
        </w:tc>
        <w:tc>
          <w:tcPr>
            <w:tcW w:w="1425" w:type="dxa"/>
            <w:tcBorders>
              <w:top w:val="single" w:color="080000" w:sz="4" w:space="0"/>
              <w:left w:val="single" w:color="080000" w:sz="4" w:space="0"/>
              <w:bottom w:val="single" w:color="080000" w:sz="4" w:space="0"/>
              <w:right w:val="single" w:color="080000" w:sz="4" w:space="0"/>
            </w:tcBorders>
            <w:vAlign w:val="center"/>
          </w:tcPr>
          <w:p w14:paraId="47726384">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评审原件（如有）递交地点</w:t>
            </w:r>
          </w:p>
        </w:tc>
        <w:tc>
          <w:tcPr>
            <w:tcW w:w="8212" w:type="dxa"/>
            <w:tcBorders>
              <w:top w:val="single" w:color="080000" w:sz="4" w:space="0"/>
              <w:left w:val="single" w:color="080000" w:sz="4" w:space="0"/>
              <w:bottom w:val="single" w:color="080000" w:sz="4" w:space="0"/>
              <w:right w:val="single" w:color="080000" w:sz="4" w:space="0"/>
            </w:tcBorders>
            <w:vAlign w:val="center"/>
          </w:tcPr>
          <w:p w14:paraId="43CF646D">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递交场所：韶关市公共资源交易中心乐昌分中心；</w:t>
            </w:r>
          </w:p>
          <w:p w14:paraId="5C438BDA">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地址：乐昌市昌山北路23号，具体开标室以当日现场通知为准。</w:t>
            </w:r>
          </w:p>
        </w:tc>
      </w:tr>
      <w:tr w14:paraId="42CE2E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B8282A9">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9</w:t>
            </w:r>
          </w:p>
        </w:tc>
        <w:tc>
          <w:tcPr>
            <w:tcW w:w="1425" w:type="dxa"/>
            <w:tcBorders>
              <w:top w:val="single" w:color="080000" w:sz="4" w:space="0"/>
              <w:left w:val="single" w:color="080000" w:sz="4" w:space="0"/>
              <w:bottom w:val="single" w:color="080000" w:sz="4" w:space="0"/>
              <w:right w:val="single" w:color="080000" w:sz="4" w:space="0"/>
            </w:tcBorders>
            <w:vAlign w:val="center"/>
          </w:tcPr>
          <w:p w14:paraId="106F569A">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开标时间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0A760AC7">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21</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09</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25329B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8"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22F0F84">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10</w:t>
            </w:r>
          </w:p>
        </w:tc>
        <w:tc>
          <w:tcPr>
            <w:tcW w:w="1425" w:type="dxa"/>
            <w:tcBorders>
              <w:top w:val="single" w:color="080000" w:sz="4" w:space="0"/>
              <w:left w:val="single" w:color="080000" w:sz="4" w:space="0"/>
              <w:bottom w:val="single" w:color="080000" w:sz="4" w:space="0"/>
              <w:right w:val="single" w:color="080000" w:sz="4" w:space="0"/>
            </w:tcBorders>
            <w:vAlign w:val="center"/>
          </w:tcPr>
          <w:p w14:paraId="2A9105A1">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开标地点</w:t>
            </w:r>
          </w:p>
        </w:tc>
        <w:tc>
          <w:tcPr>
            <w:tcW w:w="8212" w:type="dxa"/>
            <w:tcBorders>
              <w:top w:val="single" w:color="080000" w:sz="4" w:space="0"/>
              <w:left w:val="single" w:color="080000" w:sz="4" w:space="0"/>
              <w:bottom w:val="single" w:color="080000" w:sz="4" w:space="0"/>
              <w:right w:val="single" w:color="080000" w:sz="4" w:space="0"/>
            </w:tcBorders>
            <w:vAlign w:val="center"/>
          </w:tcPr>
          <w:p w14:paraId="3024BB8F">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开标地点：韶关市公共资源交易中心乐昌分中心；</w:t>
            </w:r>
          </w:p>
          <w:p w14:paraId="7C3753BD">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地址：乐昌市昌山北路23号，具体开标室以当日现场通知为准。</w:t>
            </w:r>
          </w:p>
        </w:tc>
      </w:tr>
      <w:tr w14:paraId="4F044C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2" w:hRule="exact"/>
        </w:trPr>
        <w:tc>
          <w:tcPr>
            <w:tcW w:w="10099" w:type="dxa"/>
            <w:gridSpan w:val="3"/>
            <w:tcBorders>
              <w:top w:val="single" w:color="080000" w:sz="4" w:space="0"/>
              <w:left w:val="single" w:color="080000" w:sz="4" w:space="0"/>
              <w:bottom w:val="single" w:color="080000" w:sz="4" w:space="0"/>
              <w:right w:val="single" w:color="080000" w:sz="4" w:space="0"/>
            </w:tcBorders>
            <w:vAlign w:val="center"/>
          </w:tcPr>
          <w:p w14:paraId="324A3171">
            <w:pPr>
              <w:pStyle w:val="38"/>
              <w:wordWrap w:val="0"/>
              <w:adjustRightInd w:val="0"/>
              <w:snapToGrid w:val="0"/>
              <w:spacing w:line="400" w:lineRule="exact"/>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备注：</w:t>
            </w:r>
            <w:r>
              <w:rPr>
                <w:rFonts w:hint="eastAsia" w:ascii="宋体" w:hAnsi="宋体" w:cs="宋体"/>
                <w:color w:val="000000" w:themeColor="text1"/>
                <w:sz w:val="24"/>
                <w:highlight w:val="none"/>
                <w:shd w:val="clear" w:color="auto" w:fill="FFFFFF"/>
                <w14:textFill>
                  <w14:solidFill>
                    <w14:schemeClr w14:val="tx1"/>
                  </w14:solidFill>
                </w14:textFill>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6E7B0605">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14:paraId="1F4617AF">
      <w:pPr>
        <w:pStyle w:val="55"/>
        <w:rPr>
          <w:color w:val="000000" w:themeColor="text1"/>
          <w:highlight w:val="none"/>
          <w14:textFill>
            <w14:solidFill>
              <w14:schemeClr w14:val="tx1"/>
            </w14:solidFill>
          </w14:textFill>
        </w:rPr>
      </w:pPr>
    </w:p>
    <w:p w14:paraId="45A0174D">
      <w:pPr>
        <w:pStyle w:val="55"/>
        <w:rPr>
          <w:color w:val="000000" w:themeColor="text1"/>
          <w:highlight w:val="none"/>
          <w14:textFill>
            <w14:solidFill>
              <w14:schemeClr w14:val="tx1"/>
            </w14:solidFill>
          </w14:textFill>
        </w:rPr>
      </w:pPr>
    </w:p>
    <w:p w14:paraId="4D98A70C">
      <w:pPr>
        <w:pStyle w:val="55"/>
        <w:rPr>
          <w:color w:val="000000" w:themeColor="text1"/>
          <w:highlight w:val="none"/>
          <w14:textFill>
            <w14:solidFill>
              <w14:schemeClr w14:val="tx1"/>
            </w14:solidFill>
          </w14:textFill>
        </w:rPr>
      </w:pPr>
    </w:p>
    <w:p w14:paraId="0105BF88">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14:paraId="15C20C86">
      <w:pPr>
        <w:pStyle w:val="55"/>
        <w:rPr>
          <w:color w:val="000000" w:themeColor="text1"/>
          <w:highlight w:val="none"/>
          <w14:textFill>
            <w14:solidFill>
              <w14:schemeClr w14:val="tx1"/>
            </w14:solidFill>
          </w14:textFill>
        </w:rPr>
      </w:pPr>
    </w:p>
    <w:p w14:paraId="7F677654">
      <w:pPr>
        <w:pStyle w:val="55"/>
        <w:rPr>
          <w:color w:val="000000" w:themeColor="text1"/>
          <w:highlight w:val="none"/>
          <w14:textFill>
            <w14:solidFill>
              <w14:schemeClr w14:val="tx1"/>
            </w14:solidFill>
          </w14:textFill>
        </w:rPr>
      </w:pPr>
    </w:p>
    <w:p w14:paraId="7D4534EF">
      <w:pPr>
        <w:pStyle w:val="55"/>
        <w:rPr>
          <w:color w:val="000000" w:themeColor="text1"/>
          <w:highlight w:val="none"/>
          <w14:textFill>
            <w14:solidFill>
              <w14:schemeClr w14:val="tx1"/>
            </w14:solidFill>
          </w14:textFill>
        </w:rPr>
      </w:pPr>
    </w:p>
    <w:p w14:paraId="27A1F9E5">
      <w:pPr>
        <w:pStyle w:val="55"/>
        <w:rPr>
          <w:color w:val="000000" w:themeColor="text1"/>
          <w:highlight w:val="none"/>
          <w14:textFill>
            <w14:solidFill>
              <w14:schemeClr w14:val="tx1"/>
            </w14:solidFill>
          </w14:textFill>
        </w:rPr>
      </w:pPr>
    </w:p>
    <w:p w14:paraId="2BF1BF9E">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r>
        <w:rPr>
          <w:rFonts w:ascii="宋体" w:hAnsi="宋体"/>
          <w:b/>
          <w:bCs/>
          <w:color w:val="000000" w:themeColor="text1"/>
          <w:sz w:val="44"/>
          <w:szCs w:val="44"/>
          <w:highlight w:val="none"/>
          <w14:textFill>
            <w14:solidFill>
              <w14:schemeClr w14:val="tx1"/>
            </w14:solidFill>
          </w14:textFill>
        </w:rPr>
        <w:t>第二章  投标人须知</w:t>
      </w:r>
    </w:p>
    <w:p w14:paraId="5C242041">
      <w:pPr>
        <w:pStyle w:val="4"/>
        <w:adjustRightInd w:val="0"/>
        <w:snapToGrid w:val="0"/>
        <w:spacing w:before="120" w:after="90" w:line="240" w:lineRule="auto"/>
        <w:jc w:val="center"/>
        <w:rPr>
          <w:rFonts w:ascii="宋体" w:hAnsi="宋体"/>
          <w:b w:val="0"/>
          <w:bCs w:val="0"/>
          <w:color w:val="000000" w:themeColor="text1"/>
          <w:sz w:val="36"/>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bookmarkEnd w:id="3"/>
    <w:bookmarkEnd w:id="4"/>
    <w:p w14:paraId="7F1AC44B">
      <w:pPr>
        <w:pStyle w:val="4"/>
        <w:adjustRightInd w:val="0"/>
        <w:snapToGrid w:val="0"/>
        <w:spacing w:before="120" w:after="90" w:line="240" w:lineRule="auto"/>
        <w:jc w:val="center"/>
        <w:rPr>
          <w:rFonts w:ascii="宋体" w:hAnsi="宋体"/>
          <w:color w:val="000000" w:themeColor="text1"/>
          <w:sz w:val="36"/>
          <w:highlight w:val="none"/>
          <w14:textFill>
            <w14:solidFill>
              <w14:schemeClr w14:val="tx1"/>
            </w14:solidFill>
          </w14:textFill>
        </w:rPr>
      </w:pPr>
      <w:bookmarkStart w:id="29" w:name="_Toc43475661"/>
      <w:bookmarkEnd w:id="29"/>
      <w:r>
        <w:rPr>
          <w:rFonts w:ascii="宋体" w:hAnsi="宋体"/>
          <w:color w:val="000000" w:themeColor="text1"/>
          <w:sz w:val="36"/>
          <w:highlight w:val="none"/>
          <w14:textFill>
            <w14:solidFill>
              <w14:schemeClr w14:val="tx1"/>
            </w14:solidFill>
          </w14:textFill>
        </w:rPr>
        <w:t>第二章  投标人须知</w:t>
      </w:r>
    </w:p>
    <w:p w14:paraId="3B2304FD">
      <w:pPr>
        <w:jc w:val="left"/>
        <w:rPr>
          <w:rFonts w:ascii="宋体" w:hAnsi="宋体"/>
          <w:b/>
          <w:color w:val="000000" w:themeColor="text1"/>
          <w:sz w:val="24"/>
          <w:highlight w:val="none"/>
          <w14:textFill>
            <w14:solidFill>
              <w14:schemeClr w14:val="tx1"/>
            </w14:solidFill>
          </w14:textFill>
        </w:rPr>
      </w:pPr>
      <w:bookmarkStart w:id="30" w:name="_Toc234382587"/>
    </w:p>
    <w:bookmarkEnd w:id="30"/>
    <w:p w14:paraId="0F255032">
      <w:pPr>
        <w:pStyle w:val="5"/>
        <w:rPr>
          <w:b w:val="0"/>
          <w:bCs w:val="0"/>
          <w:color w:val="000000" w:themeColor="text1"/>
          <w:sz w:val="28"/>
          <w:szCs w:val="28"/>
          <w:highlight w:val="none"/>
          <w14:textFill>
            <w14:solidFill>
              <w14:schemeClr w14:val="tx1"/>
            </w14:solidFill>
          </w14:textFill>
        </w:rPr>
      </w:pPr>
      <w:bookmarkStart w:id="31" w:name="_Toc43475662"/>
      <w:bookmarkEnd w:id="31"/>
      <w:r>
        <w:rPr>
          <w:b w:val="0"/>
          <w:bCs w:val="0"/>
          <w:color w:val="000000" w:themeColor="text1"/>
          <w:sz w:val="28"/>
          <w:szCs w:val="28"/>
          <w:highlight w:val="none"/>
          <w14:textFill>
            <w14:solidFill>
              <w14:schemeClr w14:val="tx1"/>
            </w14:solidFill>
          </w14:textFill>
        </w:rPr>
        <w:t>投标人须知前附表</w:t>
      </w:r>
    </w:p>
    <w:tbl>
      <w:tblPr>
        <w:tblStyle w:val="45"/>
        <w:tblW w:w="10227"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531"/>
      </w:tblGrid>
      <w:tr w14:paraId="6365433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blHeader/>
        </w:trPr>
        <w:tc>
          <w:tcPr>
            <w:tcW w:w="968" w:type="dxa"/>
            <w:vAlign w:val="center"/>
          </w:tcPr>
          <w:p w14:paraId="4C056449">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728" w:type="dxa"/>
            <w:vAlign w:val="center"/>
          </w:tcPr>
          <w:p w14:paraId="6A660E75">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 款 名 称</w:t>
            </w:r>
          </w:p>
        </w:tc>
        <w:tc>
          <w:tcPr>
            <w:tcW w:w="6531" w:type="dxa"/>
            <w:vAlign w:val="center"/>
          </w:tcPr>
          <w:p w14:paraId="3F58164A">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 列 内 容</w:t>
            </w:r>
          </w:p>
        </w:tc>
      </w:tr>
      <w:tr w14:paraId="1C9CA34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0E99603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2728" w:type="dxa"/>
            <w:vAlign w:val="center"/>
          </w:tcPr>
          <w:p w14:paraId="26CBC64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p>
        </w:tc>
        <w:tc>
          <w:tcPr>
            <w:tcW w:w="6531" w:type="dxa"/>
            <w:vAlign w:val="center"/>
          </w:tcPr>
          <w:p w14:paraId="1E63119D">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r>
              <w:rPr>
                <w:rFonts w:hint="eastAsia" w:ascii="宋体" w:hAnsi="宋体" w:cs="宋体"/>
                <w:color w:val="000000" w:themeColor="text1"/>
                <w:szCs w:val="21"/>
                <w:highlight w:val="none"/>
                <w:lang w:eastAsia="zh-CN"/>
                <w14:textFill>
                  <w14:solidFill>
                    <w14:schemeClr w14:val="tx1"/>
                  </w14:solidFill>
                </w14:textFill>
              </w:rPr>
              <w:t>乐昌市五山镇人民政府</w:t>
            </w:r>
          </w:p>
          <w:p w14:paraId="083C2A07">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址：韶关市乐昌市麻坑街</w:t>
            </w:r>
          </w:p>
          <w:p w14:paraId="4AAFFBB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lang w:val="en-US" w:eastAsia="zh-CN"/>
                <w14:textFill>
                  <w14:solidFill>
                    <w14:schemeClr w14:val="tx1"/>
                  </w14:solidFill>
                </w14:textFill>
              </w:rPr>
              <w:t>邓</w:t>
            </w:r>
            <w:r>
              <w:rPr>
                <w:rFonts w:hint="eastAsia" w:ascii="宋体" w:hAnsi="宋体" w:cs="宋体"/>
                <w:color w:val="000000" w:themeColor="text1"/>
                <w:szCs w:val="21"/>
                <w:highlight w:val="none"/>
                <w14:textFill>
                  <w14:solidFill>
                    <w14:schemeClr w14:val="tx1"/>
                  </w14:solidFill>
                </w14:textFill>
              </w:rPr>
              <w:t>工</w:t>
            </w:r>
          </w:p>
          <w:p w14:paraId="667B789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话：0751-</w:t>
            </w:r>
            <w:r>
              <w:rPr>
                <w:rFonts w:hint="eastAsia" w:ascii="宋体" w:hAnsi="宋体" w:cs="宋体"/>
                <w:color w:val="000000" w:themeColor="text1"/>
                <w:szCs w:val="21"/>
                <w:highlight w:val="none"/>
                <w:lang w:val="en-US" w:eastAsia="zh-CN"/>
                <w14:textFill>
                  <w14:solidFill>
                    <w14:schemeClr w14:val="tx1"/>
                  </w14:solidFill>
                </w14:textFill>
              </w:rPr>
              <w:t>5600128</w:t>
            </w:r>
          </w:p>
        </w:tc>
      </w:tr>
      <w:tr w14:paraId="1CD00EF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6730C4A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2728" w:type="dxa"/>
            <w:vAlign w:val="center"/>
          </w:tcPr>
          <w:p w14:paraId="512430E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招标代理机构</w:t>
            </w:r>
          </w:p>
        </w:tc>
        <w:tc>
          <w:tcPr>
            <w:tcW w:w="6531" w:type="dxa"/>
            <w:vAlign w:val="center"/>
          </w:tcPr>
          <w:p w14:paraId="11B719BD">
            <w:pPr>
              <w:rPr>
                <w:rFonts w:hint="eastAsia" w:ascii="宋体" w:hAnsi="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单位名称：</w:t>
            </w:r>
            <w:r>
              <w:rPr>
                <w:rFonts w:hint="eastAsia" w:ascii="宋体" w:hAnsi="宋体" w:cs="宋体"/>
                <w:color w:val="000000" w:themeColor="text1"/>
                <w:szCs w:val="21"/>
                <w:highlight w:val="none"/>
                <w:lang w:eastAsia="zh-CN"/>
                <w14:textFill>
                  <w14:solidFill>
                    <w14:schemeClr w14:val="tx1"/>
                  </w14:solidFill>
                </w14:textFill>
              </w:rPr>
              <w:t>乐昌市淘金招标代理有限公司</w:t>
            </w:r>
          </w:p>
          <w:p w14:paraId="00023147">
            <w:pP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办公地址：</w:t>
            </w:r>
            <w:r>
              <w:rPr>
                <w:rFonts w:hint="eastAsia" w:ascii="宋体" w:hAnsi="宋体" w:cs="宋体"/>
                <w:color w:val="000000" w:themeColor="text1"/>
                <w:szCs w:val="21"/>
                <w:highlight w:val="none"/>
                <w:lang w:eastAsia="zh-CN"/>
                <w14:textFill>
                  <w14:solidFill>
                    <w14:schemeClr w14:val="tx1"/>
                  </w14:solidFill>
                </w14:textFill>
              </w:rPr>
              <w:t>韶关市</w:t>
            </w:r>
            <w:r>
              <w:rPr>
                <w:rFonts w:hint="eastAsia" w:ascii="宋体" w:hAnsi="宋体" w:cs="宋体"/>
                <w:color w:val="000000" w:themeColor="text1"/>
                <w:szCs w:val="21"/>
                <w:highlight w:val="none"/>
                <w:lang w:val="en-US" w:eastAsia="zh-CN"/>
                <w14:textFill>
                  <w14:solidFill>
                    <w14:schemeClr w14:val="tx1"/>
                  </w14:solidFill>
                </w14:textFill>
              </w:rPr>
              <w:t>乐昌市佗城下路33号灏景蓝湾2幢B单元204号</w:t>
            </w:r>
          </w:p>
          <w:p w14:paraId="6A410F0A">
            <w:pPr>
              <w:rPr>
                <w:rFonts w:hint="default" w:ascii="宋体" w:hAnsi="宋体" w:cs="宋体"/>
                <w:color w:val="000000" w:themeColor="text1"/>
                <w:szCs w:val="21"/>
                <w:highlight w:val="none"/>
                <w:lang w:val="en-US"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lang w:val="en-US" w:eastAsia="zh-CN"/>
                <w14:textFill>
                  <w14:solidFill>
                    <w14:schemeClr w14:val="tx1"/>
                  </w14:solidFill>
                </w14:textFill>
              </w:rPr>
              <w:t>谢</w:t>
            </w:r>
            <w:r>
              <w:rPr>
                <w:rFonts w:hint="eastAsia" w:ascii="宋体" w:hAnsi="宋体" w:cs="宋体"/>
                <w:color w:val="000000" w:themeColor="text1"/>
                <w:szCs w:val="21"/>
                <w:highlight w:val="none"/>
                <w14:textFill>
                  <w14:solidFill>
                    <w14:schemeClr w14:val="tx1"/>
                  </w14:solidFill>
                </w14:textFill>
              </w:rPr>
              <w:t>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邓工</w:t>
            </w:r>
          </w:p>
          <w:p w14:paraId="38A94770">
            <w:pP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lang w:eastAsia="zh-CN"/>
                <w14:textFill>
                  <w14:solidFill>
                    <w14:schemeClr w14:val="tx1"/>
                  </w14:solidFill>
                </w14:textFill>
              </w:rPr>
              <w:t>0751-5558628</w:t>
            </w:r>
          </w:p>
        </w:tc>
      </w:tr>
      <w:tr w14:paraId="2D71062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675D919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2728" w:type="dxa"/>
            <w:vAlign w:val="center"/>
          </w:tcPr>
          <w:p w14:paraId="5BC756B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招标项目名称</w:t>
            </w:r>
          </w:p>
        </w:tc>
        <w:tc>
          <w:tcPr>
            <w:tcW w:w="6531" w:type="dxa"/>
            <w:vAlign w:val="center"/>
          </w:tcPr>
          <w:p w14:paraId="652BAA3B">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长征国家文化公园(乐昌段)旅游公路建设项目</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Y657线山溪至小源改建工程（单改双）施工</w:t>
            </w:r>
          </w:p>
        </w:tc>
      </w:tr>
      <w:tr w14:paraId="6DACA1E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3CDCBE1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2728" w:type="dxa"/>
            <w:vAlign w:val="center"/>
          </w:tcPr>
          <w:p w14:paraId="64D3EA2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标段建设地点</w:t>
            </w:r>
          </w:p>
        </w:tc>
        <w:tc>
          <w:tcPr>
            <w:tcW w:w="6531" w:type="dxa"/>
            <w:vAlign w:val="center"/>
          </w:tcPr>
          <w:p w14:paraId="2FF59D9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乐昌市五山镇</w:t>
            </w:r>
          </w:p>
        </w:tc>
      </w:tr>
      <w:tr w14:paraId="721C91E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71675D0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2728" w:type="dxa"/>
            <w:vAlign w:val="center"/>
          </w:tcPr>
          <w:p w14:paraId="3ED42B9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资金来源及比例</w:t>
            </w:r>
          </w:p>
        </w:tc>
        <w:tc>
          <w:tcPr>
            <w:tcW w:w="6531" w:type="dxa"/>
            <w:vAlign w:val="center"/>
          </w:tcPr>
          <w:p w14:paraId="1491463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除争取省按有关政策给予专项资金补助外，不足部分由地方自筹解决。</w:t>
            </w:r>
          </w:p>
        </w:tc>
      </w:tr>
      <w:tr w14:paraId="67B44BF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1BC9BB7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2728" w:type="dxa"/>
            <w:vAlign w:val="center"/>
          </w:tcPr>
          <w:p w14:paraId="7B3372C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资金落实情况</w:t>
            </w:r>
          </w:p>
        </w:tc>
        <w:tc>
          <w:tcPr>
            <w:tcW w:w="6531" w:type="dxa"/>
            <w:vAlign w:val="center"/>
          </w:tcPr>
          <w:p w14:paraId="283922D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14:paraId="0B75018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74FE30E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2728" w:type="dxa"/>
            <w:vAlign w:val="center"/>
          </w:tcPr>
          <w:p w14:paraId="1D23FA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w:t>
            </w:r>
          </w:p>
        </w:tc>
        <w:tc>
          <w:tcPr>
            <w:tcW w:w="6531" w:type="dxa"/>
            <w:vAlign w:val="center"/>
          </w:tcPr>
          <w:p w14:paraId="1265A30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本项目施工图设计和工程量清单范围内的工程施工。</w:t>
            </w:r>
          </w:p>
        </w:tc>
      </w:tr>
      <w:tr w14:paraId="4657003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6473F9C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2728" w:type="dxa"/>
            <w:vAlign w:val="center"/>
          </w:tcPr>
          <w:p w14:paraId="764F136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p>
        </w:tc>
        <w:tc>
          <w:tcPr>
            <w:tcW w:w="6531" w:type="dxa"/>
            <w:vAlign w:val="center"/>
          </w:tcPr>
          <w:p w14:paraId="66112DB2">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r>
              <w:rPr>
                <w:rFonts w:hint="eastAsia" w:ascii="宋体" w:hAnsi="宋体" w:cs="宋体"/>
                <w:color w:val="000000" w:themeColor="text1"/>
                <w:szCs w:val="21"/>
                <w:highlight w:val="none"/>
                <w:u w:val="single"/>
                <w:lang w:val="en-US" w:eastAsia="zh-CN"/>
                <w14:textFill>
                  <w14:solidFill>
                    <w14:schemeClr w14:val="tx1"/>
                  </w14:solidFill>
                </w14:textFill>
              </w:rPr>
              <w:t>365</w:t>
            </w:r>
            <w:r>
              <w:rPr>
                <w:rFonts w:hint="eastAsia" w:ascii="宋体" w:hAnsi="宋体" w:cs="宋体"/>
                <w:color w:val="000000" w:themeColor="text1"/>
                <w:szCs w:val="21"/>
                <w:highlight w:val="none"/>
                <w:u w:val="single"/>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；(实际开工时间以监理签发开工令为准）</w:t>
            </w:r>
          </w:p>
          <w:p w14:paraId="499D624E">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计划开工日期：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年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月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日</w:t>
            </w:r>
            <w:r>
              <w:rPr>
                <w:rFonts w:hint="eastAsia" w:ascii="宋体" w:hAnsi="宋体" w:cs="宋体"/>
                <w:color w:val="000000" w:themeColor="text1"/>
                <w:szCs w:val="21"/>
                <w:highlight w:val="none"/>
                <w14:textFill>
                  <w14:solidFill>
                    <w14:schemeClr w14:val="tx1"/>
                  </w14:solidFill>
                </w14:textFill>
              </w:rPr>
              <w:t>；</w:t>
            </w:r>
          </w:p>
          <w:p w14:paraId="6F21F3E6">
            <w:pPr>
              <w:spacing w:line="280" w:lineRule="exact"/>
              <w:ind w:firstLine="105" w:firstLineChars="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 xml:space="preserve"> 月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日。</w:t>
            </w:r>
          </w:p>
        </w:tc>
      </w:tr>
      <w:tr w14:paraId="3496925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4F87A85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2728" w:type="dxa"/>
            <w:vAlign w:val="center"/>
          </w:tcPr>
          <w:p w14:paraId="43E77A5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质量要求</w:t>
            </w:r>
          </w:p>
        </w:tc>
        <w:tc>
          <w:tcPr>
            <w:tcW w:w="6531" w:type="dxa"/>
            <w:vAlign w:val="center"/>
          </w:tcPr>
          <w:p w14:paraId="346E6EF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标段工程交工验收的质量评定：质量评分： ≥</w:t>
            </w:r>
            <w:r>
              <w:rPr>
                <w:rFonts w:hint="eastAsia" w:ascii="宋体" w:hAnsi="宋体" w:cs="宋体"/>
                <w:color w:val="000000" w:themeColor="text1"/>
                <w:szCs w:val="21"/>
                <w:highlight w:val="none"/>
                <w:lang w:val="en-US" w:eastAsia="zh-CN"/>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t xml:space="preserve"> ；质量等级：合格。</w:t>
            </w:r>
          </w:p>
          <w:p w14:paraId="4D17AFD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竣工验收的质量评定：质量评分： ≥</w:t>
            </w:r>
            <w:r>
              <w:rPr>
                <w:rFonts w:hint="eastAsia" w:ascii="宋体" w:hAnsi="宋体" w:cs="宋体"/>
                <w:color w:val="000000" w:themeColor="text1"/>
                <w:szCs w:val="21"/>
                <w:highlight w:val="none"/>
                <w:lang w:val="en-US" w:eastAsia="zh-CN"/>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t xml:space="preserve"> ；质量等级：合格。</w:t>
            </w:r>
          </w:p>
        </w:tc>
      </w:tr>
      <w:tr w14:paraId="40C48D2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5EA2B68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w:t>
            </w:r>
          </w:p>
        </w:tc>
        <w:tc>
          <w:tcPr>
            <w:tcW w:w="2728" w:type="dxa"/>
            <w:vAlign w:val="center"/>
          </w:tcPr>
          <w:p w14:paraId="1CB4D1C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安全目标</w:t>
            </w:r>
          </w:p>
        </w:tc>
        <w:tc>
          <w:tcPr>
            <w:tcW w:w="6531" w:type="dxa"/>
            <w:vAlign w:val="center"/>
          </w:tcPr>
          <w:p w14:paraId="338082A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严格执行有关安全生产的法律法规和规章制度，确保项目建设期内</w:t>
            </w:r>
            <w:r>
              <w:rPr>
                <w:rFonts w:hint="eastAsia" w:ascii="宋体" w:hAnsi="宋体" w:cs="宋体"/>
                <w:color w:val="000000" w:themeColor="text1"/>
                <w:szCs w:val="21"/>
                <w:highlight w:val="none"/>
                <w:u w:val="single"/>
                <w14:textFill>
                  <w14:solidFill>
                    <w14:schemeClr w14:val="tx1"/>
                  </w14:solidFill>
                </w14:textFill>
              </w:rPr>
              <w:t>无安全生产责任事故发生。</w:t>
            </w:r>
          </w:p>
        </w:tc>
      </w:tr>
      <w:tr w14:paraId="3EF6A31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6FAF22C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2728" w:type="dxa"/>
            <w:tcBorders>
              <w:bottom w:val="single" w:color="000000" w:sz="6" w:space="0"/>
            </w:tcBorders>
            <w:vAlign w:val="center"/>
          </w:tcPr>
          <w:p w14:paraId="5A59B889">
            <w:pPr>
              <w:pStyle w:val="17"/>
              <w:topLinePun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投标人资质条件、能力和信誉</w:t>
            </w:r>
          </w:p>
        </w:tc>
        <w:tc>
          <w:tcPr>
            <w:tcW w:w="6531" w:type="dxa"/>
            <w:tcBorders>
              <w:bottom w:val="single" w:color="000000" w:sz="6" w:space="0"/>
            </w:tcBorders>
            <w:vAlign w:val="center"/>
          </w:tcPr>
          <w:p w14:paraId="4A42CF70">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资质条件：见附录1</w:t>
            </w:r>
          </w:p>
          <w:p w14:paraId="7740529C">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财务要求：见附录2</w:t>
            </w:r>
          </w:p>
          <w:p w14:paraId="1FD1EFDD">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业绩要求：见附录3</w:t>
            </w:r>
          </w:p>
          <w:p w14:paraId="0CF59B4F">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信誉要求：见附录4</w:t>
            </w:r>
          </w:p>
          <w:p w14:paraId="3B5E870E">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项目经理和项目总工资格要求：见附录5</w:t>
            </w:r>
          </w:p>
          <w:p w14:paraId="71E30640">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其他要求：见附录6、7</w:t>
            </w:r>
          </w:p>
        </w:tc>
      </w:tr>
      <w:tr w14:paraId="01B0EFE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3E3D36A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2728" w:type="dxa"/>
            <w:tcBorders>
              <w:bottom w:val="single" w:color="000000" w:sz="6" w:space="0"/>
            </w:tcBorders>
            <w:vAlign w:val="center"/>
          </w:tcPr>
          <w:p w14:paraId="7279B944">
            <w:pPr>
              <w:pStyle w:val="17"/>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是否接受联合体投标</w:t>
            </w:r>
          </w:p>
        </w:tc>
        <w:tc>
          <w:tcPr>
            <w:tcW w:w="6531" w:type="dxa"/>
            <w:tcBorders>
              <w:bottom w:val="single" w:color="000000" w:sz="6" w:space="0"/>
            </w:tcBorders>
            <w:vAlign w:val="center"/>
          </w:tcPr>
          <w:p w14:paraId="0ADAF80A">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☑不接受</w:t>
            </w:r>
          </w:p>
          <w:p w14:paraId="4865A908">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□接受，还应满足下列要求：</w:t>
            </w:r>
          </w:p>
          <w:p w14:paraId="4A5D4105">
            <w:pPr>
              <w:pStyle w:val="17"/>
              <w:topLinePunct/>
              <w:adjustRightInd w:val="0"/>
              <w:snapToGrid w:val="0"/>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（1）联合体所有成员数量不得超过</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家；</w:t>
            </w:r>
          </w:p>
          <w:p w14:paraId="38EC9D5B">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（2）联合体牵头人应具有</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资质；</w:t>
            </w:r>
          </w:p>
        </w:tc>
      </w:tr>
      <w:tr w14:paraId="2E507FF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618137B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w:t>
            </w:r>
          </w:p>
        </w:tc>
        <w:tc>
          <w:tcPr>
            <w:tcW w:w="2728" w:type="dxa"/>
            <w:tcBorders>
              <w:bottom w:val="single" w:color="000000" w:sz="6" w:space="0"/>
            </w:tcBorders>
            <w:vAlign w:val="center"/>
          </w:tcPr>
          <w:p w14:paraId="44775A6F">
            <w:pPr>
              <w:pStyle w:val="17"/>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投标人不得存在的其他关联情形</w:t>
            </w:r>
          </w:p>
        </w:tc>
        <w:tc>
          <w:tcPr>
            <w:tcW w:w="6531" w:type="dxa"/>
            <w:tcBorders>
              <w:bottom w:val="single" w:color="000000" w:sz="6" w:space="0"/>
            </w:tcBorders>
            <w:vAlign w:val="center"/>
          </w:tcPr>
          <w:p w14:paraId="56AF68AB">
            <w:pPr>
              <w:pStyle w:val="17"/>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14:paraId="1E4F42D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6" w:space="0"/>
            </w:tcBorders>
            <w:vAlign w:val="center"/>
          </w:tcPr>
          <w:p w14:paraId="163FC35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w:t>
            </w:r>
          </w:p>
        </w:tc>
        <w:tc>
          <w:tcPr>
            <w:tcW w:w="2728" w:type="dxa"/>
            <w:tcBorders>
              <w:top w:val="single" w:color="000000" w:sz="6" w:space="0"/>
            </w:tcBorders>
            <w:vAlign w:val="center"/>
          </w:tcPr>
          <w:p w14:paraId="5C4073BC">
            <w:pPr>
              <w:pStyle w:val="17"/>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投标人不得存在的其他不良状况或不良信用</w:t>
            </w:r>
          </w:p>
        </w:tc>
        <w:tc>
          <w:tcPr>
            <w:tcW w:w="6531" w:type="dxa"/>
            <w:tcBorders>
              <w:top w:val="single" w:color="000000" w:sz="6" w:space="0"/>
            </w:tcBorders>
            <w:vAlign w:val="center"/>
          </w:tcPr>
          <w:p w14:paraId="0369CC83">
            <w:pPr>
              <w:pStyle w:val="17"/>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14:paraId="689B8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63308D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1.10.2</w:t>
            </w:r>
          </w:p>
        </w:tc>
        <w:tc>
          <w:tcPr>
            <w:tcW w:w="2728" w:type="dxa"/>
            <w:vMerge w:val="restart"/>
            <w:vAlign w:val="center"/>
          </w:tcPr>
          <w:p w14:paraId="4BDDA35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投标人在投标预备会前提出问题</w:t>
            </w:r>
          </w:p>
        </w:tc>
        <w:tc>
          <w:tcPr>
            <w:tcW w:w="6531" w:type="dxa"/>
            <w:vAlign w:val="center"/>
          </w:tcPr>
          <w:p w14:paraId="75B0B62C">
            <w:pPr>
              <w:ind w:left="105" w:lef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招标人不组织投标预备会。</w:t>
            </w:r>
          </w:p>
        </w:tc>
      </w:tr>
      <w:tr w14:paraId="60D9D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11786F68">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5DBAF0E7">
            <w:pPr>
              <w:jc w:val="center"/>
              <w:rPr>
                <w:rFonts w:ascii="宋体" w:hAnsi="宋体" w:cs="宋体"/>
                <w:color w:val="000000" w:themeColor="text1"/>
                <w:szCs w:val="21"/>
                <w:highlight w:val="none"/>
                <w14:textFill>
                  <w14:solidFill>
                    <w14:schemeClr w14:val="tx1"/>
                  </w14:solidFill>
                </w14:textFill>
              </w:rPr>
            </w:pPr>
          </w:p>
        </w:tc>
        <w:tc>
          <w:tcPr>
            <w:tcW w:w="6531" w:type="dxa"/>
            <w:vAlign w:val="center"/>
          </w:tcPr>
          <w:p w14:paraId="71E84DF7">
            <w:pPr>
              <w:ind w:left="105" w:leftChars="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1892E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53365D12">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w:t>
            </w:r>
            <w:r>
              <w:rPr>
                <w:rFonts w:hint="eastAsia" w:ascii="宋体" w:hAnsi="宋体" w:cs="宋体"/>
                <w:color w:val="000000" w:themeColor="text1"/>
                <w:szCs w:val="21"/>
                <w:highlight w:val="none"/>
                <w:lang w:val="en-US" w:eastAsia="zh-CN"/>
                <w14:textFill>
                  <w14:solidFill>
                    <w14:schemeClr w14:val="tx1"/>
                  </w14:solidFill>
                </w14:textFill>
              </w:rPr>
              <w:t>.1</w:t>
            </w:r>
          </w:p>
        </w:tc>
        <w:tc>
          <w:tcPr>
            <w:tcW w:w="2728" w:type="dxa"/>
            <w:vAlign w:val="center"/>
          </w:tcPr>
          <w:p w14:paraId="577A462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  包</w:t>
            </w:r>
          </w:p>
        </w:tc>
        <w:tc>
          <w:tcPr>
            <w:tcW w:w="6531" w:type="dxa"/>
            <w:vAlign w:val="center"/>
          </w:tcPr>
          <w:p w14:paraId="7CB396A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不允许</w:t>
            </w:r>
          </w:p>
          <w:p w14:paraId="6CF97B71">
            <w:pP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允许，允许分包的专项工程（或不允许分包的专项工程）：</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166F0857">
            <w:pPr>
              <w:ind w:left="105" w:leftChars="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对分包人的资格要求：</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 xml:space="preserve">    </w:t>
            </w:r>
          </w:p>
        </w:tc>
      </w:tr>
      <w:tr w14:paraId="57B49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6406B37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2728" w:type="dxa"/>
            <w:vAlign w:val="center"/>
          </w:tcPr>
          <w:p w14:paraId="0CAB5C7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构成招标文件的其他资料</w:t>
            </w:r>
          </w:p>
        </w:tc>
        <w:tc>
          <w:tcPr>
            <w:tcW w:w="6531" w:type="dxa"/>
            <w:vAlign w:val="center"/>
          </w:tcPr>
          <w:p w14:paraId="4F489BE9">
            <w:pP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招标文件所附的其他资料</w:t>
            </w:r>
          </w:p>
        </w:tc>
      </w:tr>
      <w:tr w14:paraId="638D7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30270D3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2728" w:type="dxa"/>
            <w:vMerge w:val="restart"/>
            <w:vAlign w:val="center"/>
          </w:tcPr>
          <w:p w14:paraId="7486E8AF">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投标人要求澄清</w:t>
            </w:r>
          </w:p>
          <w:p w14:paraId="4CB1F060">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w:t>
            </w:r>
          </w:p>
        </w:tc>
        <w:tc>
          <w:tcPr>
            <w:tcW w:w="6531" w:type="dxa"/>
            <w:vAlign w:val="center"/>
          </w:tcPr>
          <w:p w14:paraId="2951B7E6">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r>
              <w:rPr>
                <w:rFonts w:hint="eastAsia" w:ascii="宋体" w:hAnsi="宋体" w:cs="宋体"/>
                <w:color w:val="000000" w:themeColor="text1"/>
                <w:kern w:val="0"/>
                <w:szCs w:val="21"/>
                <w:highlight w:val="none"/>
                <w:u w:val="single"/>
                <w14:textFill>
                  <w14:solidFill>
                    <w14:schemeClr w14:val="tx1"/>
                  </w14:solidFill>
                </w14:textFill>
              </w:rPr>
              <w:t>递交投标文件截止之日10天前</w:t>
            </w:r>
          </w:p>
        </w:tc>
      </w:tr>
      <w:tr w14:paraId="6FE4A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3BE2F318">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0050741C">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531" w:type="dxa"/>
            <w:vAlign w:val="center"/>
          </w:tcPr>
          <w:p w14:paraId="0D924E7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形式：投标人在全国公共资源交易平台 （广东省·韶关市）（https://ygp.gdzwfw.gov.cn/ggzy-portal/#/440200/index）</w:t>
            </w:r>
            <w:r>
              <w:rPr>
                <w:rFonts w:hint="eastAsia" w:ascii="宋体" w:hAnsi="宋体" w:cs="宋体"/>
                <w:color w:val="000000" w:themeColor="text1"/>
                <w:szCs w:val="21"/>
                <w:highlight w:val="none"/>
                <w:u w:val="single"/>
                <w14:textFill>
                  <w14:solidFill>
                    <w14:schemeClr w14:val="tx1"/>
                  </w14:solidFill>
                </w14:textFill>
              </w:rPr>
              <w:t>招标答疑栏以不记名方式提出。</w:t>
            </w:r>
          </w:p>
        </w:tc>
      </w:tr>
      <w:tr w14:paraId="08259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F34E89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2728" w:type="dxa"/>
            <w:vAlign w:val="center"/>
          </w:tcPr>
          <w:p w14:paraId="7CEC67E3">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招标文件澄清发出的形式</w:t>
            </w:r>
          </w:p>
        </w:tc>
        <w:tc>
          <w:tcPr>
            <w:tcW w:w="6531" w:type="dxa"/>
            <w:vAlign w:val="center"/>
          </w:tcPr>
          <w:p w14:paraId="7227D19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网站公告：全国公共资源交易平台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w:t>
            </w:r>
          </w:p>
        </w:tc>
      </w:tr>
      <w:tr w14:paraId="3C84A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2DBB12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2728" w:type="dxa"/>
            <w:vMerge w:val="restart"/>
            <w:vAlign w:val="center"/>
          </w:tcPr>
          <w:p w14:paraId="01BFFD6E">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投标人确认收到招标文件澄</w:t>
            </w:r>
          </w:p>
          <w:p w14:paraId="2A968902">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清</w:t>
            </w:r>
          </w:p>
        </w:tc>
        <w:tc>
          <w:tcPr>
            <w:tcW w:w="6531" w:type="dxa"/>
            <w:vAlign w:val="center"/>
          </w:tcPr>
          <w:p w14:paraId="2BAADE43">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14:paraId="0FF94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4A042419">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6E7A506C">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531" w:type="dxa"/>
            <w:vAlign w:val="center"/>
          </w:tcPr>
          <w:p w14:paraId="0D81BE87">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投标人应及时留意浏览网上发出的澄清公告，因投标人自身原因未及时获知澄清内容而导致的任何后果将由投标人自行承担。</w:t>
            </w:r>
          </w:p>
        </w:tc>
      </w:tr>
      <w:tr w14:paraId="61378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E7B77D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2728" w:type="dxa"/>
            <w:vAlign w:val="center"/>
          </w:tcPr>
          <w:p w14:paraId="7FA42440">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招标文件修改发出的形式</w:t>
            </w:r>
          </w:p>
        </w:tc>
        <w:tc>
          <w:tcPr>
            <w:tcW w:w="6531" w:type="dxa"/>
            <w:vAlign w:val="center"/>
          </w:tcPr>
          <w:p w14:paraId="70567A40">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在全国公共资源交易平台 （广东省·韶关市）（https://ygp.gdzwfw.gov.cn/ggzy-portal/#/440200/index）公布。</w:t>
            </w:r>
          </w:p>
        </w:tc>
      </w:tr>
      <w:tr w14:paraId="39B37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548AE4E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2728" w:type="dxa"/>
            <w:vMerge w:val="restart"/>
            <w:vAlign w:val="center"/>
          </w:tcPr>
          <w:p w14:paraId="31782A29">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投标人确认收到招标文件修</w:t>
            </w:r>
          </w:p>
          <w:p w14:paraId="1FADD923">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w:t>
            </w:r>
          </w:p>
        </w:tc>
        <w:tc>
          <w:tcPr>
            <w:tcW w:w="6531" w:type="dxa"/>
            <w:vAlign w:val="center"/>
          </w:tcPr>
          <w:p w14:paraId="189E2673">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14:paraId="55A5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26DDFAAF">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203F9DB4">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531" w:type="dxa"/>
            <w:vAlign w:val="center"/>
          </w:tcPr>
          <w:p w14:paraId="45406184">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投标人应及时留意浏览网上发出的修改公告，因投标人自身原因未及时获知修改内容而导致的任何后果将由投标人自行承担。</w:t>
            </w:r>
          </w:p>
        </w:tc>
      </w:tr>
      <w:tr w14:paraId="5EFAA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5E635F8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14:paraId="318E9B6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投标文件密封形式</w:t>
            </w:r>
          </w:p>
        </w:tc>
        <w:tc>
          <w:tcPr>
            <w:tcW w:w="6531" w:type="dxa"/>
            <w:vAlign w:val="center"/>
          </w:tcPr>
          <w:p w14:paraId="50086413">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☑双信封</w:t>
            </w:r>
          </w:p>
          <w:p w14:paraId="504E1439">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□单信封</w:t>
            </w:r>
          </w:p>
        </w:tc>
      </w:tr>
      <w:tr w14:paraId="5B822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D11C73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14:paraId="0AD592A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构成投标文件的其他资料</w:t>
            </w:r>
          </w:p>
        </w:tc>
        <w:tc>
          <w:tcPr>
            <w:tcW w:w="6531" w:type="dxa"/>
            <w:vAlign w:val="center"/>
          </w:tcPr>
          <w:p w14:paraId="4BF7FFF3">
            <w:pPr>
              <w:ind w:left="105" w:leftChars="50"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5D2E8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1CEECD1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14:paraId="1DD0E68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增值税税金计算方法</w:t>
            </w:r>
          </w:p>
        </w:tc>
        <w:tc>
          <w:tcPr>
            <w:tcW w:w="6531" w:type="dxa"/>
            <w:vAlign w:val="center"/>
          </w:tcPr>
          <w:p w14:paraId="07C7CFEB">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按国家、省、市现行规定执行</w:t>
            </w:r>
          </w:p>
        </w:tc>
      </w:tr>
      <w:tr w14:paraId="762C3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65416A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14:paraId="5DE19ED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工程量清单的填写方式</w:t>
            </w:r>
          </w:p>
        </w:tc>
        <w:tc>
          <w:tcPr>
            <w:tcW w:w="6531" w:type="dxa"/>
            <w:vAlign w:val="center"/>
          </w:tcPr>
          <w:p w14:paraId="6F6C47BF">
            <w:pPr>
              <w:pStyle w:val="80"/>
              <w:spacing w:line="359" w:lineRule="exact"/>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投标人按照招标人</w:t>
            </w:r>
            <w:r>
              <w:rPr>
                <w:rFonts w:hint="eastAsia" w:ascii="宋体" w:hAnsi="宋体" w:cs="宋体"/>
                <w:color w:val="000000" w:themeColor="text1"/>
                <w:spacing w:val="2"/>
                <w:szCs w:val="21"/>
                <w:highlight w:val="none"/>
                <w14:textFill>
                  <w14:solidFill>
                    <w14:schemeClr w14:val="tx1"/>
                  </w14:solidFill>
                </w14:textFill>
              </w:rPr>
              <w:t>提</w:t>
            </w:r>
            <w:r>
              <w:rPr>
                <w:rFonts w:hint="eastAsia" w:ascii="宋体" w:hAnsi="宋体" w:cs="宋体"/>
                <w:color w:val="000000" w:themeColor="text1"/>
                <w:szCs w:val="21"/>
                <w:highlight w:val="none"/>
                <w14:textFill>
                  <w14:solidFill>
                    <w14:schemeClr w14:val="tx1"/>
                  </w14:solidFill>
                </w14:textFill>
              </w:rPr>
              <w:t>供的工程</w:t>
            </w:r>
            <w:r>
              <w:rPr>
                <w:rFonts w:hint="eastAsia" w:ascii="宋体" w:hAnsi="宋体" w:cs="宋体"/>
                <w:color w:val="000000" w:themeColor="text1"/>
                <w:spacing w:val="2"/>
                <w:szCs w:val="21"/>
                <w:highlight w:val="none"/>
                <w14:textFill>
                  <w14:solidFill>
                    <w14:schemeClr w14:val="tx1"/>
                  </w14:solidFill>
                </w14:textFill>
              </w:rPr>
              <w:t>量</w:t>
            </w:r>
            <w:r>
              <w:rPr>
                <w:rFonts w:hint="eastAsia" w:ascii="宋体" w:hAnsi="宋体" w:cs="宋体"/>
                <w:color w:val="000000" w:themeColor="text1"/>
                <w:szCs w:val="21"/>
                <w:highlight w:val="none"/>
                <w14:textFill>
                  <w14:solidFill>
                    <w14:schemeClr w14:val="tx1"/>
                  </w14:solidFill>
                </w14:textFill>
              </w:rPr>
              <w:t>固化清单</w:t>
            </w:r>
            <w:r>
              <w:rPr>
                <w:rFonts w:hint="eastAsia" w:ascii="宋体" w:hAnsi="宋体" w:cs="宋体"/>
                <w:color w:val="000000" w:themeColor="text1"/>
                <w:spacing w:val="2"/>
                <w:szCs w:val="21"/>
                <w:highlight w:val="none"/>
                <w14:textFill>
                  <w14:solidFill>
                    <w14:schemeClr w14:val="tx1"/>
                  </w14:solidFill>
                </w14:textFill>
              </w:rPr>
              <w:t>电</w:t>
            </w:r>
            <w:r>
              <w:rPr>
                <w:rFonts w:hint="eastAsia" w:ascii="宋体" w:hAnsi="宋体" w:cs="宋体"/>
                <w:color w:val="000000" w:themeColor="text1"/>
                <w:szCs w:val="21"/>
                <w:highlight w:val="none"/>
                <w14:textFill>
                  <w14:solidFill>
                    <w14:schemeClr w14:val="tx1"/>
                  </w14:solidFill>
                </w14:textFill>
              </w:rPr>
              <w:t>子文件填写工程量清单，下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p w14:paraId="6B32D3B5">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☑投标人按照招标人提供的书面工程量清单填写工程量清单，下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tc>
      </w:tr>
      <w:tr w14:paraId="30D8F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945010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w:t>
            </w:r>
          </w:p>
        </w:tc>
        <w:tc>
          <w:tcPr>
            <w:tcW w:w="2728" w:type="dxa"/>
            <w:vAlign w:val="center"/>
          </w:tcPr>
          <w:p w14:paraId="276FAF7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6531" w:type="dxa"/>
            <w:vAlign w:val="center"/>
          </w:tcPr>
          <w:p w14:paraId="4E5E9698">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p>
          <w:p w14:paraId="0BAE7868">
            <w:pPr>
              <w:ind w:left="113" w:right="-11" w:righ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w:t>
            </w:r>
          </w:p>
        </w:tc>
      </w:tr>
      <w:tr w14:paraId="33BC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1DBABA2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w:t>
            </w:r>
          </w:p>
        </w:tc>
        <w:tc>
          <w:tcPr>
            <w:tcW w:w="2728" w:type="dxa"/>
            <w:vAlign w:val="center"/>
          </w:tcPr>
          <w:p w14:paraId="255387A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是否接受调价函</w:t>
            </w:r>
          </w:p>
        </w:tc>
        <w:tc>
          <w:tcPr>
            <w:tcW w:w="6531" w:type="dxa"/>
            <w:vAlign w:val="center"/>
          </w:tcPr>
          <w:p w14:paraId="40870909">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14:paraId="79DEA2A0">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☑否</w:t>
            </w:r>
          </w:p>
        </w:tc>
      </w:tr>
      <w:tr w14:paraId="2FF5C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3D7F181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3.2.8</w:t>
            </w:r>
          </w:p>
        </w:tc>
        <w:tc>
          <w:tcPr>
            <w:tcW w:w="2728" w:type="dxa"/>
            <w:vAlign w:val="center"/>
          </w:tcPr>
          <w:p w14:paraId="71C9B2E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最高投标限价</w:t>
            </w:r>
          </w:p>
        </w:tc>
        <w:tc>
          <w:tcPr>
            <w:tcW w:w="6531" w:type="dxa"/>
            <w:vAlign w:val="center"/>
          </w:tcPr>
          <w:p w14:paraId="6899A892">
            <w:pPr>
              <w:ind w:right="113"/>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本</w:t>
            </w:r>
            <w:r>
              <w:rPr>
                <w:rFonts w:hint="eastAsia" w:ascii="宋体" w:hAnsi="宋体" w:cs="宋体"/>
                <w:b/>
                <w:bCs/>
                <w:color w:val="000000" w:themeColor="text1"/>
                <w:szCs w:val="21"/>
                <w:highlight w:val="none"/>
                <w14:textFill>
                  <w14:solidFill>
                    <w14:schemeClr w14:val="tx1"/>
                  </w14:solidFill>
                </w14:textFill>
              </w:rPr>
              <w:t>项目最高投标限价为：</w:t>
            </w:r>
            <w:r>
              <w:rPr>
                <w:rFonts w:hint="eastAsia" w:ascii="宋体" w:hAnsi="宋体" w:cs="宋体"/>
                <w:b/>
                <w:bCs/>
                <w:color w:val="000000" w:themeColor="text1"/>
                <w:szCs w:val="21"/>
                <w:highlight w:val="none"/>
                <w:u w:val="single"/>
                <w:lang w:eastAsia="zh-CN"/>
                <w14:textFill>
                  <w14:solidFill>
                    <w14:schemeClr w14:val="tx1"/>
                  </w14:solidFill>
                </w14:textFill>
              </w:rPr>
              <w:t>柒佰陆拾柒万贰仟陆佰伍拾捌元整</w:t>
            </w:r>
            <w:r>
              <w:rPr>
                <w:rFonts w:hint="eastAsia" w:ascii="宋体" w:hAnsi="宋体" w:cs="宋体"/>
                <w:b/>
                <w:bCs/>
                <w:color w:val="000000" w:themeColor="text1"/>
                <w:szCs w:val="21"/>
                <w:highlight w:val="none"/>
                <w:u w:val="single"/>
                <w14:textFill>
                  <w14:solidFill>
                    <w14:schemeClr w14:val="tx1"/>
                  </w14:solidFill>
                </w14:textFill>
              </w:rPr>
              <w:t>（¥</w:t>
            </w:r>
            <w:r>
              <w:rPr>
                <w:rFonts w:hint="eastAsia" w:ascii="宋体" w:hAnsi="宋体" w:cs="宋体"/>
                <w:b/>
                <w:bCs/>
                <w:color w:val="000000" w:themeColor="text1"/>
                <w:szCs w:val="21"/>
                <w:highlight w:val="none"/>
                <w:u w:val="single"/>
                <w:lang w:val="en-US" w:eastAsia="zh-CN"/>
                <w14:textFill>
                  <w14:solidFill>
                    <w14:schemeClr w14:val="tx1"/>
                  </w14:solidFill>
                </w14:textFill>
              </w:rPr>
              <w:t>7672658</w:t>
            </w:r>
            <w:r>
              <w:rPr>
                <w:rFonts w:hint="eastAsia" w:ascii="宋体" w:hAnsi="宋体" w:cs="宋体"/>
                <w:b/>
                <w:bCs/>
                <w:color w:val="000000" w:themeColor="text1"/>
                <w:szCs w:val="21"/>
                <w:highlight w:val="none"/>
                <w:u w:val="single"/>
                <w14:textFill>
                  <w14:solidFill>
                    <w14:schemeClr w14:val="tx1"/>
                  </w14:solidFill>
                </w14:textFill>
              </w:rPr>
              <w:t>元）</w:t>
            </w:r>
            <w:r>
              <w:rPr>
                <w:rFonts w:hint="eastAsia" w:ascii="宋体" w:hAnsi="宋体" w:cs="宋体"/>
                <w:b/>
                <w:bCs/>
                <w:color w:val="000000" w:themeColor="text1"/>
                <w:szCs w:val="21"/>
                <w:highlight w:val="none"/>
                <w:u w:val="single"/>
                <w:lang w:eastAsia="zh-CN"/>
                <w14:textFill>
                  <w14:solidFill>
                    <w14:schemeClr w14:val="tx1"/>
                  </w14:solidFill>
                </w14:textFill>
              </w:rPr>
              <w:t>，其中</w:t>
            </w:r>
            <w:r>
              <w:rPr>
                <w:rFonts w:hint="eastAsia" w:ascii="宋体" w:hAnsi="宋体" w:cs="宋体"/>
                <w:b/>
                <w:bCs/>
                <w:color w:val="000000" w:themeColor="text1"/>
                <w:szCs w:val="21"/>
                <w:highlight w:val="none"/>
                <w:u w:val="single"/>
                <w14:textFill>
                  <w14:solidFill>
                    <w14:schemeClr w14:val="tx1"/>
                  </w14:solidFill>
                </w14:textFill>
              </w:rPr>
              <w:t>暂列金额(统一报价)为：¥</w:t>
            </w:r>
            <w:r>
              <w:rPr>
                <w:rFonts w:hint="eastAsia" w:ascii="宋体" w:hAnsi="宋体" w:cs="宋体"/>
                <w:b/>
                <w:bCs/>
                <w:color w:val="000000" w:themeColor="text1"/>
                <w:szCs w:val="21"/>
                <w:highlight w:val="none"/>
                <w:u w:val="single"/>
                <w:lang w:val="en-US" w:eastAsia="zh-CN"/>
                <w14:textFill>
                  <w14:solidFill>
                    <w14:schemeClr w14:val="tx1"/>
                  </w14:solidFill>
                </w14:textFill>
              </w:rPr>
              <w:t>200000</w:t>
            </w:r>
            <w:r>
              <w:rPr>
                <w:rFonts w:hint="eastAsia" w:ascii="宋体" w:hAnsi="宋体" w:cs="宋体"/>
                <w:b/>
                <w:bCs/>
                <w:color w:val="000000" w:themeColor="text1"/>
                <w:szCs w:val="21"/>
                <w:highlight w:val="none"/>
                <w:u w:val="single"/>
                <w14:textFill>
                  <w14:solidFill>
                    <w14:schemeClr w14:val="tx1"/>
                  </w14:solidFill>
                </w14:textFill>
              </w:rPr>
              <w:t>元</w:t>
            </w:r>
            <w:r>
              <w:rPr>
                <w:rFonts w:hint="eastAsia" w:ascii="宋体" w:hAnsi="宋体" w:cs="宋体"/>
                <w:b/>
                <w:bCs/>
                <w:color w:val="000000" w:themeColor="text1"/>
                <w:szCs w:val="21"/>
                <w:highlight w:val="none"/>
                <w:u w:val="single"/>
                <w:lang w:eastAsia="zh-CN"/>
                <w14:textFill>
                  <w14:solidFill>
                    <w14:schemeClr w14:val="tx1"/>
                  </w14:solidFill>
                </w14:textFill>
              </w:rPr>
              <w:t>。</w:t>
            </w:r>
          </w:p>
        </w:tc>
      </w:tr>
      <w:tr w14:paraId="031ED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362E636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3.2.9</w:t>
            </w:r>
          </w:p>
        </w:tc>
        <w:tc>
          <w:tcPr>
            <w:tcW w:w="2728" w:type="dxa"/>
            <w:vAlign w:val="center"/>
          </w:tcPr>
          <w:p w14:paraId="4B750A2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投标报价其他要求</w:t>
            </w:r>
          </w:p>
        </w:tc>
        <w:tc>
          <w:tcPr>
            <w:tcW w:w="6531" w:type="dxa"/>
            <w:vAlign w:val="center"/>
          </w:tcPr>
          <w:p w14:paraId="7DD3B03D">
            <w:pPr>
              <w:ind w:left="113"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23807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3C11CDB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2728" w:type="dxa"/>
            <w:vAlign w:val="center"/>
          </w:tcPr>
          <w:p w14:paraId="1423B3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6531" w:type="dxa"/>
            <w:vAlign w:val="center"/>
          </w:tcPr>
          <w:p w14:paraId="1CB2D509">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自投标人提交投标文件截止之日起计算90日</w:t>
            </w:r>
          </w:p>
        </w:tc>
      </w:tr>
      <w:tr w14:paraId="3459F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1E8E325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14:paraId="6B05BAEC">
            <w:pPr>
              <w:pStyle w:val="5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投标保证金</w:t>
            </w:r>
          </w:p>
        </w:tc>
        <w:tc>
          <w:tcPr>
            <w:tcW w:w="6531" w:type="dxa"/>
            <w:tcBorders>
              <w:top w:val="single" w:color="000000" w:sz="4" w:space="0"/>
              <w:left w:val="single" w:color="000000" w:sz="4" w:space="0"/>
              <w:bottom w:val="single" w:color="000000" w:sz="4" w:space="0"/>
              <w:right w:val="single" w:color="000000" w:sz="12" w:space="0"/>
            </w:tcBorders>
            <w:vAlign w:val="center"/>
          </w:tcPr>
          <w:p w14:paraId="5B09EA45">
            <w:pPr>
              <w:pStyle w:val="80"/>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是否要求投标人递交投标保证金：</w:t>
            </w:r>
          </w:p>
          <w:p w14:paraId="630BA000">
            <w:pPr>
              <w:pStyle w:val="57"/>
              <w:spacing w:line="400" w:lineRule="exact"/>
              <w:ind w:firstLine="105" w:firstLineChars="5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☑要求，投标保证金为人民币：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cs="宋体"/>
                <w:color w:val="000000" w:themeColor="text1"/>
                <w:sz w:val="21"/>
                <w:szCs w:val="21"/>
                <w:highlight w:val="none"/>
                <w:u w:val="single"/>
                <w14:textFill>
                  <w14:solidFill>
                    <w14:schemeClr w14:val="tx1"/>
                  </w14:solidFill>
                </w14:textFill>
              </w:rPr>
              <w:t>万元</w:t>
            </w:r>
            <w:r>
              <w:rPr>
                <w:rFonts w:hint="eastAsia" w:ascii="宋体" w:hAnsi="宋体" w:cs="宋体"/>
                <w:color w:val="000000" w:themeColor="text1"/>
                <w:sz w:val="21"/>
                <w:szCs w:val="21"/>
                <w:highlight w:val="none"/>
                <w14:textFill>
                  <w14:solidFill>
                    <w14:schemeClr w14:val="tx1"/>
                  </w14:solidFill>
                </w14:textFill>
              </w:rPr>
              <w:t>。</w:t>
            </w:r>
          </w:p>
          <w:p w14:paraId="02DDC2B5">
            <w:pPr>
              <w:pStyle w:val="57"/>
              <w:spacing w:line="400" w:lineRule="exact"/>
              <w:ind w:firstLine="105" w:firstLineChars="5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投标保证金的有关说明： </w:t>
            </w:r>
          </w:p>
          <w:p w14:paraId="4D2B6BE6">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1、投标保证的形式包括投标保证金、投标保证担保、投标保证保险三种，由投标人自主选择。</w:t>
            </w:r>
          </w:p>
          <w:p w14:paraId="5FD574A5">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14:paraId="46A474BA">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用投标保证担保的，投标人应提交有效的银行保函，银行保函的有效期不得短于投标有效期。投标人必须在投标保证担保截止时间（见“重要事项时间地点一览表””）前，在交易平台完成网上办理电子保函。</w:t>
            </w:r>
          </w:p>
          <w:p w14:paraId="3554BE90">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采用投标保证保险的，投标人须在投标保证保险投保截止时间（见“重要事项时间地点一览表””）前，在交易平台完成网上投保。投标人可在交易平台选择保险机构、录入投保信息、支付保费、打印电子保单，电子保单的有效期不得短于投标有效期。</w:t>
            </w:r>
          </w:p>
          <w:p w14:paraId="6BEC2D12">
            <w:pPr>
              <w:pStyle w:val="80"/>
              <w:spacing w:line="420" w:lineRule="exact"/>
              <w:ind w:right="136"/>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B137787">
            <w:pPr>
              <w:pStyle w:val="5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□不要求</w:t>
            </w:r>
          </w:p>
        </w:tc>
      </w:tr>
      <w:tr w14:paraId="594D5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7CF3A38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14:paraId="54F71614">
            <w:pPr>
              <w:pStyle w:val="80"/>
              <w:ind w:left="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投标保证金的利息计算原则</w:t>
            </w:r>
          </w:p>
        </w:tc>
        <w:tc>
          <w:tcPr>
            <w:tcW w:w="6531" w:type="dxa"/>
            <w:tcBorders>
              <w:top w:val="single" w:color="000000" w:sz="4" w:space="0"/>
              <w:left w:val="single" w:color="000000" w:sz="4" w:space="0"/>
              <w:bottom w:val="single" w:color="000000" w:sz="4" w:space="0"/>
              <w:right w:val="single" w:color="000000" w:sz="12" w:space="0"/>
            </w:tcBorders>
            <w:vAlign w:val="center"/>
          </w:tcPr>
          <w:p w14:paraId="4A2E42E0">
            <w:pPr>
              <w:pStyle w:val="80"/>
              <w:ind w:left="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利息退还方式按韶关市公共资源交易中心相关规定办理。</w:t>
            </w:r>
          </w:p>
        </w:tc>
      </w:tr>
      <w:tr w14:paraId="5F3E6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028CA85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14:paraId="07FC6669">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其他可以不予退还投标保证金的情形</w:t>
            </w:r>
          </w:p>
        </w:tc>
        <w:tc>
          <w:tcPr>
            <w:tcW w:w="6531" w:type="dxa"/>
            <w:tcBorders>
              <w:top w:val="single" w:color="000000" w:sz="4" w:space="0"/>
              <w:left w:val="single" w:color="000000" w:sz="4" w:space="0"/>
              <w:bottom w:val="single" w:color="000000" w:sz="4" w:space="0"/>
              <w:right w:val="single" w:color="000000" w:sz="12" w:space="0"/>
            </w:tcBorders>
            <w:vAlign w:val="center"/>
          </w:tcPr>
          <w:p w14:paraId="725B8246">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（4）串通投标；或</w:t>
            </w:r>
          </w:p>
          <w:p w14:paraId="5D9B2A93">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（5）评标、中标候选人公示、签订合同前等环节因作假而被取消中标资格；或</w:t>
            </w:r>
          </w:p>
          <w:p w14:paraId="23B255D3">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（6）因投诉属实取消投标资格的；或</w:t>
            </w:r>
          </w:p>
          <w:p w14:paraId="741DC102">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（7）其他违反规定、妨碍公平竞争准则的行为；或</w:t>
            </w:r>
          </w:p>
          <w:p w14:paraId="37BCEF78">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14:paraId="59AE6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5AD821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2728" w:type="dxa"/>
            <w:tcBorders>
              <w:top w:val="single" w:color="000000" w:sz="4" w:space="0"/>
              <w:left w:val="single" w:color="000000" w:sz="4" w:space="0"/>
              <w:bottom w:val="single" w:color="000000" w:sz="4" w:space="0"/>
              <w:right w:val="single" w:color="000000" w:sz="4" w:space="0"/>
            </w:tcBorders>
            <w:vAlign w:val="center"/>
          </w:tcPr>
          <w:p w14:paraId="7ACC09C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5C94B82E">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14:paraId="1E2027DF">
            <w:pPr>
              <w:ind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☑有，具体要求：投标人提供的各类证照复印件均指彩色扫描件或彩色复印件，其他资料的复印件可为黑白扫描或黑白复印件。</w:t>
            </w:r>
          </w:p>
        </w:tc>
      </w:tr>
      <w:tr w14:paraId="10A3494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64C55DE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14:paraId="4EFFC543">
            <w:pPr>
              <w:adjustRightInd w:val="0"/>
              <w:snapToGrid w:val="0"/>
              <w:ind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近年财务状况的年份要求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0F47E4A2">
            <w:pPr>
              <w:adjustRightInd w:val="0"/>
              <w:snapToGrid w:val="0"/>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年～ 202</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年（近三个年度）</w:t>
            </w:r>
          </w:p>
        </w:tc>
      </w:tr>
      <w:tr w14:paraId="219DD6A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51C030D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14:paraId="4DB57FB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近年完成的类似项目情况的时间要求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3FB49D7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2019年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月1日</w:t>
            </w:r>
            <w:r>
              <w:rPr>
                <w:rFonts w:hint="eastAsia" w:ascii="宋体" w:hAnsi="宋体" w:cs="宋体"/>
                <w:color w:val="000000" w:themeColor="text1"/>
                <w:kern w:val="0"/>
                <w:szCs w:val="21"/>
                <w:highlight w:val="none"/>
                <w14:textFill>
                  <w14:solidFill>
                    <w14:schemeClr w14:val="tx1"/>
                  </w14:solidFill>
                </w14:textFill>
              </w:rPr>
              <w:t>至</w:t>
            </w:r>
            <w:r>
              <w:rPr>
                <w:rFonts w:hint="eastAsia" w:ascii="宋体" w:hAnsi="宋体" w:cs="宋体"/>
                <w:color w:val="000000" w:themeColor="text1"/>
                <w:szCs w:val="21"/>
                <w:highlight w:val="none"/>
                <w14:textFill>
                  <w14:solidFill>
                    <w14:schemeClr w14:val="tx1"/>
                  </w14:solidFill>
                </w14:textFill>
              </w:rPr>
              <w:t>投标文件递交截止之日止（近五年）以“全国公路建设市场监督管理系统”上的交工验收或未交工验收一次性竣工验收的时间为准。</w:t>
            </w:r>
          </w:p>
        </w:tc>
      </w:tr>
      <w:tr w14:paraId="469BC33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683A2F2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14:paraId="1608923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6531" w:type="dxa"/>
            <w:tcBorders>
              <w:top w:val="single" w:color="000000" w:sz="4" w:space="0"/>
              <w:left w:val="single" w:color="000000" w:sz="4" w:space="0"/>
              <w:bottom w:val="single" w:color="000000" w:sz="4" w:space="0"/>
              <w:right w:val="single" w:color="000000" w:sz="12" w:space="0"/>
            </w:tcBorders>
            <w:vAlign w:val="center"/>
          </w:tcPr>
          <w:p w14:paraId="4246E7AA">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不允许</w:t>
            </w:r>
          </w:p>
          <w:p w14:paraId="2E79B3C0">
            <w:pPr>
              <w:ind w:right="113" w:firstLine="1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5C8D426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3572A2F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14:paraId="1F160C80">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投标文件副本份数及其他要求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584FC6EB">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14:paraId="6A4250C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1D3C346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14:paraId="606C73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装订的其他要求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01125613">
            <w:pPr>
              <w:pStyle w:val="57"/>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r w14:paraId="3645627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0BD5AEA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14:paraId="3580E185">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封套上应载明的信息</w:t>
            </w:r>
          </w:p>
        </w:tc>
        <w:tc>
          <w:tcPr>
            <w:tcW w:w="6531" w:type="dxa"/>
            <w:tcBorders>
              <w:top w:val="single" w:color="000000" w:sz="4" w:space="0"/>
              <w:left w:val="single" w:color="000000" w:sz="4" w:space="0"/>
              <w:bottom w:val="single" w:color="000000" w:sz="4" w:space="0"/>
              <w:right w:val="single" w:color="000000" w:sz="12" w:space="0"/>
            </w:tcBorders>
            <w:vAlign w:val="center"/>
          </w:tcPr>
          <w:p w14:paraId="17C9A01C">
            <w:pPr>
              <w:pStyle w:val="80"/>
              <w:tabs>
                <w:tab w:val="left" w:pos="733"/>
                <w:tab w:val="left" w:pos="2587"/>
              </w:tabs>
              <w:spacing w:before="85" w:line="314" w:lineRule="auto"/>
              <w:ind w:right="10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14:paraId="722BC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6C9B0C2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2728" w:type="dxa"/>
            <w:tcBorders>
              <w:top w:val="single" w:color="auto" w:sz="4" w:space="0"/>
              <w:left w:val="single" w:color="auto" w:sz="4" w:space="0"/>
              <w:bottom w:val="single" w:color="auto" w:sz="4" w:space="0"/>
              <w:right w:val="single" w:color="auto" w:sz="4" w:space="0"/>
            </w:tcBorders>
            <w:vAlign w:val="center"/>
          </w:tcPr>
          <w:p w14:paraId="5926178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是否退还投标文件</w:t>
            </w:r>
          </w:p>
        </w:tc>
        <w:tc>
          <w:tcPr>
            <w:tcW w:w="6531" w:type="dxa"/>
            <w:tcBorders>
              <w:top w:val="single" w:color="auto" w:sz="4" w:space="0"/>
              <w:left w:val="single" w:color="auto" w:sz="4" w:space="0"/>
              <w:bottom w:val="single" w:color="auto" w:sz="4" w:space="0"/>
              <w:right w:val="single" w:color="auto" w:sz="12" w:space="0"/>
            </w:tcBorders>
            <w:vAlign w:val="center"/>
          </w:tcPr>
          <w:p w14:paraId="7C47407E">
            <w:pPr>
              <w:spacing w:line="276" w:lineRule="auto"/>
              <w:ind w:right="118" w:rightChars="5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p w14:paraId="5C45489F">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□是，退还时间：</w:t>
            </w:r>
          </w:p>
        </w:tc>
      </w:tr>
      <w:tr w14:paraId="25D64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0522D5E3">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2728" w:type="dxa"/>
            <w:tcBorders>
              <w:top w:val="single" w:color="auto" w:sz="4" w:space="0"/>
              <w:left w:val="single" w:color="auto" w:sz="4" w:space="0"/>
              <w:bottom w:val="single" w:color="auto" w:sz="4" w:space="0"/>
              <w:right w:val="single" w:color="auto" w:sz="4" w:space="0"/>
            </w:tcBorders>
            <w:vAlign w:val="center"/>
          </w:tcPr>
          <w:p w14:paraId="568FB699">
            <w:pPr>
              <w:autoSpaceDE w:val="0"/>
              <w:autoSpaceDN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开标时间和地点</w:t>
            </w:r>
          </w:p>
        </w:tc>
        <w:tc>
          <w:tcPr>
            <w:tcW w:w="6531" w:type="dxa"/>
            <w:tcBorders>
              <w:top w:val="single" w:color="auto" w:sz="4" w:space="0"/>
              <w:left w:val="single" w:color="auto" w:sz="4" w:space="0"/>
              <w:bottom w:val="single" w:color="auto" w:sz="4" w:space="0"/>
              <w:right w:val="single" w:color="auto" w:sz="12" w:space="0"/>
            </w:tcBorders>
            <w:vAlign w:val="center"/>
          </w:tcPr>
          <w:p w14:paraId="53173707">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投标文件第一信封（商务及技术文件）</w:t>
            </w:r>
            <w:r>
              <w:rPr>
                <w:rFonts w:hint="eastAsia" w:ascii="宋体" w:hAnsi="宋体" w:cs="宋体"/>
                <w:color w:val="000000" w:themeColor="text1"/>
                <w:kern w:val="0"/>
                <w:szCs w:val="21"/>
                <w:highlight w:val="none"/>
                <w14:textFill>
                  <w14:solidFill>
                    <w14:schemeClr w14:val="tx1"/>
                  </w14:solidFill>
                </w14:textFill>
              </w:rPr>
              <w:t>开标时间：同投标截止时间</w:t>
            </w:r>
          </w:p>
          <w:p w14:paraId="0D753A95">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开标地点：韶关市公共资源交易中心，地址：广东省韶关市武江区西联镇，具体房间号以当日现场通知为准。</w:t>
            </w:r>
          </w:p>
          <w:p w14:paraId="275B5853">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投标文件第二信封（报价文件）开标时间</w:t>
            </w:r>
            <w:r>
              <w:rPr>
                <w:rFonts w:hint="eastAsia" w:ascii="宋体" w:hAnsi="宋体" w:cs="宋体"/>
                <w:color w:val="000000" w:themeColor="text1"/>
                <w:kern w:val="0"/>
                <w:szCs w:val="21"/>
                <w:highlight w:val="none"/>
                <w14:textFill>
                  <w14:solidFill>
                    <w14:schemeClr w14:val="tx1"/>
                  </w14:solidFill>
                </w14:textFill>
              </w:rPr>
              <w:t>：同投标截止时间，且在宣布通过商务文件和技术文件的投标人名单后。</w:t>
            </w:r>
          </w:p>
          <w:p w14:paraId="4D8FD6F6">
            <w:pPr>
              <w:autoSpaceDE w:val="0"/>
              <w:autoSpaceDN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开标地点：韶关市公共资源交易中心，地址：广东省韶关市武江区西联镇，具体房间号以当日现场通知为准。</w:t>
            </w:r>
          </w:p>
        </w:tc>
      </w:tr>
      <w:tr w14:paraId="58300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42A6087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2728" w:type="dxa"/>
            <w:tcBorders>
              <w:top w:val="single" w:color="auto" w:sz="4" w:space="0"/>
              <w:left w:val="single" w:color="auto" w:sz="4" w:space="0"/>
              <w:bottom w:val="single" w:color="auto" w:sz="4" w:space="0"/>
              <w:right w:val="single" w:color="auto" w:sz="4" w:space="0"/>
            </w:tcBorders>
            <w:vAlign w:val="center"/>
          </w:tcPr>
          <w:p w14:paraId="5EF7ECDD">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第一个信封（商务及技术文件）开标程序</w:t>
            </w:r>
          </w:p>
        </w:tc>
        <w:tc>
          <w:tcPr>
            <w:tcW w:w="6531" w:type="dxa"/>
            <w:tcBorders>
              <w:top w:val="single" w:color="auto" w:sz="4" w:space="0"/>
              <w:left w:val="single" w:color="auto" w:sz="4" w:space="0"/>
              <w:bottom w:val="single" w:color="auto" w:sz="4" w:space="0"/>
              <w:right w:val="single" w:color="auto" w:sz="12" w:space="0"/>
            </w:tcBorders>
            <w:vAlign w:val="center"/>
          </w:tcPr>
          <w:p w14:paraId="3252A221">
            <w:pPr>
              <w:autoSpaceDE w:val="0"/>
              <w:autoSpaceDN w:val="0"/>
              <w:spacing w:line="360" w:lineRule="exac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14:paraId="2780539C">
            <w:pPr>
              <w:autoSpaceDE w:val="0"/>
              <w:autoSpaceDN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对投标截止时间前上传的电子投标文件随机开标，先对投标文件第一信封（商务及技术文件）进行开标，并检查投标保证。</w:t>
            </w:r>
          </w:p>
        </w:tc>
      </w:tr>
      <w:tr w14:paraId="7696F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114B0E8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5.2.3</w:t>
            </w:r>
          </w:p>
        </w:tc>
        <w:tc>
          <w:tcPr>
            <w:tcW w:w="2728" w:type="dxa"/>
            <w:tcBorders>
              <w:top w:val="single" w:color="auto" w:sz="4" w:space="0"/>
              <w:left w:val="single" w:color="auto" w:sz="4" w:space="0"/>
              <w:bottom w:val="single" w:color="auto" w:sz="4" w:space="0"/>
              <w:right w:val="single" w:color="auto" w:sz="4" w:space="0"/>
            </w:tcBorders>
            <w:vAlign w:val="center"/>
          </w:tcPr>
          <w:p w14:paraId="70AEDB2E">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第二个信封（报价文件）开标程序</w:t>
            </w:r>
          </w:p>
        </w:tc>
        <w:tc>
          <w:tcPr>
            <w:tcW w:w="6531" w:type="dxa"/>
            <w:tcBorders>
              <w:top w:val="single" w:color="auto" w:sz="4" w:space="0"/>
              <w:left w:val="single" w:color="auto" w:sz="4" w:space="0"/>
              <w:bottom w:val="single" w:color="auto" w:sz="4" w:space="0"/>
              <w:right w:val="single" w:color="auto" w:sz="12" w:space="0"/>
            </w:tcBorders>
            <w:vAlign w:val="center"/>
          </w:tcPr>
          <w:p w14:paraId="73C247E3">
            <w:pPr>
              <w:autoSpaceDE w:val="0"/>
              <w:autoSpaceDN w:val="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14:paraId="04CC4B14">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通过了投标文件第一信封（商务及技术文件）评审（是指第一信封（商务及技术文件）通过了评标办法规定的资格审查和初步评审，未出现废标情况）的投标人的电子投标文件第二信封（报价文件）进行随机开标。</w:t>
            </w:r>
          </w:p>
        </w:tc>
      </w:tr>
      <w:tr w14:paraId="4DFD1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5229456A">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2728" w:type="dxa"/>
            <w:tcBorders>
              <w:top w:val="single" w:color="auto" w:sz="4" w:space="0"/>
              <w:left w:val="single" w:color="auto" w:sz="4" w:space="0"/>
              <w:bottom w:val="single" w:color="auto" w:sz="4" w:space="0"/>
              <w:right w:val="single" w:color="auto" w:sz="4" w:space="0"/>
            </w:tcBorders>
            <w:vAlign w:val="center"/>
          </w:tcPr>
          <w:p w14:paraId="66560EAB">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评标委员会的组建</w:t>
            </w:r>
          </w:p>
        </w:tc>
        <w:tc>
          <w:tcPr>
            <w:tcW w:w="6531" w:type="dxa"/>
            <w:tcBorders>
              <w:top w:val="single" w:color="auto" w:sz="4" w:space="0"/>
              <w:left w:val="single" w:color="auto" w:sz="4" w:space="0"/>
              <w:bottom w:val="single" w:color="auto" w:sz="4" w:space="0"/>
              <w:right w:val="single" w:color="auto" w:sz="12" w:space="0"/>
            </w:tcBorders>
            <w:vAlign w:val="center"/>
          </w:tcPr>
          <w:p w14:paraId="5037977B">
            <w:pPr>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评标委员会构成：</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color w:val="000000" w:themeColor="text1"/>
                <w:szCs w:val="21"/>
                <w:highlight w:val="none"/>
                <w:u w:val="single"/>
                <w14:textFill>
                  <w14:solidFill>
                    <w14:schemeClr w14:val="tx1"/>
                  </w14:solidFill>
                </w14:textFill>
              </w:rPr>
              <w:t>人</w:t>
            </w:r>
            <w:r>
              <w:rPr>
                <w:rFonts w:hint="eastAsia" w:ascii="宋体" w:hAnsi="宋体" w:cs="宋体"/>
                <w:color w:val="000000" w:themeColor="text1"/>
                <w:szCs w:val="21"/>
                <w:highlight w:val="none"/>
                <w14:textFill>
                  <w14:solidFill>
                    <w14:schemeClr w14:val="tx1"/>
                  </w14:solidFill>
                </w14:textFill>
              </w:rPr>
              <w:t>，其中招标人代表</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人，专家</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人；</w:t>
            </w:r>
          </w:p>
          <w:p w14:paraId="7F6E4413">
            <w:pPr>
              <w:ind w:right="113"/>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专家确定方式：从广东省综合评标评审专家库--韶关市区域中随机抽取。</w:t>
            </w:r>
          </w:p>
        </w:tc>
      </w:tr>
      <w:tr w14:paraId="683FE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11EB684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2728" w:type="dxa"/>
            <w:tcBorders>
              <w:top w:val="single" w:color="auto" w:sz="4" w:space="0"/>
              <w:left w:val="single" w:color="auto" w:sz="4" w:space="0"/>
              <w:bottom w:val="single" w:color="auto" w:sz="4" w:space="0"/>
              <w:right w:val="single" w:color="auto" w:sz="4" w:space="0"/>
            </w:tcBorders>
            <w:vAlign w:val="center"/>
          </w:tcPr>
          <w:p w14:paraId="56AEC3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评标委员会推荐中标候选人的人数</w:t>
            </w:r>
          </w:p>
        </w:tc>
        <w:tc>
          <w:tcPr>
            <w:tcW w:w="6531" w:type="dxa"/>
            <w:tcBorders>
              <w:top w:val="single" w:color="auto" w:sz="4" w:space="0"/>
              <w:left w:val="single" w:color="auto" w:sz="4" w:space="0"/>
              <w:bottom w:val="single" w:color="auto" w:sz="4" w:space="0"/>
              <w:right w:val="single" w:color="auto" w:sz="12" w:space="0"/>
            </w:tcBorders>
            <w:vAlign w:val="center"/>
          </w:tcPr>
          <w:p w14:paraId="3CEE12D3">
            <w:pPr>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 个</w:t>
            </w:r>
          </w:p>
        </w:tc>
      </w:tr>
      <w:tr w14:paraId="2295B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7BA1923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2728" w:type="dxa"/>
            <w:tcBorders>
              <w:top w:val="single" w:color="auto" w:sz="4" w:space="0"/>
              <w:left w:val="single" w:color="auto" w:sz="4" w:space="0"/>
              <w:bottom w:val="single" w:color="auto" w:sz="4" w:space="0"/>
              <w:right w:val="single" w:color="auto" w:sz="4" w:space="0"/>
            </w:tcBorders>
            <w:vAlign w:val="center"/>
          </w:tcPr>
          <w:p w14:paraId="3049F33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中标候选人公示媒介</w:t>
            </w:r>
          </w:p>
          <w:p w14:paraId="18AA376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及期限</w:t>
            </w:r>
          </w:p>
        </w:tc>
        <w:tc>
          <w:tcPr>
            <w:tcW w:w="6531" w:type="dxa"/>
            <w:tcBorders>
              <w:top w:val="single" w:color="auto" w:sz="4" w:space="0"/>
              <w:left w:val="single" w:color="auto" w:sz="4" w:space="0"/>
              <w:bottom w:val="single" w:color="auto" w:sz="4" w:space="0"/>
              <w:right w:val="single" w:color="auto" w:sz="12" w:space="0"/>
            </w:tcBorders>
            <w:vAlign w:val="center"/>
          </w:tcPr>
          <w:p w14:paraId="1F914C89">
            <w:pPr>
              <w:wordWrap w:val="0"/>
              <w:spacing w:line="276" w:lineRule="auto"/>
              <w:ind w:left="147" w:leftChars="7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p>
          <w:p w14:paraId="1B25B378">
            <w:pPr>
              <w:spacing w:line="276" w:lineRule="auto"/>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公示期限：</w:t>
            </w:r>
            <w:r>
              <w:rPr>
                <w:rFonts w:hint="eastAsia" w:ascii="宋体" w:hAnsi="宋体" w:cs="宋体"/>
                <w:color w:val="000000" w:themeColor="text1"/>
                <w:szCs w:val="21"/>
                <w:highlight w:val="none"/>
                <w:u w:val="single"/>
                <w14:textFill>
                  <w14:solidFill>
                    <w14:schemeClr w14:val="tx1"/>
                  </w14:solidFill>
                </w14:textFill>
              </w:rPr>
              <w:t xml:space="preserve"> 3 日</w:t>
            </w:r>
          </w:p>
          <w:p w14:paraId="4CFDE68B">
            <w:pPr>
              <w:ind w:left="145" w:leftChars="6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公示的其他内容：</w:t>
            </w:r>
            <w:r>
              <w:rPr>
                <w:rFonts w:hint="eastAsia" w:ascii="宋体" w:hAnsi="宋体" w:cs="宋体"/>
                <w:color w:val="000000" w:themeColor="text1"/>
                <w:szCs w:val="21"/>
                <w:highlight w:val="none"/>
                <w:u w:val="thick"/>
                <w14:textFill>
                  <w14:solidFill>
                    <w14:schemeClr w14:val="tx1"/>
                  </w14:solidFill>
                </w14:textFill>
              </w:rPr>
              <w:t>最新年度信用等级使用情况及所有承诺使用最新年度 AA、A 级投标人的年度信用等级使用情况。</w:t>
            </w:r>
          </w:p>
        </w:tc>
      </w:tr>
      <w:tr w14:paraId="4BA75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091B7325">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w:t>
            </w:r>
          </w:p>
        </w:tc>
        <w:tc>
          <w:tcPr>
            <w:tcW w:w="2728" w:type="dxa"/>
            <w:tcBorders>
              <w:top w:val="single" w:color="auto" w:sz="4" w:space="0"/>
              <w:left w:val="single" w:color="auto" w:sz="4" w:space="0"/>
              <w:bottom w:val="single" w:color="auto" w:sz="4" w:space="0"/>
              <w:right w:val="single" w:color="auto" w:sz="4" w:space="0"/>
            </w:tcBorders>
            <w:vAlign w:val="center"/>
          </w:tcPr>
          <w:p w14:paraId="3AF03A4C">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是否授权评标委员会确定中标人</w:t>
            </w:r>
          </w:p>
        </w:tc>
        <w:tc>
          <w:tcPr>
            <w:tcW w:w="6531" w:type="dxa"/>
            <w:tcBorders>
              <w:top w:val="single" w:color="auto" w:sz="4" w:space="0"/>
              <w:left w:val="single" w:color="auto" w:sz="4" w:space="0"/>
              <w:bottom w:val="single" w:color="auto" w:sz="4" w:space="0"/>
              <w:right w:val="single" w:color="auto" w:sz="12" w:space="0"/>
            </w:tcBorders>
            <w:vAlign w:val="center"/>
          </w:tcPr>
          <w:p w14:paraId="57A93DFB">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14:paraId="19B5C134">
            <w:pPr>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14:paraId="3FC3B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295BE00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w:t>
            </w:r>
          </w:p>
        </w:tc>
        <w:tc>
          <w:tcPr>
            <w:tcW w:w="2728" w:type="dxa"/>
            <w:tcBorders>
              <w:top w:val="single" w:color="auto" w:sz="4" w:space="0"/>
              <w:left w:val="single" w:color="auto" w:sz="4" w:space="0"/>
              <w:bottom w:val="single" w:color="auto" w:sz="4" w:space="0"/>
              <w:right w:val="single" w:color="auto" w:sz="4" w:space="0"/>
            </w:tcBorders>
            <w:vAlign w:val="center"/>
          </w:tcPr>
          <w:p w14:paraId="64F6903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中标通知书和中标结果通知发出的形式</w:t>
            </w:r>
          </w:p>
        </w:tc>
        <w:tc>
          <w:tcPr>
            <w:tcW w:w="6531" w:type="dxa"/>
            <w:tcBorders>
              <w:top w:val="single" w:color="auto" w:sz="4" w:space="0"/>
              <w:left w:val="single" w:color="auto" w:sz="4" w:space="0"/>
              <w:bottom w:val="single" w:color="auto" w:sz="4" w:space="0"/>
              <w:right w:val="single" w:color="auto" w:sz="12" w:space="0"/>
            </w:tcBorders>
            <w:vAlign w:val="center"/>
          </w:tcPr>
          <w:p w14:paraId="0D049B46">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书面形式</w:t>
            </w:r>
          </w:p>
        </w:tc>
      </w:tr>
      <w:tr w14:paraId="0A308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1DE9A15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w:t>
            </w:r>
          </w:p>
        </w:tc>
        <w:tc>
          <w:tcPr>
            <w:tcW w:w="2728" w:type="dxa"/>
            <w:tcBorders>
              <w:top w:val="single" w:color="auto" w:sz="4" w:space="0"/>
              <w:left w:val="single" w:color="auto" w:sz="4" w:space="0"/>
              <w:bottom w:val="single" w:color="auto" w:sz="4" w:space="0"/>
              <w:right w:val="single" w:color="auto" w:sz="4" w:space="0"/>
            </w:tcBorders>
            <w:vAlign w:val="center"/>
          </w:tcPr>
          <w:p w14:paraId="666138E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中标结果公告媒介</w:t>
            </w:r>
          </w:p>
        </w:tc>
        <w:tc>
          <w:tcPr>
            <w:tcW w:w="6531" w:type="dxa"/>
            <w:tcBorders>
              <w:top w:val="single" w:color="auto" w:sz="4" w:space="0"/>
              <w:left w:val="single" w:color="auto" w:sz="4" w:space="0"/>
              <w:bottom w:val="single" w:color="auto" w:sz="4" w:space="0"/>
              <w:right w:val="single" w:color="auto" w:sz="12" w:space="0"/>
            </w:tcBorders>
            <w:vAlign w:val="center"/>
          </w:tcPr>
          <w:p w14:paraId="36C5B96F">
            <w:pPr>
              <w:pStyle w:val="80"/>
              <w:spacing w:before="78"/>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r>
              <w:rPr>
                <w:rFonts w:hint="eastAsia" w:ascii="宋体" w:hAnsi="宋体" w:cs="宋体"/>
                <w:color w:val="000000" w:themeColor="text1"/>
                <w:szCs w:val="21"/>
                <w:highlight w:val="none"/>
                <w14:textFill>
                  <w14:solidFill>
                    <w14:schemeClr w14:val="tx1"/>
                  </w14:solidFill>
                </w14:textFill>
              </w:rPr>
              <w:t>。</w:t>
            </w:r>
          </w:p>
        </w:tc>
      </w:tr>
      <w:tr w14:paraId="1C929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6D6A0D4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7.7.1</w:t>
            </w:r>
          </w:p>
        </w:tc>
        <w:tc>
          <w:tcPr>
            <w:tcW w:w="2728" w:type="dxa"/>
            <w:tcBorders>
              <w:top w:val="single" w:color="auto" w:sz="4" w:space="0"/>
              <w:left w:val="single" w:color="auto" w:sz="4" w:space="0"/>
              <w:bottom w:val="single" w:color="auto" w:sz="4" w:space="0"/>
              <w:right w:val="single" w:color="auto" w:sz="4" w:space="0"/>
            </w:tcBorders>
            <w:vAlign w:val="center"/>
          </w:tcPr>
          <w:p w14:paraId="6781C01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531" w:type="dxa"/>
            <w:tcBorders>
              <w:top w:val="single" w:color="auto" w:sz="4" w:space="0"/>
              <w:left w:val="single" w:color="auto" w:sz="4" w:space="0"/>
              <w:bottom w:val="single" w:color="auto" w:sz="4" w:space="0"/>
              <w:right w:val="single" w:color="auto" w:sz="12" w:space="0"/>
            </w:tcBorders>
            <w:vAlign w:val="center"/>
          </w:tcPr>
          <w:p w14:paraId="49842E0D">
            <w:pPr>
              <w:ind w:right="113"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是否要求中标人提交履约保证金：</w:t>
            </w:r>
          </w:p>
          <w:p w14:paraId="49E68EF4">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要求，履约担保形式：</w:t>
            </w:r>
            <w:r>
              <w:rPr>
                <w:rFonts w:hint="eastAsia" w:ascii="宋体" w:hAnsi="宋体" w:cs="宋体"/>
                <w:color w:val="000000" w:themeColor="text1"/>
                <w:szCs w:val="21"/>
                <w:highlight w:val="none"/>
                <w:u w:val="single"/>
                <w14:textFill>
                  <w14:solidFill>
                    <w14:schemeClr w14:val="tx1"/>
                  </w14:solidFill>
                </w14:textFill>
              </w:rPr>
              <w:t>由投标人自主选择采用现金（或支票）、或银行保函或其他合法形式。</w:t>
            </w:r>
          </w:p>
          <w:p w14:paraId="435774F6">
            <w:pPr>
              <w:ind w:left="105" w:leftChars="50"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履约担保金额：</w:t>
            </w:r>
            <w:r>
              <w:rPr>
                <w:rFonts w:hint="eastAsia" w:ascii="宋体" w:hAnsi="宋体" w:cs="宋体"/>
                <w:color w:val="000000" w:themeColor="text1"/>
                <w:szCs w:val="21"/>
                <w:highlight w:val="none"/>
                <w:u w:val="single"/>
                <w14:textFill>
                  <w14:solidFill>
                    <w14:schemeClr w14:val="tx1"/>
                  </w14:solidFill>
                </w14:textFill>
              </w:rPr>
              <w:t>中标合同额的10%。</w:t>
            </w:r>
          </w:p>
          <w:p w14:paraId="3ED39652">
            <w:pPr>
              <w:ind w:left="105" w:leftChars="50"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采用银行保函时，</w:t>
            </w:r>
            <w:r>
              <w:rPr>
                <w:rFonts w:hint="eastAsia" w:ascii="宋体" w:hAnsi="宋体" w:cs="宋体"/>
                <w:color w:val="000000" w:themeColor="text1"/>
                <w:szCs w:val="21"/>
                <w:highlight w:val="none"/>
                <w:u w:val="single"/>
                <w14:textFill>
                  <w14:solidFill>
                    <w14:schemeClr w14:val="tx1"/>
                  </w14:solidFill>
                </w14:textFill>
              </w:rPr>
              <w:t>出具履约担保的银行级别：投标人公司注册所在地的全国性国有商业银行或股份制商业银行的分支机构。</w:t>
            </w:r>
          </w:p>
          <w:p w14:paraId="47EA4390">
            <w:pPr>
              <w:ind w:left="105" w:leftChars="50" w:right="113"/>
              <w:rPr>
                <w:rFonts w:ascii="宋体" w:hAnsi="宋体" w:cs="宋体"/>
                <w:color w:val="000000" w:themeColor="text1"/>
                <w:szCs w:val="21"/>
                <w:highlight w:val="none"/>
                <w14:textFill>
                  <w14:solidFill>
                    <w14:schemeClr w14:val="tx1"/>
                  </w14:solidFill>
                </w14:textFill>
              </w:rPr>
            </w:pPr>
          </w:p>
          <w:p w14:paraId="5479C58D">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□不要求</w:t>
            </w:r>
          </w:p>
        </w:tc>
      </w:tr>
      <w:tr w14:paraId="75E52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23ED38C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8.5.1</w:t>
            </w:r>
          </w:p>
        </w:tc>
        <w:tc>
          <w:tcPr>
            <w:tcW w:w="2728" w:type="dxa"/>
            <w:tcBorders>
              <w:top w:val="single" w:color="auto" w:sz="4" w:space="0"/>
              <w:left w:val="single" w:color="auto" w:sz="4" w:space="0"/>
              <w:bottom w:val="single" w:color="auto" w:sz="4" w:space="0"/>
              <w:right w:val="single" w:color="auto" w:sz="4" w:space="0"/>
            </w:tcBorders>
            <w:vAlign w:val="center"/>
          </w:tcPr>
          <w:p w14:paraId="024B895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监督部门</w:t>
            </w:r>
          </w:p>
        </w:tc>
        <w:tc>
          <w:tcPr>
            <w:tcW w:w="6531" w:type="dxa"/>
            <w:tcBorders>
              <w:top w:val="single" w:color="auto" w:sz="4" w:space="0"/>
              <w:left w:val="single" w:color="auto" w:sz="4" w:space="0"/>
              <w:bottom w:val="single" w:color="auto" w:sz="4" w:space="0"/>
              <w:right w:val="single" w:color="auto" w:sz="12" w:space="0"/>
            </w:tcBorders>
            <w:vAlign w:val="center"/>
          </w:tcPr>
          <w:p w14:paraId="40A08FDD">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监督部门：乐昌市交通运输局</w:t>
            </w:r>
          </w:p>
          <w:p w14:paraId="302584F9">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址：乐昌市公园路7号</w:t>
            </w:r>
          </w:p>
          <w:p w14:paraId="0C34662A">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电  话：0751-5574986 </w:t>
            </w:r>
          </w:p>
          <w:p w14:paraId="51727DBD">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邮政编码：512229</w:t>
            </w:r>
          </w:p>
        </w:tc>
      </w:tr>
      <w:tr w14:paraId="5562E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69D5F9A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728" w:type="dxa"/>
            <w:tcBorders>
              <w:top w:val="single" w:color="auto" w:sz="4" w:space="0"/>
              <w:left w:val="single" w:color="auto" w:sz="4" w:space="0"/>
              <w:bottom w:val="single" w:color="auto" w:sz="4" w:space="0"/>
              <w:right w:val="single" w:color="auto" w:sz="4" w:space="0"/>
            </w:tcBorders>
            <w:vAlign w:val="center"/>
          </w:tcPr>
          <w:p w14:paraId="075F4E8F">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是否采用电子招标投标</w:t>
            </w:r>
          </w:p>
        </w:tc>
        <w:tc>
          <w:tcPr>
            <w:tcW w:w="6531" w:type="dxa"/>
            <w:tcBorders>
              <w:top w:val="single" w:color="auto" w:sz="4" w:space="0"/>
              <w:left w:val="single" w:color="auto" w:sz="4" w:space="0"/>
              <w:bottom w:val="single" w:color="auto" w:sz="4" w:space="0"/>
              <w:right w:val="single" w:color="auto" w:sz="12" w:space="0"/>
            </w:tcBorders>
            <w:vAlign w:val="center"/>
          </w:tcPr>
          <w:p w14:paraId="483BC19B">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14:paraId="0AA5054C">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fldChar w:fldCharType="begin"/>
            </w:r>
            <w:r>
              <w:rPr>
                <w:rFonts w:hint="eastAsia" w:ascii="宋体" w:hAnsi="宋体" w:cs="宋体"/>
                <w:color w:val="000000" w:themeColor="text1"/>
                <w:kern w:val="0"/>
                <w:szCs w:val="21"/>
                <w:highlight w:val="none"/>
                <w14:textFill>
                  <w14:solidFill>
                    <w14:schemeClr w14:val="tx1"/>
                  </w14:solidFill>
                </w14:textFill>
              </w:rPr>
              <w:instrText xml:space="preserve">eq \o\ac(</w:instrText>
            </w:r>
            <w:r>
              <w:rPr>
                <w:rFonts w:hint="eastAsia" w:ascii="宋体" w:hAnsi="宋体" w:cs="宋体"/>
                <w:color w:val="000000" w:themeColor="text1"/>
                <w:kern w:val="0"/>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是，具体要求：</w:t>
            </w:r>
          </w:p>
          <w:p w14:paraId="2DC54F93">
            <w:pPr>
              <w:pStyle w:val="82"/>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u w:val="single"/>
                <w14:textFill>
                  <w14:solidFill>
                    <w14:schemeClr w14:val="tx1"/>
                  </w14:solidFill>
                </w14:textFill>
              </w:rPr>
              <w:t>投标人必须在规定的截止时间前使用建设工程交易平台完成电子投标(包括缴纳投标保证金)。</w:t>
            </w:r>
          </w:p>
        </w:tc>
      </w:tr>
      <w:tr w14:paraId="160B8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227" w:type="dxa"/>
            <w:gridSpan w:val="3"/>
            <w:tcBorders>
              <w:top w:val="single" w:color="auto" w:sz="4" w:space="0"/>
              <w:left w:val="single" w:color="auto" w:sz="12" w:space="0"/>
              <w:bottom w:val="single" w:color="auto" w:sz="4" w:space="0"/>
              <w:right w:val="single" w:color="auto" w:sz="12" w:space="0"/>
            </w:tcBorders>
            <w:vAlign w:val="center"/>
          </w:tcPr>
          <w:p w14:paraId="72D83D1D">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14:paraId="3D83E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C114210">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1.4.4</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88DBC3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投标人须知正文</w:t>
            </w:r>
          </w:p>
          <w:p w14:paraId="157F0436">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 项中（1）目中的“招标项目所在地”指“广东省”。</w:t>
            </w:r>
          </w:p>
          <w:p w14:paraId="723BEC08">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1.4.4（6）目内容细化如下：</w:t>
            </w:r>
          </w:p>
          <w:p w14:paraId="02D8C93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（6）投标人及其法定代表人、拟委任的项目经理（含备选，如有）、项目总工（含备选，如有）在近三年内有行贿犯罪行为的（以投标人投标函中的承诺为准）。</w:t>
            </w:r>
          </w:p>
        </w:tc>
      </w:tr>
      <w:tr w14:paraId="5566D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44F02E6">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11A452A4">
            <w:pPr>
              <w:pStyle w:val="57"/>
              <w:spacing w:line="380" w:lineRule="exact"/>
              <w:jc w:val="both"/>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在投标人须知范本原文增加内容如下：</w:t>
            </w:r>
          </w:p>
          <w:p w14:paraId="1A99A3AF">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2.2.5 澄清和修改内容将以编号的补遗书形式在全国公共资源交易平台 （广东省·韶关市）（https://ygp.gdzwfw.gov.cn/ggzy-portal/#/440200/index）建设工程栏目的公告公示上发布。补遗书作为招标文件的组成部分，对所有投标人均具有约束力。</w:t>
            </w:r>
          </w:p>
        </w:tc>
      </w:tr>
      <w:tr w14:paraId="68EB4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14CE606">
            <w:pPr>
              <w:autoSpaceDE w:val="0"/>
              <w:autoSpaceDN w:val="0"/>
              <w:spacing w:line="48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43AA45DB">
            <w:pPr>
              <w:autoSpaceDE w:val="0"/>
              <w:autoSpaceDN w:val="0"/>
              <w:adjustRightInd w:val="0"/>
              <w:spacing w:before="51" w:line="269" w:lineRule="auto"/>
              <w:ind w:right="17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投标人须知正文第2.3款内容修改如下：</w:t>
            </w:r>
          </w:p>
          <w:p w14:paraId="21FA5B50">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2.3.1在投标人须知前附表规定的截止投标时间15天前，招标人可以书面修改招标文件，并在</w:t>
            </w:r>
            <w:r>
              <w:rPr>
                <w:rFonts w:hint="eastAsia" w:ascii="宋体" w:hAnsi="宋体" w:cs="宋体"/>
                <w:color w:val="000000" w:themeColor="text1"/>
                <w:kern w:val="0"/>
                <w:szCs w:val="21"/>
                <w:highlight w:val="none"/>
                <w:u w:val="single"/>
                <w14:textFill>
                  <w14:solidFill>
                    <w14:schemeClr w14:val="tx1"/>
                  </w14:solidFill>
                </w14:textFill>
              </w:rPr>
              <w:t>全国公共资源交易平台 （广东省·韶关市）</w:t>
            </w:r>
            <w:r>
              <w:rPr>
                <w:rFonts w:hint="eastAsia" w:ascii="宋体" w:hAnsi="宋体" w:cs="宋体"/>
                <w:color w:val="000000" w:themeColor="text1"/>
                <w:kern w:val="0"/>
                <w:szCs w:val="21"/>
                <w:highlight w:val="none"/>
                <w14:textFill>
                  <w14:solidFill>
                    <w14:schemeClr w14:val="tx1"/>
                  </w14:solidFill>
                </w14:textFill>
              </w:rPr>
              <w:t>网站上</w:t>
            </w:r>
            <w:r>
              <w:rPr>
                <w:rFonts w:hint="eastAsia" w:ascii="宋体" w:hAnsi="宋体" w:cs="宋体"/>
                <w:color w:val="000000" w:themeColor="text1"/>
                <w:szCs w:val="21"/>
                <w:highlight w:val="none"/>
                <w14:textFill>
                  <w14:solidFill>
                    <w14:schemeClr w14:val="tx1"/>
                  </w14:solidFill>
                </w14:textFill>
              </w:rPr>
              <w:t>发布。如果修改招标文件的时间超出规定的截止时间，相应延长投标截止时间。</w:t>
            </w:r>
          </w:p>
          <w:p w14:paraId="02D58063">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2.3.2招标文件的修改及有关补充通知一经在全国公共资源交易平台 （广东省·韶关市）网站上发布，视作已发放给所有投标人。</w:t>
            </w:r>
          </w:p>
        </w:tc>
      </w:tr>
      <w:tr w14:paraId="6FF6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54D6F849">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22C5F839">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将投标人须知原文3.1.1款修改如下：</w:t>
            </w:r>
          </w:p>
          <w:p w14:paraId="1F53C47A">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3.1.1 投标文件应包括下列内容：</w:t>
            </w:r>
          </w:p>
          <w:p w14:paraId="57B1C88D">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第一个信封（商务及技术文件）</w:t>
            </w:r>
          </w:p>
          <w:p w14:paraId="01A12411">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（1）投标函及投标函附录</w:t>
            </w:r>
          </w:p>
          <w:p w14:paraId="35F71ECA">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（2）授权委托书或法定代表人身份证明</w:t>
            </w:r>
          </w:p>
          <w:p w14:paraId="07C5AA31">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（3）投标保证金</w:t>
            </w:r>
          </w:p>
          <w:p w14:paraId="5E4F986C">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（4）施工组织设计</w:t>
            </w:r>
          </w:p>
          <w:p w14:paraId="3A41B335">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（5）项目管理机构</w:t>
            </w:r>
          </w:p>
          <w:p w14:paraId="1511A130">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（6）拟分包项目情况表</w:t>
            </w:r>
          </w:p>
          <w:p w14:paraId="04449854">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（7）资格审查资料(适用于未进行资格预审的)</w:t>
            </w:r>
          </w:p>
          <w:p w14:paraId="16844B42">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（8）其他资料</w:t>
            </w:r>
          </w:p>
          <w:p w14:paraId="20A446B5">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第二个封信（报价文件）</w:t>
            </w:r>
          </w:p>
          <w:p w14:paraId="00CB8021">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投标函；</w:t>
            </w:r>
          </w:p>
          <w:p w14:paraId="7C1518C4">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已标价工程量清单。</w:t>
            </w:r>
          </w:p>
          <w:p w14:paraId="1C507AB1">
            <w:pPr>
              <w:pStyle w:val="55"/>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投标人在评标过程中作出的符合法律法规和招标文件规定的澄清确认，构成投标文件的组成部分。</w:t>
            </w:r>
          </w:p>
        </w:tc>
      </w:tr>
      <w:tr w14:paraId="2A913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A3CBBE1">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16698792">
            <w:pPr>
              <w:pStyle w:val="80"/>
              <w:spacing w:before="19" w:line="380" w:lineRule="exact"/>
              <w:ind w:left="103" w:right="-2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投标人须知正文第3.2.1项部分内容细化如下：</w:t>
            </w:r>
          </w:p>
          <w:p w14:paraId="53823B67">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本项目招标由招标人提供工程量清单（已报名的投标单位可在全国公共资源交易平台 （广东省·韶关市）系统下载），投标人应按照招标人提供的工程量清单填写本合同各工程子目的单价、合价和总额价。投标人未在工程量清单中填入单价或总额价的工程子目，将被认为其已包含在工程量清单其他子目的单价和总额价中，招标人将不予支付。评标委员会将按照第三章“评标办法”规定对投标价进行算术性错误修正及其它错误修正。</w:t>
            </w:r>
          </w:p>
          <w:p w14:paraId="3A2AE5FB">
            <w:pPr>
              <w:pStyle w:val="80"/>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增加以下内容：</w:t>
            </w:r>
          </w:p>
          <w:p w14:paraId="4EF6F818">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14:paraId="7604F43B">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投标报价的所有单价取小数点后两位，所有合价和总价应四舍五入取整数</w:t>
            </w:r>
            <w:r>
              <w:rPr>
                <w:rFonts w:hint="eastAsia" w:ascii="宋体" w:hAnsi="宋体" w:cs="宋体"/>
                <w:color w:val="000000" w:themeColor="text1"/>
                <w:szCs w:val="21"/>
                <w:highlight w:val="none"/>
                <w14:textFill>
                  <w14:solidFill>
                    <w14:schemeClr w14:val="tx1"/>
                  </w14:solidFill>
                </w14:textFill>
              </w:rPr>
              <w:t>。工程量清单不需要附单价分析表、项目清单、分项清单，但投标人中标后，发包人可要求中标人提交项目清单、分项清单及单价分析表，中标人不得拒绝。</w:t>
            </w:r>
          </w:p>
        </w:tc>
      </w:tr>
      <w:tr w14:paraId="0A937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385C684">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3.4</w:t>
            </w:r>
            <w:r>
              <w:rPr>
                <w:rFonts w:hint="eastAsia" w:ascii="宋体" w:hAnsi="宋体" w:cs="宋体"/>
                <w:color w:val="000000" w:themeColor="text1"/>
                <w:szCs w:val="21"/>
                <w:highlight w:val="none"/>
                <w:lang w:bidi="zh-CN"/>
                <w14:textFill>
                  <w14:solidFill>
                    <w14:schemeClr w14:val="tx1"/>
                  </w14:solidFill>
                </w14:textFill>
              </w:rPr>
              <w:t>.3</w:t>
            </w:r>
          </w:p>
        </w:tc>
        <w:tc>
          <w:tcPr>
            <w:tcW w:w="9259" w:type="dxa"/>
            <w:gridSpan w:val="2"/>
            <w:tcBorders>
              <w:top w:val="single" w:color="auto" w:sz="4" w:space="0"/>
              <w:left w:val="single" w:color="auto" w:sz="2" w:space="0"/>
              <w:bottom w:val="single" w:color="auto" w:sz="4" w:space="0"/>
              <w:right w:val="single" w:color="auto" w:sz="12" w:space="0"/>
            </w:tcBorders>
          </w:tcPr>
          <w:p w14:paraId="322E941B">
            <w:pPr>
              <w:spacing w:line="276" w:lineRule="auto"/>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投标人须知正文3.4.3</w:t>
            </w:r>
            <w:r>
              <w:rPr>
                <w:rFonts w:hint="eastAsia" w:ascii="宋体" w:hAnsi="宋体" w:cs="宋体"/>
                <w:b/>
                <w:bCs/>
                <w:color w:val="000000" w:themeColor="text1"/>
                <w:szCs w:val="21"/>
                <w:highlight w:val="none"/>
                <w14:textFill>
                  <w14:solidFill>
                    <w14:schemeClr w14:val="tx1"/>
                  </w14:solidFill>
                </w14:textFill>
              </w:rPr>
              <w:t>项</w:t>
            </w:r>
            <w:r>
              <w:rPr>
                <w:rFonts w:hint="eastAsia" w:ascii="宋体" w:hAnsi="宋体" w:cs="宋体"/>
                <w:b/>
                <w:bCs/>
                <w:color w:val="000000" w:themeColor="text1"/>
                <w:szCs w:val="21"/>
                <w:highlight w:val="none"/>
                <w:lang w:val="zh-CN"/>
                <w14:textFill>
                  <w14:solidFill>
                    <w14:schemeClr w14:val="tx1"/>
                  </w14:solidFill>
                </w14:textFill>
              </w:rPr>
              <w:t xml:space="preserve">修改如下：     </w:t>
            </w:r>
          </w:p>
          <w:p w14:paraId="1F087805">
            <w:pPr>
              <w:pStyle w:val="55"/>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3.4.3（</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14:paraId="39ACE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2D3AC1F">
            <w:pPr>
              <w:spacing w:line="380" w:lineRule="exact"/>
              <w:jc w:val="center"/>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3.5.1</w:t>
            </w:r>
          </w:p>
        </w:tc>
        <w:tc>
          <w:tcPr>
            <w:tcW w:w="9259" w:type="dxa"/>
            <w:gridSpan w:val="2"/>
            <w:tcBorders>
              <w:top w:val="single" w:color="auto" w:sz="4" w:space="0"/>
              <w:left w:val="single" w:color="auto" w:sz="2" w:space="0"/>
              <w:bottom w:val="single" w:color="auto" w:sz="4" w:space="0"/>
              <w:right w:val="single" w:color="auto" w:sz="12" w:space="0"/>
            </w:tcBorders>
          </w:tcPr>
          <w:p w14:paraId="3D15C4A9">
            <w:pPr>
              <w:spacing w:line="380" w:lineRule="exact"/>
              <w:rPr>
                <w:rFonts w:ascii="宋体" w:hAnsi="宋体" w:cs="宋体"/>
                <w:b/>
                <w:bCs/>
                <w:color w:val="000000" w:themeColor="text1"/>
                <w:szCs w:val="21"/>
                <w:highlight w:val="none"/>
                <w:lang w:val="zh-CN" w:bidi="zh-CN"/>
                <w14:textFill>
                  <w14:solidFill>
                    <w14:schemeClr w14:val="tx1"/>
                  </w14:solidFill>
                </w14:textFill>
              </w:rPr>
            </w:pPr>
            <w:r>
              <w:rPr>
                <w:rFonts w:hint="eastAsia" w:ascii="宋体" w:hAnsi="宋体" w:cs="宋体"/>
                <w:b/>
                <w:bCs/>
                <w:color w:val="000000" w:themeColor="text1"/>
                <w:szCs w:val="21"/>
                <w:highlight w:val="none"/>
                <w:lang w:val="zh-CN" w:bidi="zh-CN"/>
                <w14:textFill>
                  <w14:solidFill>
                    <w14:schemeClr w14:val="tx1"/>
                  </w14:solidFill>
                </w14:textFill>
              </w:rPr>
              <w:t xml:space="preserve">投标人须知正文第 3.5.1 项内容修改如下： </w:t>
            </w:r>
          </w:p>
          <w:p w14:paraId="196ADE16">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投标人须知正文第 3.5.1 项内容修改如下：</w:t>
            </w:r>
          </w:p>
          <w:p w14:paraId="149DCCD5">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监督管理系统”公路工程施工资质企业名录中的网页截图复印件，以及投标人在“国家企业信用信息公示系统”中基础信息（体现股东及出资详细信息）的网页截图复印件。</w:t>
            </w:r>
          </w:p>
          <w:p w14:paraId="36CAB5F3">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14:paraId="09A9B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A135759">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7819622D">
            <w:pPr>
              <w:spacing w:line="38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 3.5.2 项内容修改如下：</w:t>
            </w:r>
          </w:p>
          <w:p w14:paraId="3353CD27">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表”具体年份要求见投标人须知前附表，近年财务信息以投标人提供的“全国公路建设市场监督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14:paraId="13DC0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0C31D414">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3.5.3</w:t>
            </w:r>
          </w:p>
          <w:p w14:paraId="7A73431B">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0D01916B">
            <w:pPr>
              <w:spacing w:line="380" w:lineRule="exact"/>
              <w:ind w:firstLine="422" w:firstLineChars="20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投标人须知正文第 3.5.3 项内容修改如下：</w:t>
            </w:r>
          </w:p>
          <w:p w14:paraId="5CBCAC2F">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“近年完成的类似项目”应是已列入交通运输部“全国公路建设市场监督管理系统”并公开的总包已建业绩或分包（不包括劳务分包）已建业绩，具体时间要求见投标人须知前附表。</w:t>
            </w:r>
          </w:p>
          <w:p w14:paraId="44ED48AC">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情况表”应附在交通运输部“全国公路建设市场监督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14:paraId="51A27E48">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如投标人未提供相关项目网页截图复印件或相关项目网页截图中的信息无法证实投标人满足招标文件规定的资格审查条件（业绩最低要求）或评标办法评分标准（如有），则该项目业绩不予认定。</w:t>
            </w:r>
          </w:p>
          <w:p w14:paraId="23C87624">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p>
        </w:tc>
      </w:tr>
      <w:tr w14:paraId="679C9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B1FE782">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3.5.4</w:t>
            </w:r>
          </w:p>
        </w:tc>
        <w:tc>
          <w:tcPr>
            <w:tcW w:w="9259" w:type="dxa"/>
            <w:gridSpan w:val="2"/>
            <w:tcBorders>
              <w:top w:val="single" w:color="auto" w:sz="4" w:space="0"/>
              <w:left w:val="single" w:color="auto" w:sz="2" w:space="0"/>
              <w:bottom w:val="single" w:color="auto" w:sz="4" w:space="0"/>
              <w:right w:val="single" w:color="auto" w:sz="12" w:space="0"/>
            </w:tcBorders>
          </w:tcPr>
          <w:p w14:paraId="7C710BDA">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投标人须知正文第 3.5.4 项内容修改如下： </w:t>
            </w:r>
          </w:p>
          <w:p w14:paraId="1DEAC477">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“投标人的信誉情况”应附投标人在“国家企业信用信息公示系统”中未被列入严重违法失信企业名单、在“信用中国”网站中未被列入失信被执行人名单的网页截图复印件。</w:t>
            </w:r>
          </w:p>
        </w:tc>
      </w:tr>
      <w:tr w14:paraId="07EEF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F29024D">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259" w:type="dxa"/>
            <w:gridSpan w:val="2"/>
            <w:tcBorders>
              <w:top w:val="single" w:color="auto" w:sz="4" w:space="0"/>
              <w:left w:val="single" w:color="auto" w:sz="2" w:space="0"/>
              <w:bottom w:val="single" w:color="auto" w:sz="4" w:space="0"/>
              <w:right w:val="single" w:color="auto" w:sz="12" w:space="0"/>
            </w:tcBorders>
          </w:tcPr>
          <w:p w14:paraId="6216D188">
            <w:pPr>
              <w:spacing w:line="42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删除原 3.5.5 项内容，修改如下： </w:t>
            </w:r>
          </w:p>
          <w:p w14:paraId="5CF7B11B">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委任的项目经理和项目总工资历表”应同时附①交通运输部“全国公路建设市场监督管理系统”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以及备选人，如有）和项目总工（以及备选人，如有）参加社保的缴费明细复印件（社保时段为投标文件递交截止日前半年时间内连续不少于三个月）。</w:t>
            </w:r>
          </w:p>
          <w:p w14:paraId="6BBAD423">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建造师注册信息以②的证明材料为准，安全生产考核信息以③的证明材料为准。</w:t>
            </w:r>
          </w:p>
          <w:p w14:paraId="786B644C">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除上述资料外，投标人无需再提供任何证明材料。</w:t>
            </w:r>
          </w:p>
          <w:p w14:paraId="2913C5E5">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如项目经理（以及备选人，如有）和项目总工（以及备选人，如有）目前仍在其他项目上任职，则投标人应按投标函的格式承诺上述人员能够从该项目撤离。</w:t>
            </w:r>
          </w:p>
        </w:tc>
      </w:tr>
      <w:tr w14:paraId="6FAED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2F0485E">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3.5.7</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4ED7E597">
            <w:pPr>
              <w:widowControl/>
              <w:jc w:val="left"/>
              <w:rPr>
                <w:b/>
                <w:color w:val="000000" w:themeColor="text1"/>
                <w:highlight w:val="none"/>
                <w14:textFill>
                  <w14:solidFill>
                    <w14:schemeClr w14:val="tx1"/>
                  </w14:solidFill>
                </w14:textFill>
              </w:rPr>
            </w:pPr>
            <w:r>
              <w:rPr>
                <w:rFonts w:hint="eastAsia" w:ascii="宋体" w:hAnsi="宋体" w:cs="宋体"/>
                <w:b/>
                <w:color w:val="000000" w:themeColor="text1"/>
                <w:kern w:val="0"/>
                <w:sz w:val="20"/>
                <w:szCs w:val="20"/>
                <w:highlight w:val="none"/>
                <w14:textFill>
                  <w14:solidFill>
                    <w14:schemeClr w14:val="tx1"/>
                  </w14:solidFill>
                </w14:textFill>
              </w:rPr>
              <w:t xml:space="preserve">删除原 3.5.7 项内容，修改如下： </w:t>
            </w:r>
          </w:p>
          <w:p w14:paraId="5F3493F4">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“拟投入本标段的主要设备表”（如有）应按本章附录</w:t>
            </w:r>
            <w:r>
              <w:rPr>
                <w:rFonts w:hint="eastAsia" w:ascii="宋体" w:hAnsi="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cs="宋体"/>
                <w:color w:val="000000" w:themeColor="text1"/>
                <w:kern w:val="0"/>
                <w:sz w:val="21"/>
                <w:szCs w:val="21"/>
                <w:highlight w:val="none"/>
                <w14:textFill>
                  <w14:solidFill>
                    <w14:schemeClr w14:val="tx1"/>
                  </w14:solidFill>
                </w14:textFill>
              </w:rPr>
              <w:t>备注要求</w:t>
            </w:r>
            <w:r>
              <w:rPr>
                <w:rFonts w:hint="eastAsia" w:ascii="宋体" w:hAnsi="宋体" w:cs="宋体"/>
                <w:color w:val="000000" w:themeColor="text1"/>
                <w:kern w:val="0"/>
                <w:sz w:val="21"/>
                <w:szCs w:val="21"/>
                <w:highlight w:val="none"/>
                <w:lang w:eastAsia="zh-CN"/>
                <w14:textFill>
                  <w14:solidFill>
                    <w14:schemeClr w14:val="tx1"/>
                  </w14:solidFill>
                </w14:textFill>
              </w:rPr>
              <w:t>承诺</w:t>
            </w:r>
            <w:r>
              <w:rPr>
                <w:rFonts w:hint="eastAsia" w:ascii="宋体" w:hAnsi="宋体" w:cs="宋体"/>
                <w:color w:val="000000" w:themeColor="text1"/>
                <w:kern w:val="0"/>
                <w:sz w:val="21"/>
                <w:szCs w:val="21"/>
                <w:highlight w:val="none"/>
                <w14:textFill>
                  <w14:solidFill>
                    <w14:schemeClr w14:val="tx1"/>
                  </w14:solidFill>
                </w14:textFill>
              </w:rPr>
              <w:t>。</w:t>
            </w:r>
          </w:p>
        </w:tc>
      </w:tr>
      <w:tr w14:paraId="40703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5E7292D">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33941FF8">
            <w:pPr>
              <w:pStyle w:val="57"/>
              <w:spacing w:line="380" w:lineRule="exact"/>
              <w:jc w:val="both"/>
              <w:rPr>
                <w:rFonts w:ascii="宋体" w:hAnsi="宋体" w:cs="宋体"/>
                <w:b/>
                <w:color w:val="000000" w:themeColor="text1"/>
                <w:kern w:val="2"/>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删除原 3.7.4、3.7.5项内容，修改如下：</w:t>
            </w:r>
          </w:p>
          <w:p w14:paraId="7C581B92">
            <w:pPr>
              <w:pStyle w:val="57"/>
              <w:spacing w:line="3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3.7.4</w:t>
            </w:r>
            <w:r>
              <w:rPr>
                <w:rFonts w:hint="eastAsia" w:ascii="宋体" w:hAnsi="宋体" w:cs="宋体"/>
                <w:color w:val="000000" w:themeColor="text1"/>
                <w:sz w:val="21"/>
                <w:szCs w:val="21"/>
                <w:highlight w:val="none"/>
                <w14:textFill>
                  <w14:solidFill>
                    <w14:schemeClr w14:val="tx1"/>
                  </w14:solidFill>
                </w14:textFill>
              </w:rPr>
              <w:t>本项目采用全流程电子投标，不需要提交纸质版的投标文件</w:t>
            </w:r>
            <w:r>
              <w:rPr>
                <w:rFonts w:hint="eastAsia" w:ascii="宋体" w:hAnsi="宋体" w:cs="宋体"/>
                <w:color w:val="000000" w:themeColor="text1"/>
                <w:kern w:val="2"/>
                <w:sz w:val="21"/>
                <w:szCs w:val="21"/>
                <w:highlight w:val="none"/>
                <w14:textFill>
                  <w14:solidFill>
                    <w14:schemeClr w14:val="tx1"/>
                  </w14:solidFill>
                </w14:textFill>
              </w:rPr>
              <w:t>，投标单位没有成功</w:t>
            </w:r>
            <w:r>
              <w:rPr>
                <w:rFonts w:hint="eastAsia" w:ascii="宋体" w:hAnsi="宋体" w:cs="宋体"/>
                <w:bCs/>
                <w:color w:val="000000" w:themeColor="text1"/>
                <w:sz w:val="21"/>
                <w:szCs w:val="21"/>
                <w:highlight w:val="none"/>
                <w14:textFill>
                  <w14:solidFill>
                    <w14:schemeClr w14:val="tx1"/>
                  </w14:solidFill>
                </w14:textFill>
              </w:rPr>
              <w:t>完成电子投标（包括缴纳投标保证金）</w:t>
            </w:r>
            <w:r>
              <w:rPr>
                <w:rFonts w:hint="eastAsia" w:ascii="宋体" w:hAnsi="宋体" w:cs="宋体"/>
                <w:color w:val="000000" w:themeColor="text1"/>
                <w:kern w:val="2"/>
                <w:sz w:val="21"/>
                <w:szCs w:val="21"/>
                <w:highlight w:val="none"/>
                <w14:textFill>
                  <w14:solidFill>
                    <w14:schemeClr w14:val="tx1"/>
                  </w14:solidFill>
                </w14:textFill>
              </w:rPr>
              <w:t>，则视为无效，按无效标书处理。</w:t>
            </w:r>
          </w:p>
        </w:tc>
      </w:tr>
      <w:tr w14:paraId="2DD5F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231C35D">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77989A2A">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4.1 项内容修改如下：</w:t>
            </w:r>
          </w:p>
          <w:p w14:paraId="1D4DBA30">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本项目采用全流程电子投标，不需要提交纸质版的投标文件。投标单位</w:t>
            </w:r>
            <w:r>
              <w:rPr>
                <w:rFonts w:hint="eastAsia" w:ascii="宋体" w:hAnsi="宋体" w:cs="Arial"/>
                <w:color w:val="000000" w:themeColor="text1"/>
                <w:szCs w:val="21"/>
                <w:highlight w:val="none"/>
                <w14:textFill>
                  <w14:solidFill>
                    <w14:schemeClr w14:val="tx1"/>
                  </w14:solidFill>
                </w14:textFill>
              </w:rPr>
              <w:t>中标后须提交</w:t>
            </w:r>
            <w:r>
              <w:rPr>
                <w:rFonts w:hint="eastAsia" w:ascii="宋体" w:hAnsi="宋体" w:cs="宋体"/>
                <w:bCs/>
                <w:color w:val="000000" w:themeColor="text1"/>
                <w:kern w:val="0"/>
                <w:szCs w:val="21"/>
                <w:highlight w:val="none"/>
                <w14:textFill>
                  <w14:solidFill>
                    <w14:schemeClr w14:val="tx1"/>
                  </w14:solidFill>
                </w14:textFill>
              </w:rPr>
              <w:t>一正两副的纸质版投标文件。</w:t>
            </w:r>
          </w:p>
        </w:tc>
      </w:tr>
      <w:tr w14:paraId="57D82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9874D2A">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2720ECA3">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4.2 项内容修改如下：</w:t>
            </w:r>
          </w:p>
          <w:p w14:paraId="117DC6E3">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本项目采用全流程电子投标，不需要提交纸质版的投标文件。投标人应在规定的截止时间前登录建设工程交易平台完成电子投标（包括缴纳投标保证金），方为有效投标。</w:t>
            </w:r>
          </w:p>
        </w:tc>
      </w:tr>
      <w:tr w14:paraId="7695B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8C86459">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1739E39D">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4.3 项内容修改如下：</w:t>
            </w:r>
          </w:p>
          <w:p w14:paraId="1705C151">
            <w:pPr>
              <w:spacing w:line="380" w:lineRule="exact"/>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4.3电子投标文件的修改、撤回：</w:t>
            </w:r>
          </w:p>
          <w:p w14:paraId="6E6F5A18">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14:paraId="5FA59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583E68A7">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39FCD495">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5.1 项内容修改如下：</w:t>
            </w:r>
          </w:p>
          <w:p w14:paraId="02284EF9">
            <w:pPr>
              <w:spacing w:line="380" w:lineRule="exact"/>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5.1开标时间和地点</w:t>
            </w:r>
          </w:p>
          <w:p w14:paraId="4FF482FA">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14:paraId="41D2E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D327009">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75A946AE">
            <w:pPr>
              <w:spacing w:line="276"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删除投标人须知正文第5.2.1（4）款，并对序号进行修改。</w:t>
            </w:r>
          </w:p>
          <w:p w14:paraId="18EE23E0">
            <w:pPr>
              <w:spacing w:line="276"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投标人须知正文第5.2.1（5）款修改为：</w:t>
            </w:r>
          </w:p>
          <w:p w14:paraId="698D186D">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主持人组织，在交易场所工作人员的见证下，招标代理机构对投标人的电子投标信息进行解密，解密成功后查看各投标人投标保证金缴纳情况及第一个信封（商务及技术文件）开标一览表。</w:t>
            </w:r>
          </w:p>
        </w:tc>
      </w:tr>
      <w:tr w14:paraId="2C87F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5D62674">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33B609B2">
            <w:pPr>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5.2.2项内容修改如下：</w:t>
            </w:r>
          </w:p>
          <w:p w14:paraId="014F3CFC">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  在投标文件第一个信封（商务及技术文件）开标现场，投标文件第二个信封（报价文件）不予开标。</w:t>
            </w:r>
          </w:p>
        </w:tc>
      </w:tr>
      <w:tr w14:paraId="64FC0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74AEEF1">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5.2.3</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1F1CA09">
            <w:pPr>
              <w:spacing w:line="276"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删除投标人须知正文第5.2.3（4）和（7）款，并对序号进行修改。</w:t>
            </w:r>
          </w:p>
        </w:tc>
      </w:tr>
      <w:tr w14:paraId="4A78A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71E642C">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6.1.2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6DFA7130">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投标人须知正文6.1.2 项末增加如下内容：</w:t>
            </w:r>
          </w:p>
          <w:p w14:paraId="5D8E3D26">
            <w:pPr>
              <w:pStyle w:val="57"/>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招标人及其子公司、招标人下属单位、招标人的上级主管部门或者控股公司、招标代理机构的工作人员或者退休人员不得以专家身份参与本单位招标或者招标代理项目的评标。</w:t>
            </w:r>
          </w:p>
        </w:tc>
      </w:tr>
      <w:tr w14:paraId="44058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128A1AE">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7.8.6</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773CAC46">
            <w:pPr>
              <w:pStyle w:val="80"/>
              <w:spacing w:before="6" w:line="380" w:lineRule="exact"/>
              <w:ind w:right="134"/>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增加 7.8.6 项“不平衡报价的处理”：</w:t>
            </w:r>
          </w:p>
          <w:p w14:paraId="2D10AAE0">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中标人如果存在不平衡报价，招标人可以在保证投标总价不变的前提下予以合理调整，中标人应无条件接受。不平衡报价处理的具体条款如下：</w:t>
            </w:r>
          </w:p>
          <w:p w14:paraId="4E7EDEC6">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在签订合同前，招标人组织人员对中标人的工程量清单报价进行审核：</w:t>
            </w:r>
          </w:p>
          <w:p w14:paraId="33AFE1C4">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（1）若中标人的工程量清单报价，超过如下范围：招标人招标清单预算相应单价与（1-中标人中标价下浮率）乘积的 85 %～ 115 %，则视为存在不平衡报价。</w:t>
            </w:r>
          </w:p>
          <w:p w14:paraId="2400B574">
            <w:pPr>
              <w:pStyle w:val="80"/>
              <w:spacing w:before="6" w:line="380" w:lineRule="exact"/>
              <w:ind w:right="134"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14:paraId="37AA7887">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（2）为使调整后的投标总价保持不变，对处于招标人招标清单预算相应单价与（1- 中标人中标价下浮率）乘积的 85 %～ 115 %内的报价，招标人有权根据本项第（1）条调整原则进行报价调整。</w:t>
            </w:r>
          </w:p>
          <w:p w14:paraId="748A1802">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中标人中标价下浮率指中标人中标价较造价管理部门核备的清单预算之下浮比例。</w:t>
            </w:r>
          </w:p>
        </w:tc>
      </w:tr>
      <w:tr w14:paraId="0C338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E69B9F1">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w:t>
            </w:r>
          </w:p>
        </w:tc>
        <w:tc>
          <w:tcPr>
            <w:tcW w:w="9259" w:type="dxa"/>
            <w:gridSpan w:val="2"/>
            <w:tcBorders>
              <w:top w:val="single" w:color="auto" w:sz="4" w:space="0"/>
              <w:left w:val="single" w:color="auto" w:sz="2" w:space="0"/>
              <w:bottom w:val="single" w:color="auto" w:sz="4" w:space="0"/>
              <w:right w:val="single" w:color="auto" w:sz="12" w:space="0"/>
            </w:tcBorders>
          </w:tcPr>
          <w:p w14:paraId="2F4C08CB">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投标人须知范本原文第 8.5.1 项细化如下：</w:t>
            </w:r>
          </w:p>
          <w:p w14:paraId="24CEB3AC">
            <w:pPr>
              <w:pStyle w:val="57"/>
              <w:spacing w:line="380" w:lineRule="exact"/>
              <w:ind w:firstLine="630" w:firstLineChars="300"/>
              <w:jc w:val="left"/>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14:paraId="1307C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538577B">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10.1</w:t>
            </w:r>
          </w:p>
        </w:tc>
        <w:tc>
          <w:tcPr>
            <w:tcW w:w="9259" w:type="dxa"/>
            <w:gridSpan w:val="2"/>
            <w:tcBorders>
              <w:top w:val="single" w:color="auto" w:sz="4" w:space="0"/>
              <w:left w:val="single" w:color="auto" w:sz="2" w:space="0"/>
              <w:bottom w:val="single" w:color="auto" w:sz="4" w:space="0"/>
              <w:right w:val="single" w:color="auto" w:sz="12" w:space="0"/>
            </w:tcBorders>
          </w:tcPr>
          <w:p w14:paraId="39112F33">
            <w:pPr>
              <w:pStyle w:val="57"/>
              <w:spacing w:line="380" w:lineRule="exact"/>
              <w:ind w:firstLine="422" w:firstLineChars="200"/>
              <w:jc w:val="lef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在 10.1 款后增加如下条款：10.2 款、10.3 款、10.4 款、10.5 款、10.6 款、10.7、10.8 款、10.9 款。</w:t>
            </w:r>
          </w:p>
          <w:p w14:paraId="41DCEF19">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 信用等级的确定原则：</w:t>
            </w:r>
          </w:p>
          <w:p w14:paraId="3F3D6291">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10.2.1 招标文件中的信用等级指的是广东省交通运输厅最新年度的信用评价。如无广东省最新年度信用等级而有上一年度广东省信用等级的，则其原信用等级可延续一年，但在递交资审申请文件（资格后审的为投标文件）时信用等级的使用次数应按上一年度公布的信用评价结果顺延上一年度的使用次数。具体使用次数有关规定如下：</w:t>
            </w:r>
          </w:p>
          <w:p w14:paraId="106FBE26">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1.对于信用等级为 AA 级的从业单位:</w:t>
            </w:r>
          </w:p>
          <w:p w14:paraId="406684C7">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(1)仅最新一年度信用等级为 AA 级的从业单位在参加广东省公路工程建设项目投标活动（以递交资格预审申请文件或资格后审递交投标文件时间为准）时，可申请使用 AA 级分值 8 次，用完 8 次后信用等级分值将按 A 级分值取定；</w:t>
            </w:r>
          </w:p>
          <w:p w14:paraId="3B1ADF6F">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(2)连续最近两个年度信用等级为 AA 级的单位在参加广东省公路工程投标活动（以递交资格预审申请文件或资格后审递交投标文件时间为准）时，可申请使用 AA级分值 12 次，用完 12 次后信用等级分值将按 A 级取定；</w:t>
            </w:r>
          </w:p>
          <w:p w14:paraId="04403699">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2.对于信用等级为 A 级的从业单位:当年度信用等级 A 级单位在参加广东省公路工程建设项目招投标活动（以递交资格预审申请文件或资格后审递交投标文件时间为准）时，可申请使用 A 级分值 12 次，用完 12 次后信用等级分值将按 B 级分值取定。</w:t>
            </w:r>
          </w:p>
          <w:p w14:paraId="68528989">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3.当年度信用等级为 AA、A 级的从业单位未承诺使用的信用等级分值的，AA 级信用等级企业按 A 级对待、A 级信用等级企业按 B 级对待。</w:t>
            </w:r>
          </w:p>
          <w:p w14:paraId="0D1E2F74">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4.若从业企业在信用评价年度信用等级由 AA 降级为 A 级时，AA 级信用等级已使用次数纳入 A 级信用等级使用次数合并累计。</w:t>
            </w:r>
          </w:p>
          <w:p w14:paraId="55AA2899">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10.2.2 信用等级延续 1 年后仍无信用评价等级的，按照初次进入广东省确定，原则上按 B 级对待，但下列情况除外：最新年度的全国公路从业单位（施工单位）信用评价结果为 C 级或 D 级的，则按最新年度的全国公路从业单位（施工单位）信用评价结果对待；或最新年度的全国公路从业单位（施工单位）信用评价结果未被评为 C级或 D 级的，但在广东省最近年度原评价等级为 D 级的，则按 C 级对待。</w:t>
            </w:r>
          </w:p>
          <w:p w14:paraId="6973E6AA">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10.2.3 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截止日的信用等级作比较，按“就低原则”认定等级，即降低等级的按低等级认定、升高等级的仍维持资审时的申请等级。）</w:t>
            </w:r>
          </w:p>
          <w:p w14:paraId="01CDC9E4">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10.2.4 在招标评标中，信用评价等级采用按次、按标段或标类（指资格预审时未明确具体标段的情形）申请使用的原则，即在同一次招标中的多个标段的投标，可对其中部分或全部标段申请使用 AA 或 A 级信用等级，无论中标与否，均应根据递交投标（或申请）文件情况按标段计算使用次数（非投标人原因导致招标失败的情况除外）。</w:t>
            </w:r>
          </w:p>
          <w:p w14:paraId="791CF461">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10.2.5 招标项目为一个标段类别时，投标人以联合体形式投标的，信用等级以联合体中信用等级较低的为准。</w:t>
            </w:r>
          </w:p>
          <w:p w14:paraId="2923D83E">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10.2.6 如招标内容包含了多个标段类别（如机电工程+交通安全设施工程类），招标项目的资质条件设置不止一个资质时投标人的信用等级认定原则：</w:t>
            </w:r>
          </w:p>
          <w:p w14:paraId="134ACA47">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就低不就高模式：</w:t>
            </w:r>
          </w:p>
          <w:p w14:paraId="258C37AD">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独立投标的，按各类别招标内容相对应的投标人的信用等级，按就低不就高的原则确定投标人的最终信用等级得分；以联合体形式投标的，联合体成员按联合体协议书中约定承担的专业工程对应相应的信用等级按就低不就高的原则确定投标人的最终信用等级得分。</w:t>
            </w:r>
          </w:p>
          <w:p w14:paraId="2263B49C">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举例：招标文件约定的机电工程所占的比例为 70%，交通安全设施工程所占的比例为30%，联合体形式投标的情形：单位甲为机电专业，其信用等级分值为机电工程A 级，单位乙为交通安全设施工程专业，其信用等级分值为交通安全设施工程 B 级。结合招标文件中约定的信用等级 A 级对应分值为 4.75 分，B 级对应分值为 4.45 分，则按方法一计算的联合体信用等级分值为：4.45 分。</w:t>
            </w:r>
          </w:p>
          <w:p w14:paraId="1C954663">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14:paraId="08956B91">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10.4 如果开标后至中标通知书发出前，第一中标候选人发生投标人须知 1.4.4（1）至（7）的情形及中标候选人信用等级被广东省交通运输厅直接降为 D 级的情形，则取消其中标资格，招标人按推荐中标候选人排名顺序依次确定中标人，或重新组织招标。</w:t>
            </w:r>
          </w:p>
          <w:p w14:paraId="69B5ECE1">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10.5 本招标文件中所有“类似工程”均指</w:t>
            </w:r>
            <w:r>
              <w:rPr>
                <w:rFonts w:hint="eastAsia" w:ascii="宋体" w:hAnsi="宋体" w:cs="宋体"/>
                <w:b/>
                <w:color w:val="000000" w:themeColor="text1"/>
                <w:sz w:val="21"/>
                <w:szCs w:val="21"/>
                <w:highlight w:val="none"/>
                <w:u w:val="single"/>
                <w14:textFill>
                  <w14:solidFill>
                    <w14:schemeClr w14:val="tx1"/>
                  </w14:solidFill>
                </w14:textFill>
              </w:rPr>
              <w:t>新建或改、扩建、路面改造</w:t>
            </w:r>
            <w:r>
              <w:rPr>
                <w:rFonts w:hint="eastAsia" w:ascii="宋体" w:hAnsi="宋体" w:cs="宋体"/>
                <w:b/>
                <w:color w:val="000000" w:themeColor="text1"/>
                <w:sz w:val="21"/>
                <w:szCs w:val="21"/>
                <w:highlight w:val="none"/>
                <w:u w:val="single"/>
                <w:lang w:val="en-US" w:eastAsia="zh-CN"/>
                <w14:textFill>
                  <w14:solidFill>
                    <w14:schemeClr w14:val="tx1"/>
                  </w14:solidFill>
                </w14:textFill>
              </w:rPr>
              <w:t>四</w:t>
            </w:r>
            <w:r>
              <w:rPr>
                <w:rFonts w:hint="eastAsia" w:ascii="宋体" w:hAnsi="宋体" w:cs="宋体"/>
                <w:b/>
                <w:color w:val="000000" w:themeColor="text1"/>
                <w:sz w:val="21"/>
                <w:szCs w:val="21"/>
                <w:highlight w:val="none"/>
                <w:u w:val="single"/>
                <w14:textFill>
                  <w14:solidFill>
                    <w14:schemeClr w14:val="tx1"/>
                  </w14:solidFill>
                </w14:textFill>
              </w:rPr>
              <w:t>级以上（含</w:t>
            </w:r>
            <w:r>
              <w:rPr>
                <w:rFonts w:hint="eastAsia" w:ascii="宋体" w:hAnsi="宋体" w:cs="宋体"/>
                <w:b/>
                <w:color w:val="000000" w:themeColor="text1"/>
                <w:sz w:val="21"/>
                <w:szCs w:val="21"/>
                <w:highlight w:val="none"/>
                <w:u w:val="single"/>
                <w:lang w:val="en-US" w:eastAsia="zh-CN"/>
                <w14:textFill>
                  <w14:solidFill>
                    <w14:schemeClr w14:val="tx1"/>
                  </w14:solidFill>
                </w14:textFill>
              </w:rPr>
              <w:t>四</w:t>
            </w:r>
            <w:r>
              <w:rPr>
                <w:rFonts w:hint="eastAsia" w:ascii="宋体" w:hAnsi="宋体" w:cs="宋体"/>
                <w:b/>
                <w:color w:val="000000" w:themeColor="text1"/>
                <w:sz w:val="21"/>
                <w:szCs w:val="21"/>
                <w:highlight w:val="none"/>
                <w:u w:val="single"/>
                <w14:textFill>
                  <w14:solidFill>
                    <w14:schemeClr w14:val="tx1"/>
                  </w14:solidFill>
                </w14:textFill>
              </w:rPr>
              <w:t>级）</w:t>
            </w:r>
            <w:r>
              <w:rPr>
                <w:rFonts w:hint="eastAsia" w:ascii="宋体" w:hAnsi="宋体" w:cs="宋体"/>
                <w:color w:val="000000" w:themeColor="text1"/>
                <w:sz w:val="21"/>
                <w:szCs w:val="21"/>
                <w:highlight w:val="none"/>
                <w14:textFill>
                  <w14:solidFill>
                    <w14:schemeClr w14:val="tx1"/>
                  </w14:solidFill>
                </w14:textFill>
              </w:rPr>
              <w:t>公路施工项目。在采用新建公路项目完工业绩时，对于同公路等级改、扩建中的新建桥梁或隧道工程业绩也应认可。</w:t>
            </w:r>
          </w:p>
          <w:p w14:paraId="2875B97B">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 有关业绩的说明</w:t>
            </w:r>
          </w:p>
          <w:p w14:paraId="687E3AF3">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10.6.1</w:t>
            </w:r>
          </w:p>
          <w:p w14:paraId="0CF44867">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a、特大桥及大桥按国家最新颁布的标准进行划分；</w:t>
            </w:r>
          </w:p>
          <w:p w14:paraId="16B9DC92">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b、完成整座桥梁的半幅或整座桥梁其中的一部分工作内容达到特大桥或大桥对应技术标准的，按相应标段标准以座计算；</w:t>
            </w:r>
          </w:p>
          <w:p w14:paraId="01598B2C">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c、同一投标人的单座桥梁仅能计一次，只完成整个工程部分分部工程不参与计算业绩。</w:t>
            </w:r>
          </w:p>
          <w:p w14:paraId="27C91CFC">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10.6.2</w:t>
            </w:r>
          </w:p>
          <w:p w14:paraId="429B9FB5">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14:paraId="0DA7EC5C">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长隧道：单座隧道单洞（即左洞加右洞）总长大于 2000 米且不大于 6000 米的，或完成单座隧道的一部分且该部分的单洞累计长度大于2000 米且不大于6000 米的，均按 1 座计；</w:t>
            </w:r>
          </w:p>
          <w:p w14:paraId="411237AE">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同一座隧道同时满足条件的，同一投标人只计算一次业绩；特长隧道可计为长隧道。</w:t>
            </w:r>
          </w:p>
          <w:p w14:paraId="62EDCEF4">
            <w:pPr>
              <w:pStyle w:val="57"/>
              <w:spacing w:line="380" w:lineRule="exact"/>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10.7 招标文件中如无特别说明，业绩里程累计长度均不扣除桥隧等构造物长度。</w:t>
            </w:r>
          </w:p>
          <w:p w14:paraId="65E51A4A">
            <w:pPr>
              <w:pStyle w:val="57"/>
              <w:spacing w:line="380" w:lineRule="exact"/>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tc>
      </w:tr>
      <w:tr w14:paraId="7F9FF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9C37639">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9259" w:type="dxa"/>
            <w:gridSpan w:val="2"/>
            <w:tcBorders>
              <w:top w:val="single" w:color="auto" w:sz="4" w:space="0"/>
              <w:left w:val="single" w:color="auto" w:sz="2" w:space="0"/>
              <w:bottom w:val="single" w:color="auto" w:sz="4" w:space="0"/>
              <w:right w:val="single" w:color="auto" w:sz="12" w:space="0"/>
            </w:tcBorders>
          </w:tcPr>
          <w:p w14:paraId="1DB468EB">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投标人须知正文增加第11款内容：</w:t>
            </w:r>
          </w:p>
          <w:p w14:paraId="1B6A06AF">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11.招标代理服务费等费用：</w:t>
            </w:r>
            <w:r>
              <w:rPr>
                <w:rFonts w:hint="eastAsia" w:ascii="宋体" w:hAnsi="宋体" w:cs="宋体"/>
                <w:color w:val="000000" w:themeColor="text1"/>
                <w:szCs w:val="21"/>
                <w:highlight w:val="none"/>
                <w:lang w:val="zh-CN" w:eastAsia="zh-CN"/>
                <w14:textFill>
                  <w14:solidFill>
                    <w14:schemeClr w14:val="tx1"/>
                  </w14:solidFill>
                </w14:textFill>
              </w:rPr>
              <w:t>本项目招标代理服务费用参照《招标代理服务收费管理暂行办法》[2002]（1980）的收费标准，下浮20%计取，以中标价为计算基数</w:t>
            </w:r>
            <w:r>
              <w:rPr>
                <w:rFonts w:hint="eastAsia" w:ascii="宋体" w:hAnsi="宋体" w:cs="宋体"/>
                <w:color w:val="000000" w:themeColor="text1"/>
                <w:szCs w:val="21"/>
                <w:highlight w:val="none"/>
                <w14:textFill>
                  <w14:solidFill>
                    <w14:schemeClr w14:val="tx1"/>
                  </w14:solidFill>
                </w14:textFill>
              </w:rPr>
              <w:t>。投标人在投标时，必须综合考虑缴交招标代理费，并计入投标成本报价中，中标人须在中标公告公示期结束后，领取《中标通知书》前，向招标代理机构缴纳招标代理服务费。本项目招标的评标费及复评费用（如有）由招标代理机构先垫付（评标专家费含评审费及差旅费等费用），由中标人在领取中标通知书之前缴纳给招标代理机构。投标人在投标时综合考虑该费用并含在投标报价中。</w:t>
            </w:r>
          </w:p>
        </w:tc>
      </w:tr>
      <w:tr w14:paraId="5CA2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5D69BE56">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D622C7C">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投标人须知正文增加第12款内容：</w:t>
            </w:r>
          </w:p>
          <w:p w14:paraId="1492F9EA">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12电子投标及投标解密失败及突发情况的补救方案</w:t>
            </w:r>
          </w:p>
          <w:p w14:paraId="50D38491">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12.1按照交易平台关于全流程电子化项目的相关指南进行操作。详见全国公共资源交易平台（广东省·韶关市）发布的最新版操作指引。</w:t>
            </w:r>
          </w:p>
          <w:p w14:paraId="581283B0">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482B8E2D">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12.3补救方案</w:t>
            </w:r>
          </w:p>
          <w:p w14:paraId="77E5F8CD">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（1）投标文件解密失败的补救方案：</w:t>
            </w:r>
          </w:p>
          <w:p w14:paraId="711C4346">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14:paraId="6C9F916E">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（2）评标时突发情况的补救方案</w:t>
            </w:r>
          </w:p>
          <w:p w14:paraId="3FC31201">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r w14:paraId="4239D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227" w:type="dxa"/>
            <w:gridSpan w:val="3"/>
            <w:tcBorders>
              <w:top w:val="single" w:color="auto" w:sz="4" w:space="0"/>
              <w:left w:val="single" w:color="auto" w:sz="12" w:space="0"/>
              <w:bottom w:val="single" w:color="auto" w:sz="4" w:space="0"/>
              <w:right w:val="single" w:color="auto" w:sz="12" w:space="0"/>
            </w:tcBorders>
            <w:vAlign w:val="center"/>
          </w:tcPr>
          <w:p w14:paraId="021D0709">
            <w:pPr>
              <w:pStyle w:val="18"/>
              <w:spacing w:line="3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备注：“投标人须知”前附表是“投标人须知”正文内容的补充、细化和修改，投标人应结合“投标人须知”正文与“投标人须知”前附表两部分内容仔细阅读“投标人须知”。</w:t>
            </w:r>
          </w:p>
        </w:tc>
      </w:tr>
    </w:tbl>
    <w:p w14:paraId="7D9724D8">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2" w:name="_Toc43475663"/>
      <w:bookmarkStart w:id="33" w:name="_Toc7714"/>
      <w:r>
        <w:rPr>
          <w:rFonts w:hint="eastAsia" w:ascii="宋体" w:hAnsi="宋体" w:cs="黑体"/>
          <w:bCs w:val="0"/>
          <w:color w:val="000000" w:themeColor="text1"/>
          <w:sz w:val="30"/>
          <w:szCs w:val="30"/>
          <w:highlight w:val="none"/>
          <w14:textFill>
            <w14:solidFill>
              <w14:schemeClr w14:val="tx1"/>
            </w14:solidFill>
          </w14:textFill>
        </w:rPr>
        <w:br w:type="page"/>
      </w:r>
    </w:p>
    <w:p w14:paraId="5F5C9E04">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p>
    <w:p w14:paraId="1EA4340A">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4" w:name="_Toc20937"/>
      <w:r>
        <w:rPr>
          <w:rFonts w:hint="eastAsia" w:ascii="宋体" w:hAnsi="宋体" w:cs="黑体"/>
          <w:bCs w:val="0"/>
          <w:color w:val="000000" w:themeColor="text1"/>
          <w:sz w:val="30"/>
          <w:szCs w:val="30"/>
          <w:highlight w:val="none"/>
          <w14:textFill>
            <w14:solidFill>
              <w14:schemeClr w14:val="tx1"/>
            </w14:solidFill>
          </w14:textFill>
        </w:rPr>
        <w:t>附录1  资格审查条件（资质最低要求）</w:t>
      </w:r>
      <w:bookmarkEnd w:id="34"/>
    </w:p>
    <w:tbl>
      <w:tblPr>
        <w:tblStyle w:val="45"/>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7D12A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14:paraId="09163C4C">
            <w:pPr>
              <w:pStyle w:val="18"/>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施工企业资质等级要求</w:t>
            </w:r>
          </w:p>
        </w:tc>
      </w:tr>
      <w:tr w14:paraId="72034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14:paraId="45D72D03">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投标人须具备《建筑业企业资质标准》（建市[2014]159号）规定的公路工程施工总承包三级以上（含三级）资质。</w:t>
            </w:r>
          </w:p>
        </w:tc>
      </w:tr>
    </w:tbl>
    <w:p w14:paraId="3BAFB81F">
      <w:pPr>
        <w:rPr>
          <w:color w:val="000000" w:themeColor="text1"/>
          <w:highlight w:val="none"/>
          <w14:textFill>
            <w14:solidFill>
              <w14:schemeClr w14:val="tx1"/>
            </w14:solidFill>
          </w14:textFill>
        </w:rPr>
      </w:pPr>
      <w:bookmarkStart w:id="35" w:name="_Toc18853"/>
      <w:bookmarkStart w:id="36" w:name="_Toc466575329"/>
      <w:bookmarkStart w:id="37" w:name="_Toc451261208"/>
      <w:bookmarkStart w:id="38" w:name="_Toc238804055"/>
      <w:bookmarkStart w:id="39" w:name="_Toc393546205"/>
      <w:bookmarkStart w:id="40" w:name="_Toc330406140"/>
      <w:r>
        <w:rPr>
          <w:color w:val="000000" w:themeColor="text1"/>
          <w:highlight w:val="none"/>
          <w14:textFill>
            <w14:solidFill>
              <w14:schemeClr w14:val="tx1"/>
            </w14:solidFill>
          </w14:textFill>
        </w:rPr>
        <w:t>注：投标人应根据投标文件第二章“投标人须知”第 3.5.1 项的要求附相关证明材料。</w:t>
      </w:r>
    </w:p>
    <w:p w14:paraId="1687BD1C">
      <w:pPr>
        <w:rPr>
          <w:color w:val="000000" w:themeColor="text1"/>
          <w:highlight w:val="none"/>
          <w14:textFill>
            <w14:solidFill>
              <w14:schemeClr w14:val="tx1"/>
            </w14:solidFill>
          </w14:textFill>
        </w:rPr>
      </w:pPr>
    </w:p>
    <w:p w14:paraId="41A0B284">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1" w:name="_Toc23973"/>
      <w:r>
        <w:rPr>
          <w:rFonts w:hint="eastAsia" w:ascii="宋体" w:hAnsi="宋体" w:cs="黑体"/>
          <w:bCs w:val="0"/>
          <w:color w:val="000000" w:themeColor="text1"/>
          <w:sz w:val="30"/>
          <w:szCs w:val="30"/>
          <w:highlight w:val="none"/>
          <w14:textFill>
            <w14:solidFill>
              <w14:schemeClr w14:val="tx1"/>
            </w14:solidFill>
          </w14:textFill>
        </w:rPr>
        <w:t>附录2  资格审查条件（财务最低要求）</w:t>
      </w:r>
      <w:bookmarkEnd w:id="35"/>
      <w:bookmarkEnd w:id="36"/>
      <w:bookmarkEnd w:id="37"/>
      <w:bookmarkEnd w:id="41"/>
    </w:p>
    <w:tbl>
      <w:tblPr>
        <w:tblStyle w:val="45"/>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14:paraId="2BB77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vAlign w:val="center"/>
          </w:tcPr>
          <w:p w14:paraId="653527EF">
            <w:pPr>
              <w:pStyle w:val="18"/>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财 务 要 求</w:t>
            </w:r>
          </w:p>
        </w:tc>
      </w:tr>
      <w:tr w14:paraId="52CED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vAlign w:val="center"/>
          </w:tcPr>
          <w:p w14:paraId="52234E65">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1、企业净资产（总资产-总负债）不少于</w:t>
            </w: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000万元人民币； </w:t>
            </w:r>
          </w:p>
          <w:p w14:paraId="44302FEA">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2、营运资金（流动资产－流动负债）不少于</w:t>
            </w:r>
            <w:r>
              <w:rPr>
                <w:rFonts w:hint="eastAsia" w:ascii="宋体" w:hAnsi="宋体"/>
                <w:color w:val="000000" w:themeColor="text1"/>
                <w:sz w:val="24"/>
                <w:highlight w:val="none"/>
                <w14:textFill>
                  <w14:solidFill>
                    <w14:schemeClr w14:val="tx1"/>
                  </w14:solidFill>
                </w14:textFill>
              </w:rPr>
              <w:t>10</w:t>
            </w:r>
            <w:r>
              <w:rPr>
                <w:rFonts w:ascii="宋体" w:hAnsi="宋体"/>
                <w:color w:val="000000" w:themeColor="text1"/>
                <w:sz w:val="24"/>
                <w:highlight w:val="none"/>
                <w14:textFill>
                  <w14:solidFill>
                    <w14:schemeClr w14:val="tx1"/>
                  </w14:solidFill>
                </w14:textFill>
              </w:rPr>
              <w:t xml:space="preserve">00万元人民币；  </w:t>
            </w:r>
          </w:p>
          <w:p w14:paraId="3FAED550">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近三个年度的年平均营业总收入不少于</w:t>
            </w:r>
            <w:r>
              <w:rPr>
                <w:rFonts w:hint="eastAsia" w:ascii="宋体" w:hAnsi="宋体"/>
                <w:color w:val="000000" w:themeColor="text1"/>
                <w:sz w:val="24"/>
                <w:highlight w:val="none"/>
                <w14:textFill>
                  <w14:solidFill>
                    <w14:schemeClr w14:val="tx1"/>
                  </w14:solidFill>
                </w14:textFill>
              </w:rPr>
              <w:t>30</w:t>
            </w:r>
            <w:r>
              <w:rPr>
                <w:rFonts w:ascii="宋体" w:hAnsi="宋体"/>
                <w:color w:val="000000" w:themeColor="text1"/>
                <w:sz w:val="24"/>
                <w:highlight w:val="none"/>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万元人民币</w:t>
            </w:r>
            <w:r>
              <w:rPr>
                <w:rFonts w:hint="eastAsia" w:ascii="宋体" w:hAnsi="宋体"/>
                <w:color w:val="000000" w:themeColor="text1"/>
                <w:sz w:val="24"/>
                <w:highlight w:val="none"/>
                <w14:textFill>
                  <w14:solidFill>
                    <w14:schemeClr w14:val="tx1"/>
                  </w14:solidFill>
                </w14:textFill>
              </w:rPr>
              <w:t>；</w:t>
            </w:r>
          </w:p>
          <w:p w14:paraId="047430B6">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4、近三个年度至少有2年盈利。</w:t>
            </w:r>
          </w:p>
        </w:tc>
      </w:tr>
      <w:bookmarkEnd w:id="38"/>
      <w:bookmarkEnd w:id="39"/>
      <w:bookmarkEnd w:id="40"/>
    </w:tbl>
    <w:p w14:paraId="6FD363D9">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42" w:name="_Toc18126"/>
      <w:r>
        <w:rPr>
          <w:rFonts w:hint="eastAsia" w:ascii="宋体" w:hAnsi="宋体"/>
          <w:color w:val="000000" w:themeColor="text1"/>
          <w:szCs w:val="21"/>
          <w:highlight w:val="none"/>
          <w14:textFill>
            <w14:solidFill>
              <w14:schemeClr w14:val="tx1"/>
            </w14:solidFill>
          </w14:textFill>
        </w:rPr>
        <w:t>注：1、企业净资产、营运资金是按交通运输部“全国公路建设市场监督管理系统”登记的最新年度（近三个年度的最后一年，下同）数据计算得出。近三个年度是指202</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年、202</w:t>
      </w:r>
      <w:r>
        <w:rPr>
          <w:rFonts w:hint="eastAsia" w:ascii="宋体" w:hAnsi="宋体"/>
          <w:color w:val="000000" w:themeColor="text1"/>
          <w:szCs w:val="21"/>
          <w:highlight w:val="none"/>
          <w:lang w:val="en-US" w:eastAsia="zh-CN"/>
          <w14:textFill>
            <w14:solidFill>
              <w14:schemeClr w14:val="tx1"/>
            </w14:solidFill>
          </w14:textFill>
        </w:rPr>
        <w:t>2年</w:t>
      </w:r>
      <w:r>
        <w:rPr>
          <w:rFonts w:hint="eastAsia" w:ascii="宋体" w:hAnsi="宋体"/>
          <w:color w:val="000000" w:themeColor="text1"/>
          <w:szCs w:val="21"/>
          <w:highlight w:val="none"/>
          <w14:textFill>
            <w14:solidFill>
              <w14:schemeClr w14:val="tx1"/>
            </w14:solidFill>
          </w14:textFill>
        </w:rPr>
        <w:t>、202</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年。</w:t>
      </w:r>
    </w:p>
    <w:p w14:paraId="553D4D7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2、投标人应根据招标文件第二章“投标人须知”第 3.5.2 项的要求附相关证明材料。</w:t>
      </w:r>
    </w:p>
    <w:p w14:paraId="7F35B715">
      <w:pPr>
        <w:pStyle w:val="13"/>
        <w:rPr>
          <w:color w:val="000000" w:themeColor="text1"/>
          <w:highlight w:val="none"/>
          <w14:textFill>
            <w14:solidFill>
              <w14:schemeClr w14:val="tx1"/>
            </w14:solidFill>
          </w14:textFill>
        </w:rPr>
      </w:pPr>
    </w:p>
    <w:p w14:paraId="2F6ADA0B">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3" w:name="_Toc24636"/>
      <w:r>
        <w:rPr>
          <w:rFonts w:hint="eastAsia" w:ascii="宋体" w:hAnsi="宋体" w:cs="黑体"/>
          <w:bCs w:val="0"/>
          <w:color w:val="000000" w:themeColor="text1"/>
          <w:sz w:val="30"/>
          <w:szCs w:val="30"/>
          <w:highlight w:val="none"/>
          <w14:textFill>
            <w14:solidFill>
              <w14:schemeClr w14:val="tx1"/>
            </w14:solidFill>
          </w14:textFill>
        </w:rPr>
        <w:t>附录3  资格审查条件（业绩最低要求）</w:t>
      </w:r>
      <w:bookmarkEnd w:id="42"/>
      <w:bookmarkEnd w:id="43"/>
    </w:p>
    <w:tbl>
      <w:tblPr>
        <w:tblStyle w:val="45"/>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3A3C3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14:paraId="52C9783F">
            <w:pPr>
              <w:pStyle w:val="18"/>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业 绩 要 求</w:t>
            </w:r>
          </w:p>
        </w:tc>
      </w:tr>
      <w:tr w14:paraId="548CB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14:paraId="75D47B47">
            <w:pPr>
              <w:widowControl/>
              <w:spacing w:line="360" w:lineRule="auto"/>
              <w:ind w:firstLine="480" w:firstLineChars="200"/>
              <w:textAlignment w:val="baseline"/>
              <w:rPr>
                <w:rStyle w:val="113"/>
                <w:rFonts w:ascii="宋体" w:hAnsi="宋体"/>
                <w:color w:val="000000" w:themeColor="text1"/>
                <w:sz w:val="24"/>
                <w:highlight w:val="none"/>
                <w14:textFill>
                  <w14:solidFill>
                    <w14:schemeClr w14:val="tx1"/>
                  </w14:solidFill>
                </w14:textFill>
              </w:rPr>
            </w:pPr>
            <w:r>
              <w:rPr>
                <w:rStyle w:val="113"/>
                <w:rFonts w:ascii="宋体" w:hAnsi="宋体"/>
                <w:color w:val="000000" w:themeColor="text1"/>
                <w:sz w:val="24"/>
                <w:highlight w:val="none"/>
                <w14:textFill>
                  <w14:solidFill>
                    <w14:schemeClr w14:val="tx1"/>
                  </w14:solidFill>
                </w14:textFill>
              </w:rPr>
              <w:t>近</w:t>
            </w:r>
            <w:r>
              <w:rPr>
                <w:rStyle w:val="113"/>
                <w:rFonts w:hint="eastAsia" w:ascii="宋体" w:hAnsi="宋体"/>
                <w:color w:val="000000" w:themeColor="text1"/>
                <w:sz w:val="24"/>
                <w:highlight w:val="none"/>
                <w14:textFill>
                  <w14:solidFill>
                    <w14:schemeClr w14:val="tx1"/>
                  </w14:solidFill>
                </w14:textFill>
              </w:rPr>
              <w:t>五</w:t>
            </w:r>
            <w:r>
              <w:rPr>
                <w:rStyle w:val="113"/>
                <w:rFonts w:ascii="宋体" w:hAnsi="宋体"/>
                <w:color w:val="000000" w:themeColor="text1"/>
                <w:sz w:val="24"/>
                <w:highlight w:val="none"/>
                <w14:textFill>
                  <w14:solidFill>
                    <w14:schemeClr w14:val="tx1"/>
                  </w14:solidFill>
                </w14:textFill>
              </w:rPr>
              <w:t>年</w:t>
            </w:r>
            <w:r>
              <w:rPr>
                <w:rStyle w:val="113"/>
                <w:rFonts w:hint="eastAsia" w:ascii="宋体" w:hAnsi="宋体"/>
                <w:color w:val="000000" w:themeColor="text1"/>
                <w:sz w:val="24"/>
                <w:highlight w:val="none"/>
                <w14:textFill>
                  <w14:solidFill>
                    <w14:schemeClr w14:val="tx1"/>
                  </w14:solidFill>
                </w14:textFill>
              </w:rPr>
              <w:t>内，成功完成：</w:t>
            </w:r>
          </w:p>
          <w:p w14:paraId="141C4F8D">
            <w:pPr>
              <w:widowControl/>
              <w:spacing w:line="360" w:lineRule="auto"/>
              <w:ind w:firstLine="480" w:firstLineChars="20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类似工程水泥混凝土（或沥青混凝土）路面工程至少</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个标段</w:t>
            </w:r>
            <w:r>
              <w:rPr>
                <w:rStyle w:val="113"/>
                <w:rFonts w:hint="eastAsia" w:ascii="宋体" w:hAnsi="宋体"/>
                <w:color w:val="000000" w:themeColor="text1"/>
                <w:sz w:val="24"/>
                <w:highlight w:val="none"/>
                <w14:textFill>
                  <w14:solidFill>
                    <w14:schemeClr w14:val="tx1"/>
                  </w14:solidFill>
                </w14:textFill>
              </w:rPr>
              <w:t>（其中有一个标段里程不少于</w:t>
            </w:r>
            <w:r>
              <w:rPr>
                <w:rStyle w:val="113"/>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10.817</w:t>
            </w:r>
            <w:r>
              <w:rPr>
                <w:rStyle w:val="113"/>
                <w:rFonts w:hint="eastAsia" w:ascii="宋体" w:hAnsi="宋体"/>
                <w:color w:val="000000" w:themeColor="text1"/>
                <w:sz w:val="24"/>
                <w:highlight w:val="none"/>
                <w:u w:val="single"/>
                <w:lang w:val="en-US" w:eastAsia="zh-CN"/>
                <w14:textFill>
                  <w14:solidFill>
                    <w14:schemeClr w14:val="tx1"/>
                  </w14:solidFill>
                </w14:textFill>
              </w:rPr>
              <w:t xml:space="preserve"> </w:t>
            </w:r>
            <w:r>
              <w:rPr>
                <w:rStyle w:val="113"/>
                <w:rFonts w:hint="eastAsia" w:ascii="宋体" w:hAnsi="宋体"/>
                <w:color w:val="000000" w:themeColor="text1"/>
                <w:sz w:val="24"/>
                <w:highlight w:val="none"/>
                <w14:textFill>
                  <w14:solidFill>
                    <w14:schemeClr w14:val="tx1"/>
                  </w14:solidFill>
                </w14:textFill>
              </w:rPr>
              <w:t>km），且类似工程累计里程不少于</w:t>
            </w:r>
            <w:r>
              <w:rPr>
                <w:rStyle w:val="113"/>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10.817</w:t>
            </w:r>
            <w:r>
              <w:rPr>
                <w:rStyle w:val="113"/>
                <w:rFonts w:hint="eastAsia" w:ascii="宋体" w:hAnsi="宋体"/>
                <w:color w:val="000000" w:themeColor="text1"/>
                <w:sz w:val="24"/>
                <w:highlight w:val="none"/>
                <w:u w:val="single"/>
                <w:lang w:val="en-US" w:eastAsia="zh-CN"/>
                <w14:textFill>
                  <w14:solidFill>
                    <w14:schemeClr w14:val="tx1"/>
                  </w14:solidFill>
                </w14:textFill>
              </w:rPr>
              <w:t xml:space="preserve"> </w:t>
            </w:r>
            <w:r>
              <w:rPr>
                <w:rStyle w:val="113"/>
                <w:rFonts w:hint="eastAsia" w:ascii="宋体" w:hAnsi="宋体"/>
                <w:color w:val="000000" w:themeColor="text1"/>
                <w:sz w:val="24"/>
                <w:highlight w:val="none"/>
                <w14:textFill>
                  <w14:solidFill>
                    <w14:schemeClr w14:val="tx1"/>
                  </w14:solidFill>
                </w14:textFill>
              </w:rPr>
              <w:t>km。</w:t>
            </w:r>
          </w:p>
        </w:tc>
      </w:tr>
    </w:tbl>
    <w:p w14:paraId="353CEE9E">
      <w:pPr>
        <w:spacing w:line="360" w:lineRule="auto"/>
        <w:ind w:left="105" w:hanging="105" w:hanging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注：1、本附录所要求的业绩仅限中华人民共和国境内业绩。 </w:t>
      </w:r>
    </w:p>
    <w:p w14:paraId="3663E69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2、投标人应根据招标文件第二章“投标人须知”第 3.5.3 项的要求附相关证明材料。</w:t>
      </w:r>
    </w:p>
    <w:p w14:paraId="042E24A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3、近五年是指：2019年</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月1日至投标文件递交截止之日止。</w:t>
      </w:r>
    </w:p>
    <w:p w14:paraId="48F3DD3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4、类似工程是指：指新建或改、扩建、路面改造</w:t>
      </w:r>
      <w:r>
        <w:rPr>
          <w:rFonts w:hint="eastAsia" w:ascii="宋体" w:hAnsi="宋体"/>
          <w:color w:val="000000" w:themeColor="text1"/>
          <w:szCs w:val="21"/>
          <w:highlight w:val="none"/>
          <w:lang w:val="en-US" w:eastAsia="zh-CN"/>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级以上（含</w:t>
      </w:r>
      <w:r>
        <w:rPr>
          <w:rFonts w:hint="eastAsia" w:ascii="宋体" w:hAnsi="宋体"/>
          <w:color w:val="000000" w:themeColor="text1"/>
          <w:szCs w:val="21"/>
          <w:highlight w:val="none"/>
          <w:lang w:val="en-US" w:eastAsia="zh-CN"/>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级）公路施工项目。在采用新建的公路项目完工业绩时，对于同公路等级改、扩建中的新建桥梁或隧道工程业绩也应认可。</w:t>
      </w:r>
    </w:p>
    <w:p w14:paraId="35F26F39">
      <w:pPr>
        <w:pStyle w:val="18"/>
        <w:spacing w:line="360" w:lineRule="auto"/>
        <w:jc w:val="left"/>
        <w:rPr>
          <w:rFonts w:ascii="宋体" w:hAnsi="宋体" w:cs="宋体"/>
          <w:color w:val="000000" w:themeColor="text1"/>
          <w:kern w:val="0"/>
          <w:sz w:val="24"/>
          <w:highlight w:val="none"/>
          <w14:textFill>
            <w14:solidFill>
              <w14:schemeClr w14:val="tx1"/>
            </w14:solidFill>
          </w14:textFill>
        </w:rPr>
      </w:pPr>
    </w:p>
    <w:p w14:paraId="63020228">
      <w:pPr>
        <w:rPr>
          <w:color w:val="000000" w:themeColor="text1"/>
          <w:highlight w:val="none"/>
          <w14:textFill>
            <w14:solidFill>
              <w14:schemeClr w14:val="tx1"/>
            </w14:solidFill>
          </w14:textFill>
        </w:rPr>
      </w:pPr>
      <w:bookmarkStart w:id="44" w:name="_Toc27756"/>
      <w:bookmarkStart w:id="45" w:name="_Toc466575333"/>
      <w:bookmarkStart w:id="46" w:name="_Toc451261211"/>
      <w:bookmarkStart w:id="47" w:name="_Toc25225"/>
    </w:p>
    <w:p w14:paraId="32BFA277">
      <w:pPr>
        <w:pStyle w:val="6"/>
        <w:jc w:val="center"/>
        <w:rPr>
          <w:color w:val="000000" w:themeColor="text1"/>
          <w:highlight w:val="none"/>
          <w14:textFill>
            <w14:solidFill>
              <w14:schemeClr w14:val="tx1"/>
            </w14:solidFill>
          </w14:textFill>
        </w:rPr>
      </w:pPr>
      <w:bookmarkStart w:id="48" w:name="_Toc933"/>
      <w:r>
        <w:rPr>
          <w:rFonts w:hint="eastAsia"/>
          <w:color w:val="000000" w:themeColor="text1"/>
          <w:highlight w:val="none"/>
          <w14:textFill>
            <w14:solidFill>
              <w14:schemeClr w14:val="tx1"/>
            </w14:solidFill>
          </w14:textFill>
        </w:rPr>
        <w:t>附录4  资格审查条件(信誉最低要求)</w:t>
      </w:r>
      <w:bookmarkEnd w:id="44"/>
      <w:bookmarkEnd w:id="48"/>
    </w:p>
    <w:tbl>
      <w:tblPr>
        <w:tblStyle w:val="45"/>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7D6A8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14:paraId="3FE3E5B8">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信 誉 要 求</w:t>
            </w:r>
          </w:p>
        </w:tc>
      </w:tr>
      <w:tr w14:paraId="3D451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14:paraId="3BD87FEB">
            <w:pPr>
              <w:pStyle w:val="57"/>
              <w:spacing w:line="360" w:lineRule="auto"/>
              <w:ind w:firstLine="480"/>
              <w:jc w:val="both"/>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在最新年度广东省公路工程从业单位（施工单位）信用评价（含无最新年度而上一年度有信用评价）中，信用等级未被评为 D 级；</w:t>
            </w:r>
          </w:p>
          <w:p w14:paraId="703D78AC">
            <w:pPr>
              <w:pStyle w:val="57"/>
              <w:spacing w:line="360" w:lineRule="auto"/>
              <w:ind w:firstLine="480"/>
              <w:jc w:val="both"/>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初次进入广东省的投标人，在最新年度的全国公路从业单位（施工单位）信用评价结果中未被评为 D 级。</w:t>
            </w:r>
          </w:p>
        </w:tc>
      </w:tr>
    </w:tbl>
    <w:p w14:paraId="4628E74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注：1、信用等级的确定原则遵循投标人须知前附表 10.2 款的规定。</w:t>
      </w:r>
    </w:p>
    <w:p w14:paraId="42697F5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2、投标人应根据第九章“投标文件格式”中“八、资格审查资料 (五) 投标人的信誉情况</w:t>
      </w:r>
    </w:p>
    <w:p w14:paraId="00F969E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表”填写情况说明。</w:t>
      </w:r>
    </w:p>
    <w:p w14:paraId="69A8399D">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p>
    <w:p w14:paraId="027C2852">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9" w:name="_Toc32466"/>
      <w:r>
        <w:rPr>
          <w:rFonts w:hint="eastAsia" w:ascii="宋体" w:hAnsi="宋体" w:cs="黑体"/>
          <w:bCs w:val="0"/>
          <w:color w:val="000000" w:themeColor="text1"/>
          <w:sz w:val="30"/>
          <w:szCs w:val="30"/>
          <w:highlight w:val="none"/>
          <w14:textFill>
            <w14:solidFill>
              <w14:schemeClr w14:val="tx1"/>
            </w14:solidFill>
          </w14:textFill>
        </w:rPr>
        <w:t>附录5  资格审查条件(项目经理和项目总工最低要求)</w:t>
      </w:r>
      <w:bookmarkEnd w:id="45"/>
      <w:bookmarkEnd w:id="46"/>
      <w:bookmarkEnd w:id="47"/>
      <w:bookmarkEnd w:id="49"/>
    </w:p>
    <w:tbl>
      <w:tblPr>
        <w:tblStyle w:val="45"/>
        <w:tblW w:w="100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155"/>
        <w:gridCol w:w="2033"/>
      </w:tblGrid>
      <w:tr w14:paraId="583A92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14:paraId="57B32AE6">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  员</w:t>
            </w:r>
          </w:p>
        </w:tc>
        <w:tc>
          <w:tcPr>
            <w:tcW w:w="720" w:type="dxa"/>
            <w:tcBorders>
              <w:tl2br w:val="nil"/>
              <w:tr2bl w:val="nil"/>
            </w:tcBorders>
            <w:vAlign w:val="center"/>
          </w:tcPr>
          <w:p w14:paraId="4D765290">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6155" w:type="dxa"/>
            <w:tcBorders>
              <w:tl2br w:val="nil"/>
              <w:tr2bl w:val="nil"/>
            </w:tcBorders>
            <w:vAlign w:val="center"/>
          </w:tcPr>
          <w:p w14:paraId="24E98D2B">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 格 要 求</w:t>
            </w:r>
          </w:p>
        </w:tc>
        <w:tc>
          <w:tcPr>
            <w:tcW w:w="2033" w:type="dxa"/>
            <w:tcBorders>
              <w:tl2br w:val="nil"/>
              <w:tr2bl w:val="nil"/>
            </w:tcBorders>
            <w:vAlign w:val="center"/>
          </w:tcPr>
          <w:p w14:paraId="58EB53D1">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岗 要 求</w:t>
            </w:r>
          </w:p>
        </w:tc>
      </w:tr>
      <w:tr w14:paraId="56812A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03" w:hRule="atLeast"/>
          <w:jc w:val="center"/>
        </w:trPr>
        <w:tc>
          <w:tcPr>
            <w:tcW w:w="1184" w:type="dxa"/>
            <w:tcBorders>
              <w:tl2br w:val="nil"/>
              <w:tr2bl w:val="nil"/>
            </w:tcBorders>
            <w:vAlign w:val="center"/>
          </w:tcPr>
          <w:p w14:paraId="498E0BCB">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720" w:type="dxa"/>
            <w:tcBorders>
              <w:tl2br w:val="nil"/>
              <w:tr2bl w:val="nil"/>
            </w:tcBorders>
            <w:vAlign w:val="center"/>
          </w:tcPr>
          <w:p w14:paraId="03FBE939">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14:paraId="7164B579">
            <w:pPr>
              <w:spacing w:line="360" w:lineRule="auto"/>
              <w:ind w:right="6" w:rightChars="3"/>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工程师</w:t>
            </w:r>
            <w:r>
              <w:rPr>
                <w:rFonts w:hint="default" w:ascii="宋体" w:hAnsi="宋体" w:cs="宋体"/>
                <w:color w:val="000000" w:themeColor="text1"/>
                <w:sz w:val="24"/>
                <w:highlight w:val="none"/>
                <w:lang w:val="en-US" w:eastAsia="zh-CN"/>
                <w14:textFill>
                  <w14:solidFill>
                    <w14:schemeClr w14:val="tx1"/>
                  </w14:solidFill>
                </w14:textFill>
              </w:rPr>
              <w:t>或以上职称</w:t>
            </w:r>
            <w:r>
              <w:rPr>
                <w:rFonts w:hint="eastAsia" w:ascii="宋体" w:hAnsi="宋体" w:cs="宋体"/>
                <w:color w:val="000000" w:themeColor="text1"/>
                <w:sz w:val="24"/>
                <w:highlight w:val="none"/>
                <w14:textFill>
                  <w14:solidFill>
                    <w14:schemeClr w14:val="tx1"/>
                  </w14:solidFill>
                </w14:textFill>
              </w:rPr>
              <w:t>，担任类似工程项目经理（或项目副经理或项目总工）岗位累计</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个月</w:t>
            </w:r>
            <w:r>
              <w:rPr>
                <w:rFonts w:hint="eastAsia" w:ascii="宋体" w:hAnsi="宋体" w:cs="宋体"/>
                <w:color w:val="000000" w:themeColor="text1"/>
                <w:sz w:val="24"/>
                <w:highlight w:val="none"/>
                <w14:textFill>
                  <w14:solidFill>
                    <w14:schemeClr w14:val="tx1"/>
                  </w14:solidFill>
                </w14:textFill>
              </w:rPr>
              <w:t>，并持有住房和城乡建设部颁发的公路工程专业二级建造师注册证书，具有交通主管部门颁发的有效安全生产“三类人员”B类证书。</w:t>
            </w:r>
          </w:p>
        </w:tc>
        <w:tc>
          <w:tcPr>
            <w:tcW w:w="2033" w:type="dxa"/>
            <w:vMerge w:val="restart"/>
            <w:tcBorders>
              <w:tl2br w:val="nil"/>
              <w:tr2bl w:val="nil"/>
            </w:tcBorders>
            <w:vAlign w:val="center"/>
          </w:tcPr>
          <w:p w14:paraId="77A8938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无在岗项目（指目前未在其他项目上任职，或虽在其他项目上任职但本项目中标后能够从该项目撤离）。</w:t>
            </w:r>
          </w:p>
        </w:tc>
      </w:tr>
      <w:tr w14:paraId="31B0DC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28" w:hRule="atLeast"/>
          <w:jc w:val="center"/>
        </w:trPr>
        <w:tc>
          <w:tcPr>
            <w:tcW w:w="1184" w:type="dxa"/>
            <w:tcBorders>
              <w:tl2br w:val="nil"/>
              <w:tr2bl w:val="nil"/>
            </w:tcBorders>
            <w:vAlign w:val="center"/>
          </w:tcPr>
          <w:p w14:paraId="6F8D6CB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720" w:type="dxa"/>
            <w:tcBorders>
              <w:tl2br w:val="nil"/>
              <w:tr2bl w:val="nil"/>
            </w:tcBorders>
            <w:vAlign w:val="center"/>
          </w:tcPr>
          <w:p w14:paraId="2FFF02F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14:paraId="2425D4EC">
            <w:pPr>
              <w:spacing w:line="360" w:lineRule="auto"/>
              <w:ind w:firstLine="480" w:firstLineChars="200"/>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路桥相关专业高级工程师，主管类似工程技术工作岗位累计</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个月</w:t>
            </w:r>
            <w:r>
              <w:rPr>
                <w:rFonts w:hint="eastAsia" w:ascii="宋体" w:hAnsi="宋体" w:cs="宋体"/>
                <w:color w:val="000000" w:themeColor="text1"/>
                <w:sz w:val="24"/>
                <w:highlight w:val="none"/>
                <w14:textFill>
                  <w14:solidFill>
                    <w14:schemeClr w14:val="tx1"/>
                  </w14:solidFill>
                </w14:textFill>
              </w:rPr>
              <w:t>，具有交通主管部门颁发的有效安全生产“三类人员”B类证书。</w:t>
            </w:r>
          </w:p>
        </w:tc>
        <w:tc>
          <w:tcPr>
            <w:tcW w:w="2033" w:type="dxa"/>
            <w:vMerge w:val="continue"/>
            <w:tcBorders>
              <w:tl2br w:val="nil"/>
              <w:tr2bl w:val="nil"/>
            </w:tcBorders>
            <w:vAlign w:val="center"/>
          </w:tcPr>
          <w:p w14:paraId="0B015694">
            <w:pPr>
              <w:spacing w:line="360" w:lineRule="auto"/>
              <w:rPr>
                <w:rFonts w:ascii="Calibri" w:hAnsi="Calibri"/>
                <w:color w:val="000000" w:themeColor="text1"/>
                <w:sz w:val="24"/>
                <w:highlight w:val="none"/>
                <w14:textFill>
                  <w14:solidFill>
                    <w14:schemeClr w14:val="tx1"/>
                  </w14:solidFill>
                </w14:textFill>
              </w:rPr>
            </w:pPr>
          </w:p>
        </w:tc>
      </w:tr>
    </w:tbl>
    <w:p w14:paraId="6144A3B4">
      <w:pPr>
        <w:spacing w:line="360" w:lineRule="auto"/>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注：1．资格要求的人员建造师注册证书、安全生产“三类人员”B 类证书均应在投标人所在单位，否则视为无效。</w:t>
      </w:r>
    </w:p>
    <w:p w14:paraId="3C075B3B">
      <w:pPr>
        <w:numPr>
          <w:ilvl w:val="0"/>
          <w:numId w:val="8"/>
        </w:numPr>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主管技术工作指：担任过项目经理、项目副经理、项目总工、项目副总工、质检负责人、工程部门负责人。担任类似工程项目经理（或项目副经理或项目总工）岗位经验累计时间、主管类似工程技术工作岗位经验累计时间统计至月，计算时尾数如不少于 15 天的按 1 个月计，不足 15 天部分不计。</w:t>
      </w:r>
    </w:p>
    <w:p w14:paraId="11936D5E">
      <w:pPr>
        <w:numPr>
          <w:ilvl w:val="0"/>
          <w:numId w:val="8"/>
        </w:numPr>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投标人应根据招标文件第二章“投标人须知”第 3.5.5 项的要求附相关证明材料。</w:t>
      </w:r>
    </w:p>
    <w:p w14:paraId="2B45F4FB">
      <w:pPr>
        <w:pStyle w:val="55"/>
        <w:rPr>
          <w:color w:val="000000" w:themeColor="text1"/>
          <w:highlight w:val="none"/>
          <w14:textFill>
            <w14:solidFill>
              <w14:schemeClr w14:val="tx1"/>
            </w14:solidFill>
          </w14:textFill>
        </w:rPr>
      </w:pPr>
    </w:p>
    <w:p w14:paraId="6A14195A">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50" w:name="_Toc26687"/>
      <w:bookmarkStart w:id="51" w:name="_Toc8287"/>
      <w:r>
        <w:rPr>
          <w:rFonts w:hint="eastAsia" w:ascii="宋体" w:hAnsi="宋体" w:cs="黑体"/>
          <w:bCs w:val="0"/>
          <w:color w:val="000000" w:themeColor="text1"/>
          <w:sz w:val="30"/>
          <w:szCs w:val="30"/>
          <w:highlight w:val="none"/>
          <w14:textFill>
            <w14:solidFill>
              <w14:schemeClr w14:val="tx1"/>
            </w14:solidFill>
          </w14:textFill>
        </w:rPr>
        <w:t>附录6  资格审查条件(</w:t>
      </w:r>
      <w:bookmarkStart w:id="52" w:name="OLE_LINK1"/>
      <w:r>
        <w:rPr>
          <w:rFonts w:hint="eastAsia" w:ascii="宋体" w:hAnsi="宋体" w:cs="黑体"/>
          <w:bCs w:val="0"/>
          <w:color w:val="000000" w:themeColor="text1"/>
          <w:sz w:val="30"/>
          <w:szCs w:val="30"/>
          <w:highlight w:val="none"/>
          <w14:textFill>
            <w14:solidFill>
              <w14:schemeClr w14:val="tx1"/>
            </w14:solidFill>
          </w14:textFill>
        </w:rPr>
        <w:t>其他管理人员和技术人员最低要求</w:t>
      </w:r>
      <w:bookmarkEnd w:id="52"/>
      <w:r>
        <w:rPr>
          <w:rFonts w:hint="eastAsia" w:ascii="宋体" w:hAnsi="宋体" w:cs="黑体"/>
          <w:bCs w:val="0"/>
          <w:color w:val="000000" w:themeColor="text1"/>
          <w:sz w:val="30"/>
          <w:szCs w:val="30"/>
          <w:highlight w:val="none"/>
          <w14:textFill>
            <w14:solidFill>
              <w14:schemeClr w14:val="tx1"/>
            </w14:solidFill>
          </w14:textFill>
        </w:rPr>
        <w:t>)</w:t>
      </w:r>
      <w:bookmarkEnd w:id="50"/>
      <w:bookmarkEnd w:id="51"/>
    </w:p>
    <w:tbl>
      <w:tblPr>
        <w:tblStyle w:val="45"/>
        <w:tblW w:w="9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690"/>
        <w:gridCol w:w="7286"/>
      </w:tblGrid>
      <w:tr w14:paraId="227AD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exact"/>
          <w:jc w:val="center"/>
        </w:trPr>
        <w:tc>
          <w:tcPr>
            <w:tcW w:w="1876" w:type="dxa"/>
            <w:vAlign w:val="center"/>
          </w:tcPr>
          <w:p w14:paraId="1AB39DB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  员</w:t>
            </w:r>
          </w:p>
        </w:tc>
        <w:tc>
          <w:tcPr>
            <w:tcW w:w="690" w:type="dxa"/>
            <w:vAlign w:val="center"/>
          </w:tcPr>
          <w:p w14:paraId="331E3EF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86" w:type="dxa"/>
            <w:vAlign w:val="center"/>
          </w:tcPr>
          <w:p w14:paraId="498DCCF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 格 要 求</w:t>
            </w:r>
          </w:p>
        </w:tc>
      </w:tr>
      <w:tr w14:paraId="23C00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36F0C72F">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质检工程师</w:t>
            </w:r>
          </w:p>
        </w:tc>
        <w:tc>
          <w:tcPr>
            <w:tcW w:w="690" w:type="dxa"/>
            <w:vAlign w:val="center"/>
          </w:tcPr>
          <w:p w14:paraId="398A9C3A">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4F037AD7">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路桥相关专业工程师，累计 3 年从事类似工程经验。</w:t>
            </w:r>
          </w:p>
        </w:tc>
      </w:tr>
      <w:tr w14:paraId="4253C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7823F303">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道路工程师</w:t>
            </w:r>
          </w:p>
        </w:tc>
        <w:tc>
          <w:tcPr>
            <w:tcW w:w="690" w:type="dxa"/>
            <w:vAlign w:val="center"/>
          </w:tcPr>
          <w:p w14:paraId="6A7D7413">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7C498B97">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路桥相关专业工程师，累计 3 年从事类似工程经验。</w:t>
            </w:r>
          </w:p>
        </w:tc>
      </w:tr>
      <w:tr w14:paraId="6588A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7511A5B0">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测量工程师</w:t>
            </w:r>
          </w:p>
        </w:tc>
        <w:tc>
          <w:tcPr>
            <w:tcW w:w="690" w:type="dxa"/>
            <w:vAlign w:val="center"/>
          </w:tcPr>
          <w:p w14:paraId="47EDC8B1">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2CB5234B">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工程师，累计 3 年</w:t>
            </w:r>
            <w:r>
              <w:rPr>
                <w:rFonts w:hint="eastAsia" w:ascii="宋体" w:hAnsi="宋体" w:cs="宋体"/>
                <w:bCs/>
                <w:color w:val="000000" w:themeColor="text1"/>
                <w:kern w:val="0"/>
                <w:sz w:val="24"/>
                <w:highlight w:val="none"/>
                <w14:textFill>
                  <w14:solidFill>
                    <w14:schemeClr w14:val="tx1"/>
                  </w14:solidFill>
                </w14:textFill>
              </w:rPr>
              <w:t>从事</w:t>
            </w:r>
            <w:r>
              <w:rPr>
                <w:rFonts w:hint="eastAsia" w:ascii="宋体" w:hAnsi="宋体" w:cs="宋体"/>
                <w:color w:val="000000" w:themeColor="text1"/>
                <w:sz w:val="24"/>
                <w:highlight w:val="none"/>
                <w14:textFill>
                  <w14:solidFill>
                    <w14:schemeClr w14:val="tx1"/>
                  </w14:solidFill>
                </w14:textFill>
              </w:rPr>
              <w:t>类似工程经验。</w:t>
            </w:r>
          </w:p>
        </w:tc>
      </w:tr>
      <w:tr w14:paraId="1902C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72304E17">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试验工程师</w:t>
            </w:r>
          </w:p>
        </w:tc>
        <w:tc>
          <w:tcPr>
            <w:tcW w:w="690" w:type="dxa"/>
            <w:vAlign w:val="center"/>
          </w:tcPr>
          <w:p w14:paraId="2160354F">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18E092EB">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持有行政主管部门核发的公路工程试验检测师资格证书或试验检测工程师资格证书，累计 3 年从事类似工程经验。</w:t>
            </w:r>
          </w:p>
        </w:tc>
      </w:tr>
      <w:tr w14:paraId="77F72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1415658E">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财务负责人</w:t>
            </w:r>
          </w:p>
        </w:tc>
        <w:tc>
          <w:tcPr>
            <w:tcW w:w="690" w:type="dxa"/>
            <w:vAlign w:val="center"/>
          </w:tcPr>
          <w:p w14:paraId="2272DEB8">
            <w:pPr>
              <w:spacing w:line="32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60B7F996">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累计3年从事类似工程经验。</w:t>
            </w:r>
          </w:p>
        </w:tc>
      </w:tr>
      <w:tr w14:paraId="16B32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5E3C12BB">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w:t>
            </w:r>
          </w:p>
        </w:tc>
        <w:tc>
          <w:tcPr>
            <w:tcW w:w="690" w:type="dxa"/>
            <w:vAlign w:val="center"/>
          </w:tcPr>
          <w:p w14:paraId="53A6FFE3">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54BA79AF">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具有交通主管部门颁发的有效安全生产“三类人员” C 类证书，累计 3 年从事类似工程经验。</w:t>
            </w:r>
          </w:p>
        </w:tc>
      </w:tr>
      <w:tr w14:paraId="2F063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6E825AAD">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资料员</w:t>
            </w:r>
          </w:p>
        </w:tc>
        <w:tc>
          <w:tcPr>
            <w:tcW w:w="690" w:type="dxa"/>
            <w:vAlign w:val="center"/>
          </w:tcPr>
          <w:p w14:paraId="48FC5623">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64D98377">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资料员，累计 3 年从事类似工作经验。</w:t>
            </w:r>
          </w:p>
        </w:tc>
      </w:tr>
    </w:tbl>
    <w:p w14:paraId="5F6F66C5">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1B4CA145">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1、附录 6 所要求人员须按投标文件投标函的格式承诺，中标人在进场前向招标人提交实际投入的人员。</w:t>
      </w:r>
    </w:p>
    <w:p w14:paraId="4E68B7D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2、投标人中标后专职安全生产管理人员的配备应按照交通部《公路水运工程安全生产监督管理办法》的要求执行。招标人可根据项目的工期和进度，按规定设置最低的专职安全生产管理人员数量要求。</w:t>
      </w:r>
    </w:p>
    <w:p w14:paraId="4BADB56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3、计划工程师的造价人员证书的等级结合项目属性按规定合理设定。</w:t>
      </w:r>
    </w:p>
    <w:p w14:paraId="2065EC90">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4、试验相关人员的配备应符合《广东省公路工程施工标准化指南》的要求。</w:t>
      </w:r>
    </w:p>
    <w:p w14:paraId="6A6FA52E">
      <w:pPr>
        <w:pStyle w:val="55"/>
        <w:rPr>
          <w:rFonts w:ascii="宋体" w:hAnsi="宋体" w:cs="宋体"/>
          <w:color w:val="000000" w:themeColor="text1"/>
          <w:sz w:val="21"/>
          <w:szCs w:val="21"/>
          <w:highlight w:val="none"/>
          <w14:textFill>
            <w14:solidFill>
              <w14:schemeClr w14:val="tx1"/>
            </w14:solidFill>
          </w14:textFill>
        </w:rPr>
      </w:pPr>
    </w:p>
    <w:p w14:paraId="2058974E">
      <w:pPr>
        <w:pStyle w:val="6"/>
        <w:jc w:val="center"/>
        <w:rPr>
          <w:rFonts w:ascii="宋体" w:hAnsi="宋体" w:cs="黑体"/>
          <w:color w:val="000000" w:themeColor="text1"/>
          <w:sz w:val="30"/>
          <w:szCs w:val="30"/>
          <w:highlight w:val="none"/>
          <w14:textFill>
            <w14:solidFill>
              <w14:schemeClr w14:val="tx1"/>
            </w14:solidFill>
          </w14:textFill>
        </w:rPr>
      </w:pPr>
    </w:p>
    <w:p w14:paraId="42F33BFB">
      <w:pPr>
        <w:pStyle w:val="6"/>
        <w:jc w:val="center"/>
        <w:rPr>
          <w:rFonts w:ascii="宋体" w:hAnsi="宋体" w:cs="黑体"/>
          <w:color w:val="000000" w:themeColor="text1"/>
          <w:sz w:val="30"/>
          <w:szCs w:val="30"/>
          <w:highlight w:val="none"/>
          <w14:textFill>
            <w14:solidFill>
              <w14:schemeClr w14:val="tx1"/>
            </w14:solidFill>
          </w14:textFill>
        </w:rPr>
      </w:pPr>
      <w:r>
        <w:rPr>
          <w:rFonts w:hint="eastAsia" w:ascii="宋体" w:hAnsi="宋体" w:cs="黑体"/>
          <w:color w:val="000000" w:themeColor="text1"/>
          <w:sz w:val="30"/>
          <w:szCs w:val="30"/>
          <w:highlight w:val="none"/>
          <w14:textFill>
            <w14:solidFill>
              <w14:schemeClr w14:val="tx1"/>
            </w14:solidFill>
          </w14:textFill>
        </w:rPr>
        <w:br w:type="page"/>
      </w:r>
    </w:p>
    <w:p w14:paraId="6C78A7D4">
      <w:pPr>
        <w:pStyle w:val="6"/>
        <w:jc w:val="center"/>
        <w:rPr>
          <w:rFonts w:ascii="宋体" w:hAnsi="宋体" w:cs="黑体"/>
          <w:color w:val="000000" w:themeColor="text1"/>
          <w:sz w:val="30"/>
          <w:szCs w:val="30"/>
          <w:highlight w:val="none"/>
          <w14:textFill>
            <w14:solidFill>
              <w14:schemeClr w14:val="tx1"/>
            </w14:solidFill>
          </w14:textFill>
        </w:rPr>
      </w:pPr>
      <w:bookmarkStart w:id="53" w:name="_Toc14728"/>
      <w:r>
        <w:rPr>
          <w:rFonts w:hint="eastAsia" w:ascii="宋体" w:hAnsi="宋体" w:cs="黑体"/>
          <w:color w:val="000000" w:themeColor="text1"/>
          <w:sz w:val="30"/>
          <w:szCs w:val="30"/>
          <w:highlight w:val="none"/>
          <w14:textFill>
            <w14:solidFill>
              <w14:schemeClr w14:val="tx1"/>
            </w14:solidFill>
          </w14:textFill>
        </w:rPr>
        <w:t>附录7  资格审查条件（主要设备最低要求）</w:t>
      </w:r>
      <w:bookmarkEnd w:id="53"/>
    </w:p>
    <w:tbl>
      <w:tblPr>
        <w:tblStyle w:val="45"/>
        <w:tblpPr w:leftFromText="180" w:rightFromText="180" w:vertAnchor="text" w:horzAnchor="page" w:tblpXSpec="center" w:tblpY="109"/>
        <w:tblOverlap w:val="never"/>
        <w:tblW w:w="8765" w:type="dxa"/>
        <w:tblInd w:w="0" w:type="dxa"/>
        <w:tblLayout w:type="fixed"/>
        <w:tblCellMar>
          <w:top w:w="0" w:type="dxa"/>
          <w:left w:w="0" w:type="dxa"/>
          <w:bottom w:w="0" w:type="dxa"/>
          <w:right w:w="0" w:type="dxa"/>
        </w:tblCellMar>
      </w:tblPr>
      <w:tblGrid>
        <w:gridCol w:w="772"/>
        <w:gridCol w:w="2736"/>
        <w:gridCol w:w="2972"/>
        <w:gridCol w:w="842"/>
        <w:gridCol w:w="1443"/>
      </w:tblGrid>
      <w:tr w14:paraId="2486BCAC">
        <w:tblPrEx>
          <w:tblCellMar>
            <w:top w:w="0" w:type="dxa"/>
            <w:left w:w="0" w:type="dxa"/>
            <w:bottom w:w="0" w:type="dxa"/>
            <w:right w:w="0" w:type="dxa"/>
          </w:tblCellMar>
        </w:tblPrEx>
        <w:trPr>
          <w:trHeight w:val="565" w:hRule="exact"/>
        </w:trPr>
        <w:tc>
          <w:tcPr>
            <w:tcW w:w="772" w:type="dxa"/>
            <w:tcBorders>
              <w:top w:val="single" w:color="000000" w:sz="12" w:space="0"/>
              <w:left w:val="single" w:color="000000" w:sz="12" w:space="0"/>
              <w:bottom w:val="single" w:color="000000" w:sz="8" w:space="0"/>
              <w:right w:val="single" w:color="000000" w:sz="8" w:space="0"/>
            </w:tcBorders>
            <w:vAlign w:val="center"/>
          </w:tcPr>
          <w:p w14:paraId="4B9048F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14:paraId="46CFDA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14:paraId="468590B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62C9B8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534F560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14:paraId="3AAD09CF">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3F229BB">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76B6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振动压路机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665B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2EA6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5DEAFD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6BF9E00C">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D593051">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F859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双钢轮压路机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F776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AD6D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4FA794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2072FE67">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0BE2E9B">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462E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胶轮压路机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68F7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E01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BBAE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79B69259">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3153B3C">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E34C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装载机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C91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75E7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F22353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56B1A982">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1ECB0F7">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64E3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挖掘机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DA48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C1EC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2E5728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1933CCED">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6B80242">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CBBF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自卸汽车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FF4A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D0DC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DE4E8F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r>
      <w:tr w14:paraId="672F2B4C">
        <w:tblPrEx>
          <w:tblCellMar>
            <w:top w:w="0" w:type="dxa"/>
            <w:left w:w="0" w:type="dxa"/>
            <w:bottom w:w="0" w:type="dxa"/>
            <w:right w:w="0" w:type="dxa"/>
          </w:tblCellMar>
        </w:tblPrEx>
        <w:trPr>
          <w:trHeight w:val="550"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2168896">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80BF4">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洒水车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444EF">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4A139">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5BB4A80">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1</w:t>
            </w:r>
          </w:p>
        </w:tc>
      </w:tr>
      <w:tr w14:paraId="18632BB7">
        <w:tblPrEx>
          <w:tblCellMar>
            <w:top w:w="0" w:type="dxa"/>
            <w:left w:w="0" w:type="dxa"/>
            <w:bottom w:w="0" w:type="dxa"/>
            <w:right w:w="0" w:type="dxa"/>
          </w:tblCellMar>
        </w:tblPrEx>
        <w:trPr>
          <w:trHeight w:val="568" w:hRule="atLeas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C8CBF12">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F591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沥青混合料摊铺机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72D94">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≥6m</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D3822">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B6ECBD2">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703C5B07">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3C7C7C2">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9FDD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沥青洒布车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31BF6">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FA21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EC8D348">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1A52E18D">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14:paraId="1E9D0392">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7F5E3AEE">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路面铣刨机</w:t>
            </w:r>
          </w:p>
        </w:tc>
        <w:tc>
          <w:tcPr>
            <w:tcW w:w="2972" w:type="dxa"/>
            <w:tcBorders>
              <w:top w:val="single" w:color="000000" w:sz="8" w:space="0"/>
              <w:left w:val="single" w:color="000000" w:sz="8" w:space="0"/>
              <w:bottom w:val="single" w:color="000000" w:sz="8" w:space="0"/>
              <w:right w:val="single" w:color="000000" w:sz="8" w:space="0"/>
            </w:tcBorders>
            <w:vAlign w:val="center"/>
          </w:tcPr>
          <w:p w14:paraId="7B5641D1">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≥2000mm</w:t>
            </w:r>
          </w:p>
        </w:tc>
        <w:tc>
          <w:tcPr>
            <w:tcW w:w="842" w:type="dxa"/>
            <w:tcBorders>
              <w:top w:val="single" w:color="000000" w:sz="8" w:space="0"/>
              <w:left w:val="single" w:color="000000" w:sz="8" w:space="0"/>
              <w:bottom w:val="single" w:color="000000" w:sz="8" w:space="0"/>
              <w:right w:val="single" w:color="000000" w:sz="8" w:space="0"/>
            </w:tcBorders>
            <w:vAlign w:val="center"/>
          </w:tcPr>
          <w:p w14:paraId="6679BFA8">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vAlign w:val="center"/>
          </w:tcPr>
          <w:p w14:paraId="4D261610">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14:paraId="43EAE126">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14:paraId="323CE503">
            <w:pPr>
              <w:tabs>
                <w:tab w:val="left" w:pos="425"/>
              </w:tabs>
              <w:ind w:left="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736" w:type="dxa"/>
            <w:tcBorders>
              <w:top w:val="single" w:color="000000" w:sz="8" w:space="0"/>
              <w:left w:val="single" w:color="000000" w:sz="8" w:space="0"/>
              <w:bottom w:val="single" w:color="000000" w:sz="8" w:space="0"/>
              <w:right w:val="single" w:color="000000" w:sz="8" w:space="0"/>
            </w:tcBorders>
            <w:vAlign w:val="center"/>
          </w:tcPr>
          <w:p w14:paraId="5CBE3C2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972" w:type="dxa"/>
            <w:tcBorders>
              <w:top w:val="single" w:color="000000" w:sz="8" w:space="0"/>
              <w:left w:val="single" w:color="000000" w:sz="8" w:space="0"/>
              <w:bottom w:val="single" w:color="000000" w:sz="8" w:space="0"/>
              <w:right w:val="single" w:color="000000" w:sz="8" w:space="0"/>
            </w:tcBorders>
            <w:vAlign w:val="center"/>
          </w:tcPr>
          <w:p w14:paraId="2A777F3E">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6FB44B3A">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2C48FA98">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F1F1D66">
      <w:pPr>
        <w:widowControl/>
        <w:jc w:val="left"/>
        <w:rPr>
          <w:rFonts w:ascii="宋体" w:hAnsi="宋体"/>
          <w:color w:val="000000" w:themeColor="text1"/>
          <w:sz w:val="24"/>
          <w:highlight w:val="none"/>
          <w14:textFill>
            <w14:solidFill>
              <w14:schemeClr w14:val="tx1"/>
            </w14:solidFill>
          </w14:textFill>
        </w:rPr>
      </w:pPr>
    </w:p>
    <w:p w14:paraId="4E14296A">
      <w:pPr>
        <w:widowControl/>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57DEFCF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1、投标人须按投标文件投标函的格式承诺。</w:t>
      </w:r>
    </w:p>
    <w:p w14:paraId="6EA1C39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2、招标人有权根据标段的工程特点、工程量及工程进度情况要求增加或调整相应的施工设备。</w:t>
      </w:r>
    </w:p>
    <w:p w14:paraId="2C071EEE">
      <w:pPr>
        <w:ind w:left="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bookmarkEnd w:id="32"/>
    <w:bookmarkEnd w:id="33"/>
    <w:p w14:paraId="28EC1E4C">
      <w:pPr>
        <w:pStyle w:val="69"/>
        <w:spacing w:before="156"/>
        <w:rPr>
          <w:color w:val="000000" w:themeColor="text1"/>
          <w:highlight w:val="none"/>
          <w14:textFill>
            <w14:solidFill>
              <w14:schemeClr w14:val="tx1"/>
            </w14:solidFill>
          </w14:textFill>
        </w:rPr>
      </w:pPr>
      <w:bookmarkStart w:id="54" w:name="_Toc2293"/>
      <w:bookmarkEnd w:id="54"/>
      <w:bookmarkStart w:id="55" w:name="_Toc43475670"/>
      <w:bookmarkEnd w:id="55"/>
      <w:bookmarkStart w:id="56" w:name="_Toc11325"/>
      <w:bookmarkEnd w:id="56"/>
      <w:r>
        <w:rPr>
          <w:rFonts w:hint="eastAsia"/>
          <w:color w:val="000000" w:themeColor="text1"/>
          <w:highlight w:val="none"/>
          <w14:textFill>
            <w14:solidFill>
              <w14:schemeClr w14:val="tx1"/>
            </w14:solidFill>
          </w14:textFill>
        </w:rPr>
        <w:t>总则</w:t>
      </w:r>
    </w:p>
    <w:p w14:paraId="0D5497BD">
      <w:pPr>
        <w:pStyle w:val="71"/>
        <w:rPr>
          <w:color w:val="000000" w:themeColor="text1"/>
          <w:highlight w:val="none"/>
          <w14:textFill>
            <w14:solidFill>
              <w14:schemeClr w14:val="tx1"/>
            </w14:solidFill>
          </w14:textFill>
        </w:rPr>
      </w:pPr>
      <w:bookmarkStart w:id="57" w:name="_Toc43475671"/>
      <w:bookmarkEnd w:id="57"/>
      <w:bookmarkStart w:id="58" w:name="_Toc4935"/>
      <w:bookmarkEnd w:id="58"/>
      <w:bookmarkStart w:id="59" w:name="_Toc13126"/>
      <w:bookmarkEnd w:id="59"/>
      <w:r>
        <w:rPr>
          <w:rFonts w:hint="eastAsia"/>
          <w:color w:val="000000" w:themeColor="text1"/>
          <w:highlight w:val="none"/>
          <w14:textFill>
            <w14:solidFill>
              <w14:schemeClr w14:val="tx1"/>
            </w14:solidFill>
          </w14:textFill>
        </w:rPr>
        <w:t>项目概况</w:t>
      </w:r>
    </w:p>
    <w:p w14:paraId="22B8019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 根据《中华人民共和国招标投标法》《中华人民共和国招标投标法实施条例》《公路工程建设项目招标投标管理办法》等有关法律、法规和规章的规定，本招标项目已具备招标条件，现对本标段施工进行招标。</w:t>
      </w:r>
    </w:p>
    <w:p w14:paraId="1D02BF1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 本招标项目招标人：见投标人须知前附表。</w:t>
      </w:r>
    </w:p>
    <w:p w14:paraId="7133E30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 本标段招标代理机构：见投标人须知前附表。</w:t>
      </w:r>
    </w:p>
    <w:p w14:paraId="3390BD3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 本招标项目名称：见投标人须知前附表。</w:t>
      </w:r>
    </w:p>
    <w:p w14:paraId="4019E42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1.1.5 本标段建设地点：见投标人须知前附表。</w:t>
      </w:r>
    </w:p>
    <w:p w14:paraId="08BE215D">
      <w:pPr>
        <w:pStyle w:val="71"/>
        <w:rPr>
          <w:color w:val="000000" w:themeColor="text1"/>
          <w:highlight w:val="none"/>
          <w14:textFill>
            <w14:solidFill>
              <w14:schemeClr w14:val="tx1"/>
            </w14:solidFill>
          </w14:textFill>
        </w:rPr>
      </w:pPr>
      <w:bookmarkStart w:id="60" w:name="_Toc43475672"/>
      <w:bookmarkEnd w:id="60"/>
      <w:bookmarkStart w:id="61" w:name="_Toc9325"/>
      <w:bookmarkEnd w:id="61"/>
      <w:bookmarkStart w:id="62" w:name="_Toc31619"/>
      <w:bookmarkEnd w:id="62"/>
      <w:r>
        <w:rPr>
          <w:rFonts w:hint="eastAsia"/>
          <w:color w:val="000000" w:themeColor="text1"/>
          <w:highlight w:val="none"/>
          <w14:textFill>
            <w14:solidFill>
              <w14:schemeClr w14:val="tx1"/>
            </w14:solidFill>
          </w14:textFill>
        </w:rPr>
        <w:t>招标项目的资金来源和落实情况</w:t>
      </w:r>
    </w:p>
    <w:p w14:paraId="2C76A46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 资金来源及比例：见投标人须知前附表。</w:t>
      </w:r>
    </w:p>
    <w:p w14:paraId="1424F51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 资金落实情况：见投标人须知前附表。</w:t>
      </w:r>
    </w:p>
    <w:p w14:paraId="2ABF50DB">
      <w:pPr>
        <w:pStyle w:val="71"/>
        <w:rPr>
          <w:color w:val="000000" w:themeColor="text1"/>
          <w:highlight w:val="none"/>
          <w14:textFill>
            <w14:solidFill>
              <w14:schemeClr w14:val="tx1"/>
            </w14:solidFill>
          </w14:textFill>
        </w:rPr>
      </w:pPr>
      <w:bookmarkStart w:id="63" w:name="_Toc43475673"/>
      <w:bookmarkEnd w:id="63"/>
      <w:bookmarkStart w:id="64" w:name="_Toc11165"/>
      <w:bookmarkEnd w:id="64"/>
      <w:bookmarkStart w:id="65" w:name="_Toc13421"/>
      <w:bookmarkEnd w:id="65"/>
      <w:r>
        <w:rPr>
          <w:rFonts w:hint="eastAsia"/>
          <w:color w:val="000000" w:themeColor="text1"/>
          <w:highlight w:val="none"/>
          <w14:textFill>
            <w14:solidFill>
              <w14:schemeClr w14:val="tx1"/>
            </w14:solidFill>
          </w14:textFill>
        </w:rPr>
        <w:t>招标范围、计划工期、质量要求和安全目标</w:t>
      </w:r>
    </w:p>
    <w:p w14:paraId="10F5FEB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1.3.1 本标段的招标范围：见投标人须知前附表。</w:t>
      </w:r>
    </w:p>
    <w:p w14:paraId="553FE00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 本标段的计划工期：见投标人须知前附表。</w:t>
      </w:r>
    </w:p>
    <w:p w14:paraId="0080590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 本标段的质量要求：见投标人须知前附表。</w:t>
      </w:r>
    </w:p>
    <w:p w14:paraId="3F69B78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1.3.4 本标段的安全</w:t>
      </w:r>
      <w:r>
        <w:rPr>
          <w:rFonts w:hint="eastAsia"/>
          <w:color w:val="000000" w:themeColor="text1"/>
          <w:highlight w:val="none"/>
          <w14:textFill>
            <w14:solidFill>
              <w14:schemeClr w14:val="tx1"/>
            </w14:solidFill>
          </w14:textFill>
        </w:rPr>
        <w:t>目标：</w:t>
      </w:r>
      <w:r>
        <w:rPr>
          <w:rFonts w:hint="eastAsia" w:ascii="宋体" w:hAnsi="宋体" w:cs="宋体"/>
          <w:color w:val="000000" w:themeColor="text1"/>
          <w:highlight w:val="none"/>
          <w14:textFill>
            <w14:solidFill>
              <w14:schemeClr w14:val="tx1"/>
            </w14:solidFill>
          </w14:textFill>
        </w:rPr>
        <w:t>见投标人须知前附表。</w:t>
      </w:r>
    </w:p>
    <w:p w14:paraId="301A5B47">
      <w:pPr>
        <w:pStyle w:val="71"/>
        <w:rPr>
          <w:color w:val="000000" w:themeColor="text1"/>
          <w:highlight w:val="none"/>
          <w14:textFill>
            <w14:solidFill>
              <w14:schemeClr w14:val="tx1"/>
            </w14:solidFill>
          </w14:textFill>
        </w:rPr>
      </w:pPr>
      <w:bookmarkStart w:id="66" w:name="_Toc32214"/>
      <w:bookmarkEnd w:id="66"/>
      <w:bookmarkStart w:id="67" w:name="_Toc24385"/>
      <w:bookmarkEnd w:id="67"/>
      <w:bookmarkStart w:id="68" w:name="_Toc43475674"/>
      <w:bookmarkEnd w:id="68"/>
      <w:r>
        <w:rPr>
          <w:rFonts w:hint="eastAsia"/>
          <w:color w:val="000000" w:themeColor="text1"/>
          <w:highlight w:val="none"/>
          <w14:textFill>
            <w14:solidFill>
              <w14:schemeClr w14:val="tx1"/>
            </w14:solidFill>
          </w14:textFill>
        </w:rPr>
        <w:t>投标人资格要求（适用于未进行资格预审的）</w:t>
      </w:r>
    </w:p>
    <w:p w14:paraId="2B6955B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投标人应具备承担本标段施工的资质条件、能力和信誉。</w:t>
      </w:r>
    </w:p>
    <w:p w14:paraId="3D534CB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（1）资质要求：见投标人须知前附表；</w:t>
      </w:r>
    </w:p>
    <w:p w14:paraId="191588E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（2）财务要求：见投标人须知前附表；</w:t>
      </w:r>
    </w:p>
    <w:p w14:paraId="486296C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（3）业绩要求：见投标人须知前附表；</w:t>
      </w:r>
    </w:p>
    <w:p w14:paraId="3E6B2E3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（4）信誉要求：见投标人须知前附表；</w:t>
      </w:r>
    </w:p>
    <w:p w14:paraId="76D333F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（5）项目经理和项目总工资格：见投标人须知前附表；</w:t>
      </w:r>
    </w:p>
    <w:p w14:paraId="00AD84A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（6）其他要求：见投标人须知前附表。</w:t>
      </w:r>
    </w:p>
    <w:p w14:paraId="5535CAE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需要提交的相关</w:t>
      </w:r>
      <w:r>
        <w:rPr>
          <w:rFonts w:hint="eastAsia" w:ascii="宋体" w:hAnsi="宋体" w:cs="宋体"/>
          <w:color w:val="000000" w:themeColor="text1"/>
          <w:highlight w:val="none"/>
          <w14:textFill>
            <w14:solidFill>
              <w14:schemeClr w14:val="tx1"/>
            </w14:solidFill>
          </w14:textFill>
        </w:rPr>
        <w:t>证明</w:t>
      </w:r>
      <w:r>
        <w:rPr>
          <w:color w:val="000000" w:themeColor="text1"/>
          <w:highlight w:val="none"/>
          <w14:textFill>
            <w14:solidFill>
              <w14:schemeClr w14:val="tx1"/>
            </w14:solidFill>
          </w14:textFill>
        </w:rPr>
        <w:t>材料见本章第</w:t>
      </w:r>
      <w:r>
        <w:rPr>
          <w:rFonts w:eastAsia="Times New Roman"/>
          <w:color w:val="000000" w:themeColor="text1"/>
          <w:highlight w:val="none"/>
          <w14:textFill>
            <w14:solidFill>
              <w14:schemeClr w14:val="tx1"/>
            </w14:solidFill>
          </w14:textFill>
        </w:rPr>
        <w:t xml:space="preserve">3.5 </w:t>
      </w:r>
      <w:r>
        <w:rPr>
          <w:color w:val="000000" w:themeColor="text1"/>
          <w:highlight w:val="none"/>
          <w14:textFill>
            <w14:solidFill>
              <w14:schemeClr w14:val="tx1"/>
            </w14:solidFill>
          </w14:textFill>
        </w:rPr>
        <w:t>款的规定</w:t>
      </w:r>
      <w:r>
        <w:rPr>
          <w:rFonts w:hint="eastAsia"/>
          <w:color w:val="000000" w:themeColor="text1"/>
          <w:highlight w:val="none"/>
          <w14:textFill>
            <w14:solidFill>
              <w14:schemeClr w14:val="tx1"/>
            </w14:solidFill>
          </w14:textFill>
        </w:rPr>
        <w:t>。</w:t>
      </w:r>
    </w:p>
    <w:p w14:paraId="6EC3106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 投标人须知前附表规定接受联合体投标的，联合体除应符合本章第 1.4.1项和投标人须知前附表的要求外，还应遵守以下规定：</w:t>
      </w:r>
    </w:p>
    <w:p w14:paraId="38C8573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14:paraId="4F98DCC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（2）由同一专业的单位组成的联合体，按照资质等级较低的单位确定资质等级；</w:t>
      </w:r>
    </w:p>
    <w:p w14:paraId="455A31C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（3）联合体各方不得再以自己名义单独或参加其他联合体在同一标段中投标；</w:t>
      </w:r>
    </w:p>
    <w:p w14:paraId="104FA1F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5E9B955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（5）尽管委任了联合体牵头人，但联合体各成员在投标、签订合同与履行合同过程中，仍负有连带的和各自的法律责任。</w:t>
      </w:r>
    </w:p>
    <w:p w14:paraId="707F96DB">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1.4.3 投标人（包括联合体各成员）不得与本标段相关单位存在下列关联关系：</w:t>
      </w:r>
    </w:p>
    <w:p w14:paraId="7A1CD72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（1）为招标人不具有独立法人资格的附属机构（单位）；</w:t>
      </w:r>
    </w:p>
    <w:p w14:paraId="60AB542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（2）与招标人存在利害关系且可能影响招标公正性；</w:t>
      </w:r>
    </w:p>
    <w:p w14:paraId="3335945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（3）与本标段的其他投标人同为一个单位负责人；</w:t>
      </w:r>
    </w:p>
    <w:p w14:paraId="3FA161E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（4）与本标段的其他投标人存在控股、管理关系；</w:t>
      </w:r>
    </w:p>
    <w:p w14:paraId="0872F53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（5）为本标段前期准备提供设计或咨询服务的法人或其任何附属机构（单位）；</w:t>
      </w:r>
    </w:p>
    <w:p w14:paraId="2F111CF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（6）为本标段的监理人；</w:t>
      </w:r>
    </w:p>
    <w:p w14:paraId="5F9BFAF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（7）为本标段的代建人；</w:t>
      </w:r>
    </w:p>
    <w:p w14:paraId="6F9B998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（8）为本标段的招标代理机构；</w:t>
      </w:r>
    </w:p>
    <w:p w14:paraId="54B4DBD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（9）与本标段的监理人或代建人或招标代理机构同为一个法定代表人；</w:t>
      </w:r>
    </w:p>
    <w:p w14:paraId="60F532F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（10）与本标段的监理人或代建人或招标代理机构存在控股或参股关系；</w:t>
      </w:r>
    </w:p>
    <w:p w14:paraId="68C5E6A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（11）法律法规或投标人须知前附表规定的其他情形。</w:t>
      </w:r>
    </w:p>
    <w:p w14:paraId="48837E61">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1.4.4 投标人（包括联合体各成员）不得存在下列不良状况或不良信用记录：</w:t>
      </w:r>
    </w:p>
    <w:p w14:paraId="1CD42C7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（1）被省级及以上交通运输主管部门取消招标项目所在地的投标资格且处于有效期内；</w:t>
      </w:r>
    </w:p>
    <w:p w14:paraId="79BA0D5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（2）被责令停业，暂扣或吊销执照，或吊销资质证书；</w:t>
      </w:r>
    </w:p>
    <w:p w14:paraId="07F4DDD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（3）进入清算程序，或被宣告破产，或其他丧失履约能力的情形；</w:t>
      </w:r>
    </w:p>
    <w:p w14:paraId="150785D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（4）在国家企业信用信息公示系统（http://www.gsxt.gov.cn/）中被列入严重违法失信企业名单；</w:t>
      </w:r>
    </w:p>
    <w:p w14:paraId="548869C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（5）在“信用中国”网站（http://www.creditchina.gov.cn/）中被列入失信被执行人名单；</w:t>
      </w:r>
    </w:p>
    <w:p w14:paraId="1033D28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（6）投标人或其法定代表人、拟委任的项目经理在近三年内有行贿犯罪行为的（行贿犯罪行为的认定以检察机关职务犯罪预防部门出具的查询结果为准）；</w:t>
      </w:r>
    </w:p>
    <w:p w14:paraId="06F9A65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（7）法律法规或投标人须知前附表规定的其他情形。</w:t>
      </w:r>
    </w:p>
    <w:p w14:paraId="1033DC4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p>
    <w:p w14:paraId="6B34345D">
      <w:pPr>
        <w:pStyle w:val="71"/>
        <w:rPr>
          <w:color w:val="000000" w:themeColor="text1"/>
          <w:highlight w:val="none"/>
          <w14:textFill>
            <w14:solidFill>
              <w14:schemeClr w14:val="tx1"/>
            </w14:solidFill>
          </w14:textFill>
        </w:rPr>
      </w:pPr>
      <w:bookmarkStart w:id="69" w:name="_Toc43475675"/>
      <w:bookmarkEnd w:id="69"/>
      <w:bookmarkStart w:id="70" w:name="_Toc32451"/>
      <w:bookmarkEnd w:id="70"/>
      <w:bookmarkStart w:id="71" w:name="_Toc18622"/>
      <w:bookmarkEnd w:id="71"/>
      <w:r>
        <w:rPr>
          <w:rFonts w:hint="eastAsia"/>
          <w:color w:val="000000" w:themeColor="text1"/>
          <w:highlight w:val="none"/>
          <w14:textFill>
            <w14:solidFill>
              <w14:schemeClr w14:val="tx1"/>
            </w14:solidFill>
          </w14:textFill>
        </w:rPr>
        <w:t>费用承担</w:t>
      </w:r>
    </w:p>
    <w:p w14:paraId="76293F3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投标人准备和参加投标活动发生的费用自理。</w:t>
      </w:r>
    </w:p>
    <w:p w14:paraId="07159254">
      <w:pPr>
        <w:pStyle w:val="71"/>
        <w:rPr>
          <w:color w:val="000000" w:themeColor="text1"/>
          <w:highlight w:val="none"/>
          <w14:textFill>
            <w14:solidFill>
              <w14:schemeClr w14:val="tx1"/>
            </w14:solidFill>
          </w14:textFill>
        </w:rPr>
      </w:pPr>
      <w:bookmarkStart w:id="72" w:name="_Toc43475676"/>
      <w:bookmarkEnd w:id="72"/>
      <w:bookmarkStart w:id="73" w:name="_Toc30845"/>
      <w:bookmarkEnd w:id="73"/>
      <w:bookmarkStart w:id="74" w:name="_Toc7728"/>
      <w:bookmarkEnd w:id="74"/>
      <w:r>
        <w:rPr>
          <w:rFonts w:hint="eastAsia"/>
          <w:color w:val="000000" w:themeColor="text1"/>
          <w:highlight w:val="none"/>
          <w14:textFill>
            <w14:solidFill>
              <w14:schemeClr w14:val="tx1"/>
            </w14:solidFill>
          </w14:textFill>
        </w:rPr>
        <w:t>保密</w:t>
      </w:r>
    </w:p>
    <w:p w14:paraId="59A0987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参与招标投标活动的各方应对招标文件和投标文件中的商业和技术等秘密保密， 否则应承担相应的法律责任。</w:t>
      </w:r>
    </w:p>
    <w:p w14:paraId="240998D3">
      <w:pPr>
        <w:pStyle w:val="71"/>
        <w:rPr>
          <w:color w:val="000000" w:themeColor="text1"/>
          <w:highlight w:val="none"/>
          <w14:textFill>
            <w14:solidFill>
              <w14:schemeClr w14:val="tx1"/>
            </w14:solidFill>
          </w14:textFill>
        </w:rPr>
      </w:pPr>
      <w:bookmarkStart w:id="75" w:name="_Toc30800"/>
      <w:bookmarkEnd w:id="75"/>
      <w:bookmarkStart w:id="76" w:name="_Toc43475677"/>
      <w:bookmarkEnd w:id="76"/>
      <w:bookmarkStart w:id="77" w:name="_Toc27711"/>
      <w:bookmarkEnd w:id="77"/>
      <w:r>
        <w:rPr>
          <w:rFonts w:hint="eastAsia"/>
          <w:color w:val="000000" w:themeColor="text1"/>
          <w:highlight w:val="none"/>
          <w14:textFill>
            <w14:solidFill>
              <w14:schemeClr w14:val="tx1"/>
            </w14:solidFill>
          </w14:textFill>
        </w:rPr>
        <w:t>语言文字</w:t>
      </w:r>
    </w:p>
    <w:p w14:paraId="6996CEC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招标投标文件使用的语言文字为中文。专用术语使用外文的，应附有中文注释</w:t>
      </w:r>
      <w:r>
        <w:rPr>
          <w:rFonts w:hint="eastAsia" w:ascii="宋体" w:hAnsi="宋体" w:cs="宋体"/>
          <w:color w:val="000000" w:themeColor="text1"/>
          <w:highlight w:val="none"/>
          <w14:textFill>
            <w14:solidFill>
              <w14:schemeClr w14:val="tx1"/>
            </w14:solidFill>
          </w14:textFill>
        </w:rPr>
        <w:t>。</w:t>
      </w:r>
    </w:p>
    <w:p w14:paraId="4531B063">
      <w:pPr>
        <w:pStyle w:val="71"/>
        <w:rPr>
          <w:color w:val="000000" w:themeColor="text1"/>
          <w:highlight w:val="none"/>
          <w14:textFill>
            <w14:solidFill>
              <w14:schemeClr w14:val="tx1"/>
            </w14:solidFill>
          </w14:textFill>
        </w:rPr>
      </w:pPr>
      <w:bookmarkStart w:id="78" w:name="_Toc43475678"/>
      <w:bookmarkEnd w:id="78"/>
      <w:bookmarkStart w:id="79" w:name="_Toc19030"/>
      <w:bookmarkEnd w:id="79"/>
      <w:bookmarkStart w:id="80" w:name="_Toc19075"/>
      <w:bookmarkEnd w:id="80"/>
      <w:r>
        <w:rPr>
          <w:rFonts w:hint="eastAsia"/>
          <w:color w:val="000000" w:themeColor="text1"/>
          <w:highlight w:val="none"/>
          <w14:textFill>
            <w14:solidFill>
              <w14:schemeClr w14:val="tx1"/>
            </w14:solidFill>
          </w14:textFill>
        </w:rPr>
        <w:t>计量单位</w:t>
      </w:r>
    </w:p>
    <w:p w14:paraId="082D230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所有计量均采用中华人民共和国法定计量单位。</w:t>
      </w:r>
    </w:p>
    <w:p w14:paraId="1C35A480">
      <w:pPr>
        <w:pStyle w:val="71"/>
        <w:rPr>
          <w:color w:val="000000" w:themeColor="text1"/>
          <w:highlight w:val="none"/>
          <w14:textFill>
            <w14:solidFill>
              <w14:schemeClr w14:val="tx1"/>
            </w14:solidFill>
          </w14:textFill>
        </w:rPr>
      </w:pPr>
      <w:bookmarkStart w:id="81" w:name="_Toc11791"/>
      <w:bookmarkEnd w:id="81"/>
      <w:bookmarkStart w:id="82" w:name="_Toc43475679"/>
      <w:bookmarkEnd w:id="82"/>
      <w:bookmarkStart w:id="83" w:name="_Toc9140"/>
      <w:bookmarkEnd w:id="83"/>
      <w:r>
        <w:rPr>
          <w:rFonts w:hint="eastAsia"/>
          <w:color w:val="000000" w:themeColor="text1"/>
          <w:highlight w:val="none"/>
          <w14:textFill>
            <w14:solidFill>
              <w14:schemeClr w14:val="tx1"/>
            </w14:solidFill>
          </w14:textFill>
        </w:rPr>
        <w:t>踏勘现场</w:t>
      </w:r>
    </w:p>
    <w:p w14:paraId="76D338B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0926091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1.9.2 投标人踏勘现场发生的费用自理。</w:t>
      </w:r>
    </w:p>
    <w:p w14:paraId="3D72EF7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1.9.3 除招标人的原因外，投标人自行负责在踏勘现场中所发生的人员伤亡和财产损失。</w:t>
      </w:r>
    </w:p>
    <w:p w14:paraId="3181ADF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52105C9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33B92A17">
      <w:pPr>
        <w:pStyle w:val="71"/>
        <w:rPr>
          <w:color w:val="000000" w:themeColor="text1"/>
          <w:highlight w:val="none"/>
          <w14:textFill>
            <w14:solidFill>
              <w14:schemeClr w14:val="tx1"/>
            </w14:solidFill>
          </w14:textFill>
        </w:rPr>
      </w:pPr>
      <w:bookmarkStart w:id="84" w:name="_Toc7547"/>
      <w:bookmarkEnd w:id="84"/>
      <w:bookmarkStart w:id="85" w:name="_Toc16718"/>
      <w:bookmarkEnd w:id="85"/>
      <w:bookmarkStart w:id="86" w:name="_Toc43475680"/>
      <w:bookmarkEnd w:id="86"/>
      <w:r>
        <w:rPr>
          <w:rFonts w:hint="eastAsia"/>
          <w:color w:val="000000" w:themeColor="text1"/>
          <w:highlight w:val="none"/>
          <w14:textFill>
            <w14:solidFill>
              <w14:schemeClr w14:val="tx1"/>
            </w14:solidFill>
          </w14:textFill>
        </w:rPr>
        <w:t>投标预备会</w:t>
      </w:r>
    </w:p>
    <w:p w14:paraId="4EE92E2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1.10.1 第一章“招标公告”或“投标邀请书”规定召开投标预备会的，招标人按规定的时间和地点召开投标预备会，澄清投标人提出的问题。</w:t>
      </w:r>
    </w:p>
    <w:p w14:paraId="5F42489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1.10.2 投标人应按投标人须知前附表规定的时间和形式将提出的问题送达招标人，以便招标人在会议期间澄清。</w:t>
      </w:r>
    </w:p>
    <w:p w14:paraId="3EE6A90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1.10.3 投标预备会后，招标人将对投标人所提问题的澄清，以本章第 2.2 款规定的形式通知所有购买招标文件的投标人。该澄清内容为招标文件的组成部分。</w:t>
      </w:r>
    </w:p>
    <w:p w14:paraId="25856C54">
      <w:pPr>
        <w:pStyle w:val="71"/>
        <w:rPr>
          <w:color w:val="000000" w:themeColor="text1"/>
          <w:highlight w:val="none"/>
          <w14:textFill>
            <w14:solidFill>
              <w14:schemeClr w14:val="tx1"/>
            </w14:solidFill>
          </w14:textFill>
        </w:rPr>
      </w:pPr>
      <w:bookmarkStart w:id="87" w:name="_Toc25367"/>
      <w:bookmarkEnd w:id="87"/>
      <w:bookmarkStart w:id="88" w:name="_Toc43475681"/>
      <w:bookmarkEnd w:id="88"/>
      <w:bookmarkStart w:id="89" w:name="_Toc496"/>
      <w:bookmarkEnd w:id="89"/>
      <w:r>
        <w:rPr>
          <w:rFonts w:hint="eastAsia"/>
          <w:color w:val="000000" w:themeColor="text1"/>
          <w:highlight w:val="none"/>
          <w14:textFill>
            <w14:solidFill>
              <w14:schemeClr w14:val="tx1"/>
            </w14:solidFill>
          </w14:textFill>
        </w:rPr>
        <w:t>分包</w:t>
      </w:r>
    </w:p>
    <w:p w14:paraId="52F4732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1.11.1投标人拟在中标后将中标项目的部分非主体、非关键性工作进行分包的， 应符合以下规定：</w:t>
      </w:r>
    </w:p>
    <w:p w14:paraId="7C6D691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（1）分包内容要求：允许分包的工程范围仅限于非关键性工程或适合专业化队伍施工的专项工程。招标人允许分包或不允许分包的专项工程（如有）应在投标人须知前附表中载明。</w:t>
      </w:r>
    </w:p>
    <w:p w14:paraId="61AADCC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（2）接受分包的第三人资格要求：分包人的资格能力应与其分包工程的标准和规模相适应，且具备投标人须知前附表中规定的资格条件。</w:t>
      </w:r>
    </w:p>
    <w:p w14:paraId="795FDBB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（3）其他要求：投标人如有分包计划，应按第九章“投标文件格式”的要求填写“拟分包项目情况表”，明确拟分包的工程及规模，且投标人中标后的分包应满足合同条款第4.3 款的相关要求。</w:t>
      </w:r>
    </w:p>
    <w:p w14:paraId="36C95F3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1.11.2中标人不得向他人转让中标项目，接受分包的人不得再次分包。中标人应就分包项目向招标人负责，接受分包的人就分包项目承担连带责任。</w:t>
      </w:r>
    </w:p>
    <w:p w14:paraId="235A5D47">
      <w:pPr>
        <w:pStyle w:val="71"/>
        <w:rPr>
          <w:color w:val="000000" w:themeColor="text1"/>
          <w:highlight w:val="none"/>
          <w14:textFill>
            <w14:solidFill>
              <w14:schemeClr w14:val="tx1"/>
            </w14:solidFill>
          </w14:textFill>
        </w:rPr>
      </w:pPr>
      <w:bookmarkStart w:id="90" w:name="_Toc43475682"/>
      <w:bookmarkEnd w:id="90"/>
      <w:bookmarkStart w:id="91" w:name="_Toc29923"/>
      <w:bookmarkEnd w:id="91"/>
      <w:bookmarkStart w:id="92" w:name="_Toc27550"/>
      <w:bookmarkEnd w:id="92"/>
      <w:r>
        <w:rPr>
          <w:rFonts w:hint="eastAsia"/>
          <w:color w:val="000000" w:themeColor="text1"/>
          <w:highlight w:val="none"/>
          <w14:textFill>
            <w14:solidFill>
              <w14:schemeClr w14:val="tx1"/>
            </w14:solidFill>
          </w14:textFill>
        </w:rPr>
        <w:t>响应和偏差</w:t>
      </w:r>
    </w:p>
    <w:p w14:paraId="4643F8F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1.12.1投标文件偏离招标文件某些要求，视为投标文件存在偏差。偏差包括重大偏差和细微偏差。</w:t>
      </w:r>
    </w:p>
    <w:p w14:paraId="62721BD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1.12.2投标文件应对招标文件的实质性要求和条件作出满足性或更有利于招标人的响应，否则，视为投标文件存在重大偏差，投标人的投标将被否决。</w:t>
      </w:r>
    </w:p>
    <w:p w14:paraId="356F20B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投标文件存在第三章“评标办法”中所列任一否决投标情形的，均属于存在重大偏差。</w:t>
      </w:r>
    </w:p>
    <w:p w14:paraId="1BE346D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1.12.3投标文件中的下列偏差为细微偏差：</w:t>
      </w:r>
    </w:p>
    <w:p w14:paraId="19501C4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按照第三章“评标办法”的规定对投标价进行算术性错误修正及其他错误修正后，最终投标报价未超过最高投标限价（如有）的情况下，出现第三章“评标办法”规定的算术性错误和投标报价的其他错误；</w:t>
      </w:r>
    </w:p>
    <w:p w14:paraId="3D14FF7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（2）施工组织设计（含关键工程技术方案）和项目管理机构不够完善；</w:t>
      </w:r>
    </w:p>
    <w:p w14:paraId="4CEAC9C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（3）投标文件页码不连续、采用活页夹装订、个别文字有遗漏错误等不影响投标文件实质性内容的偏差。</w:t>
      </w:r>
    </w:p>
    <w:p w14:paraId="78B67A3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1.12.4评标委员会对投标文件中的细微偏差按如下规定处理：</w:t>
      </w:r>
    </w:p>
    <w:p w14:paraId="0490629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（1）对于本章第 1.12.3 项（1）目所述的细微偏差，按照第三章“评标办法”的规定予以修正并要求投标人进行澄清；</w:t>
      </w:r>
    </w:p>
    <w:p w14:paraId="6B5F756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567CA0F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（3）对于本章第 1.12.3 项（3）目所述的细微偏差，可要求投标人对细微偏差进行澄清。</w:t>
      </w:r>
    </w:p>
    <w:p w14:paraId="433C8C8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1.12.5投标人应根据招标文件的要求提供施工组织设计等内容以对招标文件作出响应。</w:t>
      </w:r>
    </w:p>
    <w:p w14:paraId="3FD7D201">
      <w:pPr>
        <w:pStyle w:val="69"/>
        <w:spacing w:before="156"/>
        <w:rPr>
          <w:color w:val="000000" w:themeColor="text1"/>
          <w:highlight w:val="none"/>
          <w14:textFill>
            <w14:solidFill>
              <w14:schemeClr w14:val="tx1"/>
            </w14:solidFill>
          </w14:textFill>
        </w:rPr>
      </w:pPr>
      <w:bookmarkStart w:id="93" w:name="_Toc43475683"/>
      <w:bookmarkEnd w:id="93"/>
      <w:bookmarkStart w:id="94" w:name="_Toc14851"/>
      <w:bookmarkEnd w:id="94"/>
      <w:bookmarkStart w:id="95" w:name="_Toc18201"/>
      <w:bookmarkEnd w:id="95"/>
      <w:r>
        <w:rPr>
          <w:rFonts w:hint="eastAsia"/>
          <w:color w:val="000000" w:themeColor="text1"/>
          <w:highlight w:val="none"/>
          <w14:textFill>
            <w14:solidFill>
              <w14:schemeClr w14:val="tx1"/>
            </w14:solidFill>
          </w14:textFill>
        </w:rPr>
        <w:t>招标文件</w:t>
      </w:r>
    </w:p>
    <w:p w14:paraId="16BE1E1F">
      <w:pPr>
        <w:pStyle w:val="71"/>
        <w:rPr>
          <w:color w:val="000000" w:themeColor="text1"/>
          <w:highlight w:val="none"/>
          <w14:textFill>
            <w14:solidFill>
              <w14:schemeClr w14:val="tx1"/>
            </w14:solidFill>
          </w14:textFill>
        </w:rPr>
      </w:pPr>
      <w:bookmarkStart w:id="96" w:name="_Toc21484"/>
      <w:bookmarkEnd w:id="96"/>
      <w:bookmarkStart w:id="97" w:name="_Toc43475684"/>
      <w:bookmarkEnd w:id="97"/>
      <w:bookmarkStart w:id="98" w:name="_Toc22888"/>
      <w:bookmarkEnd w:id="98"/>
      <w:r>
        <w:rPr>
          <w:rFonts w:hint="eastAsia"/>
          <w:color w:val="000000" w:themeColor="text1"/>
          <w:highlight w:val="none"/>
          <w14:textFill>
            <w14:solidFill>
              <w14:schemeClr w14:val="tx1"/>
            </w14:solidFill>
          </w14:textFill>
        </w:rPr>
        <w:t>招标文件的组成</w:t>
      </w:r>
    </w:p>
    <w:p w14:paraId="098ACC89">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本招标文件包括：</w:t>
      </w:r>
    </w:p>
    <w:p w14:paraId="4E7C07D6">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（1）招标公告（或投标邀请书）；</w:t>
      </w:r>
    </w:p>
    <w:p w14:paraId="64B4A8B4">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（2）投标人须知；</w:t>
      </w:r>
    </w:p>
    <w:p w14:paraId="42B12D30">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（3）评标办法；</w:t>
      </w:r>
    </w:p>
    <w:p w14:paraId="3C80499C">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（4）合同条款及格式；</w:t>
      </w:r>
    </w:p>
    <w:p w14:paraId="435FD553">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（5）工程量清单；</w:t>
      </w:r>
    </w:p>
    <w:p w14:paraId="504ED875">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（6）图纸；</w:t>
      </w:r>
    </w:p>
    <w:p w14:paraId="6F82B9ED">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（7）技术规范；</w:t>
      </w:r>
    </w:p>
    <w:p w14:paraId="709726A2">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（8）工程量清单计量规则；</w:t>
      </w:r>
    </w:p>
    <w:p w14:paraId="7E79B0BD">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（9）投标文件格式；</w:t>
      </w:r>
    </w:p>
    <w:p w14:paraId="1FA32A04">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（10）投标人须知前附表规定的其他资料。</w:t>
      </w:r>
    </w:p>
    <w:p w14:paraId="209F0A4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根据本章第 1.10 款、第 2.2 款和第 2.3 款对招标文件所作的澄清、修改，构成招标文件的组成部分。</w:t>
      </w:r>
    </w:p>
    <w:p w14:paraId="7A68C21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当招标文件、招标文件的澄清或修改等在同一内容的表述上不一致时，以最后发出的书面文件为准。</w:t>
      </w:r>
    </w:p>
    <w:p w14:paraId="3FDA11F6">
      <w:pPr>
        <w:pStyle w:val="71"/>
        <w:rPr>
          <w:color w:val="000000" w:themeColor="text1"/>
          <w:highlight w:val="none"/>
          <w14:textFill>
            <w14:solidFill>
              <w14:schemeClr w14:val="tx1"/>
            </w14:solidFill>
          </w14:textFill>
        </w:rPr>
      </w:pPr>
      <w:bookmarkStart w:id="99" w:name="_Toc43475685"/>
      <w:bookmarkEnd w:id="99"/>
      <w:bookmarkStart w:id="100" w:name="_Toc26732"/>
      <w:bookmarkEnd w:id="100"/>
      <w:bookmarkStart w:id="101" w:name="_Toc16577"/>
      <w:bookmarkEnd w:id="101"/>
      <w:r>
        <w:rPr>
          <w:rFonts w:hint="eastAsia"/>
          <w:color w:val="000000" w:themeColor="text1"/>
          <w:highlight w:val="none"/>
          <w14:textFill>
            <w14:solidFill>
              <w14:schemeClr w14:val="tx1"/>
            </w14:solidFill>
          </w14:textFill>
        </w:rPr>
        <w:t>招标文件的澄清</w:t>
      </w:r>
    </w:p>
    <w:p w14:paraId="66CA3F8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14:paraId="676F67F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14:paraId="7A4FA3F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2.2.3投标人在收到澄清后，应按投标人须知前附表规定的时间和形式通知招标人，确认已收到该澄清。</w:t>
      </w:r>
    </w:p>
    <w:p w14:paraId="5743752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2.2.4除非招标人认为确有必要答复，否则，招标人有权拒绝回复投标人在本章第 2.2.1 项规定的时间后提出的任何澄清要求。</w:t>
      </w:r>
    </w:p>
    <w:p w14:paraId="221794FF">
      <w:pPr>
        <w:pStyle w:val="71"/>
        <w:rPr>
          <w:color w:val="000000" w:themeColor="text1"/>
          <w:highlight w:val="none"/>
          <w14:textFill>
            <w14:solidFill>
              <w14:schemeClr w14:val="tx1"/>
            </w14:solidFill>
          </w14:textFill>
        </w:rPr>
      </w:pPr>
      <w:bookmarkStart w:id="102" w:name="_Toc10051"/>
      <w:bookmarkEnd w:id="102"/>
      <w:bookmarkStart w:id="103" w:name="_Toc43475686"/>
      <w:bookmarkEnd w:id="103"/>
      <w:bookmarkStart w:id="104" w:name="_Toc3321"/>
      <w:bookmarkEnd w:id="104"/>
      <w:r>
        <w:rPr>
          <w:rFonts w:hint="eastAsia"/>
          <w:color w:val="000000" w:themeColor="text1"/>
          <w:highlight w:val="none"/>
          <w14:textFill>
            <w14:solidFill>
              <w14:schemeClr w14:val="tx1"/>
            </w14:solidFill>
          </w14:textFill>
        </w:rPr>
        <w:t>招标文件的修改</w:t>
      </w:r>
    </w:p>
    <w:p w14:paraId="2B712EC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14:paraId="0D0CFAC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2.3.2投标人收到修改内容后，应按投标人须知前附表规定的时间和形式通知招标人，确认已收到该修改。</w:t>
      </w:r>
    </w:p>
    <w:p w14:paraId="1CC9CFE8">
      <w:pPr>
        <w:pStyle w:val="71"/>
        <w:rPr>
          <w:color w:val="000000" w:themeColor="text1"/>
          <w:highlight w:val="none"/>
          <w14:textFill>
            <w14:solidFill>
              <w14:schemeClr w14:val="tx1"/>
            </w14:solidFill>
          </w14:textFill>
        </w:rPr>
      </w:pPr>
      <w:bookmarkStart w:id="105" w:name="_Toc54"/>
      <w:bookmarkEnd w:id="105"/>
      <w:bookmarkStart w:id="106" w:name="_Toc5802"/>
      <w:bookmarkEnd w:id="106"/>
      <w:bookmarkStart w:id="107" w:name="_Toc43475687"/>
      <w:bookmarkEnd w:id="107"/>
      <w:r>
        <w:rPr>
          <w:rFonts w:hint="eastAsia"/>
          <w:color w:val="000000" w:themeColor="text1"/>
          <w:highlight w:val="none"/>
          <w14:textFill>
            <w14:solidFill>
              <w14:schemeClr w14:val="tx1"/>
            </w14:solidFill>
          </w14:textFill>
        </w:rPr>
        <w:t>招标文件的异议</w:t>
      </w:r>
    </w:p>
    <w:p w14:paraId="56FE168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投标人或其他利害关系人对招标文件有异议的，应在投标截止时间 10 日前以书面形式提出。招标人将在收到异议之日起 3 日内作出答复；作出答复前，将暂停招标投标活动。</w:t>
      </w:r>
    </w:p>
    <w:p w14:paraId="1A74728D">
      <w:pPr>
        <w:pStyle w:val="69"/>
        <w:spacing w:before="156"/>
        <w:rPr>
          <w:color w:val="000000" w:themeColor="text1"/>
          <w:highlight w:val="none"/>
          <w14:textFill>
            <w14:solidFill>
              <w14:schemeClr w14:val="tx1"/>
            </w14:solidFill>
          </w14:textFill>
        </w:rPr>
      </w:pPr>
      <w:bookmarkStart w:id="108" w:name="_Toc17093"/>
      <w:bookmarkEnd w:id="108"/>
      <w:bookmarkStart w:id="109" w:name="_Toc8676"/>
      <w:bookmarkEnd w:id="109"/>
      <w:bookmarkStart w:id="110" w:name="_Toc43475688"/>
      <w:bookmarkEnd w:id="110"/>
      <w:r>
        <w:rPr>
          <w:rFonts w:hint="eastAsia"/>
          <w:color w:val="000000" w:themeColor="text1"/>
          <w:highlight w:val="none"/>
          <w14:textFill>
            <w14:solidFill>
              <w14:schemeClr w14:val="tx1"/>
            </w14:solidFill>
          </w14:textFill>
        </w:rPr>
        <w:t>投标文件</w:t>
      </w:r>
    </w:p>
    <w:p w14:paraId="16329058">
      <w:pPr>
        <w:pStyle w:val="71"/>
        <w:rPr>
          <w:color w:val="000000" w:themeColor="text1"/>
          <w:highlight w:val="none"/>
          <w14:textFill>
            <w14:solidFill>
              <w14:schemeClr w14:val="tx1"/>
            </w14:solidFill>
          </w14:textFill>
        </w:rPr>
      </w:pPr>
      <w:bookmarkStart w:id="111" w:name="_Toc27990"/>
      <w:bookmarkEnd w:id="111"/>
      <w:bookmarkStart w:id="112" w:name="_Toc43475689"/>
      <w:bookmarkEnd w:id="112"/>
      <w:bookmarkStart w:id="113" w:name="_Toc10611"/>
      <w:bookmarkEnd w:id="113"/>
      <w:r>
        <w:rPr>
          <w:rFonts w:hint="eastAsia"/>
          <w:color w:val="000000" w:themeColor="text1"/>
          <w:highlight w:val="none"/>
          <w14:textFill>
            <w14:solidFill>
              <w14:schemeClr w14:val="tx1"/>
            </w14:solidFill>
          </w14:textFill>
        </w:rPr>
        <w:t>投标文件的组成</w:t>
      </w:r>
    </w:p>
    <w:p w14:paraId="47A273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根据投标人须知前附表规定的不同形式，投标文件的组成应满足相应条款要求。</w:t>
      </w:r>
    </w:p>
    <w:p w14:paraId="5719B4A5">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3.1.1 项采用以下条款：</w:t>
      </w:r>
    </w:p>
    <w:p w14:paraId="5B281BD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3.1.1投标文件应包括下列内容：</w:t>
      </w:r>
    </w:p>
    <w:p w14:paraId="518275B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w:t>
      </w:r>
    </w:p>
    <w:p w14:paraId="78E8081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14:paraId="5B09936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14:paraId="0AD048A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14:paraId="4E0A9EE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14:paraId="563141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（5）施工组织设计；</w:t>
      </w:r>
    </w:p>
    <w:p w14:paraId="6BA2896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（6）项目管理机构；</w:t>
      </w:r>
    </w:p>
    <w:p w14:paraId="1D98BEB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（7）拟分包项目情况表；</w:t>
      </w:r>
    </w:p>
    <w:p w14:paraId="2D93B06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（8）资格审查资料；</w:t>
      </w:r>
    </w:p>
    <w:p w14:paraId="70B295B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（9）投标人须知前附表规定的其他资料。</w:t>
      </w:r>
    </w:p>
    <w:p w14:paraId="3C9D0FD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第二个信封（报价文件）：</w:t>
      </w:r>
    </w:p>
    <w:p w14:paraId="4B033DF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（1）调价函及调价后的工程量清单；</w:t>
      </w:r>
    </w:p>
    <w:p w14:paraId="7B11F0F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（2）投标函；</w:t>
      </w:r>
    </w:p>
    <w:p w14:paraId="56B2524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（3）已标价工程量清单；</w:t>
      </w:r>
    </w:p>
    <w:p w14:paraId="3B55171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（4）合同用款估算表。</w:t>
      </w:r>
    </w:p>
    <w:p w14:paraId="377A627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14:paraId="0EB8C564">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3.1.1 项采用以下条款：</w:t>
      </w:r>
    </w:p>
    <w:p w14:paraId="7081A37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投标文件应包括下列内容：</w:t>
      </w:r>
    </w:p>
    <w:p w14:paraId="008A981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14:paraId="3AA834A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14:paraId="7115296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14:paraId="6B81D00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14:paraId="1CDB112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（5）已标价工程量清单；</w:t>
      </w:r>
    </w:p>
    <w:p w14:paraId="65B348F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（6）施工组织设计；</w:t>
      </w:r>
    </w:p>
    <w:p w14:paraId="345C107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（7）项目管理机构；</w:t>
      </w:r>
    </w:p>
    <w:p w14:paraId="7BA7D3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（8）拟分包项目情况表；</w:t>
      </w:r>
    </w:p>
    <w:p w14:paraId="07D6254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（9）资格审查资料；</w:t>
      </w:r>
    </w:p>
    <w:p w14:paraId="5AB7186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（10）调价函及调价后的工程量清单（如有）；</w:t>
      </w:r>
    </w:p>
    <w:p w14:paraId="73BED25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（11）投标人须知前附表规定的其他资料。</w:t>
      </w:r>
    </w:p>
    <w:p w14:paraId="6D038CE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14:paraId="161395B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3.1.2投标人须知前附表规定不接受联合体投标的，或投标人没有组成联合体的，投标文件不包括本章第 3.1.1（3）目所指的联合体协议书。</w:t>
      </w:r>
    </w:p>
    <w:p w14:paraId="0AF2D99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投标人须知前附表未要求提交投标保证金的，投标文件不包括本章第 3.1.1（4）目所指的投标保证金。</w:t>
      </w:r>
    </w:p>
    <w:p w14:paraId="707B03CE">
      <w:pPr>
        <w:pStyle w:val="71"/>
        <w:rPr>
          <w:color w:val="000000" w:themeColor="text1"/>
          <w:highlight w:val="none"/>
          <w14:textFill>
            <w14:solidFill>
              <w14:schemeClr w14:val="tx1"/>
            </w14:solidFill>
          </w14:textFill>
        </w:rPr>
      </w:pPr>
      <w:bookmarkStart w:id="114" w:name="_Toc8391"/>
      <w:bookmarkEnd w:id="114"/>
      <w:bookmarkStart w:id="115" w:name="_Toc5966"/>
      <w:bookmarkEnd w:id="115"/>
      <w:bookmarkStart w:id="116" w:name="_Toc43475690"/>
      <w:bookmarkEnd w:id="116"/>
      <w:r>
        <w:rPr>
          <w:rFonts w:hint="eastAsia"/>
          <w:color w:val="000000" w:themeColor="text1"/>
          <w:highlight w:val="none"/>
          <w14:textFill>
            <w14:solidFill>
              <w14:schemeClr w14:val="tx1"/>
            </w14:solidFill>
          </w14:textFill>
        </w:rPr>
        <w:t>投标报价</w:t>
      </w:r>
    </w:p>
    <w:p w14:paraId="128F22C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3.2.1投标报价应包括国家规定的增值税税金，除投标人须知前附表另有规定外， 增值税税金按一般计税方法计算。投标人应按第九章“投标文件格式”的要求在投标函中进行报价并填写工程量清单相应表格。</w:t>
      </w:r>
    </w:p>
    <w:p w14:paraId="67E692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工程量清单的填写分下列两种方式。投标人应按投标人须知前附表规定的方式填写工程量清单。</w:t>
      </w:r>
    </w:p>
    <w:p w14:paraId="0834BA1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6CA74D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14:paraId="52F7BEE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投标人根据招标人提供的工程量固化清单电子文件填报完成并打印的投标工程量清单中的投标报价和投标函大写金额报价应一致，如果报价金额出现差异，其投标将被否决。</w:t>
      </w:r>
    </w:p>
    <w:p w14:paraId="54BD178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14:paraId="536BADC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3.2.2投标人应充分了解本项目的总体情况以及影响投标报价的其他要素。</w:t>
      </w:r>
    </w:p>
    <w:p w14:paraId="6D2F39F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3.2.3本项目的报价方式见投标人须知前附表。投标人在投标截止时间前修改投标函中的投标总报价，应同时修改投标文件“已标价工程量清单”中的相应报价。此修改须符合本章第 4.3 款的有关要求。</w:t>
      </w:r>
    </w:p>
    <w:p w14:paraId="23DD6F3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7667022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14:paraId="545274D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3.2.6除投标人须知前附表另有规定外，招标人不接受调价函。若招标人接受调价函，则应在招标文件中给出调价函的格式。投标人若有调价函则应遵循如下规定：</w:t>
      </w:r>
    </w:p>
    <w:p w14:paraId="55A3BE2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（1）调价函必须采用招标文件规定的格式；调价函应说明调价后的最终报价，并以最终报价为准，而且投标人只能有一次调价的机会；</w:t>
      </w:r>
    </w:p>
    <w:p w14:paraId="601AB93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（2）工程量清单中招标人指定的报价不允许调价；</w:t>
      </w:r>
    </w:p>
    <w:p w14:paraId="76E00C6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（3）调价函必须附有调价后的工程量清单；调价函必须粘贴或机械装订在投标文件正本首页，与投标文件一起密封提交。</w:t>
      </w:r>
    </w:p>
    <w:p w14:paraId="7F4F2A5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14:paraId="2857E03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（4）若招标人接受调价函，投标人调价后的工程量清单和有效调价函的大写金额报价应保持一致，如果报价金额出现差异，则以有效调价函的大写金额报价为准。</w:t>
      </w:r>
    </w:p>
    <w:p w14:paraId="4B6CB01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6551D7B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3.2.8招标人设有最高投标限价的，投标人的投标报价不得超过最高投标限价， 最高投标限价在投标人须知前附表中载明。</w:t>
      </w:r>
    </w:p>
    <w:p w14:paraId="755A31B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3.2.9投标报价的其他要求见投标人须知前附表。</w:t>
      </w:r>
    </w:p>
    <w:p w14:paraId="05C05ABA">
      <w:pPr>
        <w:pStyle w:val="71"/>
        <w:rPr>
          <w:color w:val="000000" w:themeColor="text1"/>
          <w:highlight w:val="none"/>
          <w14:textFill>
            <w14:solidFill>
              <w14:schemeClr w14:val="tx1"/>
            </w14:solidFill>
          </w14:textFill>
        </w:rPr>
      </w:pPr>
      <w:bookmarkStart w:id="117" w:name="_Toc21854"/>
      <w:bookmarkEnd w:id="117"/>
      <w:bookmarkStart w:id="118" w:name="_Toc43475691"/>
      <w:bookmarkEnd w:id="118"/>
      <w:bookmarkStart w:id="119" w:name="_Toc14703"/>
      <w:bookmarkEnd w:id="119"/>
      <w:r>
        <w:rPr>
          <w:rFonts w:hint="eastAsia"/>
          <w:color w:val="000000" w:themeColor="text1"/>
          <w:highlight w:val="none"/>
          <w14:textFill>
            <w14:solidFill>
              <w14:schemeClr w14:val="tx1"/>
            </w14:solidFill>
          </w14:textFill>
        </w:rPr>
        <w:t>投标有效期</w:t>
      </w:r>
    </w:p>
    <w:p w14:paraId="10618C5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3.3.1除投标人须知前附表另有规定外，投标有效期为 90 日。</w:t>
      </w:r>
    </w:p>
    <w:p w14:paraId="6AA26E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3.3.2在投标有效期内，投标人撤销投标文件的，应承担招标文件和法律规定的责任。</w:t>
      </w:r>
    </w:p>
    <w:p w14:paraId="5E23323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09DCB700">
      <w:pPr>
        <w:pStyle w:val="71"/>
        <w:rPr>
          <w:color w:val="000000" w:themeColor="text1"/>
          <w:highlight w:val="none"/>
          <w14:textFill>
            <w14:solidFill>
              <w14:schemeClr w14:val="tx1"/>
            </w14:solidFill>
          </w14:textFill>
        </w:rPr>
      </w:pPr>
      <w:bookmarkStart w:id="120" w:name="_Toc25629"/>
      <w:bookmarkEnd w:id="120"/>
      <w:bookmarkStart w:id="121" w:name="_Toc43475692"/>
      <w:bookmarkEnd w:id="121"/>
      <w:bookmarkStart w:id="122" w:name="_Toc20948"/>
      <w:bookmarkEnd w:id="122"/>
      <w:r>
        <w:rPr>
          <w:rFonts w:hint="eastAsia"/>
          <w:color w:val="000000" w:themeColor="text1"/>
          <w:highlight w:val="none"/>
          <w14:textFill>
            <w14:solidFill>
              <w14:schemeClr w14:val="tx1"/>
            </w14:solidFill>
          </w14:textFill>
        </w:rPr>
        <w:t>投标保证金</w:t>
      </w:r>
    </w:p>
    <w:p w14:paraId="5D5719F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14:paraId="4BA3CD0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投标保证金应采用现金、支票、银行保函或招标人在投标人须知前附表规定的其他形式。</w:t>
      </w:r>
    </w:p>
    <w:p w14:paraId="4A6F050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（1）若采用现金或支票，投标人应在递交投标文件截止时间之前，将投标保证金由投标人的基本账户转入招标人指定账户，否则视为投标保证金无效。招标人指定的开户银行及账号见投标人须知前附表。</w:t>
      </w:r>
    </w:p>
    <w:p w14:paraId="552790E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（2）若采用银行保函，则应由符合投标人须知前附表规定级别的银行开具，并采用招标文件提供的格式。银行保函复印件装订在投标文件内，原件应在递交投标文件截止时间之前单独密封递交给招标人。</w:t>
      </w:r>
    </w:p>
    <w:p w14:paraId="3428033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无论采取何种形式的投标保证金，投标保证金有效期均应与投标有效期一致。招标人如果按本章第 3.3.3 项的规定延长了投标有效期，则投标保证金的有效期也相应延长。</w:t>
      </w:r>
    </w:p>
    <w:p w14:paraId="129A27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3.4.2投标人不按本章第 3.4.1 项要求提交投标保证金的，评标委员会将否决其投标。</w:t>
      </w:r>
    </w:p>
    <w:p w14:paraId="208A974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14:paraId="402DE93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利息计算原则见投标人须知前附表。</w:t>
      </w:r>
    </w:p>
    <w:p w14:paraId="512BD9A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3.4.4有下列情形之一的，投标保证金将不予退还：</w:t>
      </w:r>
    </w:p>
    <w:p w14:paraId="053BB19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（1）投标人在投标有效期内撤销投标文件；</w:t>
      </w:r>
    </w:p>
    <w:p w14:paraId="379448E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（2）中标人在收到中标通知书后，无正当理由不与招标人订立合同，在签订合同时向招标人提出附加条件，或不按照招标文件要求提交履约保证金；</w:t>
      </w:r>
    </w:p>
    <w:p w14:paraId="5D320EC4">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（3）发生投标人须知前附表规定的其他可以不予退还投标保证金的情形。</w:t>
      </w:r>
    </w:p>
    <w:p w14:paraId="4293894D">
      <w:pPr>
        <w:pStyle w:val="71"/>
        <w:spacing w:line="480" w:lineRule="exact"/>
        <w:rPr>
          <w:color w:val="000000" w:themeColor="text1"/>
          <w:highlight w:val="none"/>
          <w14:textFill>
            <w14:solidFill>
              <w14:schemeClr w14:val="tx1"/>
            </w14:solidFill>
          </w14:textFill>
        </w:rPr>
      </w:pPr>
      <w:bookmarkStart w:id="123" w:name="_Toc43475693"/>
      <w:bookmarkEnd w:id="123"/>
      <w:bookmarkStart w:id="124" w:name="_Toc7507"/>
      <w:bookmarkEnd w:id="124"/>
      <w:bookmarkStart w:id="125" w:name="_Toc4081"/>
      <w:bookmarkEnd w:id="125"/>
      <w:r>
        <w:rPr>
          <w:rFonts w:hint="eastAsia"/>
          <w:color w:val="000000" w:themeColor="text1"/>
          <w:highlight w:val="none"/>
          <w14:textFill>
            <w14:solidFill>
              <w14:schemeClr w14:val="tx1"/>
            </w14:solidFill>
          </w14:textFill>
        </w:rPr>
        <w:t>资格审查资料（适用于未进行资格预审的）</w:t>
      </w:r>
    </w:p>
    <w:p w14:paraId="02866C06">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14:paraId="75F5E972">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监督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6E6985B8">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14:paraId="249D96E6">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68C35943">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3.5.3“近年完成的类似项目”应是已列入交通运输主管部门“公路建设市场信用信息管理系统”并公开的主包已建业绩或分包已建业绩，具体时间要求见投标人须知前附表。</w:t>
      </w:r>
    </w:p>
    <w:p w14:paraId="64DB3A85">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“近年完成的类似项目情况表”应附在交通运输部“全国公路建设市场监督管理系统”（网址：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"http://glxy.mot.gov.cn/BM/）中查询到的企业"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https://hwdms.mot.gov.cn/BMWebSite/</w:t>
      </w:r>
      <w:r>
        <w:rPr>
          <w:rStyle w:val="52"/>
          <w:rFonts w:hint="eastAsia" w:ascii="宋体" w:hAnsi="宋体" w:cs="宋体"/>
          <w:color w:val="000000" w:themeColor="text1"/>
          <w:sz w:val="24"/>
          <w:szCs w:val="24"/>
          <w:highlight w:val="none"/>
          <w14:textFill>
            <w14:solidFill>
              <w14:schemeClr w14:val="tx1"/>
            </w14:solidFill>
          </w14:textFill>
        </w:rPr>
        <w:t>）中查询到的企业“业绩信息”相关项目网页截图复印件，即包括“项目名称”“标段类型”“合同价”“主要工程量”“项目主要管理人员”等栏目在内的项目详细信息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52"/>
          <w:rFonts w:hint="eastAsia" w:ascii="宋体" w:hAnsi="宋体" w:cs="宋体"/>
          <w:color w:val="000000" w:themeColor="text1"/>
          <w:sz w:val="24"/>
          <w:szCs w:val="24"/>
          <w:highlight w:val="none"/>
          <w14:textFill>
            <w14:solidFill>
              <w14:schemeClr w14:val="tx1"/>
            </w14:solidFill>
          </w14:textFill>
        </w:rPr>
        <w:fldChar w:fldCharType="end"/>
      </w:r>
    </w:p>
    <w:p w14:paraId="7F4DC6F8">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如投标人未提供相关项目网页截图复印件或相关项目网页截图的信息无法证实投标人满足招标文件规定的资格审查条件（业绩最低要求），则该项目业绩不予认定。</w:t>
      </w:r>
    </w:p>
    <w:p w14:paraId="6D257CBC">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3.5.4“投标人的信誉情况表”应附投标人在国家企业信用信息公示系统中未被列入严重违法失信企业名单、在“信用中国”网站中未被列入失信被执行人名单的网页截图复印件。</w:t>
      </w:r>
    </w:p>
    <w:p w14:paraId="6FDE2002">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14:paraId="42DA9C94">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委任的项目经理和项目总工资历表”还应附交通运输部“全国公路建设市场监督管理系统”中载明的、能够证明项目经理和项目总工具有相关业绩的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14:paraId="6ABE0181">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3.5.6“拟委任的其他管理和技术人员汇总表”（如有）应填报满足投标人须知前附表附录 6 规定的其他人员的相关信息。                                           </w:t>
      </w:r>
    </w:p>
    <w:p w14:paraId="6AEB7870">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3.5.7“拟投入本标段的主要施工机械表”“拟配备本标段的主要材料试验、测量、质检仪器设备表”（如有）应填报满足投标人须知前附表附录 7 规定的机械设备和试验检测设备。</w:t>
      </w:r>
    </w:p>
    <w:p w14:paraId="3A1443EA">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3.5.8投标人须知前附表规定接受联合体投标的，本章第 3.5.1 项至第 3.5.7 项规定的表格和资料应包括联合体各方相关情况。</w:t>
      </w:r>
    </w:p>
    <w:p w14:paraId="758E4D1D">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3.5.9除合同条款约定的特殊情形外，投标人在投标文件中填报的项目经理和项目总工不允许更换。</w:t>
      </w:r>
    </w:p>
    <w:p w14:paraId="64C05BF2">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14:paraId="31E14519">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1A01BD74">
      <w:pPr>
        <w:pStyle w:val="71"/>
        <w:spacing w:line="499" w:lineRule="exact"/>
        <w:rPr>
          <w:color w:val="000000" w:themeColor="text1"/>
          <w:highlight w:val="none"/>
          <w14:textFill>
            <w14:solidFill>
              <w14:schemeClr w14:val="tx1"/>
            </w14:solidFill>
          </w14:textFill>
        </w:rPr>
      </w:pPr>
      <w:bookmarkStart w:id="126" w:name="_Toc29836"/>
      <w:bookmarkEnd w:id="126"/>
      <w:bookmarkStart w:id="127" w:name="_Toc16547"/>
      <w:bookmarkEnd w:id="127"/>
      <w:bookmarkStart w:id="128" w:name="_Toc43475694"/>
      <w:bookmarkEnd w:id="128"/>
      <w:r>
        <w:rPr>
          <w:rFonts w:hint="eastAsia"/>
          <w:color w:val="000000" w:themeColor="text1"/>
          <w:highlight w:val="none"/>
          <w14:textFill>
            <w14:solidFill>
              <w14:schemeClr w14:val="tx1"/>
            </w14:solidFill>
          </w14:textFill>
        </w:rPr>
        <w:t>备选投标方案</w:t>
      </w:r>
    </w:p>
    <w:p w14:paraId="78C57371">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3.6.1除投标人须知前附表规定允许外，投标人不得递交备选投标方案，否则其投标将被否决。</w:t>
      </w:r>
    </w:p>
    <w:p w14:paraId="3FE000FB">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E90F2FF">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3.6.3投标人提供两个或两个以上投标报价，或在投标文件中提供一个报价，但同时提供两个或两个以上施工组织设计的，视为提供备选方案。</w:t>
      </w:r>
    </w:p>
    <w:p w14:paraId="172A4646">
      <w:pPr>
        <w:pStyle w:val="71"/>
        <w:spacing w:line="499" w:lineRule="exact"/>
        <w:rPr>
          <w:color w:val="000000" w:themeColor="text1"/>
          <w:highlight w:val="none"/>
          <w14:textFill>
            <w14:solidFill>
              <w14:schemeClr w14:val="tx1"/>
            </w14:solidFill>
          </w14:textFill>
        </w:rPr>
      </w:pPr>
      <w:bookmarkStart w:id="129" w:name="_Toc14793"/>
      <w:bookmarkEnd w:id="129"/>
      <w:bookmarkStart w:id="130" w:name="_Toc32152"/>
      <w:bookmarkEnd w:id="130"/>
      <w:bookmarkStart w:id="131" w:name="_Toc43475695"/>
      <w:bookmarkEnd w:id="131"/>
      <w:r>
        <w:rPr>
          <w:rFonts w:hint="eastAsia"/>
          <w:color w:val="000000" w:themeColor="text1"/>
          <w:highlight w:val="none"/>
          <w14:textFill>
            <w14:solidFill>
              <w14:schemeClr w14:val="tx1"/>
            </w14:solidFill>
          </w14:textFill>
        </w:rPr>
        <w:t>投标文件的编制</w:t>
      </w:r>
    </w:p>
    <w:p w14:paraId="1A15BB97">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3.7.1投标文件应按第九章“投标文件格式”进行编写，如有必要，可以增加附页， 作为投标文件的组成部分。其中，投标函附录在满足招标文件实质性要求的基础上， 可以提出比招标文件要求更有利于招标人的承诺。</w:t>
      </w:r>
    </w:p>
    <w:p w14:paraId="65B6356C">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3.7.2投标文件应对招标文件有关工期、投标有效期、质量要求、安全目标、技术标准和要求、招标范围等实质性内容作出响应。</w:t>
      </w:r>
    </w:p>
    <w:p w14:paraId="6D2A56F1">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14:paraId="6E72A8F9">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如果投标文件由委托代理人签署，则投标人须提交授权委托书，授权委托书应按第九章“投标文件格式”的要求出具，并由法定代表人和委托代理人亲笔签名，不得使用印章、签名章或其他电子制版签名代替。</w:t>
      </w:r>
    </w:p>
    <w:p w14:paraId="03A70D7F">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如果由投标人的法定代表人亲自签署投标文件，则投标人须提交法定代表人身份证明，身份证明应符合第九章“投标文件格式”的要求。</w:t>
      </w:r>
    </w:p>
    <w:p w14:paraId="1EA112BF">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以联合体形式参与投标的，投标文件由联合体牵头人的法定代表人或其委托代理人按上述规定签署并加盖联合体牵头人单位章。法定代表人授权委托书或法定代表人身份证明须由</w:t>
      </w:r>
    </w:p>
    <w:p w14:paraId="5C95D6E9">
      <w:pPr>
        <w:adjustRightInd w:val="0"/>
        <w:snapToGrid w:val="0"/>
        <w:spacing w:line="499"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联合体牵头人按上述规定出具。</w:t>
      </w:r>
    </w:p>
    <w:p w14:paraId="1240CC6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投标文件应尽量避免涂改、行间插字或删除。如果出现上述情况，改动之处应由投标人的法定代表人或其授权的代理人签字或盖单位章。</w:t>
      </w:r>
    </w:p>
    <w:p w14:paraId="523AD21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14:paraId="2E044F2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14:paraId="0FEDD88D">
      <w:pPr>
        <w:pStyle w:val="69"/>
        <w:spacing w:before="156"/>
        <w:rPr>
          <w:color w:val="000000" w:themeColor="text1"/>
          <w:highlight w:val="none"/>
          <w14:textFill>
            <w14:solidFill>
              <w14:schemeClr w14:val="tx1"/>
            </w14:solidFill>
          </w14:textFill>
        </w:rPr>
      </w:pPr>
      <w:bookmarkStart w:id="132" w:name="_Toc30022"/>
      <w:bookmarkEnd w:id="132"/>
      <w:bookmarkStart w:id="133" w:name="_Toc17102"/>
      <w:bookmarkEnd w:id="133"/>
      <w:bookmarkStart w:id="134" w:name="_Toc43475696"/>
      <w:bookmarkEnd w:id="134"/>
      <w:r>
        <w:rPr>
          <w:rFonts w:hint="eastAsia"/>
          <w:color w:val="000000" w:themeColor="text1"/>
          <w:highlight w:val="none"/>
          <w14:textFill>
            <w14:solidFill>
              <w14:schemeClr w14:val="tx1"/>
            </w14:solidFill>
          </w14:textFill>
        </w:rPr>
        <w:t>投标</w:t>
      </w:r>
    </w:p>
    <w:p w14:paraId="2F9FADB6">
      <w:pPr>
        <w:pStyle w:val="71"/>
        <w:rPr>
          <w:color w:val="000000" w:themeColor="text1"/>
          <w:highlight w:val="none"/>
          <w14:textFill>
            <w14:solidFill>
              <w14:schemeClr w14:val="tx1"/>
            </w14:solidFill>
          </w14:textFill>
        </w:rPr>
      </w:pPr>
      <w:bookmarkStart w:id="135" w:name="_Toc7543"/>
      <w:bookmarkEnd w:id="135"/>
      <w:bookmarkStart w:id="136" w:name="_Toc846"/>
      <w:bookmarkEnd w:id="136"/>
      <w:bookmarkStart w:id="137" w:name="_Toc43475697"/>
      <w:bookmarkEnd w:id="137"/>
      <w:r>
        <w:rPr>
          <w:rFonts w:hint="eastAsia"/>
          <w:color w:val="000000" w:themeColor="text1"/>
          <w:highlight w:val="none"/>
          <w14:textFill>
            <w14:solidFill>
              <w14:schemeClr w14:val="tx1"/>
            </w14:solidFill>
          </w14:textFill>
        </w:rPr>
        <w:t>投标文件的密封和标识</w:t>
      </w:r>
    </w:p>
    <w:p w14:paraId="1305D7BF">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若采用双信封形式，第 4.1.1 项和第 4.1.2 项采用以下条款：</w:t>
      </w:r>
    </w:p>
    <w:p w14:paraId="00FBE35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14:paraId="0387F39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14:paraId="24C5AB0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4.1.2投标文件第一个信封（商务及技术文件）、第二个信封（报价文件）以及银行保函封套上应写明的内容见投标人须知前附表。</w:t>
      </w:r>
    </w:p>
    <w:p w14:paraId="116BBEFC">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若采用单信封形式，第 4.1.1 项和第 4.1.2 项采用以下条款：</w:t>
      </w:r>
    </w:p>
    <w:p w14:paraId="00E263F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14:paraId="276399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14:paraId="5748CC3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4.1.2投标文件以及银行保函封套上应写明的内容见投标人须知前附表。</w:t>
      </w:r>
    </w:p>
    <w:p w14:paraId="621A518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4.1.3未按本章第 4.1.1 项要求密封的投标文件，招标人将予以拒收。</w:t>
      </w:r>
    </w:p>
    <w:p w14:paraId="06646D4A">
      <w:pPr>
        <w:pStyle w:val="71"/>
        <w:rPr>
          <w:color w:val="000000" w:themeColor="text1"/>
          <w:highlight w:val="none"/>
          <w14:textFill>
            <w14:solidFill>
              <w14:schemeClr w14:val="tx1"/>
            </w14:solidFill>
          </w14:textFill>
        </w:rPr>
      </w:pPr>
      <w:bookmarkStart w:id="138" w:name="_Toc15836"/>
      <w:bookmarkEnd w:id="138"/>
      <w:bookmarkStart w:id="139" w:name="_Toc26267"/>
      <w:bookmarkEnd w:id="139"/>
      <w:bookmarkStart w:id="140" w:name="_Toc43475698"/>
      <w:bookmarkEnd w:id="140"/>
      <w:r>
        <w:rPr>
          <w:rFonts w:hint="eastAsia"/>
          <w:color w:val="000000" w:themeColor="text1"/>
          <w:highlight w:val="none"/>
          <w14:textFill>
            <w14:solidFill>
              <w14:schemeClr w14:val="tx1"/>
            </w14:solidFill>
          </w14:textFill>
        </w:rPr>
        <w:t>投标文件的递交</w:t>
      </w:r>
    </w:p>
    <w:p w14:paraId="3E9463D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4.2.1投标人应在第一章“招标公告”或“投标邀请书”规定的投标截止时间前递交投标文件。</w:t>
      </w:r>
    </w:p>
    <w:p w14:paraId="17D26FC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4.2.2投标人递交投标文件的地点：见第一章“招标公告”或“投标邀请书”。</w:t>
      </w:r>
    </w:p>
    <w:p w14:paraId="7F0106B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4.2.3除投标人须知前附表另有规定外，投标人所递交的投标文件不予退还。投标人少于 3 个的，投标文件当场退还给投标人。</w:t>
      </w:r>
    </w:p>
    <w:p w14:paraId="2263D00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4.2.4招标人收到投标文件后，向投标人出具签收凭证。</w:t>
      </w:r>
    </w:p>
    <w:p w14:paraId="5DD643D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4.2.5逾期送达的或未送达指定地点的投标文件，招标人将予以拒收。</w:t>
      </w:r>
    </w:p>
    <w:p w14:paraId="437282DA">
      <w:pPr>
        <w:pStyle w:val="71"/>
        <w:rPr>
          <w:color w:val="000000" w:themeColor="text1"/>
          <w:highlight w:val="none"/>
          <w14:textFill>
            <w14:solidFill>
              <w14:schemeClr w14:val="tx1"/>
            </w14:solidFill>
          </w14:textFill>
        </w:rPr>
      </w:pPr>
      <w:bookmarkStart w:id="141" w:name="_Toc43475699"/>
      <w:bookmarkEnd w:id="141"/>
      <w:bookmarkStart w:id="142" w:name="_Toc21683"/>
      <w:bookmarkEnd w:id="142"/>
      <w:bookmarkStart w:id="143" w:name="_Toc4348"/>
      <w:bookmarkEnd w:id="143"/>
      <w:r>
        <w:rPr>
          <w:rFonts w:hint="eastAsia"/>
          <w:color w:val="000000" w:themeColor="text1"/>
          <w:highlight w:val="none"/>
          <w14:textFill>
            <w14:solidFill>
              <w14:schemeClr w14:val="tx1"/>
            </w14:solidFill>
          </w14:textFill>
        </w:rPr>
        <w:t>投标文件的修改与撤回</w:t>
      </w:r>
    </w:p>
    <w:p w14:paraId="5F232CA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4.3.1在本章第 4.2.1 项规定的投标截止时间前，投标人可以修改或撤回已递交的投标文件，但应以书面形式通知招标人。</w:t>
      </w:r>
    </w:p>
    <w:p w14:paraId="772EEBF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4.3.2投标人修改或撤回已递交投标文件的书面通知应按照本章第3.7.3 项的要求签字或盖章。招标人收到书面通知后，向投标人出具签收凭证。</w:t>
      </w:r>
    </w:p>
    <w:p w14:paraId="7B51BD0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4.3.3投标人撤回投标文件的，招标人自收到投标人书面撤回通知之日起 5 日内退还已收取的投标保证金。</w:t>
      </w:r>
    </w:p>
    <w:p w14:paraId="0CDAB2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4.3.4修改的内容为投标文件的组成部分。修改的投标文件应按照本章第 3 条、第 4 条的规定进行编制、密封、标记和递交，并标明“修改”字样。</w:t>
      </w:r>
    </w:p>
    <w:p w14:paraId="67D3992E">
      <w:pPr>
        <w:pStyle w:val="69"/>
        <w:spacing w:before="156"/>
        <w:rPr>
          <w:color w:val="000000" w:themeColor="text1"/>
          <w:highlight w:val="none"/>
          <w14:textFill>
            <w14:solidFill>
              <w14:schemeClr w14:val="tx1"/>
            </w14:solidFill>
          </w14:textFill>
        </w:rPr>
      </w:pPr>
      <w:bookmarkStart w:id="144" w:name="_Toc43475700"/>
      <w:bookmarkEnd w:id="144"/>
      <w:bookmarkStart w:id="145" w:name="_Toc19606"/>
      <w:bookmarkEnd w:id="145"/>
      <w:bookmarkStart w:id="146" w:name="_Toc24477"/>
      <w:bookmarkEnd w:id="146"/>
      <w:r>
        <w:rPr>
          <w:rFonts w:hint="eastAsia"/>
          <w:color w:val="000000" w:themeColor="text1"/>
          <w:highlight w:val="none"/>
          <w14:textFill>
            <w14:solidFill>
              <w14:schemeClr w14:val="tx1"/>
            </w14:solidFill>
          </w14:textFill>
        </w:rPr>
        <w:t>开标</w:t>
      </w:r>
    </w:p>
    <w:p w14:paraId="7371DE56">
      <w:pPr>
        <w:pStyle w:val="18"/>
        <w:spacing w:before="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5.1 款采用以下条款：</w:t>
      </w:r>
    </w:p>
    <w:p w14:paraId="7084BC0D">
      <w:pPr>
        <w:pStyle w:val="71"/>
        <w:numPr>
          <w:ilvl w:val="0"/>
          <w:numId w:val="0"/>
        </w:numPr>
        <w:spacing w:line="360" w:lineRule="auto"/>
        <w:rPr>
          <w:color w:val="000000" w:themeColor="text1"/>
          <w:highlight w:val="none"/>
          <w14:textFill>
            <w14:solidFill>
              <w14:schemeClr w14:val="tx1"/>
            </w14:solidFill>
          </w14:textFill>
        </w:rPr>
      </w:pPr>
      <w:bookmarkStart w:id="147" w:name="_bookmark61"/>
      <w:bookmarkEnd w:id="147"/>
      <w:bookmarkStart w:id="148" w:name="_Toc43475701"/>
      <w:bookmarkEnd w:id="148"/>
      <w:bookmarkStart w:id="149" w:name="_Toc11481"/>
      <w:bookmarkEnd w:id="149"/>
      <w:bookmarkStart w:id="150" w:name="_Toc16362"/>
      <w:bookmarkEnd w:id="150"/>
      <w:r>
        <w:rPr>
          <w:rFonts w:hint="eastAsia"/>
          <w:color w:val="000000" w:themeColor="text1"/>
          <w:highlight w:val="none"/>
          <w14:textFill>
            <w14:solidFill>
              <w14:schemeClr w14:val="tx1"/>
            </w14:solidFill>
          </w14:textFill>
        </w:rPr>
        <w:t>5.1 开标时间和地点</w:t>
      </w:r>
    </w:p>
    <w:p w14:paraId="1CBA98E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w:t>
      </w:r>
      <w:r>
        <w:rPr>
          <w:rFonts w:hint="eastAsia" w:ascii="宋体" w:hAnsi="宋体" w:cs="宋体"/>
          <w:color w:val="000000" w:themeColor="text1"/>
          <w:spacing w:val="-2"/>
          <w:highlight w:val="none"/>
          <w14:textFill>
            <w14:solidFill>
              <w14:schemeClr w14:val="tx1"/>
            </w14:solidFill>
          </w14:textFill>
        </w:rPr>
        <w:t>规定的地点对</w:t>
      </w:r>
      <w:r>
        <w:rPr>
          <w:rFonts w:hint="eastAsia" w:ascii="宋体" w:hAnsi="宋体" w:cs="宋体"/>
          <w:color w:val="000000" w:themeColor="text1"/>
          <w:highlight w:val="none"/>
          <w14:textFill>
            <w14:solidFill>
              <w14:schemeClr w14:val="tx1"/>
            </w14:solidFill>
          </w14:textFill>
        </w:rPr>
        <w:t>收到</w:t>
      </w:r>
      <w:r>
        <w:rPr>
          <w:rFonts w:hint="eastAsia" w:ascii="宋体" w:hAnsi="宋体" w:cs="宋体"/>
          <w:color w:val="000000" w:themeColor="text1"/>
          <w:spacing w:val="-2"/>
          <w:highlight w:val="none"/>
          <w14:textFill>
            <w14:solidFill>
              <w14:schemeClr w14:val="tx1"/>
            </w14:solidFill>
          </w14:textFill>
        </w:rPr>
        <w:t>的投标文件</w:t>
      </w:r>
      <w:r>
        <w:rPr>
          <w:rFonts w:hint="eastAsia" w:ascii="宋体" w:hAnsi="宋体" w:cs="宋体"/>
          <w:color w:val="000000" w:themeColor="text1"/>
          <w:highlight w:val="none"/>
          <w14:textFill>
            <w14:solidFill>
              <w14:schemeClr w14:val="tx1"/>
            </w14:solidFill>
          </w14:textFill>
        </w:rPr>
        <w:t>第一</w:t>
      </w:r>
      <w:r>
        <w:rPr>
          <w:rFonts w:hint="eastAsia" w:ascii="宋体" w:hAnsi="宋体" w:cs="宋体"/>
          <w:color w:val="000000" w:themeColor="text1"/>
          <w:spacing w:val="-2"/>
          <w:highlight w:val="none"/>
          <w14:textFill>
            <w14:solidFill>
              <w14:schemeClr w14:val="tx1"/>
            </w14:solidFill>
          </w14:textFill>
        </w:rPr>
        <w:t>个信封</w:t>
      </w:r>
      <w:r>
        <w:rPr>
          <w:rFonts w:hint="eastAsia" w:ascii="宋体" w:hAnsi="宋体" w:cs="宋体"/>
          <w:color w:val="000000" w:themeColor="text1"/>
          <w:highlight w:val="none"/>
          <w14:textFill>
            <w14:solidFill>
              <w14:schemeClr w14:val="tx1"/>
            </w14:solidFill>
          </w14:textFill>
        </w:rPr>
        <w:t>（商务及技术文件</w:t>
      </w:r>
      <w:r>
        <w:rPr>
          <w:rFonts w:hint="eastAsia" w:ascii="宋体" w:hAnsi="宋体" w:cs="宋体"/>
          <w:color w:val="000000" w:themeColor="text1"/>
          <w:spacing w:val="-32"/>
          <w:highlight w:val="none"/>
          <w14:textFill>
            <w14:solidFill>
              <w14:schemeClr w14:val="tx1"/>
            </w14:solidFill>
          </w14:textFill>
        </w:rPr>
        <w:t>）</w:t>
      </w:r>
      <w:r>
        <w:rPr>
          <w:rFonts w:hint="eastAsia" w:ascii="宋体" w:hAnsi="宋体" w:cs="宋体"/>
          <w:color w:val="000000" w:themeColor="text1"/>
          <w:spacing w:val="-6"/>
          <w:highlight w:val="none"/>
          <w14:textFill>
            <w14:solidFill>
              <w14:schemeClr w14:val="tx1"/>
            </w14:solidFill>
          </w14:textFill>
        </w:rPr>
        <w:t>公开开标，并邀请所有投标人的法定代表人或其委托代理人准时</w:t>
      </w:r>
      <w:r>
        <w:rPr>
          <w:rFonts w:hint="eastAsia" w:ascii="宋体" w:hAnsi="宋体" w:cs="宋体"/>
          <w:color w:val="000000" w:themeColor="text1"/>
          <w:highlight w:val="none"/>
          <w14:textFill>
            <w14:solidFill>
              <w14:schemeClr w14:val="tx1"/>
            </w14:solidFill>
          </w14:textFill>
        </w:rPr>
        <w:t>参加</w:t>
      </w:r>
      <w:r>
        <w:rPr>
          <w:rFonts w:hint="eastAsia" w:ascii="宋体" w:hAnsi="宋体" w:cs="宋体"/>
          <w:color w:val="000000" w:themeColor="text1"/>
          <w:spacing w:val="-6"/>
          <w:highlight w:val="none"/>
          <w14:textFill>
            <w14:solidFill>
              <w14:schemeClr w14:val="tx1"/>
            </w14:solidFill>
          </w14:textFill>
        </w:rPr>
        <w:t>。</w:t>
      </w:r>
    </w:p>
    <w:p w14:paraId="07AF68A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招标人在投标人须知前附表规定的时间和地点对投标文件第二个信封（报价文件）公开开标，并邀请所有投标人的法定代表人或其委托代理人准时参加。</w:t>
      </w:r>
    </w:p>
    <w:p w14:paraId="0C55EF2D">
      <w:pPr>
        <w:pStyle w:val="59"/>
        <w:spacing w:line="360" w:lineRule="auto"/>
        <w:ind w:firstLine="464"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投标人若未派</w:t>
      </w: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14:paraId="5F6E48AF">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14:paraId="25336706">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5.1 款采用以下条款：</w:t>
      </w:r>
    </w:p>
    <w:p w14:paraId="406B19C9">
      <w:pPr>
        <w:pStyle w:val="71"/>
        <w:numPr>
          <w:ilvl w:val="0"/>
          <w:numId w:val="0"/>
        </w:numPr>
        <w:spacing w:line="360" w:lineRule="auto"/>
        <w:rPr>
          <w:color w:val="000000" w:themeColor="text1"/>
          <w:highlight w:val="none"/>
          <w14:textFill>
            <w14:solidFill>
              <w14:schemeClr w14:val="tx1"/>
            </w14:solidFill>
          </w14:textFill>
        </w:rPr>
      </w:pPr>
      <w:bookmarkStart w:id="151" w:name="_Toc29307"/>
      <w:bookmarkEnd w:id="151"/>
      <w:bookmarkStart w:id="152" w:name="_bookmark62"/>
      <w:bookmarkEnd w:id="152"/>
      <w:bookmarkStart w:id="153" w:name="_Toc43475702"/>
      <w:bookmarkEnd w:id="153"/>
      <w:bookmarkStart w:id="154" w:name="_Toc25702"/>
      <w:bookmarkEnd w:id="154"/>
      <w:r>
        <w:rPr>
          <w:rFonts w:hint="eastAsia"/>
          <w:color w:val="000000" w:themeColor="text1"/>
          <w:highlight w:val="none"/>
          <w14:textFill>
            <w14:solidFill>
              <w14:schemeClr w14:val="tx1"/>
            </w14:solidFill>
          </w14:textFill>
        </w:rPr>
        <w:t>5.1 开标时间和地点</w:t>
      </w:r>
    </w:p>
    <w:p w14:paraId="7F9F458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项规定的投标截止时间（开标时间）和投标人须知前附表规定的地点公开开标，并邀请所有投标人的法定代表人或其委托代理人准时参加。</w:t>
      </w:r>
    </w:p>
    <w:p w14:paraId="23D2D46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投标人若未派法定代表人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14:paraId="15CBFB61">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14:paraId="7DA1458E">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5.2 款采用以下条款：</w:t>
      </w:r>
    </w:p>
    <w:p w14:paraId="1DF10A34">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55" w:name="_Toc43475703"/>
      <w:bookmarkEnd w:id="155"/>
      <w:bookmarkStart w:id="156" w:name="_Toc20358"/>
      <w:bookmarkEnd w:id="156"/>
      <w:bookmarkStart w:id="157" w:name="_bookmark63"/>
      <w:bookmarkEnd w:id="157"/>
      <w:bookmarkStart w:id="158" w:name="_Toc3383"/>
      <w:bookmarkEnd w:id="158"/>
      <w:r>
        <w:rPr>
          <w:rFonts w:hint="eastAsia" w:ascii="宋体" w:hAnsi="宋体" w:cs="宋体"/>
          <w:color w:val="000000" w:themeColor="text1"/>
          <w:highlight w:val="none"/>
          <w14:textFill>
            <w14:solidFill>
              <w14:schemeClr w14:val="tx1"/>
            </w14:solidFill>
          </w14:textFill>
        </w:rPr>
        <w:t>5.2 开标程序</w:t>
      </w:r>
    </w:p>
    <w:p w14:paraId="713C0C1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主持人按下列程序对投标文件第一个信封（商务及技术文件）进行开标：</w:t>
      </w:r>
    </w:p>
    <w:p w14:paraId="760121F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14:paraId="09898B6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14:paraId="7AFF17C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14:paraId="2F38580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14:paraId="292D278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（5）按照投标人须知前附表规定的开标顺序当众开标，公布标段名称、投标人名称、投标保证金的递交情况、工期及其他内容，并记录在案；</w:t>
      </w:r>
    </w:p>
    <w:p w14:paraId="79F1F9E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（6）投标人代表、招标人代表、记录人等有关人员在开标记录上签字确认；</w:t>
      </w:r>
    </w:p>
    <w:p w14:paraId="5BE3923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（7）开标结束。</w:t>
      </w:r>
    </w:p>
    <w:p w14:paraId="2D92491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在投标文件第一个信封（商务及技术文件）开标现场，投标文件第二个信封（报价文件）不予开封，由招标人密封保存。</w:t>
      </w:r>
    </w:p>
    <w:p w14:paraId="284C0D9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招标人将按照本章第 5.1 款规定的时间和地点对投标文件第二个信封（报价文件）进行开标。主持人按下列程序进行开标：</w:t>
      </w:r>
    </w:p>
    <w:p w14:paraId="6334443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14:paraId="266FDE6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（2）当众拆开投标文件第一个信封（商务及技术文件）评审结果的密封袋，宣布通过投标文件第一个信封（商务及技术文件）评审的投标人名单；</w:t>
      </w:r>
    </w:p>
    <w:p w14:paraId="31C51D4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14:paraId="41C9FEA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14:paraId="350DA2D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14:paraId="4E3BC2B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14:paraId="5C6F46F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（7）将未通过投标文件第一个信封（商务及技术文件）评审的投标文件第二个信封（报价文件）退还给投标人；</w:t>
      </w:r>
    </w:p>
    <w:p w14:paraId="0B54F79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（8）投标人代表、招标人代表、记录人等有关人员在开标记录上签字确认；</w:t>
      </w:r>
    </w:p>
    <w:p w14:paraId="3A70C2A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（9）开标结束。</w:t>
      </w:r>
    </w:p>
    <w:p w14:paraId="1645DD7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21091D8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14:paraId="24FAB55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p>
    <w:p w14:paraId="503B5A5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14:paraId="3EE2572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14:paraId="7C8D12A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75297FE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000000" w:themeColor="text1"/>
          <w:spacing w:val="-7"/>
          <w:highlight w:val="none"/>
          <w14:textFill>
            <w14:solidFill>
              <w14:schemeClr w14:val="tx1"/>
            </w14:solidFill>
          </w14:textFill>
        </w:rPr>
        <w:t>经招标人当场核查确认之后，可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7"/>
          <w:highlight w:val="none"/>
          <w14:textFill>
            <w14:solidFill>
              <w14:schemeClr w14:val="tx1"/>
            </w14:solidFill>
          </w14:textFill>
        </w:rPr>
        <w:t>宣读其投标文件。若投标人现场未提出疑问，则</w:t>
      </w:r>
      <w:r>
        <w:rPr>
          <w:rFonts w:hint="eastAsia" w:ascii="宋体" w:hAnsi="宋体" w:cs="宋体"/>
          <w:color w:val="000000" w:themeColor="text1"/>
          <w:highlight w:val="none"/>
          <w14:textFill>
            <w14:solidFill>
              <w14:schemeClr w14:val="tx1"/>
            </w14:solidFill>
          </w14:textFill>
        </w:rPr>
        <w:t>认为投标人已确认招标人宣读的内容。</w:t>
      </w:r>
    </w:p>
    <w:p w14:paraId="31E7A995">
      <w:pPr>
        <w:pStyle w:val="18"/>
        <w:spacing w:line="307" w:lineRule="exact"/>
        <w:ind w:left="849"/>
        <w:rPr>
          <w:rFonts w:ascii="宋体" w:hAnsi="宋体" w:cs="宋体"/>
          <w:b/>
          <w:bCs/>
          <w:color w:val="000000" w:themeColor="text1"/>
          <w:sz w:val="24"/>
          <w:highlight w:val="none"/>
          <w14:textFill>
            <w14:solidFill>
              <w14:schemeClr w14:val="tx1"/>
            </w14:solidFill>
          </w14:textFill>
        </w:rPr>
      </w:pPr>
    </w:p>
    <w:p w14:paraId="4C3B18A5">
      <w:pPr>
        <w:pStyle w:val="18"/>
        <w:spacing w:line="307"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5.2 款采用以下条款：</w:t>
      </w:r>
    </w:p>
    <w:p w14:paraId="660BD59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59" w:name="_Toc43475704"/>
      <w:bookmarkEnd w:id="159"/>
      <w:bookmarkStart w:id="160" w:name="_bookmark64"/>
      <w:bookmarkEnd w:id="160"/>
      <w:bookmarkStart w:id="161" w:name="_Toc19648"/>
      <w:bookmarkEnd w:id="161"/>
      <w:bookmarkStart w:id="162" w:name="_Toc23268"/>
      <w:bookmarkEnd w:id="162"/>
      <w:r>
        <w:rPr>
          <w:rFonts w:hint="eastAsia" w:ascii="宋体" w:hAnsi="宋体" w:cs="宋体"/>
          <w:color w:val="000000" w:themeColor="text1"/>
          <w:highlight w:val="none"/>
          <w14:textFill>
            <w14:solidFill>
              <w14:schemeClr w14:val="tx1"/>
            </w14:solidFill>
          </w14:textFill>
        </w:rPr>
        <w:t>5.2 开标程序</w:t>
      </w:r>
    </w:p>
    <w:p w14:paraId="4D9F571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主持人按下列程序进行开标：</w:t>
      </w:r>
    </w:p>
    <w:p w14:paraId="7DB93B9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14:paraId="788E909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14:paraId="48F9BF9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14:paraId="17F1A37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14:paraId="543E869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（5）按照投标人须知前附表规定的开标顺序当众开标，公布标段名称、投标人名称、投标保证金的递交情况、投标报价、工期及其他内容，并记录在案；</w:t>
      </w:r>
    </w:p>
    <w:p w14:paraId="5EE50CB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14:paraId="7D66281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（7）投标人代表、招标人代表、记录人等有关人员在开标记录上签字确认；</w:t>
      </w:r>
    </w:p>
    <w:p w14:paraId="077653C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（8）开标结束。</w:t>
      </w:r>
    </w:p>
    <w:p w14:paraId="2A9A962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若采用合理低价法或综合评分法，在开标现场，招标人将按第三章“评标办法”规定的原则计算并宣布评标基准价。若招标人发现投标文件出现以下任一情况， 其投标报价将不再参加评标基准价的计算：</w:t>
      </w:r>
    </w:p>
    <w:p w14:paraId="333BCC8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14:paraId="778DEF84">
      <w:pPr>
        <w:pStyle w:val="59"/>
        <w:spacing w:line="360" w:lineRule="auto"/>
        <w:ind w:firstLine="476"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r>
        <w:rPr>
          <w:rFonts w:hint="eastAsia" w:ascii="宋体" w:hAnsi="宋体" w:cs="宋体"/>
          <w:color w:val="000000" w:themeColor="text1"/>
          <w:spacing w:val="-12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3510AA2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14:paraId="3470898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14:paraId="5B2579E4">
      <w:pPr>
        <w:pStyle w:val="59"/>
        <w:spacing w:line="360" w:lineRule="auto"/>
        <w:ind w:firstLine="46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如果投标人认为某一标段的评标基准价计算有误，有权在开标现场提出，经招标</w:t>
      </w:r>
      <w:r>
        <w:rPr>
          <w:rFonts w:hint="eastAsia" w:ascii="宋体" w:hAnsi="宋体" w:cs="宋体"/>
          <w:color w:val="000000" w:themeColor="text1"/>
          <w:spacing w:val="-12"/>
          <w:highlight w:val="none"/>
          <w14:textFill>
            <w14:solidFill>
              <w14:schemeClr w14:val="tx1"/>
            </w14:solidFill>
          </w14:textFill>
        </w:rPr>
        <w:t>人当场核实确认之后，可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12"/>
          <w:highlight w:val="none"/>
          <w14:textFill>
            <w14:solidFill>
              <w14:schemeClr w14:val="tx1"/>
            </w14:solidFill>
          </w14:textFill>
        </w:rPr>
        <w:t>宣布评标基准价。开标现场宣布的评标基准价除计算有误经评标委员会修正外，在整个评标期间保持不变，不随任何因素发生变化。</w:t>
      </w:r>
    </w:p>
    <w:p w14:paraId="4FB16FAC">
      <w:pPr>
        <w:pStyle w:val="59"/>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若</w:t>
      </w:r>
      <w:r>
        <w:rPr>
          <w:color w:val="000000" w:themeColor="text1"/>
          <w:highlight w:val="none"/>
          <w14:textFill>
            <w14:solidFill>
              <w14:schemeClr w14:val="tx1"/>
            </w14:solidFill>
          </w14:textFill>
        </w:rPr>
        <w:t>招标人宣读的内容与投标文件不符，投标人有权在开标现场提出疑问，</w:t>
      </w:r>
      <w:r>
        <w:rPr>
          <w:color w:val="000000" w:themeColor="text1"/>
          <w:spacing w:val="-7"/>
          <w:highlight w:val="none"/>
          <w14:textFill>
            <w14:solidFill>
              <w14:schemeClr w14:val="tx1"/>
            </w14:solidFill>
          </w14:textFill>
        </w:rPr>
        <w:t>经招标人当场核查确认之后，可重新宣读其投标文件。若投标人现场未提出疑问，则</w:t>
      </w:r>
      <w:r>
        <w:rPr>
          <w:color w:val="000000" w:themeColor="text1"/>
          <w:highlight w:val="none"/>
          <w14:textFill>
            <w14:solidFill>
              <w14:schemeClr w14:val="tx1"/>
            </w14:solidFill>
          </w14:textFill>
        </w:rPr>
        <w:t>认为投标人已确认招标人宣读的内容。</w:t>
      </w:r>
    </w:p>
    <w:p w14:paraId="03A73760">
      <w:pPr>
        <w:pStyle w:val="59"/>
        <w:spacing w:line="360" w:lineRule="auto"/>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5.3 开标异议</w:t>
      </w:r>
    </w:p>
    <w:p w14:paraId="65C5E281">
      <w:pPr>
        <w:pStyle w:val="59"/>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投标人对开标有异议的，应在开标现场提出，招标人当场作出答复，并制作记录，有异议的投标人代表、招标人代表、记录人等有关人员在记录上签字确认。</w:t>
      </w:r>
    </w:p>
    <w:p w14:paraId="2594B5FA">
      <w:pPr>
        <w:pStyle w:val="69"/>
        <w:spacing w:before="156"/>
        <w:rPr>
          <w:color w:val="000000" w:themeColor="text1"/>
          <w:highlight w:val="none"/>
          <w14:textFill>
            <w14:solidFill>
              <w14:schemeClr w14:val="tx1"/>
            </w14:solidFill>
          </w14:textFill>
        </w:rPr>
      </w:pPr>
      <w:bookmarkStart w:id="163" w:name="_Toc43475705"/>
      <w:bookmarkEnd w:id="163"/>
      <w:bookmarkStart w:id="164" w:name="_Toc14516"/>
      <w:bookmarkEnd w:id="164"/>
      <w:bookmarkStart w:id="165" w:name="_Toc32113"/>
      <w:bookmarkEnd w:id="165"/>
      <w:r>
        <w:rPr>
          <w:rFonts w:hint="eastAsia"/>
          <w:color w:val="000000" w:themeColor="text1"/>
          <w:highlight w:val="none"/>
          <w14:textFill>
            <w14:solidFill>
              <w14:schemeClr w14:val="tx1"/>
            </w14:solidFill>
          </w14:textFill>
        </w:rPr>
        <w:t>评标</w:t>
      </w:r>
    </w:p>
    <w:p w14:paraId="1BF2E43F">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6" w:name="_Toc43475706"/>
      <w:bookmarkEnd w:id="166"/>
      <w:bookmarkStart w:id="167" w:name="_Toc494"/>
      <w:bookmarkEnd w:id="167"/>
      <w:bookmarkStart w:id="168" w:name="_Toc11570"/>
      <w:bookmarkEnd w:id="168"/>
      <w:r>
        <w:rPr>
          <w:rFonts w:hint="eastAsia" w:ascii="宋体" w:hAnsi="宋体" w:cs="宋体"/>
          <w:color w:val="000000" w:themeColor="text1"/>
          <w:highlight w:val="none"/>
          <w14:textFill>
            <w14:solidFill>
              <w14:schemeClr w14:val="tx1"/>
            </w14:solidFill>
          </w14:textFill>
        </w:rPr>
        <w:t>6.1 评标委员会</w:t>
      </w:r>
    </w:p>
    <w:p w14:paraId="2B0EE95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14:paraId="7C5E118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6.1.2 评标委员会成员有下列情形之一的，应当回避：</w:t>
      </w:r>
    </w:p>
    <w:p w14:paraId="39F00AF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（1）为负责招标项目监督管理的交通运输主管部门的工作人员；</w:t>
      </w:r>
    </w:p>
    <w:p w14:paraId="4A89E58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（2）与投标人法定代表人或其委托代理人有近亲属关系；</w:t>
      </w:r>
    </w:p>
    <w:p w14:paraId="14B8B1C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（3）为投标人的工作人员或退休人员；</w:t>
      </w:r>
    </w:p>
    <w:p w14:paraId="42BF5CF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（4）与投标人有其他利害关系，可能影响评标活动公正性；</w:t>
      </w:r>
    </w:p>
    <w:p w14:paraId="752753F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（5）在与招标投标有关的活动中有过违法违规行为、曾受过行政处罚或刑事处罚。</w:t>
      </w:r>
    </w:p>
    <w:p w14:paraId="0666F36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6.1.3评标过程中，评标委员会成员有回避事由、擅离职守或因健康等原因不能继续评标的，招标人有权更换。被更换的评标委员会成员作出的评审结论无效，由更换后的评标委员会成员重新进行评审。</w:t>
      </w:r>
    </w:p>
    <w:p w14:paraId="760A00B5">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9" w:name="_Toc16826"/>
      <w:bookmarkEnd w:id="169"/>
      <w:bookmarkStart w:id="170" w:name="_Toc43475707"/>
      <w:bookmarkEnd w:id="170"/>
      <w:bookmarkStart w:id="171" w:name="_Toc16027"/>
      <w:bookmarkEnd w:id="171"/>
      <w:r>
        <w:rPr>
          <w:rFonts w:hint="eastAsia" w:ascii="宋体" w:hAnsi="宋体" w:cs="宋体"/>
          <w:color w:val="000000" w:themeColor="text1"/>
          <w:highlight w:val="none"/>
          <w14:textFill>
            <w14:solidFill>
              <w14:schemeClr w14:val="tx1"/>
            </w14:solidFill>
          </w14:textFill>
        </w:rPr>
        <w:t>6.2 评标原则</w:t>
      </w:r>
    </w:p>
    <w:p w14:paraId="51190B2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评标活动遵循公平、公正、科学和择优的原则。</w:t>
      </w:r>
    </w:p>
    <w:p w14:paraId="132BF641">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2" w:name="_Toc13218"/>
      <w:bookmarkEnd w:id="172"/>
      <w:bookmarkStart w:id="173" w:name="_Toc43475708"/>
      <w:bookmarkEnd w:id="173"/>
      <w:bookmarkStart w:id="174" w:name="_Toc10176"/>
      <w:bookmarkEnd w:id="174"/>
      <w:r>
        <w:rPr>
          <w:rFonts w:hint="eastAsia" w:ascii="宋体" w:hAnsi="宋体" w:cs="宋体"/>
          <w:color w:val="000000" w:themeColor="text1"/>
          <w:highlight w:val="none"/>
          <w14:textFill>
            <w14:solidFill>
              <w14:schemeClr w14:val="tx1"/>
            </w14:solidFill>
          </w14:textFill>
        </w:rPr>
        <w:t>6.3 评标</w:t>
      </w:r>
    </w:p>
    <w:p w14:paraId="130BE83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14:paraId="3A270C6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6.3.2评标完成后，评标委员会应向招标人提交书面评标报告和中标候选人名单。评标委员会推荐中标候选人的人数见投标人须知前附表。</w:t>
      </w:r>
    </w:p>
    <w:p w14:paraId="1F9105F3">
      <w:pPr>
        <w:pStyle w:val="69"/>
        <w:spacing w:before="156"/>
        <w:rPr>
          <w:color w:val="000000" w:themeColor="text1"/>
          <w:highlight w:val="none"/>
          <w14:textFill>
            <w14:solidFill>
              <w14:schemeClr w14:val="tx1"/>
            </w14:solidFill>
          </w14:textFill>
        </w:rPr>
      </w:pPr>
      <w:bookmarkStart w:id="175" w:name="_Toc7643"/>
      <w:bookmarkEnd w:id="175"/>
      <w:bookmarkStart w:id="176" w:name="_Toc14072"/>
      <w:bookmarkEnd w:id="176"/>
      <w:bookmarkStart w:id="177" w:name="_Toc43475709"/>
      <w:bookmarkEnd w:id="177"/>
      <w:r>
        <w:rPr>
          <w:rFonts w:hint="eastAsia"/>
          <w:color w:val="000000" w:themeColor="text1"/>
          <w:highlight w:val="none"/>
          <w14:textFill>
            <w14:solidFill>
              <w14:schemeClr w14:val="tx1"/>
            </w14:solidFill>
          </w14:textFill>
        </w:rPr>
        <w:t>合同授予</w:t>
      </w:r>
    </w:p>
    <w:p w14:paraId="0E94F7FA">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8" w:name="_Toc11047"/>
      <w:bookmarkEnd w:id="178"/>
      <w:bookmarkStart w:id="179" w:name="_Toc14770"/>
      <w:bookmarkEnd w:id="179"/>
      <w:bookmarkStart w:id="180" w:name="_Toc43475710"/>
      <w:bookmarkEnd w:id="180"/>
      <w:r>
        <w:rPr>
          <w:rFonts w:hint="eastAsia" w:ascii="宋体" w:hAnsi="宋体" w:cs="宋体"/>
          <w:color w:val="000000" w:themeColor="text1"/>
          <w:highlight w:val="none"/>
          <w14:textFill>
            <w14:solidFill>
              <w14:schemeClr w14:val="tx1"/>
            </w14:solidFill>
          </w14:textFill>
        </w:rPr>
        <w:t>7.1中标候选人公示</w:t>
      </w:r>
    </w:p>
    <w:p w14:paraId="0936FB8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招标人在收到评标报告之日起 3 日内，按照投标人须知前附表规定的公示媒介和期限公示中标候选人，公示期不得少于 3 日，公示内容包括：</w:t>
      </w:r>
    </w:p>
    <w:p w14:paraId="6624DF1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（1）中标候选人排序、名称、投标报价，对工程质量要求、安全目标和工期的响应情况；</w:t>
      </w:r>
    </w:p>
    <w:p w14:paraId="63A3C3D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（2）中标候选人在投标文件中承诺的项目经理和项目总工姓名、个人业绩、相关证书名称和编号；</w:t>
      </w:r>
    </w:p>
    <w:p w14:paraId="6F76BB7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（3）中标候选人在投标文件中填报的项目业绩；</w:t>
      </w:r>
    </w:p>
    <w:p w14:paraId="389213C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（4）被否决投标的投标人名称、否决依据和原因；</w:t>
      </w:r>
    </w:p>
    <w:p w14:paraId="04BBFED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（5）提出异议的渠道和方式；</w:t>
      </w:r>
    </w:p>
    <w:p w14:paraId="0D648DA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（6）投标人须知前附表规定公示的其他内容。</w:t>
      </w:r>
    </w:p>
    <w:p w14:paraId="36469CD4">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1" w:name="_Toc18347"/>
      <w:bookmarkEnd w:id="181"/>
      <w:bookmarkStart w:id="182" w:name="_Toc9144"/>
      <w:bookmarkEnd w:id="182"/>
      <w:bookmarkStart w:id="183" w:name="_Toc43475711"/>
      <w:bookmarkEnd w:id="183"/>
      <w:r>
        <w:rPr>
          <w:rFonts w:hint="eastAsia" w:ascii="宋体" w:hAnsi="宋体" w:cs="宋体"/>
          <w:color w:val="000000" w:themeColor="text1"/>
          <w:highlight w:val="none"/>
          <w14:textFill>
            <w14:solidFill>
              <w14:schemeClr w14:val="tx1"/>
            </w14:solidFill>
          </w14:textFill>
        </w:rPr>
        <w:t>7.2评标结果异议</w:t>
      </w:r>
    </w:p>
    <w:p w14:paraId="18DDEDE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投标人或其他利害关系人对依法必须进行招标的项目的评标结果有异议的，应在中标候选人公示期间提出。招标人将在收到异议之日起 3 日内作出答复；作出答复前， 将暂停招标投标活动。</w:t>
      </w:r>
    </w:p>
    <w:p w14:paraId="791C58D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4" w:name="_Toc43475712"/>
      <w:bookmarkEnd w:id="184"/>
      <w:bookmarkStart w:id="185" w:name="_Toc9592"/>
      <w:bookmarkEnd w:id="185"/>
      <w:bookmarkStart w:id="186" w:name="_Toc2966"/>
      <w:bookmarkEnd w:id="186"/>
      <w:r>
        <w:rPr>
          <w:rFonts w:hint="eastAsia" w:ascii="宋体" w:hAnsi="宋体" w:cs="宋体"/>
          <w:color w:val="000000" w:themeColor="text1"/>
          <w:highlight w:val="none"/>
          <w14:textFill>
            <w14:solidFill>
              <w14:schemeClr w14:val="tx1"/>
            </w14:solidFill>
          </w14:textFill>
        </w:rPr>
        <w:t>7.3中标候选人履约能力审查</w:t>
      </w:r>
    </w:p>
    <w:p w14:paraId="1241172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14:paraId="0388C90A">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7" w:name="_Toc43475713"/>
      <w:bookmarkEnd w:id="187"/>
      <w:bookmarkStart w:id="188" w:name="_Toc11384"/>
      <w:bookmarkEnd w:id="188"/>
      <w:bookmarkStart w:id="189" w:name="_Toc12376"/>
      <w:bookmarkEnd w:id="189"/>
      <w:r>
        <w:rPr>
          <w:rFonts w:hint="eastAsia" w:ascii="宋体" w:hAnsi="宋体" w:cs="宋体"/>
          <w:color w:val="000000" w:themeColor="text1"/>
          <w:highlight w:val="none"/>
          <w14:textFill>
            <w14:solidFill>
              <w14:schemeClr w14:val="tx1"/>
            </w14:solidFill>
          </w14:textFill>
        </w:rPr>
        <w:t>7.4定标</w:t>
      </w:r>
    </w:p>
    <w:p w14:paraId="356DE62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按照投标人须知前附表的规定，招标人或招标人授权的评标委员会依法确定中标人。</w:t>
      </w:r>
    </w:p>
    <w:p w14:paraId="6DA236BD">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0" w:name="_Toc6352"/>
      <w:bookmarkEnd w:id="190"/>
      <w:bookmarkStart w:id="191" w:name="_Toc43475714"/>
      <w:bookmarkEnd w:id="191"/>
      <w:bookmarkStart w:id="192" w:name="_Toc12433"/>
      <w:bookmarkEnd w:id="192"/>
      <w:r>
        <w:rPr>
          <w:rFonts w:hint="eastAsia" w:ascii="宋体" w:hAnsi="宋体" w:cs="宋体"/>
          <w:color w:val="000000" w:themeColor="text1"/>
          <w:highlight w:val="none"/>
          <w14:textFill>
            <w14:solidFill>
              <w14:schemeClr w14:val="tx1"/>
            </w14:solidFill>
          </w14:textFill>
        </w:rPr>
        <w:t>7.5中标通知</w:t>
      </w:r>
    </w:p>
    <w:p w14:paraId="276FF84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在本章第 3.3 款规定的投标有效期内，招标人以投标人须知前附表规定的形式向中标人发出中标通知书，同时将中标结果通知未中标的投标人。</w:t>
      </w:r>
    </w:p>
    <w:p w14:paraId="139B3A6A">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3" w:name="_Toc7550"/>
      <w:bookmarkEnd w:id="193"/>
      <w:bookmarkStart w:id="194" w:name="_Toc25675"/>
      <w:bookmarkEnd w:id="194"/>
      <w:bookmarkStart w:id="195" w:name="_Toc43475715"/>
      <w:bookmarkEnd w:id="195"/>
      <w:r>
        <w:rPr>
          <w:rFonts w:hint="eastAsia" w:ascii="宋体" w:hAnsi="宋体" w:cs="宋体"/>
          <w:color w:val="000000" w:themeColor="text1"/>
          <w:highlight w:val="none"/>
          <w14:textFill>
            <w14:solidFill>
              <w14:schemeClr w14:val="tx1"/>
            </w14:solidFill>
          </w14:textFill>
        </w:rPr>
        <w:t>7.6中标结果公告</w:t>
      </w:r>
    </w:p>
    <w:p w14:paraId="7493BA6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招标人在确定中标人之日起 3 日内，按照投标人须知前附表规定的公告媒介和期限公告中标结果，公告期不得少于 3 日。公告内容包括中标人名称、中标价。</w:t>
      </w:r>
    </w:p>
    <w:p w14:paraId="0215C66C">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6" w:name="_Toc10013"/>
      <w:bookmarkEnd w:id="196"/>
      <w:bookmarkStart w:id="197" w:name="_Toc20034"/>
      <w:bookmarkEnd w:id="197"/>
      <w:bookmarkStart w:id="198" w:name="_Toc43475716"/>
      <w:bookmarkEnd w:id="198"/>
      <w:r>
        <w:rPr>
          <w:rFonts w:hint="eastAsia" w:ascii="宋体" w:hAnsi="宋体" w:cs="宋体"/>
          <w:color w:val="000000" w:themeColor="text1"/>
          <w:highlight w:val="none"/>
          <w14:textFill>
            <w14:solidFill>
              <w14:schemeClr w14:val="tx1"/>
            </w14:solidFill>
          </w14:textFill>
        </w:rPr>
        <w:t>7.7履约保证金</w:t>
      </w:r>
    </w:p>
    <w:p w14:paraId="67D28C1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%。联合体中标的，其履约保证金以联合体各方或联合体中牵头人的名义提交。</w:t>
      </w:r>
    </w:p>
    <w:p w14:paraId="4353662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采用银行保函时，应由符合投标人须知前附表规定级别的银行开具，所需的费用由中标人承担，中标人应保证银行保函有效。</w:t>
      </w:r>
    </w:p>
    <w:p w14:paraId="097A098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7.7.2中标人不能按本章第 7.7.1 项要求提交履约保证金的，视为放弃中标，其投标保证金不予退还，给招标人造成的损失超过投标保证金数额的，中标人还应对超过部分予以赔偿。</w:t>
      </w:r>
    </w:p>
    <w:p w14:paraId="5C7AA0E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9" w:name="_Toc4886"/>
      <w:bookmarkEnd w:id="199"/>
      <w:bookmarkStart w:id="200" w:name="_Toc27583"/>
      <w:bookmarkEnd w:id="200"/>
      <w:bookmarkStart w:id="201" w:name="_Toc43475717"/>
      <w:bookmarkEnd w:id="201"/>
      <w:r>
        <w:rPr>
          <w:rFonts w:hint="eastAsia" w:ascii="宋体" w:hAnsi="宋体" w:cs="宋体"/>
          <w:color w:val="000000" w:themeColor="text1"/>
          <w:highlight w:val="none"/>
          <w14:textFill>
            <w14:solidFill>
              <w14:schemeClr w14:val="tx1"/>
            </w14:solidFill>
          </w14:textFill>
        </w:rPr>
        <w:t>7.8签订合同</w:t>
      </w:r>
    </w:p>
    <w:p w14:paraId="01E21DF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022EABE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7.8.2发出中标通知书后，招标人无正当理由拒签合同，或在签订合同时向中标人提出附加条件的，招标人向中标人退还投标保证金；给中标人造成损失的，还应赔偿损失。</w:t>
      </w:r>
    </w:p>
    <w:p w14:paraId="1D2FBEE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7.8.3签约合同价的确定原则如下：</w:t>
      </w:r>
    </w:p>
    <w:p w14:paraId="4CCF776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（1）按照评标办法规定对投标报价进行修正后，若修正后的最终投标报价小于开标时的投标函大写金额报价，则签订合同时以修正后的最终投标报价为准；</w:t>
      </w:r>
    </w:p>
    <w:p w14:paraId="57F7252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（2）按照评标办法规定对投标报价进行修正后，若修正后的最终投标报价大于开标时的投标函大写金额报价，则签订合同时以开标时的投标函大写金额报价为准，同时按比例修正相应子目的单价或合价。</w:t>
      </w:r>
    </w:p>
    <w:p w14:paraId="67BB032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7.8.4联合体中标的，联合体各方应共同与招标人签订合同，就中标项目向招标人承担连带责任。</w:t>
      </w:r>
    </w:p>
    <w:p w14:paraId="57BCF2C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7.8.5招标人和中标人在签订合同协议书的同时，须按照本招标文件规定的格式和要求签订廉政合同及安全生产合同，明确双方在廉政建设和安全生产方面的权利和义务以及应承担的违约责任。</w:t>
      </w:r>
    </w:p>
    <w:p w14:paraId="066227E9">
      <w:pPr>
        <w:pStyle w:val="69"/>
        <w:spacing w:before="156"/>
        <w:rPr>
          <w:color w:val="000000" w:themeColor="text1"/>
          <w:highlight w:val="none"/>
          <w14:textFill>
            <w14:solidFill>
              <w14:schemeClr w14:val="tx1"/>
            </w14:solidFill>
          </w14:textFill>
        </w:rPr>
      </w:pPr>
      <w:bookmarkStart w:id="202" w:name="_Toc32608"/>
      <w:bookmarkEnd w:id="202"/>
      <w:bookmarkStart w:id="203" w:name="_Toc1683"/>
      <w:bookmarkEnd w:id="203"/>
      <w:bookmarkStart w:id="204" w:name="_Toc43475718"/>
      <w:bookmarkEnd w:id="204"/>
      <w:r>
        <w:rPr>
          <w:rFonts w:hint="eastAsia"/>
          <w:color w:val="000000" w:themeColor="text1"/>
          <w:highlight w:val="none"/>
          <w14:textFill>
            <w14:solidFill>
              <w14:schemeClr w14:val="tx1"/>
            </w14:solidFill>
          </w14:textFill>
        </w:rPr>
        <w:t>纪律和监督</w:t>
      </w:r>
    </w:p>
    <w:p w14:paraId="217BC80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5" w:name="_Toc18388"/>
      <w:bookmarkEnd w:id="205"/>
      <w:bookmarkStart w:id="206" w:name="_Toc19942"/>
      <w:bookmarkEnd w:id="206"/>
      <w:bookmarkStart w:id="207" w:name="_Toc43475719"/>
      <w:bookmarkEnd w:id="207"/>
      <w:r>
        <w:rPr>
          <w:rFonts w:hint="eastAsia" w:ascii="宋体" w:hAnsi="宋体" w:cs="宋体"/>
          <w:color w:val="000000" w:themeColor="text1"/>
          <w:highlight w:val="none"/>
          <w14:textFill>
            <w14:solidFill>
              <w14:schemeClr w14:val="tx1"/>
            </w14:solidFill>
          </w14:textFill>
        </w:rPr>
        <w:t>8.1对招标人的纪律要求</w:t>
      </w:r>
    </w:p>
    <w:p w14:paraId="424F8F8C">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招标人不得泄露招标投标活动中应保密的情况和资料，不得与投标人串通损害国家利益、社会公共利益或他人合法权益。</w:t>
      </w:r>
    </w:p>
    <w:p w14:paraId="692403A5">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8" w:name="_Toc11030"/>
      <w:bookmarkEnd w:id="208"/>
      <w:bookmarkStart w:id="209" w:name="_Toc7432"/>
      <w:bookmarkEnd w:id="209"/>
      <w:bookmarkStart w:id="210" w:name="_Toc43475720"/>
      <w:bookmarkEnd w:id="210"/>
      <w:r>
        <w:rPr>
          <w:rFonts w:hint="eastAsia" w:ascii="宋体" w:hAnsi="宋体" w:cs="宋体"/>
          <w:color w:val="000000" w:themeColor="text1"/>
          <w:highlight w:val="none"/>
          <w14:textFill>
            <w14:solidFill>
              <w14:schemeClr w14:val="tx1"/>
            </w14:solidFill>
          </w14:textFill>
        </w:rPr>
        <w:t>8.2对投标人的纪律要求</w:t>
      </w:r>
    </w:p>
    <w:p w14:paraId="7C220A7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投标人不得相互串通投标或与招标人串通投标，不得向招标人或评标委员会成员行贿谋取中标，不得以他人名义投标或以其他方式弄虚作假骗取中标；投标人不得以任何方式干扰、影响评标工作。</w:t>
      </w:r>
    </w:p>
    <w:p w14:paraId="75BC1813">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1" w:name="_Toc15026"/>
      <w:bookmarkEnd w:id="211"/>
      <w:bookmarkStart w:id="212" w:name="_Toc43475721"/>
      <w:bookmarkEnd w:id="212"/>
      <w:bookmarkStart w:id="213" w:name="_Toc23985"/>
      <w:bookmarkEnd w:id="213"/>
      <w:r>
        <w:rPr>
          <w:rFonts w:hint="eastAsia" w:ascii="宋体" w:hAnsi="宋体" w:cs="宋体"/>
          <w:color w:val="000000" w:themeColor="text1"/>
          <w:highlight w:val="none"/>
          <w14:textFill>
            <w14:solidFill>
              <w14:schemeClr w14:val="tx1"/>
            </w14:solidFill>
          </w14:textFill>
        </w:rPr>
        <w:t>8.3对评标委员会成员的纪律要求</w:t>
      </w:r>
    </w:p>
    <w:p w14:paraId="66540186">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27E8C989">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4" w:name="_Toc20211"/>
      <w:bookmarkEnd w:id="214"/>
      <w:bookmarkStart w:id="215" w:name="_Toc31858"/>
      <w:bookmarkEnd w:id="215"/>
      <w:bookmarkStart w:id="216" w:name="_Toc43475722"/>
      <w:bookmarkEnd w:id="216"/>
      <w:r>
        <w:rPr>
          <w:rFonts w:hint="eastAsia" w:ascii="宋体" w:hAnsi="宋体" w:cs="宋体"/>
          <w:color w:val="000000" w:themeColor="text1"/>
          <w:highlight w:val="none"/>
          <w14:textFill>
            <w14:solidFill>
              <w14:schemeClr w14:val="tx1"/>
            </w14:solidFill>
          </w14:textFill>
        </w:rPr>
        <w:t>8.4对与评标活动有关的工作人员的纪律要求</w:t>
      </w:r>
    </w:p>
    <w:p w14:paraId="68B9DE9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0E9D7B92">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7" w:name="_Toc24359"/>
      <w:bookmarkEnd w:id="217"/>
      <w:bookmarkStart w:id="218" w:name="_Toc43475723"/>
      <w:bookmarkEnd w:id="218"/>
      <w:bookmarkStart w:id="219" w:name="_Toc22887"/>
      <w:bookmarkEnd w:id="219"/>
      <w:r>
        <w:rPr>
          <w:rFonts w:hint="eastAsia" w:ascii="宋体" w:hAnsi="宋体" w:cs="宋体"/>
          <w:color w:val="000000" w:themeColor="text1"/>
          <w:highlight w:val="none"/>
          <w14:textFill>
            <w14:solidFill>
              <w14:schemeClr w14:val="tx1"/>
            </w14:solidFill>
          </w14:textFill>
        </w:rPr>
        <w:t>8.5投诉</w:t>
      </w:r>
    </w:p>
    <w:p w14:paraId="59ACEE66">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8.5.1投标人或其他利害关系人认为招标投标活动不符合法律、行政法规规定的， 可以自知道或应当知道之日起 10 日内向有关行政监督部门投诉。投诉应有明确的请求和必要的证明材料。</w:t>
      </w:r>
    </w:p>
    <w:p w14:paraId="55884F4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监督部门的联系方式见投标人须知前附表。</w:t>
      </w:r>
    </w:p>
    <w:p w14:paraId="1097398E">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8.5.2投标人或其他利害关系人对招标文件、开标和评标结果提出投诉的，应按照本章第 2.4 款、第 5.3 款和第 7.2 款的规定先向招标人提出异议。异议答复期间不计算在第 8.5.1 项规定的期限内。</w:t>
      </w:r>
    </w:p>
    <w:p w14:paraId="6AB17D6B">
      <w:pPr>
        <w:pStyle w:val="69"/>
        <w:spacing w:before="156"/>
        <w:rPr>
          <w:color w:val="000000" w:themeColor="text1"/>
          <w:highlight w:val="none"/>
          <w14:textFill>
            <w14:solidFill>
              <w14:schemeClr w14:val="tx1"/>
            </w14:solidFill>
          </w14:textFill>
        </w:rPr>
      </w:pPr>
      <w:bookmarkStart w:id="220" w:name="_Toc16397"/>
      <w:bookmarkEnd w:id="220"/>
      <w:bookmarkStart w:id="221" w:name="_Toc43475724"/>
      <w:bookmarkEnd w:id="221"/>
      <w:bookmarkStart w:id="222" w:name="_Toc18834"/>
      <w:bookmarkEnd w:id="222"/>
      <w:r>
        <w:rPr>
          <w:rFonts w:hint="eastAsia"/>
          <w:color w:val="000000" w:themeColor="text1"/>
          <w:highlight w:val="none"/>
          <w14:textFill>
            <w14:solidFill>
              <w14:schemeClr w14:val="tx1"/>
            </w14:solidFill>
          </w14:textFill>
        </w:rPr>
        <w:t>是否采用电子招标投标</w:t>
      </w:r>
    </w:p>
    <w:p w14:paraId="51B2BC51">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本招标项目是否采用电子招标投标方式，见投标人须知前附表。</w:t>
      </w:r>
    </w:p>
    <w:p w14:paraId="283D3438">
      <w:pPr>
        <w:pStyle w:val="69"/>
        <w:spacing w:before="156"/>
        <w:rPr>
          <w:rFonts w:ascii="宋体" w:hAnsi="宋体" w:cs="宋体"/>
          <w:color w:val="000000" w:themeColor="text1"/>
          <w:highlight w:val="none"/>
          <w14:textFill>
            <w14:solidFill>
              <w14:schemeClr w14:val="tx1"/>
            </w14:solidFill>
          </w14:textFill>
        </w:rPr>
      </w:pPr>
      <w:bookmarkStart w:id="223" w:name="_Toc29544"/>
      <w:bookmarkEnd w:id="223"/>
      <w:bookmarkStart w:id="224" w:name="_Toc22521"/>
      <w:bookmarkEnd w:id="224"/>
      <w:bookmarkStart w:id="225" w:name="_Toc43475725"/>
      <w:bookmarkEnd w:id="225"/>
      <w:r>
        <w:rPr>
          <w:rFonts w:hint="eastAsia" w:ascii="宋体" w:hAnsi="宋体" w:cs="宋体"/>
          <w:color w:val="000000" w:themeColor="text1"/>
          <w:highlight w:val="none"/>
          <w14:textFill>
            <w14:solidFill>
              <w14:schemeClr w14:val="tx1"/>
            </w14:solidFill>
          </w14:textFill>
        </w:rPr>
        <w:t>需要补充的其他内容</w:t>
      </w:r>
    </w:p>
    <w:p w14:paraId="46F79EA9">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14:paraId="03C9E40D">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需要补充的其他内容：见投标人须知前附表。</w:t>
      </w:r>
    </w:p>
    <w:p w14:paraId="25681284">
      <w:pPr>
        <w:pStyle w:val="58"/>
        <w:spacing w:line="360" w:lineRule="auto"/>
        <w:ind w:firstLine="0" w:firstLineChars="0"/>
        <w:rPr>
          <w:rFonts w:ascii="宋体" w:hAnsi="宋体" w:cs="宋体"/>
          <w:color w:val="000000" w:themeColor="text1"/>
          <w:highlight w:val="none"/>
          <w14:textFill>
            <w14:solidFill>
              <w14:schemeClr w14:val="tx1"/>
            </w14:solidFill>
          </w14:textFill>
        </w:rPr>
      </w:pPr>
    </w:p>
    <w:p w14:paraId="62FDC020">
      <w:pPr>
        <w:pStyle w:val="58"/>
        <w:rPr>
          <w:rFonts w:ascii="宋体" w:hAnsi="宋体" w:cs="宋体"/>
          <w:color w:val="000000" w:themeColor="text1"/>
          <w:highlight w:val="none"/>
          <w14:textFill>
            <w14:solidFill>
              <w14:schemeClr w14:val="tx1"/>
            </w14:solidFill>
          </w14:textFill>
        </w:rPr>
      </w:pPr>
    </w:p>
    <w:p w14:paraId="36A4C5E9">
      <w:pPr>
        <w:pStyle w:val="58"/>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14:paraId="4C600BBD">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26" w:name="_Toc19478"/>
      <w:bookmarkEnd w:id="226"/>
      <w:bookmarkStart w:id="227" w:name="_Toc8014"/>
      <w:bookmarkEnd w:id="227"/>
      <w:bookmarkStart w:id="228" w:name="_Toc43475726"/>
      <w:bookmarkEnd w:id="228"/>
      <w:r>
        <w:rPr>
          <w:rFonts w:hint="eastAsia" w:ascii="宋体" w:hAnsi="宋体" w:cs="宋体"/>
          <w:color w:val="000000" w:themeColor="text1"/>
          <w:highlight w:val="none"/>
          <w14:textFill>
            <w14:solidFill>
              <w14:schemeClr w14:val="tx1"/>
            </w14:solidFill>
          </w14:textFill>
        </w:rPr>
        <w:t>附件一：开标记录表</w:t>
      </w:r>
    </w:p>
    <w:p w14:paraId="15BF09FE">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第一个信封（商务及技术文件）</w:t>
      </w:r>
    </w:p>
    <w:p w14:paraId="5828DF05">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开标记录表</w:t>
      </w:r>
    </w:p>
    <w:p w14:paraId="6E9CDA2D">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5"/>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14:paraId="7FE3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45859F74">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39" w:type="dxa"/>
            <w:vAlign w:val="center"/>
          </w:tcPr>
          <w:p w14:paraId="551EF693">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641" w:type="dxa"/>
            <w:vAlign w:val="center"/>
          </w:tcPr>
          <w:p w14:paraId="67F53BCD">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1971" w:type="dxa"/>
            <w:vAlign w:val="center"/>
          </w:tcPr>
          <w:p w14:paraId="1D00ACB7">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投标保证金</w:t>
            </w:r>
          </w:p>
          <w:p w14:paraId="41D3A8EA">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递交情况</w:t>
            </w:r>
          </w:p>
        </w:tc>
        <w:tc>
          <w:tcPr>
            <w:tcW w:w="986" w:type="dxa"/>
            <w:vAlign w:val="center"/>
          </w:tcPr>
          <w:p w14:paraId="5C631D6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w:t>
            </w:r>
          </w:p>
          <w:p w14:paraId="60C3479D">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目标</w:t>
            </w:r>
          </w:p>
        </w:tc>
        <w:tc>
          <w:tcPr>
            <w:tcW w:w="841" w:type="dxa"/>
            <w:vAlign w:val="center"/>
          </w:tcPr>
          <w:p w14:paraId="27780DC3">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w:t>
            </w:r>
          </w:p>
        </w:tc>
        <w:tc>
          <w:tcPr>
            <w:tcW w:w="1241" w:type="dxa"/>
            <w:vAlign w:val="center"/>
          </w:tcPr>
          <w:p w14:paraId="60A2A64B">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241" w:type="dxa"/>
          </w:tcPr>
          <w:p w14:paraId="73E522DD">
            <w:pPr>
              <w:pStyle w:val="80"/>
              <w:rPr>
                <w:rFonts w:ascii="Calibri" w:hAnsi="Calibri"/>
                <w:color w:val="000000" w:themeColor="text1"/>
                <w:sz w:val="20"/>
                <w:highlight w:val="none"/>
                <w14:textFill>
                  <w14:solidFill>
                    <w14:schemeClr w14:val="tx1"/>
                  </w14:solidFill>
                </w14:textFill>
              </w:rPr>
            </w:pPr>
          </w:p>
          <w:p w14:paraId="5953E4B8">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14:paraId="0F92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450AA82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0320051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4C16B77E">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6B67B39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48AE5D7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26BB5FB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2090409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62670E9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05F5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7519F71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02F4241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1549A12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731A61E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6DDF4128">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679410F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21946A1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2D8E72C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0908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44B3799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5FCD2B2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0E20F34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0552153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21B47C81">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52A5329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412B50F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3D208D7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4424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315B0BC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4303A29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65151AF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6B59DFCD">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3FDB8F3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606E2FF9">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3EE5370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6ABDFC2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bl>
    <w:p w14:paraId="1CE9C240">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14:paraId="1B32EE91">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2884D0B5">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第二个信封（报价文件）</w:t>
      </w:r>
    </w:p>
    <w:p w14:paraId="318360C5">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开标记录表</w:t>
      </w:r>
    </w:p>
    <w:p w14:paraId="61E5C873">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5"/>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14:paraId="0BB0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2AEAD398">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22" w:type="dxa"/>
            <w:vAlign w:val="center"/>
          </w:tcPr>
          <w:p w14:paraId="3961558C">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800" w:type="dxa"/>
            <w:vAlign w:val="center"/>
          </w:tcPr>
          <w:p w14:paraId="5B20ECEC">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2155" w:type="dxa"/>
            <w:vAlign w:val="center"/>
          </w:tcPr>
          <w:p w14:paraId="0B3EE48D">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投标报价（元）</w:t>
            </w:r>
          </w:p>
        </w:tc>
        <w:tc>
          <w:tcPr>
            <w:tcW w:w="1796" w:type="dxa"/>
            <w:vAlign w:val="center"/>
          </w:tcPr>
          <w:p w14:paraId="565877D5">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是否超过最高投标限价</w:t>
            </w:r>
          </w:p>
        </w:tc>
        <w:tc>
          <w:tcPr>
            <w:tcW w:w="803" w:type="dxa"/>
            <w:vAlign w:val="center"/>
          </w:tcPr>
          <w:p w14:paraId="76FCAAF6">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193" w:type="dxa"/>
            <w:vAlign w:val="center"/>
          </w:tcPr>
          <w:p w14:paraId="5056D98F">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14:paraId="3A79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0251B01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68C1585D">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57934B0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1FBD209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2A32E238">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2576C2B9">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7920D84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4790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2CB20DA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14AC3EB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7B668B2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7A33BA5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7D71A33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1EF89489">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1B87781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30E5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2D6B815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60D9AB9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4252168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3C19B2F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737C4DF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37EE943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2D7674E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0897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37A6562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2FD8484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4026EF7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32ED51EE">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3479059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0AA0445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42D8F56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06C2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14:paraId="357004EE">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招标人编制的最高投标限价（如有）</w:t>
            </w:r>
          </w:p>
        </w:tc>
        <w:tc>
          <w:tcPr>
            <w:tcW w:w="5947" w:type="dxa"/>
            <w:gridSpan w:val="4"/>
            <w:vAlign w:val="center"/>
          </w:tcPr>
          <w:p w14:paraId="4449466F">
            <w:pPr>
              <w:pStyle w:val="58"/>
              <w:spacing w:line="360" w:lineRule="auto"/>
              <w:ind w:firstLine="0" w:firstLineChars="0"/>
              <w:rPr>
                <w:rFonts w:ascii="宋体" w:hAnsi="宋体" w:cs="宋体"/>
                <w:color w:val="000000" w:themeColor="text1"/>
                <w:highlight w:val="none"/>
                <w14:textFill>
                  <w14:solidFill>
                    <w14:schemeClr w14:val="tx1"/>
                  </w14:solidFill>
                </w14:textFill>
              </w:rPr>
            </w:pPr>
          </w:p>
        </w:tc>
      </w:tr>
    </w:tbl>
    <w:p w14:paraId="4058BD8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14:paraId="533EC49B">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350AD596">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29" w:name="_Toc43475727"/>
      <w:bookmarkEnd w:id="229"/>
      <w:bookmarkStart w:id="230" w:name="_Toc1011"/>
      <w:bookmarkEnd w:id="230"/>
      <w:bookmarkStart w:id="231" w:name="_Toc19245"/>
      <w:bookmarkEnd w:id="231"/>
      <w:r>
        <w:rPr>
          <w:rFonts w:hint="eastAsia" w:ascii="宋体" w:hAnsi="宋体" w:cs="宋体"/>
          <w:color w:val="000000" w:themeColor="text1"/>
          <w:highlight w:val="none"/>
          <w14:textFill>
            <w14:solidFill>
              <w14:schemeClr w14:val="tx1"/>
            </w14:solidFill>
          </w14:textFill>
        </w:rPr>
        <w:t>附件二：问题澄清通知</w:t>
      </w:r>
    </w:p>
    <w:p w14:paraId="5F46AF35">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问题澄清通知</w:t>
      </w:r>
    </w:p>
    <w:p w14:paraId="1597E051">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14:paraId="5246D24D">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p>
    <w:p w14:paraId="0D10E3E8">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（项目名称） </w:t>
      </w:r>
      <w:r>
        <w:rPr>
          <w:rFonts w:hint="eastAsia" w:ascii="宋体" w:hAnsi="宋体" w:cs="宋体"/>
          <w:color w:val="000000" w:themeColor="text1"/>
          <w:highlight w:val="none"/>
          <w14:textFill>
            <w14:solidFill>
              <w14:schemeClr w14:val="tx1"/>
            </w14:solidFill>
          </w14:textFill>
        </w:rPr>
        <w:t>招标的评标委员会，对你方的投标文件进行了仔细的审查，现需你方对下列问题以书面形式予以澄清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w:t>
      </w:r>
    </w:p>
    <w:p w14:paraId="503216AC">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14:paraId="14EFCE43">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14:paraId="76D754D3">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14:paraId="75D1BD1B">
      <w:pPr>
        <w:pStyle w:val="58"/>
        <w:spacing w:line="360" w:lineRule="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请将上述问题的澄清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于年   月   日时前递交至（详细地址）或传真至（传真号码）</w:t>
      </w:r>
      <w:r>
        <w:rPr>
          <w:color w:val="000000" w:themeColor="text1"/>
          <w:highlight w:val="none"/>
          <w14:textFill>
            <w14:solidFill>
              <w14:schemeClr w14:val="tx1"/>
            </w14:solidFill>
          </w14:textFill>
        </w:rPr>
        <w:t>或通过下载招标文件的电子招标交易平台上传</w:t>
      </w:r>
      <w:r>
        <w:rPr>
          <w:rFonts w:hint="eastAsia"/>
          <w:color w:val="000000" w:themeColor="text1"/>
          <w:spacing w:val="-108"/>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采用传真方式的，应在年   月   日时分前将原件递交至</w:t>
      </w:r>
      <w:r>
        <w:rPr>
          <w:rFonts w:hint="eastAsia" w:ascii="宋体" w:hAnsi="宋体" w:cs="宋体"/>
          <w:color w:val="000000" w:themeColor="text1"/>
          <w:highlight w:val="none"/>
          <w:u w:val="single"/>
          <w14:textFill>
            <w14:solidFill>
              <w14:schemeClr w14:val="tx1"/>
            </w14:solidFill>
          </w14:textFill>
        </w:rPr>
        <w:t xml:space="preserve"> （详细地址）。</w:t>
      </w:r>
    </w:p>
    <w:p w14:paraId="0618C5DD">
      <w:pPr>
        <w:pStyle w:val="58"/>
        <w:spacing w:line="360" w:lineRule="auto"/>
        <w:rPr>
          <w:rFonts w:ascii="宋体" w:hAnsi="宋体" w:cs="宋体"/>
          <w:color w:val="000000" w:themeColor="text1"/>
          <w:highlight w:val="none"/>
          <w14:textFill>
            <w14:solidFill>
              <w14:schemeClr w14:val="tx1"/>
            </w14:solidFill>
          </w14:textFill>
        </w:rPr>
      </w:pPr>
    </w:p>
    <w:p w14:paraId="1C01BA42">
      <w:pPr>
        <w:pStyle w:val="59"/>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评标委员会授权的招标人或招标代理机构：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（签字或盖单位章）</w:t>
      </w:r>
    </w:p>
    <w:p w14:paraId="00BA0C5D">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42B01854">
      <w:pPr>
        <w:pStyle w:val="59"/>
        <w:ind w:left="4536" w:leftChars="2160" w:firstLine="1200" w:firstLineChars="500"/>
        <w:rPr>
          <w:rFonts w:ascii="宋体" w:hAnsi="宋体" w:cs="宋体"/>
          <w:color w:val="000000" w:themeColor="text1"/>
          <w:highlight w:val="none"/>
          <w14:textFill>
            <w14:solidFill>
              <w14:schemeClr w14:val="tx1"/>
            </w14:solidFill>
          </w14:textFill>
        </w:rPr>
      </w:pPr>
    </w:p>
    <w:p w14:paraId="285A3589">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2" w:name="_Toc43475728"/>
      <w:bookmarkEnd w:id="232"/>
      <w:bookmarkStart w:id="233" w:name="_Toc20337"/>
      <w:bookmarkEnd w:id="233"/>
      <w:bookmarkStart w:id="234" w:name="_Toc11846"/>
      <w:bookmarkEnd w:id="234"/>
      <w:r>
        <w:rPr>
          <w:rFonts w:hint="eastAsia" w:ascii="宋体" w:hAnsi="宋体" w:cs="宋体"/>
          <w:color w:val="000000" w:themeColor="text1"/>
          <w:highlight w:val="none"/>
          <w14:textFill>
            <w14:solidFill>
              <w14:schemeClr w14:val="tx1"/>
            </w14:solidFill>
          </w14:textFill>
        </w:rPr>
        <w:t>附件三：问题的澄清</w:t>
      </w:r>
    </w:p>
    <w:p w14:paraId="2EBC45AD">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问题的澄清</w:t>
      </w:r>
    </w:p>
    <w:p w14:paraId="424B5A41">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14:paraId="278700E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 招标评标委员会：</w:t>
      </w:r>
    </w:p>
    <w:p w14:paraId="6DFAD8E6">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问题澄清通知（编号：）已收悉，现澄清、说明如下：</w:t>
      </w:r>
    </w:p>
    <w:p w14:paraId="4F0C1B7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14:paraId="113495E9">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14:paraId="3E12AD8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14:paraId="3A5A4E56">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上述问题澄清或说明，不改变我方投标文件的实质性内容，构成我方投标文件的组成部分。</w:t>
      </w:r>
    </w:p>
    <w:p w14:paraId="35E5DF32">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14:paraId="42BD333C">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法定代表人或其委托代理人：（签字）</w:t>
      </w:r>
    </w:p>
    <w:p w14:paraId="256D2D8E">
      <w:pPr>
        <w:pStyle w:val="58"/>
        <w:spacing w:line="360" w:lineRule="auto"/>
        <w:ind w:left="4536" w:leftChars="2160" w:firstLine="1440" w:firstLineChars="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6DCBEED1">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5" w:name="_Toc43475729"/>
      <w:bookmarkEnd w:id="235"/>
      <w:bookmarkStart w:id="236" w:name="_Toc19958"/>
      <w:bookmarkEnd w:id="236"/>
      <w:bookmarkStart w:id="237" w:name="_Toc10043"/>
      <w:bookmarkEnd w:id="237"/>
      <w:r>
        <w:rPr>
          <w:rFonts w:hint="eastAsia" w:ascii="宋体" w:hAnsi="宋体" w:cs="宋体"/>
          <w:color w:val="000000" w:themeColor="text1"/>
          <w:highlight w:val="none"/>
          <w14:textFill>
            <w14:solidFill>
              <w14:schemeClr w14:val="tx1"/>
            </w14:solidFill>
          </w14:textFill>
        </w:rPr>
        <w:t>附件四：中标通知书</w:t>
      </w:r>
    </w:p>
    <w:p w14:paraId="180A7D0C">
      <w:pPr>
        <w:pStyle w:val="58"/>
        <w:spacing w:line="360" w:lineRule="auto"/>
        <w:ind w:firstLine="6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中标通知书</w:t>
      </w:r>
    </w:p>
    <w:p w14:paraId="461EA509">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提供的中标通知书格式）</w:t>
      </w:r>
    </w:p>
    <w:p w14:paraId="43868F5A">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p>
    <w:p w14:paraId="71B84067">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8" w:name="_Toc23714"/>
      <w:bookmarkEnd w:id="238"/>
      <w:bookmarkStart w:id="239" w:name="_Toc30346"/>
      <w:bookmarkEnd w:id="239"/>
      <w:bookmarkStart w:id="240" w:name="_Toc43475730"/>
      <w:bookmarkEnd w:id="240"/>
      <w:r>
        <w:rPr>
          <w:rFonts w:hint="eastAsia" w:ascii="宋体" w:hAnsi="宋体" w:cs="宋体"/>
          <w:color w:val="000000" w:themeColor="text1"/>
          <w:highlight w:val="none"/>
          <w14:textFill>
            <w14:solidFill>
              <w14:schemeClr w14:val="tx1"/>
            </w14:solidFill>
          </w14:textFill>
        </w:rPr>
        <w:t>附件五：中标结果通知书</w:t>
      </w:r>
    </w:p>
    <w:p w14:paraId="561BCB30">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中标结果通知书</w:t>
      </w:r>
    </w:p>
    <w:p w14:paraId="5C0509F9">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p>
    <w:p w14:paraId="29F44887">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提供的中标结果通知书格式）</w:t>
      </w:r>
    </w:p>
    <w:p w14:paraId="7F874204">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14:paraId="7804ACC8">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14:paraId="6A2F4704">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14:paraId="6FA5BB07">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41" w:name="_Toc43475731"/>
      <w:bookmarkEnd w:id="241"/>
      <w:bookmarkStart w:id="242" w:name="_Toc14151"/>
      <w:bookmarkEnd w:id="242"/>
      <w:bookmarkStart w:id="243" w:name="_Toc19033"/>
      <w:bookmarkEnd w:id="243"/>
      <w:r>
        <w:rPr>
          <w:rFonts w:hint="eastAsia" w:ascii="宋体" w:hAnsi="宋体" w:cs="宋体"/>
          <w:color w:val="000000" w:themeColor="text1"/>
          <w:highlight w:val="none"/>
          <w14:textFill>
            <w14:solidFill>
              <w14:schemeClr w14:val="tx1"/>
            </w14:solidFill>
          </w14:textFill>
        </w:rPr>
        <w:t>附表六：确认通知</w:t>
      </w:r>
    </w:p>
    <w:p w14:paraId="5525C15D">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确认通知</w:t>
      </w:r>
    </w:p>
    <w:p w14:paraId="37BE7BD2">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（招标人名称）</w:t>
      </w:r>
      <w:r>
        <w:rPr>
          <w:rFonts w:hint="eastAsia" w:ascii="宋体" w:hAnsi="宋体" w:cs="宋体"/>
          <w:color w:val="000000" w:themeColor="text1"/>
          <w:highlight w:val="none"/>
          <w14:textFill>
            <w14:solidFill>
              <w14:schemeClr w14:val="tx1"/>
            </w14:solidFill>
          </w14:textFill>
        </w:rPr>
        <w:t>：</w:t>
      </w:r>
    </w:p>
    <w:p w14:paraId="25E4B5B1">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我方与年   月   日发出的</w:t>
      </w:r>
      <w:r>
        <w:rPr>
          <w:rFonts w:hint="eastAsia" w:ascii="宋体" w:hAnsi="宋体" w:cs="宋体"/>
          <w:color w:val="000000" w:themeColor="text1"/>
          <w:highlight w:val="none"/>
          <w:u w:val="single"/>
          <w14:textFill>
            <w14:solidFill>
              <w14:schemeClr w14:val="tx1"/>
            </w14:solidFill>
          </w14:textFill>
        </w:rPr>
        <w:t xml:space="preserve">    （项目名称）</w:t>
      </w:r>
      <w:r>
        <w:rPr>
          <w:rFonts w:hint="eastAsia" w:ascii="宋体" w:hAnsi="宋体" w:cs="宋体"/>
          <w:color w:val="000000" w:themeColor="text1"/>
          <w:highlight w:val="none"/>
          <w14:textFill>
            <w14:solidFill>
              <w14:schemeClr w14:val="tx1"/>
            </w14:solidFill>
          </w14:textFill>
        </w:rPr>
        <w:t>招标关于招标文件澄清/修改的通知（第号补遗书，正文共页），我方已于年   月   日收到。</w:t>
      </w:r>
    </w:p>
    <w:p w14:paraId="5E86684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特此确认。</w:t>
      </w:r>
    </w:p>
    <w:p w14:paraId="73491151">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14:paraId="483CE23D">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51D69B20">
      <w:pPr>
        <w:pStyle w:val="58"/>
        <w:spacing w:line="360" w:lineRule="auto"/>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14:paraId="18F99B20">
      <w:pPr>
        <w:tabs>
          <w:tab w:val="left" w:pos="5219"/>
        </w:tabs>
        <w:spacing w:before="192"/>
        <w:rPr>
          <w:color w:val="000000" w:themeColor="text1"/>
          <w:spacing w:val="-20"/>
          <w:sz w:val="54"/>
          <w:highlight w:val="none"/>
          <w14:textFill>
            <w14:solidFill>
              <w14:schemeClr w14:val="tx1"/>
            </w14:solidFill>
          </w14:textFill>
        </w:rPr>
      </w:pPr>
    </w:p>
    <w:p w14:paraId="39CBE290">
      <w:pPr>
        <w:tabs>
          <w:tab w:val="left" w:pos="5219"/>
        </w:tabs>
        <w:spacing w:before="192"/>
        <w:rPr>
          <w:color w:val="000000" w:themeColor="text1"/>
          <w:spacing w:val="-20"/>
          <w:sz w:val="54"/>
          <w:highlight w:val="none"/>
          <w14:textFill>
            <w14:solidFill>
              <w14:schemeClr w14:val="tx1"/>
            </w14:solidFill>
          </w14:textFill>
        </w:rPr>
      </w:pPr>
    </w:p>
    <w:p w14:paraId="7CD9A6F8">
      <w:pPr>
        <w:tabs>
          <w:tab w:val="left" w:pos="5219"/>
        </w:tabs>
        <w:spacing w:before="192"/>
        <w:rPr>
          <w:color w:val="000000" w:themeColor="text1"/>
          <w:spacing w:val="-20"/>
          <w:sz w:val="54"/>
          <w:highlight w:val="none"/>
          <w14:textFill>
            <w14:solidFill>
              <w14:schemeClr w14:val="tx1"/>
            </w14:solidFill>
          </w14:textFill>
        </w:rPr>
      </w:pPr>
    </w:p>
    <w:p w14:paraId="06C4414F">
      <w:pPr>
        <w:tabs>
          <w:tab w:val="left" w:pos="5219"/>
        </w:tabs>
        <w:spacing w:before="192"/>
        <w:rPr>
          <w:color w:val="000000" w:themeColor="text1"/>
          <w:spacing w:val="-20"/>
          <w:sz w:val="54"/>
          <w:highlight w:val="none"/>
          <w14:textFill>
            <w14:solidFill>
              <w14:schemeClr w14:val="tx1"/>
            </w14:solidFill>
          </w14:textFill>
        </w:rPr>
      </w:pPr>
    </w:p>
    <w:p w14:paraId="2F7F5695">
      <w:pPr>
        <w:tabs>
          <w:tab w:val="left" w:pos="5219"/>
        </w:tabs>
        <w:spacing w:before="192"/>
        <w:rPr>
          <w:color w:val="000000" w:themeColor="text1"/>
          <w:spacing w:val="-20"/>
          <w:sz w:val="54"/>
          <w:highlight w:val="none"/>
          <w14:textFill>
            <w14:solidFill>
              <w14:schemeClr w14:val="tx1"/>
            </w14:solidFill>
          </w14:textFill>
        </w:rPr>
      </w:pPr>
    </w:p>
    <w:p w14:paraId="539D4E90">
      <w:pPr>
        <w:jc w:val="center"/>
        <w:rPr>
          <w:color w:val="000000" w:themeColor="text1"/>
          <w:sz w:val="54"/>
          <w:highlight w:val="none"/>
          <w14:textFill>
            <w14:solidFill>
              <w14:schemeClr w14:val="tx1"/>
            </w14:solidFill>
          </w14:textFill>
        </w:rPr>
      </w:pPr>
      <w:r>
        <w:rPr>
          <w:b/>
          <w:bCs/>
          <w:color w:val="000000" w:themeColor="text1"/>
          <w:spacing w:val="-20"/>
          <w:sz w:val="54"/>
          <w:highlight w:val="none"/>
          <w14:textFill>
            <w14:solidFill>
              <w14:schemeClr w14:val="tx1"/>
            </w14:solidFill>
          </w14:textFill>
        </w:rPr>
        <w:t>第三</w:t>
      </w:r>
      <w:r>
        <w:rPr>
          <w:b/>
          <w:bCs/>
          <w:color w:val="000000" w:themeColor="text1"/>
          <w:sz w:val="54"/>
          <w:highlight w:val="none"/>
          <w14:textFill>
            <w14:solidFill>
              <w14:schemeClr w14:val="tx1"/>
            </w14:solidFill>
          </w14:textFill>
        </w:rPr>
        <w:t>章</w:t>
      </w:r>
      <w:r>
        <w:rPr>
          <w:b/>
          <w:bCs/>
          <w:color w:val="000000" w:themeColor="text1"/>
          <w:spacing w:val="-20"/>
          <w:sz w:val="54"/>
          <w:highlight w:val="none"/>
          <w14:textFill>
            <w14:solidFill>
              <w14:schemeClr w14:val="tx1"/>
            </w14:solidFill>
          </w14:textFill>
        </w:rPr>
        <w:t>评标办法</w:t>
      </w:r>
    </w:p>
    <w:p w14:paraId="2D776DC4">
      <w:pPr>
        <w:jc w:val="left"/>
        <w:rPr>
          <w:color w:val="000000" w:themeColor="text1"/>
          <w:sz w:val="54"/>
          <w:highlight w:val="none"/>
          <w14:textFill>
            <w14:solidFill>
              <w14:schemeClr w14:val="tx1"/>
            </w14:solidFill>
          </w14:textFill>
        </w:rPr>
        <w:sectPr>
          <w:footerReference r:id="rId8" w:type="default"/>
          <w:pgSz w:w="11910" w:h="16840"/>
          <w:pgMar w:top="940" w:right="720" w:bottom="1180" w:left="980" w:header="707" w:footer="998" w:gutter="0"/>
          <w:cols w:space="720" w:num="1"/>
        </w:sectPr>
      </w:pPr>
    </w:p>
    <w:p w14:paraId="726D8D90">
      <w:pPr>
        <w:jc w:val="center"/>
        <w:rPr>
          <w:rFonts w:ascii="宋体" w:hAnsi="宋体"/>
          <w:color w:val="000000" w:themeColor="text1"/>
          <w:sz w:val="72"/>
          <w:szCs w:val="72"/>
          <w:highlight w:val="none"/>
          <w14:textFill>
            <w14:solidFill>
              <w14:schemeClr w14:val="tx1"/>
            </w14:solidFill>
          </w14:textFill>
        </w:rPr>
      </w:pPr>
      <w:bookmarkStart w:id="244" w:name="_Toc43475732"/>
      <w:bookmarkEnd w:id="244"/>
    </w:p>
    <w:p w14:paraId="027D62F9">
      <w:pPr>
        <w:pStyle w:val="4"/>
        <w:jc w:val="center"/>
        <w:rPr>
          <w:rFonts w:ascii="黑体" w:eastAsia="黑体"/>
          <w:b w:val="0"/>
          <w:bCs w:val="0"/>
          <w:color w:val="000000" w:themeColor="text1"/>
          <w:highlight w:val="none"/>
          <w14:textFill>
            <w14:solidFill>
              <w14:schemeClr w14:val="tx1"/>
            </w14:solidFill>
          </w14:textFill>
        </w:rPr>
      </w:pPr>
      <w:bookmarkStart w:id="245" w:name="_Toc26510"/>
      <w:r>
        <w:rPr>
          <w:rFonts w:hint="eastAsia"/>
          <w:color w:val="000000" w:themeColor="text1"/>
          <w:highlight w:val="none"/>
          <w14:textFill>
            <w14:solidFill>
              <w14:schemeClr w14:val="tx1"/>
            </w14:solidFill>
          </w14:textFill>
        </w:rPr>
        <w:t>第三章评标办法</w:t>
      </w:r>
      <w:r>
        <w:rPr>
          <w:rFonts w:hint="eastAsia"/>
          <w:b w:val="0"/>
          <w:bCs w:val="0"/>
          <w:color w:val="000000" w:themeColor="text1"/>
          <w:highlight w:val="none"/>
          <w14:textFill>
            <w14:solidFill>
              <w14:schemeClr w14:val="tx1"/>
            </w14:solidFill>
          </w14:textFill>
        </w:rPr>
        <w:t>（</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双</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信</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封</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的</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技</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术</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评</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分</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最</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低</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标</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价</w:t>
      </w:r>
      <w:r>
        <w:rPr>
          <w:rFonts w:ascii="黑体" w:hAnsi="黑体" w:eastAsia="黑体" w:cs="黑体"/>
          <w:b w:val="0"/>
          <w:bCs w:val="0"/>
          <w:color w:val="000000" w:themeColor="text1"/>
          <w:spacing w:val="-35"/>
          <w:sz w:val="35"/>
          <w:szCs w:val="35"/>
          <w:highlight w:val="none"/>
          <w14:textFill>
            <w14:solidFill>
              <w14:schemeClr w14:val="tx1"/>
            </w14:solidFill>
          </w14:textFill>
        </w:rPr>
        <w:t xml:space="preserve"> </w:t>
      </w:r>
      <w:r>
        <w:rPr>
          <w:rFonts w:ascii="黑体" w:hAnsi="黑体" w:eastAsia="黑体" w:cs="黑体"/>
          <w:b w:val="0"/>
          <w:bCs w:val="0"/>
          <w:color w:val="000000" w:themeColor="text1"/>
          <w:spacing w:val="-35"/>
          <w:sz w:val="35"/>
          <w:szCs w:val="35"/>
          <w:highlight w:val="none"/>
          <w14:textOutline w14:w="6537" w14:cap="sq" w14:cmpd="sng">
            <w14:solidFill>
              <w14:srgbClr w14:val="000000"/>
            </w14:solidFill>
            <w14:prstDash w14:val="solid"/>
            <w14:bevel/>
          </w14:textOutline>
          <w14:textFill>
            <w14:solidFill>
              <w14:schemeClr w14:val="tx1"/>
            </w14:solidFill>
          </w14:textFill>
        </w:rPr>
        <w:t>法</w:t>
      </w:r>
      <w:r>
        <w:rPr>
          <w:rFonts w:hint="eastAsia"/>
          <w:b w:val="0"/>
          <w:bCs w:val="0"/>
          <w:color w:val="000000" w:themeColor="text1"/>
          <w:highlight w:val="none"/>
          <w14:textFill>
            <w14:solidFill>
              <w14:schemeClr w14:val="tx1"/>
            </w14:solidFill>
          </w14:textFill>
        </w:rPr>
        <w:t>）</w:t>
      </w:r>
      <w:bookmarkEnd w:id="245"/>
    </w:p>
    <w:p w14:paraId="06D597A2">
      <w:pPr>
        <w:pStyle w:val="5"/>
        <w:rPr>
          <w:color w:val="000000" w:themeColor="text1"/>
          <w:highlight w:val="none"/>
          <w14:textFill>
            <w14:solidFill>
              <w14:schemeClr w14:val="tx1"/>
            </w14:solidFill>
          </w14:textFill>
        </w:rPr>
      </w:pPr>
      <w:bookmarkStart w:id="246" w:name="_Toc13608"/>
      <w:r>
        <w:rPr>
          <w:color w:val="000000" w:themeColor="text1"/>
          <w:highlight w:val="none"/>
          <w14:textFill>
            <w14:solidFill>
              <w14:schemeClr w14:val="tx1"/>
            </w14:solidFill>
          </w14:textFill>
        </w:rPr>
        <w:t>评标办法前附表</w:t>
      </w:r>
      <w:bookmarkEnd w:id="246"/>
    </w:p>
    <w:tbl>
      <w:tblPr>
        <w:tblStyle w:val="45"/>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1043"/>
        <w:gridCol w:w="174"/>
        <w:gridCol w:w="875"/>
        <w:gridCol w:w="189"/>
        <w:gridCol w:w="25"/>
        <w:gridCol w:w="800"/>
        <w:gridCol w:w="1175"/>
        <w:gridCol w:w="837"/>
        <w:gridCol w:w="4994"/>
        <w:gridCol w:w="22"/>
      </w:tblGrid>
      <w:tr w14:paraId="4994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72" w:hRule="atLeast"/>
          <w:jc w:val="center"/>
        </w:trPr>
        <w:tc>
          <w:tcPr>
            <w:tcW w:w="2281" w:type="dxa"/>
            <w:gridSpan w:val="4"/>
            <w:noWrap w:val="0"/>
            <w:vAlign w:val="center"/>
          </w:tcPr>
          <w:p w14:paraId="5959ADAE">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7853" w:type="dxa"/>
            <w:gridSpan w:val="6"/>
            <w:noWrap w:val="0"/>
            <w:vAlign w:val="center"/>
          </w:tcPr>
          <w:p w14:paraId="29AA6718">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评审因素与评审标准</w:t>
            </w:r>
          </w:p>
        </w:tc>
      </w:tr>
      <w:tr w14:paraId="3148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668" w:hRule="atLeast"/>
          <w:jc w:val="center"/>
        </w:trPr>
        <w:tc>
          <w:tcPr>
            <w:tcW w:w="1043" w:type="dxa"/>
            <w:noWrap w:val="0"/>
            <w:vAlign w:val="center"/>
          </w:tcPr>
          <w:p w14:paraId="04197757">
            <w:pPr>
              <w:pStyle w:val="80"/>
              <w:tabs>
                <w:tab w:val="left" w:pos="804"/>
              </w:tabs>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w:t>
            </w:r>
          </w:p>
        </w:tc>
        <w:tc>
          <w:tcPr>
            <w:tcW w:w="1238" w:type="dxa"/>
            <w:gridSpan w:val="3"/>
            <w:noWrap w:val="0"/>
            <w:vAlign w:val="center"/>
          </w:tcPr>
          <w:p w14:paraId="5960771D">
            <w:pPr>
              <w:pStyle w:val="80"/>
              <w:tabs>
                <w:tab w:val="left" w:pos="804"/>
              </w:tabs>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评标方法</w:t>
            </w:r>
          </w:p>
        </w:tc>
        <w:tc>
          <w:tcPr>
            <w:tcW w:w="7853" w:type="dxa"/>
            <w:gridSpan w:val="6"/>
            <w:noWrap w:val="0"/>
            <w:vAlign w:val="top"/>
          </w:tcPr>
          <w:p w14:paraId="24A7C06D">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评标价相等时，评标委员会依次按照以下优先顺序推荐中标候选人或确定中标人：</w:t>
            </w:r>
          </w:p>
          <w:p w14:paraId="6C6BD3FC">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（1）按招标文件规定被认定为最新年度广东省公路工程从业单位信用评价等级较高的投标人优先；</w:t>
            </w:r>
          </w:p>
          <w:p w14:paraId="4B549239">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【采用如下的优先顺序：承诺使用的 AA 级投标人、不承诺使用的 AA 级投标人、承诺使用的 A 级投标人、不承诺使用的 A 级投标人、B 级投标人、未参评且被确定为 B 级投标人】</w:t>
            </w:r>
          </w:p>
          <w:p w14:paraId="2EEF6764">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（2）以投标人企业最新年度净资产较高的优先；</w:t>
            </w:r>
          </w:p>
          <w:p w14:paraId="6719E253">
            <w:pPr>
              <w:pStyle w:val="80"/>
              <w:tabs>
                <w:tab w:val="left" w:pos="804"/>
              </w:tabs>
              <w:overflowPunct w:val="0"/>
              <w:ind w:firstLine="476" w:firstLineChars="200"/>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（3）评标委员会视投标人情况综合比较，投票确定其名次。</w:t>
            </w:r>
          </w:p>
        </w:tc>
      </w:tr>
      <w:tr w14:paraId="5B46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25" w:hRule="atLeast"/>
          <w:jc w:val="center"/>
        </w:trPr>
        <w:tc>
          <w:tcPr>
            <w:tcW w:w="1043" w:type="dxa"/>
            <w:noWrap w:val="0"/>
            <w:vAlign w:val="center"/>
          </w:tcPr>
          <w:p w14:paraId="2D0E0965">
            <w:pPr>
              <w:pStyle w:val="80"/>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2.1.1</w:t>
            </w:r>
          </w:p>
          <w:p w14:paraId="45DF3592">
            <w:pPr>
              <w:pStyle w:val="80"/>
              <w:tabs>
                <w:tab w:val="left" w:pos="804"/>
              </w:tabs>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2.1.3</w:t>
            </w:r>
          </w:p>
        </w:tc>
        <w:tc>
          <w:tcPr>
            <w:tcW w:w="1238" w:type="dxa"/>
            <w:gridSpan w:val="3"/>
            <w:noWrap w:val="0"/>
            <w:vAlign w:val="center"/>
          </w:tcPr>
          <w:p w14:paraId="796CA18B">
            <w:pPr>
              <w:pStyle w:val="80"/>
              <w:tabs>
                <w:tab w:val="left" w:pos="804"/>
              </w:tabs>
              <w:kinsoku w:val="0"/>
              <w:overflowPunct w:val="0"/>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形式评审与响应性评审标准</w:t>
            </w:r>
          </w:p>
        </w:tc>
        <w:tc>
          <w:tcPr>
            <w:tcW w:w="7853" w:type="dxa"/>
            <w:gridSpan w:val="6"/>
            <w:noWrap w:val="0"/>
            <w:vAlign w:val="top"/>
          </w:tcPr>
          <w:p w14:paraId="18BD2EBE">
            <w:pPr>
              <w:pStyle w:val="80"/>
              <w:tabs>
                <w:tab w:val="left" w:pos="804"/>
              </w:tabs>
              <w:overflowPunct w:val="0"/>
              <w:rPr>
                <w:rFonts w:hint="eastAsia" w:ascii="宋体" w:hAnsi="宋体" w:cs="宋体"/>
                <w:b/>
                <w:color w:val="000000" w:themeColor="text1"/>
                <w:spacing w:val="-1"/>
                <w:sz w:val="24"/>
                <w:highlight w:val="none"/>
                <w14:textFill>
                  <w14:solidFill>
                    <w14:schemeClr w14:val="tx1"/>
                  </w14:solidFill>
                </w14:textFill>
              </w:rPr>
            </w:pPr>
            <w:r>
              <w:rPr>
                <w:rFonts w:hint="eastAsia" w:ascii="宋体" w:hAnsi="宋体" w:cs="宋体"/>
                <w:b/>
                <w:color w:val="000000" w:themeColor="text1"/>
                <w:spacing w:val="-1"/>
                <w:sz w:val="24"/>
                <w:highlight w:val="none"/>
                <w14:textFill>
                  <w14:solidFill>
                    <w14:schemeClr w14:val="tx1"/>
                  </w14:solidFill>
                </w14:textFill>
              </w:rPr>
              <w:t>第一个信封（商务及技术文件）评审标准：</w:t>
            </w:r>
          </w:p>
          <w:p w14:paraId="2A583E96">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（1）投标文件按照招标文件规定的格式、内容填写，字迹清晰可辨：</w:t>
            </w:r>
          </w:p>
          <w:p w14:paraId="63D264C1">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a.投标函按招标文件规定填报了项目名称、标段号（如有)、补遗书编号（如有)、工期、工程质量要求及安全目标；</w:t>
            </w:r>
          </w:p>
          <w:p w14:paraId="39ACB060">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b.投标函附录的所有数据均符合招标文件规定；</w:t>
            </w:r>
          </w:p>
          <w:p w14:paraId="09253303">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c.投标文件组成齐全完整，内容均按规定填写。</w:t>
            </w:r>
          </w:p>
          <w:p w14:paraId="125E40DA">
            <w:pPr>
              <w:pStyle w:val="80"/>
              <w:numPr>
                <w:ilvl w:val="0"/>
                <w:numId w:val="10"/>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投标文件上法定代表人或其委托代理人的签字、投标人的单位章盖章齐全，符合招标文件规定。</w:t>
            </w:r>
          </w:p>
          <w:p w14:paraId="54C13669">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）投标人按照招标文件的规定提供了投标保证金：</w:t>
            </w:r>
          </w:p>
          <w:p w14:paraId="3F067A53">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a.投标保证金金额符合招标文件规定的金额，且投标保证金有效期不少于投标有效期；</w:t>
            </w:r>
          </w:p>
          <w:p w14:paraId="5B7ED214">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b.若投标保证金采用现金或支票形式提交，投标人应在投标人须知 3.4.1款规定的时间，将投标保证金由投标人的基本账户转入招标人指定账户；</w:t>
            </w:r>
          </w:p>
          <w:p w14:paraId="0033D2E0">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c.若投标保证金采用银行保函或投标人须知前附表 3.4.1 项规定的其他形式提交，应满足招标文件要求。</w:t>
            </w:r>
          </w:p>
          <w:p w14:paraId="27A4AE9F">
            <w:pPr>
              <w:pStyle w:val="80"/>
              <w:numPr>
                <w:ilvl w:val="0"/>
                <w:numId w:val="0"/>
              </w:numPr>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投标人法定代表人授权委托代理人签署投标文件的，需提交授权委托书，且授权人和被授权人均在授权委托书上签名，未使用印章、签名章或其他电子制版签名代替。</w:t>
            </w:r>
          </w:p>
          <w:p w14:paraId="6D6C07FE">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投标人法定代表人亲自签署投标文件的，提供了法定代表人身份证明，且法定代表人在法定代表人身份证明上签名，未使用印章、签名章或其他电子制版签名代替。</w:t>
            </w:r>
          </w:p>
          <w:p w14:paraId="108E860B">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投标人不具备拟分包工程所需的某专项工程相应资质或投标人如有分包计划，符合招标文件第二章“投标人须知” 第 1.11 款规定，且按招标文件第九章“投标文件格式”的要求填写了“拟分包项目情况表”。</w:t>
            </w:r>
          </w:p>
          <w:p w14:paraId="124A790D">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同一投标人未提交两个以上不同的投标文件，但招标文件要求提交备选投标的除外。</w:t>
            </w:r>
          </w:p>
          <w:p w14:paraId="5ED9E988">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投标文件中未出现有关投标报价的内容。</w:t>
            </w:r>
          </w:p>
          <w:p w14:paraId="3705C602">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投标文件载明的招标项目完成期限未超过招标文件规定的时限。</w:t>
            </w:r>
          </w:p>
          <w:p w14:paraId="38F3F75A">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投标文件对招标文件的实质性要求和条件作出响应。</w:t>
            </w:r>
          </w:p>
          <w:p w14:paraId="6DEDCEA7">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权利义务符合招标文件规定：</w:t>
            </w:r>
          </w:p>
          <w:p w14:paraId="73B0B560">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 投标人应接受招标文件规定的风险划分原则，未提出新的风险划分办法；</w:t>
            </w:r>
          </w:p>
          <w:p w14:paraId="21544826">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 投标人未增加发包人的责任范围，或减少投标人义务；</w:t>
            </w:r>
          </w:p>
          <w:p w14:paraId="0D52699C">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c.投标人未提出不同的工程验收、计量、支付办法；</w:t>
            </w:r>
          </w:p>
          <w:p w14:paraId="3DE72FEB">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 投标人对合同纠纷、事故处理办法未提出异议；</w:t>
            </w:r>
          </w:p>
          <w:p w14:paraId="1FA6C4C2">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 投标人在投标活动中无欺诈行为；</w:t>
            </w:r>
          </w:p>
          <w:p w14:paraId="3DAA6A8A">
            <w:pPr>
              <w:pStyle w:val="80"/>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 投标人未对合同条款有重要保留。</w:t>
            </w:r>
          </w:p>
          <w:p w14:paraId="4C958A3F">
            <w:pPr>
              <w:pStyle w:val="80"/>
              <w:numPr>
                <w:ilvl w:val="0"/>
                <w:numId w:val="11"/>
              </w:numPr>
              <w:tabs>
                <w:tab w:val="left" w:pos="804"/>
              </w:tabs>
              <w:overflowPunct w:val="0"/>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投标文件未附有招标人不能接受的条件。</w:t>
            </w:r>
          </w:p>
          <w:p w14:paraId="44D387D6">
            <w:pPr>
              <w:pStyle w:val="80"/>
              <w:tabs>
                <w:tab w:val="left" w:pos="804"/>
              </w:tabs>
              <w:overflowPunct w:val="0"/>
              <w:rPr>
                <w:rFonts w:hint="eastAsia" w:ascii="宋体" w:hAnsi="宋体" w:cs="宋体"/>
                <w:color w:val="000000" w:themeColor="text1"/>
                <w:sz w:val="24"/>
                <w:highlight w:val="none"/>
                <w14:textFill>
                  <w14:solidFill>
                    <w14:schemeClr w14:val="tx1"/>
                  </w14:solidFill>
                </w14:textFill>
              </w:rPr>
            </w:pPr>
          </w:p>
          <w:p w14:paraId="2B83981A">
            <w:pPr>
              <w:pStyle w:val="80"/>
              <w:tabs>
                <w:tab w:val="left" w:pos="804"/>
              </w:tabs>
              <w:overflowPunct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第二个信封（报价文件）评审标准：</w:t>
            </w:r>
          </w:p>
          <w:p w14:paraId="5952A360">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（1）投标文件按照招标文件规定的格式、内容填写，字迹清晰可辩：</w:t>
            </w:r>
          </w:p>
          <w:p w14:paraId="4EE1838B">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 投标函按招标文件规定填报了项目名称、标段号（如有)、补遗书编号（如有)、投标总报价（包括大写金额和小写金额)；</w:t>
            </w:r>
          </w:p>
          <w:p w14:paraId="5EA56BB5">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 已标价工程量清单说明文字与招标文件规定一致，未进行实质性修改和删减；</w:t>
            </w:r>
          </w:p>
          <w:p w14:paraId="4BD98BCE">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 投标文件组成齐全完整，内容均按规定填写。</w:t>
            </w:r>
          </w:p>
          <w:p w14:paraId="7C662ABA">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（2）投标文件上法定代表人或其委托代理人的签字、投标人的单位章盖章齐全，符合招标文件规定。</w:t>
            </w:r>
          </w:p>
          <w:p w14:paraId="1D39153F">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（3）投标报价中的报价未超过招标文件设定的最高投标限价。</w:t>
            </w:r>
          </w:p>
          <w:p w14:paraId="3222129E">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（4）投标报价中报价的大写金额能够确定具体数值。</w:t>
            </w:r>
          </w:p>
          <w:p w14:paraId="58A13265">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（5）同一投标人未提交两个以上不同的投标报价，但招标文件要求提交备选投标的除外。</w:t>
            </w:r>
          </w:p>
          <w:p w14:paraId="3139CA34">
            <w:pPr>
              <w:pStyle w:val="80"/>
              <w:tabs>
                <w:tab w:val="left" w:pos="804"/>
              </w:tabs>
              <w:overflowPunct w:val="0"/>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投标文件未附有招标人不能接受的条件</w:t>
            </w:r>
            <w:r>
              <w:rPr>
                <w:rFonts w:hint="eastAsia" w:ascii="宋体" w:hAnsi="宋体" w:cs="宋体"/>
                <w:color w:val="000000" w:themeColor="text1"/>
                <w:sz w:val="24"/>
                <w:highlight w:val="none"/>
                <w14:textFill>
                  <w14:solidFill>
                    <w14:schemeClr w14:val="tx1"/>
                  </w14:solidFill>
                </w14:textFill>
              </w:rPr>
              <w:t>。</w:t>
            </w:r>
          </w:p>
        </w:tc>
      </w:tr>
      <w:tr w14:paraId="2290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662" w:hRule="atLeast"/>
          <w:jc w:val="center"/>
        </w:trPr>
        <w:tc>
          <w:tcPr>
            <w:tcW w:w="1043" w:type="dxa"/>
            <w:noWrap w:val="0"/>
            <w:vAlign w:val="center"/>
          </w:tcPr>
          <w:p w14:paraId="7B87D0CC">
            <w:pPr>
              <w:pStyle w:val="80"/>
              <w:kinsoku w:val="0"/>
              <w:overflowPunct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2.1.2</w:t>
            </w:r>
          </w:p>
        </w:tc>
        <w:tc>
          <w:tcPr>
            <w:tcW w:w="1238" w:type="dxa"/>
            <w:gridSpan w:val="3"/>
            <w:noWrap w:val="0"/>
            <w:vAlign w:val="center"/>
          </w:tcPr>
          <w:p w14:paraId="03926D10">
            <w:pPr>
              <w:pStyle w:val="80"/>
              <w:kinsoku w:val="0"/>
              <w:overflowPunct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资格评审标准</w:t>
            </w:r>
          </w:p>
        </w:tc>
        <w:tc>
          <w:tcPr>
            <w:tcW w:w="7853" w:type="dxa"/>
            <w:gridSpan w:val="6"/>
            <w:noWrap w:val="0"/>
            <w:vAlign w:val="top"/>
          </w:tcPr>
          <w:p w14:paraId="34AFFBB3">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013F3A9C">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（2）投标人的资质等级符合招标文件规定；</w:t>
            </w:r>
          </w:p>
          <w:p w14:paraId="6856BE2B">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（3）投标人的财务状况符合招标文件规定；</w:t>
            </w:r>
          </w:p>
          <w:p w14:paraId="36CE4B85">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（4）投标人的类似项目业绩符合招标文件规定；</w:t>
            </w:r>
          </w:p>
          <w:p w14:paraId="3D93CC38">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（5）投标人的信誉符合招标文件规定；</w:t>
            </w:r>
          </w:p>
          <w:p w14:paraId="5F1F8CEF">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（6）投标人的项目经理和项目总工资格、在岗情况符合招标文件规定，并按规定在投标文件中签字确认；</w:t>
            </w:r>
          </w:p>
          <w:p w14:paraId="5A8845A3">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（7）投标人的其他要求符合招标文件规定；</w:t>
            </w:r>
          </w:p>
          <w:p w14:paraId="6AE9010A">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（8）投标人不存在第二章“投标人须知”第 1.4.3 项或第 1.4.4 项规 定的任何一种情形；</w:t>
            </w:r>
          </w:p>
          <w:p w14:paraId="4E3AE40F">
            <w:pPr>
              <w:pStyle w:val="80"/>
              <w:tabs>
                <w:tab w:val="left" w:pos="804"/>
              </w:tabs>
              <w:overflowPunct w:val="0"/>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（9）投标人符合第二章“投标人须知”第 1.4.5 项规定</w:t>
            </w:r>
            <w:r>
              <w:rPr>
                <w:rFonts w:hint="eastAsia" w:ascii="宋体" w:hAnsi="宋体" w:cs="宋体"/>
                <w:color w:val="000000" w:themeColor="text1"/>
                <w:sz w:val="24"/>
                <w:highlight w:val="none"/>
                <w:lang w:eastAsia="zh-CN"/>
                <w14:textFill>
                  <w14:solidFill>
                    <w14:schemeClr w14:val="tx1"/>
                  </w14:solidFill>
                </w14:textFill>
              </w:rPr>
              <w:t>。</w:t>
            </w:r>
          </w:p>
          <w:p w14:paraId="165F0EEF">
            <w:pPr>
              <w:pStyle w:val="80"/>
              <w:tabs>
                <w:tab w:val="left" w:pos="804"/>
              </w:tabs>
              <w:overflowPunct w:val="0"/>
              <w:rPr>
                <w:rFonts w:hint="eastAsia" w:ascii="宋体" w:hAnsi="宋体" w:cs="宋体"/>
                <w:color w:val="000000" w:themeColor="text1"/>
                <w:sz w:val="24"/>
                <w:highlight w:val="none"/>
                <w14:textFill>
                  <w14:solidFill>
                    <w14:schemeClr w14:val="tx1"/>
                  </w14:solidFill>
                </w14:textFill>
              </w:rPr>
            </w:pPr>
          </w:p>
        </w:tc>
      </w:tr>
      <w:tr w14:paraId="34BE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375" w:hRule="atLeast"/>
          <w:jc w:val="center"/>
        </w:trPr>
        <w:tc>
          <w:tcPr>
            <w:tcW w:w="1043" w:type="dxa"/>
            <w:noWrap w:val="0"/>
            <w:vAlign w:val="center"/>
          </w:tcPr>
          <w:p w14:paraId="532F6365">
            <w:pPr>
              <w:jc w:val="center"/>
              <w:rPr>
                <w:rFonts w:hint="eastAsia" w:ascii="宋体" w:hAnsi="宋体" w:cs="宋体"/>
                <w:color w:val="000000" w:themeColor="text1"/>
                <w:spacing w:val="-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1238" w:type="dxa"/>
            <w:gridSpan w:val="3"/>
            <w:noWrap w:val="0"/>
            <w:vAlign w:val="center"/>
          </w:tcPr>
          <w:p w14:paraId="096913F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条款内容</w:t>
            </w:r>
          </w:p>
        </w:tc>
        <w:tc>
          <w:tcPr>
            <w:tcW w:w="7853" w:type="dxa"/>
            <w:gridSpan w:val="6"/>
            <w:noWrap w:val="0"/>
            <w:vAlign w:val="center"/>
          </w:tcPr>
          <w:p w14:paraId="0730F84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编列内容</w:t>
            </w:r>
          </w:p>
        </w:tc>
      </w:tr>
      <w:tr w14:paraId="1987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115" w:hRule="atLeast"/>
          <w:jc w:val="center"/>
        </w:trPr>
        <w:tc>
          <w:tcPr>
            <w:tcW w:w="1043" w:type="dxa"/>
            <w:noWrap w:val="0"/>
            <w:vAlign w:val="center"/>
          </w:tcPr>
          <w:p w14:paraId="0F1A40C7">
            <w:pPr>
              <w:pStyle w:val="80"/>
              <w:kinsoku w:val="0"/>
              <w:overflowPunct w:val="0"/>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w:t>
            </w:r>
          </w:p>
        </w:tc>
        <w:tc>
          <w:tcPr>
            <w:tcW w:w="1238" w:type="dxa"/>
            <w:gridSpan w:val="3"/>
            <w:noWrap w:val="0"/>
            <w:vAlign w:val="center"/>
          </w:tcPr>
          <w:p w14:paraId="4087788D">
            <w:pPr>
              <w:widowControl/>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第一个信封评分分值构成 (总100分）</w:t>
            </w:r>
          </w:p>
        </w:tc>
        <w:tc>
          <w:tcPr>
            <w:tcW w:w="7853" w:type="dxa"/>
            <w:gridSpan w:val="6"/>
            <w:noWrap w:val="0"/>
            <w:vAlign w:val="center"/>
          </w:tcPr>
          <w:p w14:paraId="08E0F356">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施工组织设计（A）：</w:t>
            </w:r>
            <w:r>
              <w:rPr>
                <w:rFonts w:hint="eastAsia" w:ascii="宋体" w:hAnsi="宋体" w:cs="宋体"/>
                <w:color w:val="000000" w:themeColor="text1"/>
                <w:kern w:val="0"/>
                <w:sz w:val="24"/>
                <w:highlight w:val="none"/>
                <w:u w:val="single"/>
                <w14:textFill>
                  <w14:solidFill>
                    <w14:schemeClr w14:val="tx1"/>
                  </w14:solidFill>
                </w14:textFill>
              </w:rPr>
              <w:t>40</w:t>
            </w:r>
            <w:r>
              <w:rPr>
                <w:rFonts w:hint="eastAsia" w:ascii="宋体" w:hAnsi="宋体" w:cs="宋体"/>
                <w:color w:val="000000" w:themeColor="text1"/>
                <w:kern w:val="0"/>
                <w:sz w:val="24"/>
                <w:highlight w:val="none"/>
                <w14:textFill>
                  <w14:solidFill>
                    <w14:schemeClr w14:val="tx1"/>
                  </w14:solidFill>
                </w14:textFill>
              </w:rPr>
              <w:t xml:space="preserve">分 </w:t>
            </w:r>
          </w:p>
          <w:p w14:paraId="70EB5F43">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主要人员（B）：</w:t>
            </w:r>
            <w:r>
              <w:rPr>
                <w:rFonts w:hint="eastAsia" w:ascii="宋体" w:hAnsi="宋体" w:cs="宋体"/>
                <w:color w:val="000000" w:themeColor="text1"/>
                <w:kern w:val="0"/>
                <w:sz w:val="24"/>
                <w:highlight w:val="none"/>
                <w:u w:val="single"/>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 xml:space="preserve">分 </w:t>
            </w:r>
          </w:p>
          <w:p w14:paraId="7EA250AD">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其他因素（C）</w:t>
            </w:r>
          </w:p>
          <w:p w14:paraId="15418A6B">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技术能力：</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 xml:space="preserve">分 </w:t>
            </w:r>
          </w:p>
          <w:p w14:paraId="06AF1C15">
            <w:pPr>
              <w:widowControl/>
              <w:spacing w:line="40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履约信誉：</w:t>
            </w:r>
            <w:r>
              <w:rPr>
                <w:rFonts w:hint="eastAsia" w:ascii="宋体" w:hAnsi="宋体" w:cs="宋体"/>
                <w:color w:val="000000" w:themeColor="text1"/>
                <w:kern w:val="0"/>
                <w:sz w:val="24"/>
                <w:highlight w:val="none"/>
                <w:u w:val="single"/>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 xml:space="preserve">分 </w:t>
            </w:r>
          </w:p>
        </w:tc>
      </w:tr>
      <w:tr w14:paraId="0661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217" w:hRule="atLeast"/>
          <w:jc w:val="center"/>
        </w:trPr>
        <w:tc>
          <w:tcPr>
            <w:tcW w:w="1043" w:type="dxa"/>
            <w:noWrap w:val="0"/>
            <w:vAlign w:val="center"/>
          </w:tcPr>
          <w:p w14:paraId="23C4DCE3">
            <w:pPr>
              <w:pStyle w:val="80"/>
              <w:kinsoku w:val="0"/>
              <w:overflowPunct w:val="0"/>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w:t>
            </w:r>
          </w:p>
        </w:tc>
        <w:tc>
          <w:tcPr>
            <w:tcW w:w="1238" w:type="dxa"/>
            <w:gridSpan w:val="3"/>
            <w:noWrap w:val="0"/>
            <w:vAlign w:val="center"/>
          </w:tcPr>
          <w:p w14:paraId="2EBB5E35">
            <w:pPr>
              <w:widowControl/>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第二个信封详细评审标准</w:t>
            </w:r>
          </w:p>
        </w:tc>
        <w:tc>
          <w:tcPr>
            <w:tcW w:w="7853" w:type="dxa"/>
            <w:gridSpan w:val="6"/>
            <w:noWrap w:val="0"/>
            <w:vAlign w:val="center"/>
          </w:tcPr>
          <w:p w14:paraId="553E292B">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评标价的评审：</w:t>
            </w:r>
          </w:p>
          <w:p w14:paraId="66321E9C">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(1)评标价计算公式：</w:t>
            </w:r>
          </w:p>
          <w:p w14:paraId="13EC6A0B">
            <w:pPr>
              <w:widowControl/>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评标价=修正后的投标总报价一暂估价一暂列金额（不含计日工总额）</w:t>
            </w:r>
          </w:p>
          <w:p w14:paraId="12E42FC9">
            <w:pPr>
              <w:widowControl/>
              <w:spacing w:line="40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14:paraId="6E1B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295" w:hRule="atLeast"/>
          <w:jc w:val="center"/>
        </w:trPr>
        <w:tc>
          <w:tcPr>
            <w:tcW w:w="1043" w:type="dxa"/>
            <w:noWrap w:val="0"/>
            <w:vAlign w:val="center"/>
          </w:tcPr>
          <w:p w14:paraId="27A0480E">
            <w:pPr>
              <w:widowControl/>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3.2.4</w:t>
            </w:r>
          </w:p>
        </w:tc>
        <w:tc>
          <w:tcPr>
            <w:tcW w:w="1238" w:type="dxa"/>
            <w:gridSpan w:val="3"/>
            <w:noWrap w:val="0"/>
            <w:vAlign w:val="center"/>
          </w:tcPr>
          <w:p w14:paraId="2B39AF34">
            <w:pPr>
              <w:widowControl/>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通过第一个信封详细评审的投标人数量</w:t>
            </w:r>
          </w:p>
        </w:tc>
        <w:tc>
          <w:tcPr>
            <w:tcW w:w="7853" w:type="dxa"/>
            <w:gridSpan w:val="6"/>
            <w:noWrap w:val="0"/>
            <w:vAlign w:val="center"/>
          </w:tcPr>
          <w:p w14:paraId="38F63341">
            <w:pPr>
              <w:widowControl/>
              <w:spacing w:line="40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按照投标人的商务和技术得分由高到低排序，选择前 5 名（不少于 3 名但不足 5 名时，按全部实际数量）通过详细评审。</w:t>
            </w:r>
          </w:p>
        </w:tc>
      </w:tr>
      <w:tr w14:paraId="0DC7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3" w:type="dxa"/>
            <w:gridSpan w:val="11"/>
            <w:noWrap w:val="0"/>
            <w:vAlign w:val="top"/>
          </w:tcPr>
          <w:p w14:paraId="589CCE57">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评分因素与权重分值</w:t>
            </w:r>
          </w:p>
        </w:tc>
      </w:tr>
      <w:tr w14:paraId="398D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noWrap w:val="0"/>
            <w:vAlign w:val="center"/>
          </w:tcPr>
          <w:p w14:paraId="07E22F56">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条款号</w:t>
            </w:r>
          </w:p>
        </w:tc>
        <w:tc>
          <w:tcPr>
            <w:tcW w:w="1089" w:type="dxa"/>
            <w:gridSpan w:val="3"/>
            <w:noWrap w:val="0"/>
            <w:vAlign w:val="center"/>
          </w:tcPr>
          <w:p w14:paraId="3B596371">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评分因素</w:t>
            </w:r>
          </w:p>
        </w:tc>
        <w:tc>
          <w:tcPr>
            <w:tcW w:w="800" w:type="dxa"/>
            <w:noWrap w:val="0"/>
            <w:vAlign w:val="center"/>
          </w:tcPr>
          <w:p w14:paraId="435BAA87">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评分因素权重</w:t>
            </w:r>
          </w:p>
        </w:tc>
        <w:tc>
          <w:tcPr>
            <w:tcW w:w="1175" w:type="dxa"/>
            <w:noWrap w:val="0"/>
            <w:vAlign w:val="center"/>
          </w:tcPr>
          <w:p w14:paraId="101D0576">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各评分因素细分项</w:t>
            </w:r>
          </w:p>
        </w:tc>
        <w:tc>
          <w:tcPr>
            <w:tcW w:w="837" w:type="dxa"/>
            <w:noWrap w:val="0"/>
            <w:vAlign w:val="center"/>
          </w:tcPr>
          <w:p w14:paraId="18F013ED">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分值</w:t>
            </w:r>
          </w:p>
        </w:tc>
        <w:tc>
          <w:tcPr>
            <w:tcW w:w="5016" w:type="dxa"/>
            <w:gridSpan w:val="2"/>
            <w:noWrap w:val="0"/>
            <w:vAlign w:val="center"/>
          </w:tcPr>
          <w:p w14:paraId="213D17AE">
            <w:pPr>
              <w:widowControl/>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评分标准</w:t>
            </w:r>
          </w:p>
        </w:tc>
      </w:tr>
      <w:tr w14:paraId="7A5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vMerge w:val="restart"/>
            <w:noWrap w:val="0"/>
            <w:vAlign w:val="center"/>
          </w:tcPr>
          <w:p w14:paraId="4CEA37DD">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w:t>
            </w:r>
          </w:p>
          <w:p w14:paraId="650B928C">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089" w:type="dxa"/>
            <w:gridSpan w:val="3"/>
            <w:vMerge w:val="restart"/>
            <w:noWrap w:val="0"/>
            <w:vAlign w:val="center"/>
          </w:tcPr>
          <w:p w14:paraId="2F7DE20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p w14:paraId="78D35893">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施工组织设计</w:t>
            </w:r>
          </w:p>
          <w:p w14:paraId="349070F5">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vMerge w:val="restart"/>
            <w:noWrap w:val="0"/>
            <w:vAlign w:val="center"/>
          </w:tcPr>
          <w:p w14:paraId="75FE9074">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40分</w:t>
            </w:r>
          </w:p>
        </w:tc>
        <w:tc>
          <w:tcPr>
            <w:tcW w:w="1175" w:type="dxa"/>
            <w:noWrap w:val="0"/>
            <w:vAlign w:val="center"/>
          </w:tcPr>
          <w:p w14:paraId="24564607">
            <w:pPr>
              <w:widowControl/>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总体施</w:t>
            </w:r>
          </w:p>
          <w:p w14:paraId="098E6B7E">
            <w:pPr>
              <w:widowControl/>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工组织</w:t>
            </w:r>
          </w:p>
          <w:p w14:paraId="36FCFEA9">
            <w:pPr>
              <w:widowControl/>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布置及</w:t>
            </w:r>
          </w:p>
          <w:p w14:paraId="10465D61">
            <w:pPr>
              <w:widowControl/>
              <w:autoSpaceDE w:val="0"/>
              <w:autoSpaceDN w:val="0"/>
              <w:adjustRightInd w:val="0"/>
              <w:snapToGrid w:val="0"/>
              <w:spacing w:line="360" w:lineRule="auto"/>
              <w:jc w:val="center"/>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规划</w:t>
            </w:r>
          </w:p>
        </w:tc>
        <w:tc>
          <w:tcPr>
            <w:tcW w:w="837" w:type="dxa"/>
            <w:noWrap w:val="0"/>
            <w:vAlign w:val="center"/>
          </w:tcPr>
          <w:p w14:paraId="2F39BB97">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15</w:t>
            </w:r>
            <w:r>
              <w:rPr>
                <w:rFonts w:ascii="宋体" w:hAnsi="宋体" w:cs="宋体"/>
                <w:color w:val="000000" w:themeColor="text1"/>
                <w:sz w:val="24"/>
                <w:highlight w:val="none"/>
                <w14:textFill>
                  <w14:solidFill>
                    <w14:schemeClr w14:val="tx1"/>
                  </w14:solidFill>
                </w14:textFill>
              </w:rPr>
              <w:t>分</w:t>
            </w:r>
          </w:p>
        </w:tc>
        <w:tc>
          <w:tcPr>
            <w:tcW w:w="5016" w:type="dxa"/>
            <w:gridSpan w:val="2"/>
            <w:noWrap w:val="0"/>
            <w:vAlign w:val="center"/>
          </w:tcPr>
          <w:p w14:paraId="48FD4201">
            <w:pPr>
              <w:widowControl/>
              <w:tabs>
                <w:tab w:val="left" w:pos="241"/>
              </w:tabs>
              <w:autoSpaceDE w:val="0"/>
              <w:autoSpaceDN w:val="0"/>
              <w:adjustRightInd w:val="0"/>
              <w:snapToGrid w:val="0"/>
              <w:spacing w:line="400" w:lineRule="exact"/>
              <w:ind w:firstLine="2"/>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(1)对项目的基本情况了解全面、准确，施工总体布置规划、施工进度计划科学合理、可操作性强，按《广东省公路工程施工标准化指南》及《公路工程施工安全防护设施技术指南》执行，得</w:t>
            </w:r>
            <w:r>
              <w:rPr>
                <w:rFonts w:hint="eastAsia" w:ascii="宋体" w:hAnsi="宋体" w:cs="宋体"/>
                <w:color w:val="000000" w:themeColor="text1"/>
                <w:sz w:val="24"/>
                <w:highlight w:val="none"/>
                <w:u w:val="single"/>
                <w14:textFill>
                  <w14:solidFill>
                    <w14:schemeClr w14:val="tx1"/>
                  </w14:solidFill>
                </w14:textFill>
              </w:rPr>
              <w:t xml:space="preserve"> 12.1~15.0 </w:t>
            </w:r>
            <w:r>
              <w:rPr>
                <w:rFonts w:ascii="宋体" w:hAnsi="宋体" w:cs="宋体"/>
                <w:color w:val="000000" w:themeColor="text1"/>
                <w:sz w:val="24"/>
                <w:highlight w:val="none"/>
                <w14:textFill>
                  <w14:solidFill>
                    <w14:schemeClr w14:val="tx1"/>
                  </w14:solidFill>
                </w14:textFill>
              </w:rPr>
              <w:t>分(满分分值的80%~100%)；</w:t>
            </w:r>
          </w:p>
          <w:p w14:paraId="115E4D8F">
            <w:pPr>
              <w:widowControl/>
              <w:tabs>
                <w:tab w:val="left" w:pos="241"/>
              </w:tabs>
              <w:autoSpaceDE w:val="0"/>
              <w:autoSpaceDN w:val="0"/>
              <w:adjustRightInd w:val="0"/>
              <w:snapToGrid w:val="0"/>
              <w:spacing w:line="400" w:lineRule="exact"/>
              <w:ind w:firstLine="2"/>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(2)满足工程建设需要，施工总体布置规划、施工进度计划基本可行，得</w:t>
            </w:r>
            <w:r>
              <w:rPr>
                <w:rFonts w:hint="eastAsia" w:ascii="宋体" w:hAnsi="宋体" w:cs="宋体"/>
                <w:color w:val="000000" w:themeColor="text1"/>
                <w:sz w:val="24"/>
                <w:highlight w:val="none"/>
                <w:u w:val="single"/>
                <w14:textFill>
                  <w14:solidFill>
                    <w14:schemeClr w14:val="tx1"/>
                  </w14:solidFill>
                </w14:textFill>
              </w:rPr>
              <w:t xml:space="preserve"> 9.1~12.0 </w:t>
            </w:r>
            <w:r>
              <w:rPr>
                <w:rFonts w:ascii="宋体" w:hAnsi="宋体" w:cs="宋体"/>
                <w:color w:val="000000" w:themeColor="text1"/>
                <w:sz w:val="24"/>
                <w:highlight w:val="none"/>
                <w14:textFill>
                  <w14:solidFill>
                    <w14:schemeClr w14:val="tx1"/>
                  </w14:solidFill>
                </w14:textFill>
              </w:rPr>
              <w:t>分(满分分值的 60%~80%)；</w:t>
            </w:r>
          </w:p>
          <w:p w14:paraId="0DF19C43">
            <w:pPr>
              <w:widowControl/>
              <w:tabs>
                <w:tab w:val="left" w:pos="241"/>
              </w:tabs>
              <w:autoSpaceDE w:val="0"/>
              <w:autoSpaceDN w:val="0"/>
              <w:adjustRightInd w:val="0"/>
              <w:snapToGrid w:val="0"/>
              <w:spacing w:line="400" w:lineRule="exact"/>
              <w:ind w:firstLine="2"/>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(3)一般但不被评定为不响应的,得</w:t>
            </w:r>
            <w:r>
              <w:rPr>
                <w:rFonts w:hint="eastAsia" w:ascii="宋体" w:hAnsi="宋体" w:cs="宋体"/>
                <w:color w:val="000000" w:themeColor="text1"/>
                <w:sz w:val="24"/>
                <w:highlight w:val="none"/>
                <w:u w:val="single"/>
                <w14:textFill>
                  <w14:solidFill>
                    <w14:schemeClr w14:val="tx1"/>
                  </w14:solidFill>
                </w14:textFill>
              </w:rPr>
              <w:t xml:space="preserve"> 9 </w:t>
            </w:r>
            <w:r>
              <w:rPr>
                <w:rFonts w:ascii="宋体" w:hAnsi="宋体" w:cs="宋体"/>
                <w:color w:val="000000" w:themeColor="text1"/>
                <w:sz w:val="24"/>
                <w:highlight w:val="none"/>
                <w14:textFill>
                  <w14:solidFill>
                    <w14:schemeClr w14:val="tx1"/>
                  </w14:solidFill>
                </w14:textFill>
              </w:rPr>
              <w:t>分(满分分值的 60%)。</w:t>
            </w:r>
          </w:p>
        </w:tc>
      </w:tr>
      <w:tr w14:paraId="6A8F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vMerge w:val="continue"/>
            <w:noWrap w:val="0"/>
            <w:vAlign w:val="center"/>
          </w:tcPr>
          <w:p w14:paraId="1A33964A">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vMerge w:val="continue"/>
            <w:noWrap w:val="0"/>
            <w:vAlign w:val="center"/>
          </w:tcPr>
          <w:p w14:paraId="7FD0D863">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vMerge w:val="continue"/>
            <w:noWrap w:val="0"/>
            <w:vAlign w:val="center"/>
          </w:tcPr>
          <w:p w14:paraId="18B718E6">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175" w:type="dxa"/>
            <w:noWrap w:val="0"/>
            <w:vAlign w:val="center"/>
          </w:tcPr>
          <w:p w14:paraId="0EFC4A1F">
            <w:pPr>
              <w:widowControl/>
              <w:autoSpaceDE w:val="0"/>
              <w:autoSpaceDN w:val="0"/>
              <w:adjustRightInd w:val="0"/>
              <w:snapToGrid w:val="0"/>
              <w:spacing w:line="360" w:lineRule="auto"/>
              <w:ind w:firstLine="1"/>
              <w:jc w:val="center"/>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重点、难 点和关 键工程 的施工 方案与 技术措 施</w:t>
            </w:r>
          </w:p>
        </w:tc>
        <w:tc>
          <w:tcPr>
            <w:tcW w:w="837" w:type="dxa"/>
            <w:noWrap w:val="0"/>
            <w:vAlign w:val="center"/>
          </w:tcPr>
          <w:p w14:paraId="2188748E">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15</w:t>
            </w:r>
            <w:r>
              <w:rPr>
                <w:rFonts w:ascii="宋体" w:hAnsi="宋体" w:cs="宋体"/>
                <w:color w:val="000000" w:themeColor="text1"/>
                <w:sz w:val="24"/>
                <w:highlight w:val="none"/>
                <w14:textFill>
                  <w14:solidFill>
                    <w14:schemeClr w14:val="tx1"/>
                  </w14:solidFill>
                </w14:textFill>
              </w:rPr>
              <w:t>分</w:t>
            </w:r>
          </w:p>
        </w:tc>
        <w:tc>
          <w:tcPr>
            <w:tcW w:w="5016" w:type="dxa"/>
            <w:gridSpan w:val="2"/>
            <w:noWrap w:val="0"/>
            <w:vAlign w:val="center"/>
          </w:tcPr>
          <w:p w14:paraId="2291DA31">
            <w:pPr>
              <w:widowControl/>
              <w:autoSpaceDE w:val="0"/>
              <w:autoSpaceDN w:val="0"/>
              <w:adjustRightInd w:val="0"/>
              <w:snapToGrid w:val="0"/>
              <w:spacing w:line="400" w:lineRule="exact"/>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对项目重点、难点和关键工程认识分析透彻，能充分发挥自身优势，积极采用“四新”技术，制定的施工方案与技术措施针对性和可操作性强，重点突出的，按《广东省公路工程施工标准化指南》及《公路工程施工安全防护设施技术指南》执行，得</w:t>
            </w:r>
            <w:r>
              <w:rPr>
                <w:rFonts w:hint="eastAsia" w:ascii="宋体" w:hAnsi="宋体" w:cs="宋体"/>
                <w:color w:val="000000" w:themeColor="text1"/>
                <w:sz w:val="24"/>
                <w:highlight w:val="none"/>
                <w:u w:val="single"/>
                <w14:textFill>
                  <w14:solidFill>
                    <w14:schemeClr w14:val="tx1"/>
                  </w14:solidFill>
                </w14:textFill>
              </w:rPr>
              <w:t xml:space="preserve"> 12.1~15 .0</w:t>
            </w:r>
            <w:r>
              <w:rPr>
                <w:rFonts w:ascii="宋体" w:hAnsi="宋体" w:cs="宋体"/>
                <w:color w:val="000000" w:themeColor="text1"/>
                <w:sz w:val="24"/>
                <w:highlight w:val="none"/>
                <w14:textFill>
                  <w14:solidFill>
                    <w14:schemeClr w14:val="tx1"/>
                  </w14:solidFill>
                </w14:textFill>
              </w:rPr>
              <w:t>分(满分分值的80%~ 100%)；</w:t>
            </w:r>
          </w:p>
          <w:p w14:paraId="6B8F0D2C">
            <w:pPr>
              <w:widowControl/>
              <w:autoSpaceDE w:val="0"/>
              <w:autoSpaceDN w:val="0"/>
              <w:adjustRightInd w:val="0"/>
              <w:snapToGrid w:val="0"/>
              <w:spacing w:line="400" w:lineRule="exact"/>
              <w:ind w:hanging="1"/>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(2)对项目重点、难点和关键工程认识基本到位，施工方案与技术措施基本可行，重点较为突出的，得</w:t>
            </w:r>
            <w:r>
              <w:rPr>
                <w:rFonts w:hint="eastAsia" w:ascii="宋体" w:hAnsi="宋体" w:cs="宋体"/>
                <w:color w:val="000000" w:themeColor="text1"/>
                <w:sz w:val="24"/>
                <w:highlight w:val="none"/>
                <w:u w:val="single"/>
                <w14:textFill>
                  <w14:solidFill>
                    <w14:schemeClr w14:val="tx1"/>
                  </w14:solidFill>
                </w14:textFill>
              </w:rPr>
              <w:t xml:space="preserve"> 9.1~12.0 </w:t>
            </w:r>
            <w:r>
              <w:rPr>
                <w:rFonts w:ascii="宋体" w:hAnsi="宋体" w:cs="宋体"/>
                <w:color w:val="000000" w:themeColor="text1"/>
                <w:sz w:val="24"/>
                <w:highlight w:val="none"/>
                <w14:textFill>
                  <w14:solidFill>
                    <w14:schemeClr w14:val="tx1"/>
                  </w14:solidFill>
                </w14:textFill>
              </w:rPr>
              <w:t>分(满分分值的60%~80%)；</w:t>
            </w:r>
          </w:p>
          <w:p w14:paraId="23074867">
            <w:pPr>
              <w:widowControl/>
              <w:autoSpaceDE w:val="0"/>
              <w:autoSpaceDN w:val="0"/>
              <w:adjustRightInd w:val="0"/>
              <w:snapToGrid w:val="0"/>
              <w:spacing w:line="400" w:lineRule="exact"/>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(3)一般但不被评定为不响应的，得</w:t>
            </w:r>
            <w:r>
              <w:rPr>
                <w:rFonts w:hint="eastAsia" w:ascii="宋体" w:hAnsi="宋体" w:cs="宋体"/>
                <w:color w:val="000000" w:themeColor="text1"/>
                <w:sz w:val="24"/>
                <w:highlight w:val="none"/>
                <w:u w:val="single"/>
                <w14:textFill>
                  <w14:solidFill>
                    <w14:schemeClr w14:val="tx1"/>
                  </w14:solidFill>
                </w14:textFill>
              </w:rPr>
              <w:t xml:space="preserve"> 9 </w:t>
            </w:r>
            <w:r>
              <w:rPr>
                <w:rFonts w:ascii="宋体" w:hAnsi="宋体" w:cs="宋体"/>
                <w:color w:val="000000" w:themeColor="text1"/>
                <w:sz w:val="24"/>
                <w:highlight w:val="none"/>
                <w14:textFill>
                  <w14:solidFill>
                    <w14:schemeClr w14:val="tx1"/>
                  </w14:solidFill>
                </w14:textFill>
              </w:rPr>
              <w:t>分(满分分值的60%) 。</w:t>
            </w:r>
          </w:p>
        </w:tc>
      </w:tr>
      <w:tr w14:paraId="74DE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1236" w:type="dxa"/>
            <w:gridSpan w:val="3"/>
            <w:vMerge w:val="continue"/>
            <w:noWrap w:val="0"/>
            <w:vAlign w:val="center"/>
          </w:tcPr>
          <w:p w14:paraId="76B3518B">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vMerge w:val="continue"/>
            <w:noWrap w:val="0"/>
            <w:vAlign w:val="center"/>
          </w:tcPr>
          <w:p w14:paraId="69320A78">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800" w:type="dxa"/>
            <w:vMerge w:val="continue"/>
            <w:noWrap w:val="0"/>
            <w:vAlign w:val="center"/>
          </w:tcPr>
          <w:p w14:paraId="5B30E109">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175" w:type="dxa"/>
            <w:noWrap w:val="0"/>
            <w:vAlign w:val="center"/>
          </w:tcPr>
          <w:p w14:paraId="67326D10">
            <w:pPr>
              <w:widowControl/>
              <w:autoSpaceDE w:val="0"/>
              <w:autoSpaceDN w:val="0"/>
              <w:adjustRightInd w:val="0"/>
              <w:snapToGrid w:val="0"/>
              <w:spacing w:line="360" w:lineRule="auto"/>
              <w:ind w:firstLine="3"/>
              <w:jc w:val="center"/>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工期、质 量、安 全、环保 水保、文 明施工 保证措 施</w:t>
            </w:r>
          </w:p>
        </w:tc>
        <w:tc>
          <w:tcPr>
            <w:tcW w:w="837" w:type="dxa"/>
            <w:noWrap w:val="0"/>
            <w:vAlign w:val="center"/>
          </w:tcPr>
          <w:p w14:paraId="4EB5A59D">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10</w:t>
            </w:r>
            <w:r>
              <w:rPr>
                <w:rFonts w:ascii="宋体" w:hAnsi="宋体" w:cs="宋体"/>
                <w:color w:val="000000" w:themeColor="text1"/>
                <w:sz w:val="24"/>
                <w:highlight w:val="none"/>
                <w14:textFill>
                  <w14:solidFill>
                    <w14:schemeClr w14:val="tx1"/>
                  </w14:solidFill>
                </w14:textFill>
              </w:rPr>
              <w:t>分</w:t>
            </w:r>
          </w:p>
        </w:tc>
        <w:tc>
          <w:tcPr>
            <w:tcW w:w="4994" w:type="dxa"/>
            <w:noWrap w:val="0"/>
            <w:vAlign w:val="center"/>
          </w:tcPr>
          <w:p w14:paraId="1E064F79">
            <w:pPr>
              <w:widowControl/>
              <w:autoSpaceDE w:val="0"/>
              <w:autoSpaceDN w:val="0"/>
              <w:adjustRightInd w:val="0"/>
              <w:snapToGrid w:val="0"/>
              <w:spacing w:line="400" w:lineRule="exact"/>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能够准确预判分析工期、质量、安全、环保、水保、文明施工目标实现的主要影响因素，拟采取预防保证措施针对性强、科学有效，重点突出的，按《广东省公路工程施工标准化指南》及《公路工程施工安全防护设施技术指南》执行，得</w:t>
            </w:r>
            <w:r>
              <w:rPr>
                <w:rFonts w:hint="eastAsia" w:ascii="宋体" w:hAnsi="宋体" w:cs="宋体"/>
                <w:color w:val="000000" w:themeColor="text1"/>
                <w:sz w:val="24"/>
                <w:highlight w:val="none"/>
                <w:u w:val="single"/>
                <w14:textFill>
                  <w14:solidFill>
                    <w14:schemeClr w14:val="tx1"/>
                  </w14:solidFill>
                </w14:textFill>
              </w:rPr>
              <w:t xml:space="preserve"> 8.1~10.0 </w:t>
            </w:r>
            <w:r>
              <w:rPr>
                <w:rFonts w:ascii="宋体" w:hAnsi="宋体" w:cs="宋体"/>
                <w:color w:val="000000" w:themeColor="text1"/>
                <w:sz w:val="24"/>
                <w:highlight w:val="none"/>
                <w14:textFill>
                  <w14:solidFill>
                    <w14:schemeClr w14:val="tx1"/>
                  </w14:solidFill>
                </w14:textFill>
              </w:rPr>
              <w:t>分(满分分值的80%~100%) ；</w:t>
            </w:r>
          </w:p>
          <w:p w14:paraId="6CC0591D">
            <w:pPr>
              <w:widowControl/>
              <w:autoSpaceDE w:val="0"/>
              <w:autoSpaceDN w:val="0"/>
              <w:adjustRightInd w:val="0"/>
              <w:snapToGrid w:val="0"/>
              <w:spacing w:line="400" w:lineRule="exact"/>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(2)对工期、质量、安全、环保、水保等风险有一定认识，预防保证措施基本可行，重点较为突出的，得</w:t>
            </w:r>
            <w:r>
              <w:rPr>
                <w:rFonts w:hint="eastAsia" w:ascii="宋体" w:hAnsi="宋体" w:cs="宋体"/>
                <w:color w:val="000000" w:themeColor="text1"/>
                <w:sz w:val="24"/>
                <w:highlight w:val="none"/>
                <w:u w:val="single"/>
                <w14:textFill>
                  <w14:solidFill>
                    <w14:schemeClr w14:val="tx1"/>
                  </w14:solidFill>
                </w14:textFill>
              </w:rPr>
              <w:t xml:space="preserve"> 6.1~8.0 </w:t>
            </w:r>
            <w:r>
              <w:rPr>
                <w:rFonts w:ascii="宋体" w:hAnsi="宋体" w:cs="宋体"/>
                <w:color w:val="000000" w:themeColor="text1"/>
                <w:sz w:val="24"/>
                <w:highlight w:val="none"/>
                <w14:textFill>
                  <w14:solidFill>
                    <w14:schemeClr w14:val="tx1"/>
                  </w14:solidFill>
                </w14:textFill>
              </w:rPr>
              <w:t>分(满分分值的60%~80%) ；</w:t>
            </w:r>
          </w:p>
          <w:p w14:paraId="103E47E3">
            <w:pPr>
              <w:widowControl/>
              <w:autoSpaceDE w:val="0"/>
              <w:autoSpaceDN w:val="0"/>
              <w:adjustRightInd w:val="0"/>
              <w:snapToGrid w:val="0"/>
              <w:spacing w:line="400" w:lineRule="exact"/>
              <w:textAlignment w:val="baseline"/>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(3)一般但不被评定为不响应的, 得</w:t>
            </w:r>
            <w:r>
              <w:rPr>
                <w:rFonts w:hint="eastAsia" w:ascii="宋体" w:hAnsi="宋体" w:cs="宋体"/>
                <w:color w:val="000000" w:themeColor="text1"/>
                <w:sz w:val="24"/>
                <w:highlight w:val="none"/>
                <w:u w:val="single"/>
                <w14:textFill>
                  <w14:solidFill>
                    <w14:schemeClr w14:val="tx1"/>
                  </w14:solidFill>
                </w14:textFill>
              </w:rPr>
              <w:t xml:space="preserve"> 6 </w:t>
            </w:r>
            <w:r>
              <w:rPr>
                <w:rFonts w:ascii="宋体" w:hAnsi="宋体" w:cs="宋体"/>
                <w:color w:val="000000" w:themeColor="text1"/>
                <w:sz w:val="24"/>
                <w:highlight w:val="none"/>
                <w14:textFill>
                  <w14:solidFill>
                    <w14:schemeClr w14:val="tx1"/>
                  </w14:solidFill>
                </w14:textFill>
              </w:rPr>
              <w:t>分(满分分值的60%)。</w:t>
            </w:r>
          </w:p>
        </w:tc>
      </w:tr>
      <w:tr w14:paraId="361F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1" w:hRule="atLeast"/>
          <w:jc w:val="center"/>
        </w:trPr>
        <w:tc>
          <w:tcPr>
            <w:tcW w:w="1236" w:type="dxa"/>
            <w:gridSpan w:val="3"/>
            <w:vMerge w:val="restart"/>
            <w:noWrap w:val="0"/>
            <w:vAlign w:val="center"/>
          </w:tcPr>
          <w:p w14:paraId="2582EBA0">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w:t>
            </w:r>
          </w:p>
          <w:p w14:paraId="51301338">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p w14:paraId="7036B363">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vMerge w:val="restart"/>
            <w:noWrap w:val="0"/>
            <w:vAlign w:val="center"/>
          </w:tcPr>
          <w:p w14:paraId="61A2BCAB">
            <w:pPr>
              <w:widowControl/>
              <w:spacing w:line="40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主要人员</w:t>
            </w:r>
          </w:p>
        </w:tc>
        <w:tc>
          <w:tcPr>
            <w:tcW w:w="800" w:type="dxa"/>
            <w:vMerge w:val="restart"/>
            <w:noWrap w:val="0"/>
            <w:vAlign w:val="center"/>
          </w:tcPr>
          <w:p w14:paraId="1FE01C5D">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分</w:t>
            </w:r>
          </w:p>
        </w:tc>
        <w:tc>
          <w:tcPr>
            <w:tcW w:w="1175" w:type="dxa"/>
            <w:noWrap w:val="0"/>
            <w:vAlign w:val="center"/>
          </w:tcPr>
          <w:p w14:paraId="3B23D7EE">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项目经</w:t>
            </w:r>
          </w:p>
          <w:p w14:paraId="11F7EA14">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理任职</w:t>
            </w:r>
          </w:p>
          <w:p w14:paraId="266F403E">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资格与</w:t>
            </w:r>
          </w:p>
          <w:p w14:paraId="0AC825CA">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业绩</w:t>
            </w:r>
          </w:p>
        </w:tc>
        <w:tc>
          <w:tcPr>
            <w:tcW w:w="837" w:type="dxa"/>
            <w:noWrap w:val="0"/>
            <w:vAlign w:val="center"/>
          </w:tcPr>
          <w:p w14:paraId="4FE29778">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15</w:t>
            </w:r>
            <w:r>
              <w:rPr>
                <w:rFonts w:ascii="宋体" w:hAnsi="宋体" w:cs="宋体"/>
                <w:color w:val="000000" w:themeColor="text1"/>
                <w:sz w:val="24"/>
                <w:highlight w:val="none"/>
                <w14:textFill>
                  <w14:solidFill>
                    <w14:schemeClr w14:val="tx1"/>
                  </w14:solidFill>
                </w14:textFill>
              </w:rPr>
              <w:t>分</w:t>
            </w:r>
          </w:p>
        </w:tc>
        <w:tc>
          <w:tcPr>
            <w:tcW w:w="4994" w:type="dxa"/>
            <w:noWrap w:val="0"/>
            <w:vAlign w:val="center"/>
          </w:tcPr>
          <w:p w14:paraId="1FA05D3C">
            <w:pPr>
              <w:widowControl/>
              <w:autoSpaceDE w:val="0"/>
              <w:autoSpaceDN w:val="0"/>
              <w:adjustRightInd w:val="0"/>
              <w:snapToGrid w:val="0"/>
              <w:spacing w:line="400" w:lineRule="exact"/>
              <w:textAlignment w:val="baseline"/>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(1)满足资格审查条件(项目经理和项目总工最低要求)时，得</w:t>
            </w:r>
            <w:r>
              <w:rPr>
                <w:rFonts w:hint="eastAsia" w:ascii="宋体" w:hAnsi="宋体" w:cs="宋体"/>
                <w:color w:val="000000" w:themeColor="text1"/>
                <w:sz w:val="24"/>
                <w:highlight w:val="none"/>
                <w:u w:val="single"/>
                <w:lang w:val="en-US" w:eastAsia="zh-CN"/>
                <w14:textFill>
                  <w14:solidFill>
                    <w14:schemeClr w14:val="tx1"/>
                  </w14:solidFill>
                </w14:textFill>
              </w:rPr>
              <w:t xml:space="preserve"> 5 </w:t>
            </w:r>
            <w:r>
              <w:rPr>
                <w:rFonts w:ascii="宋体" w:hAnsi="宋体" w:eastAsia="宋体" w:cs="宋体"/>
                <w:color w:val="000000" w:themeColor="text1"/>
                <w:sz w:val="24"/>
                <w:highlight w:val="none"/>
                <w14:textFill>
                  <w14:solidFill>
                    <w14:schemeClr w14:val="tx1"/>
                  </w14:solidFill>
                </w14:textFill>
              </w:rPr>
              <w:t>分；</w:t>
            </w:r>
          </w:p>
          <w:p w14:paraId="3ADAC75C">
            <w:pPr>
              <w:widowControl/>
              <w:autoSpaceDE w:val="0"/>
              <w:autoSpaceDN w:val="0"/>
              <w:adjustRightInd w:val="0"/>
              <w:snapToGrid w:val="0"/>
              <w:spacing w:line="400" w:lineRule="exact"/>
              <w:ind w:left="0" w:leftChars="0" w:firstLine="0" w:firstLineChars="0"/>
              <w:textAlignment w:val="baseline"/>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(2)项目经理具有高级工程师资格的，加</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5 </w:t>
            </w:r>
            <w:r>
              <w:rPr>
                <w:rFonts w:ascii="宋体" w:hAnsi="宋体" w:eastAsia="宋体" w:cs="宋体"/>
                <w:color w:val="000000" w:themeColor="text1"/>
                <w:sz w:val="24"/>
                <w:highlight w:val="none"/>
                <w14:textFill>
                  <w14:solidFill>
                    <w14:schemeClr w14:val="tx1"/>
                  </w14:solidFill>
                </w14:textFill>
              </w:rPr>
              <w:t>分；</w:t>
            </w:r>
          </w:p>
          <w:p w14:paraId="5F74CE1C">
            <w:pPr>
              <w:widowControl/>
              <w:autoSpaceDE w:val="0"/>
              <w:autoSpaceDN w:val="0"/>
              <w:adjustRightInd w:val="0"/>
              <w:snapToGrid w:val="0"/>
              <w:spacing w:line="400" w:lineRule="exact"/>
              <w:textAlignment w:val="baseline"/>
              <w:rPr>
                <w:rFonts w:ascii="宋体" w:hAnsi="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(3)每担任1个类似工程项目经理岗位工作经验的，加</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分，最多加</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w:t>
            </w:r>
          </w:p>
        </w:tc>
      </w:tr>
      <w:tr w14:paraId="39F0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1" w:hRule="atLeast"/>
          <w:jc w:val="center"/>
        </w:trPr>
        <w:tc>
          <w:tcPr>
            <w:tcW w:w="1236" w:type="dxa"/>
            <w:gridSpan w:val="3"/>
            <w:vMerge w:val="continue"/>
            <w:noWrap w:val="0"/>
            <w:vAlign w:val="center"/>
          </w:tcPr>
          <w:p w14:paraId="66AFB62D">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vMerge w:val="continue"/>
            <w:noWrap w:val="0"/>
            <w:vAlign w:val="center"/>
          </w:tcPr>
          <w:p w14:paraId="47A3484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800" w:type="dxa"/>
            <w:vMerge w:val="continue"/>
            <w:noWrap w:val="0"/>
            <w:vAlign w:val="center"/>
          </w:tcPr>
          <w:p w14:paraId="26896C3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1175" w:type="dxa"/>
            <w:noWrap w:val="0"/>
            <w:vAlign w:val="center"/>
          </w:tcPr>
          <w:p w14:paraId="307370B0">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项目总工任职资格</w:t>
            </w:r>
            <w:r>
              <w:rPr>
                <w:rFonts w:hint="eastAsia" w:ascii="宋体" w:hAnsi="宋体" w:cs="宋体"/>
                <w:color w:val="000000" w:themeColor="text1"/>
                <w:kern w:val="0"/>
                <w:sz w:val="24"/>
                <w:highlight w:val="none"/>
                <w14:textFill>
                  <w14:solidFill>
                    <w14:schemeClr w14:val="tx1"/>
                  </w14:solidFill>
                </w14:textFill>
              </w:rPr>
              <w:t>与</w:t>
            </w:r>
          </w:p>
          <w:p w14:paraId="4A04BB1C">
            <w:pPr>
              <w:widowControl/>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业绩</w:t>
            </w:r>
          </w:p>
        </w:tc>
        <w:tc>
          <w:tcPr>
            <w:tcW w:w="837" w:type="dxa"/>
            <w:noWrap w:val="0"/>
            <w:vAlign w:val="center"/>
          </w:tcPr>
          <w:p w14:paraId="2F88E938">
            <w:pPr>
              <w:widowControl/>
              <w:tabs>
                <w:tab w:val="left" w:pos="223"/>
              </w:tabs>
              <w:autoSpaceDE w:val="0"/>
              <w:autoSpaceDN w:val="0"/>
              <w:adjustRightInd w:val="0"/>
              <w:snapToGrid w:val="0"/>
              <w:spacing w:line="360" w:lineRule="auto"/>
              <w:jc w:val="center"/>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10</w:t>
            </w:r>
            <w:r>
              <w:rPr>
                <w:rFonts w:ascii="宋体" w:hAnsi="宋体" w:cs="宋体"/>
                <w:color w:val="000000" w:themeColor="text1"/>
                <w:sz w:val="24"/>
                <w:highlight w:val="none"/>
                <w14:textFill>
                  <w14:solidFill>
                    <w14:schemeClr w14:val="tx1"/>
                  </w14:solidFill>
                </w14:textFill>
              </w:rPr>
              <w:t>分</w:t>
            </w:r>
          </w:p>
        </w:tc>
        <w:tc>
          <w:tcPr>
            <w:tcW w:w="4994" w:type="dxa"/>
            <w:noWrap w:val="0"/>
            <w:vAlign w:val="center"/>
          </w:tcPr>
          <w:p w14:paraId="56CFAAEA">
            <w:pPr>
              <w:widowControl/>
              <w:autoSpaceDE w:val="0"/>
              <w:autoSpaceDN w:val="0"/>
              <w:adjustRightInd w:val="0"/>
              <w:snapToGrid w:val="0"/>
              <w:spacing w:line="400" w:lineRule="exact"/>
              <w:textAlignment w:val="baseline"/>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(1)满足资格审查条件(项目经理和项目总工最低要求)时，得</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w:t>
            </w:r>
          </w:p>
          <w:p w14:paraId="4E79206D">
            <w:pPr>
              <w:widowControl/>
              <w:autoSpaceDE w:val="0"/>
              <w:autoSpaceDN w:val="0"/>
              <w:adjustRightInd w:val="0"/>
              <w:snapToGrid w:val="0"/>
              <w:spacing w:line="400" w:lineRule="exact"/>
              <w:textAlignment w:val="baseline"/>
              <w:rPr>
                <w:rFonts w:ascii="宋体" w:hAnsi="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(2)每担任1个类似工程项目总工岗位工作经验的，加</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分，最多加</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w:t>
            </w:r>
          </w:p>
        </w:tc>
      </w:tr>
      <w:tr w14:paraId="14A4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140" w:hRule="atLeast"/>
          <w:jc w:val="center"/>
        </w:trPr>
        <w:tc>
          <w:tcPr>
            <w:tcW w:w="1236" w:type="dxa"/>
            <w:gridSpan w:val="3"/>
            <w:noWrap w:val="0"/>
            <w:vAlign w:val="center"/>
          </w:tcPr>
          <w:p w14:paraId="5FEC7371">
            <w:pPr>
              <w:spacing w:line="400" w:lineRule="exact"/>
              <w:ind w:left="92" w:leftChars="36" w:right="113" w:hanging="16" w:hangingChars="7"/>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w:t>
            </w:r>
          </w:p>
          <w:p w14:paraId="28D160BB">
            <w:pPr>
              <w:spacing w:line="400" w:lineRule="exact"/>
              <w:ind w:left="92" w:leftChars="36" w:right="113" w:hanging="16" w:hangingChars="7"/>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89" w:type="dxa"/>
            <w:gridSpan w:val="3"/>
            <w:noWrap w:val="0"/>
            <w:vAlign w:val="center"/>
          </w:tcPr>
          <w:p w14:paraId="457AA679">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其他因素</w:t>
            </w:r>
          </w:p>
        </w:tc>
        <w:tc>
          <w:tcPr>
            <w:tcW w:w="800" w:type="dxa"/>
            <w:noWrap w:val="0"/>
            <w:vAlign w:val="center"/>
          </w:tcPr>
          <w:p w14:paraId="71923080">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w:t>
            </w:r>
          </w:p>
          <w:p w14:paraId="7FCC9450">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术</w:t>
            </w:r>
          </w:p>
          <w:p w14:paraId="538D352C">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能</w:t>
            </w:r>
          </w:p>
          <w:p w14:paraId="58995A8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力</w:t>
            </w:r>
          </w:p>
        </w:tc>
        <w:tc>
          <w:tcPr>
            <w:tcW w:w="1175" w:type="dxa"/>
            <w:noWrap w:val="0"/>
            <w:vAlign w:val="center"/>
          </w:tcPr>
          <w:p w14:paraId="5386F826">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20分</w:t>
            </w:r>
          </w:p>
        </w:tc>
        <w:tc>
          <w:tcPr>
            <w:tcW w:w="5831" w:type="dxa"/>
            <w:gridSpan w:val="2"/>
            <w:noWrap w:val="0"/>
            <w:vAlign w:val="center"/>
          </w:tcPr>
          <w:p w14:paraId="7A7F12E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(1)投标人获得与项目施工有关的国家级工法、专利（发明专利或实用新型专利）、国家级科学技术进步奖、鲁班奖、詹天佑奖，主编或参编过国家标准，每项加</w:t>
            </w:r>
            <w:r>
              <w:rPr>
                <w:rFonts w:hint="eastAsia" w:ascii="宋体" w:hAnsi="宋体" w:cs="宋体"/>
                <w:snapToGrid w:val="0"/>
                <w:color w:val="000000" w:themeColor="text1"/>
                <w:kern w:val="0"/>
                <w:sz w:val="24"/>
                <w:highlight w:val="none"/>
                <w:u w:val="single"/>
                <w:lang w:val="en-US" w:eastAsia="zh-CN" w:bidi="ar"/>
                <w14:textFill>
                  <w14:solidFill>
                    <w14:schemeClr w14:val="tx1"/>
                  </w14:solidFill>
                </w14:textFill>
              </w:rPr>
              <w:t>5</w:t>
            </w:r>
            <w:r>
              <w:rPr>
                <w:rFonts w:hint="eastAsia" w:ascii="宋体" w:hAnsi="宋体" w:cs="宋体"/>
                <w:snapToGrid w:val="0"/>
                <w:color w:val="000000" w:themeColor="text1"/>
                <w:kern w:val="0"/>
                <w:sz w:val="24"/>
                <w:highlight w:val="none"/>
                <w:lang w:bidi="ar"/>
                <w14:textFill>
                  <w14:solidFill>
                    <w14:schemeClr w14:val="tx1"/>
                  </w14:solidFill>
                </w14:textFill>
              </w:rPr>
              <w:t xml:space="preserve">分； </w:t>
            </w:r>
          </w:p>
          <w:p w14:paraId="06A09E4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(2)投标人获得省级科学技术进步奖，主编或参编过的行业或地方（指省级）标准，每项加</w:t>
            </w:r>
            <w:r>
              <w:rPr>
                <w:rFonts w:hint="eastAsia" w:ascii="宋体" w:hAnsi="宋体" w:cs="宋体"/>
                <w:snapToGrid w:val="0"/>
                <w:color w:val="000000" w:themeColor="text1"/>
                <w:kern w:val="0"/>
                <w:sz w:val="24"/>
                <w:highlight w:val="none"/>
                <w:u w:val="single"/>
                <w:lang w:val="en-US" w:eastAsia="zh-CN" w:bidi="ar"/>
                <w14:textFill>
                  <w14:solidFill>
                    <w14:schemeClr w14:val="tx1"/>
                  </w14:solidFill>
                </w14:textFill>
              </w:rPr>
              <w:t>0.5</w:t>
            </w:r>
            <w:r>
              <w:rPr>
                <w:rFonts w:hint="eastAsia" w:ascii="宋体" w:hAnsi="宋体" w:cs="宋体"/>
                <w:snapToGrid w:val="0"/>
                <w:color w:val="000000" w:themeColor="text1"/>
                <w:kern w:val="0"/>
                <w:sz w:val="24"/>
                <w:highlight w:val="none"/>
                <w:lang w:bidi="ar"/>
                <w14:textFill>
                  <w14:solidFill>
                    <w14:schemeClr w14:val="tx1"/>
                  </w14:solidFill>
                </w14:textFill>
              </w:rPr>
              <w:t xml:space="preserve">分； </w:t>
            </w:r>
          </w:p>
          <w:p w14:paraId="4328F404">
            <w:pPr>
              <w:widowControl/>
              <w:spacing w:line="36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注：技术能力加分最高</w:t>
            </w:r>
            <w:r>
              <w:rPr>
                <w:rFonts w:hint="eastAsia" w:ascii="宋体" w:hAnsi="宋体" w:cs="宋体"/>
                <w:snapToGrid w:val="0"/>
                <w:color w:val="000000" w:themeColor="text1"/>
                <w:kern w:val="0"/>
                <w:sz w:val="24"/>
                <w:highlight w:val="none"/>
                <w:u w:val="single"/>
                <w:lang w:bidi="ar"/>
                <w14:textFill>
                  <w14:solidFill>
                    <w14:schemeClr w14:val="tx1"/>
                  </w14:solidFill>
                </w14:textFill>
              </w:rPr>
              <w:t xml:space="preserve"> 20 </w:t>
            </w:r>
            <w:r>
              <w:rPr>
                <w:rFonts w:hint="eastAsia" w:ascii="宋体" w:hAnsi="宋体" w:cs="宋体"/>
                <w:snapToGrid w:val="0"/>
                <w:color w:val="000000" w:themeColor="text1"/>
                <w:kern w:val="0"/>
                <w:sz w:val="24"/>
                <w:highlight w:val="none"/>
                <w:lang w:bidi="ar"/>
                <w14:textFill>
                  <w14:solidFill>
                    <w14:schemeClr w14:val="tx1"/>
                  </w14:solidFill>
                </w14:textFill>
              </w:rPr>
              <w:t>分，同一事项按较高分只计一次。</w:t>
            </w:r>
          </w:p>
        </w:tc>
      </w:tr>
      <w:tr w14:paraId="073B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202" w:hRule="atLeast"/>
          <w:jc w:val="center"/>
        </w:trPr>
        <w:tc>
          <w:tcPr>
            <w:tcW w:w="1236" w:type="dxa"/>
            <w:gridSpan w:val="3"/>
            <w:noWrap w:val="0"/>
            <w:vAlign w:val="center"/>
          </w:tcPr>
          <w:p w14:paraId="345F0738">
            <w:pPr>
              <w:spacing w:line="400" w:lineRule="exact"/>
              <w:ind w:left="92" w:leftChars="36" w:right="113" w:hanging="16" w:hangingChars="7"/>
              <w:jc w:val="center"/>
              <w:rPr>
                <w:rFonts w:hint="eastAsia" w:ascii="宋体" w:hAnsi="宋体" w:cs="宋体"/>
                <w:color w:val="000000" w:themeColor="text1"/>
                <w:sz w:val="24"/>
                <w:highlight w:val="none"/>
                <w14:textFill>
                  <w14:solidFill>
                    <w14:schemeClr w14:val="tx1"/>
                  </w14:solidFill>
                </w14:textFill>
              </w:rPr>
            </w:pPr>
          </w:p>
        </w:tc>
        <w:tc>
          <w:tcPr>
            <w:tcW w:w="1089" w:type="dxa"/>
            <w:gridSpan w:val="3"/>
            <w:noWrap w:val="0"/>
            <w:vAlign w:val="center"/>
          </w:tcPr>
          <w:p w14:paraId="296119DF">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800" w:type="dxa"/>
            <w:noWrap w:val="0"/>
            <w:vAlign w:val="center"/>
          </w:tcPr>
          <w:p w14:paraId="54E3CAB6">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w:t>
            </w:r>
          </w:p>
          <w:p w14:paraId="25136789">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约</w:t>
            </w:r>
          </w:p>
          <w:p w14:paraId="7FF079E3">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信</w:t>
            </w:r>
          </w:p>
          <w:p w14:paraId="68130A03">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誉</w:t>
            </w:r>
          </w:p>
        </w:tc>
        <w:tc>
          <w:tcPr>
            <w:tcW w:w="1175" w:type="dxa"/>
            <w:noWrap w:val="0"/>
            <w:vAlign w:val="center"/>
          </w:tcPr>
          <w:p w14:paraId="6CE3EEA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15分</w:t>
            </w:r>
          </w:p>
        </w:tc>
        <w:tc>
          <w:tcPr>
            <w:tcW w:w="5831" w:type="dxa"/>
            <w:gridSpan w:val="2"/>
            <w:noWrap w:val="0"/>
            <w:vAlign w:val="center"/>
          </w:tcPr>
          <w:p w14:paraId="4B362966">
            <w:pPr>
              <w:widowControl/>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1.信用等级分值(</w:t>
            </w:r>
            <w:r>
              <w:rPr>
                <w:rFonts w:ascii="宋体" w:hAnsi="宋体" w:cs="宋体"/>
                <w:color w:val="000000" w:themeColor="text1"/>
                <w:sz w:val="24"/>
                <w:highlight w:val="none"/>
                <w:u w:val="single"/>
                <w14:textFill>
                  <w14:solidFill>
                    <w14:schemeClr w14:val="tx1"/>
                  </w14:solidFill>
                </w14:textFill>
              </w:rPr>
              <w:t>10</w:t>
            </w:r>
            <w:r>
              <w:rPr>
                <w:rFonts w:ascii="宋体" w:hAnsi="宋体" w:cs="宋体"/>
                <w:color w:val="000000" w:themeColor="text1"/>
                <w:sz w:val="24"/>
                <w:highlight w:val="none"/>
                <w14:textFill>
                  <w14:solidFill>
                    <w14:schemeClr w14:val="tx1"/>
                  </w14:solidFill>
                </w14:textFill>
              </w:rPr>
              <w:t>分)</w:t>
            </w:r>
          </w:p>
          <w:p w14:paraId="3DC39344">
            <w:pPr>
              <w:widowControl/>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AA、A、B、C 级单位的信用等级分得分分别为 </w:t>
            </w:r>
            <w:r>
              <w:rPr>
                <w:rFonts w:ascii="宋体" w:hAnsi="宋体" w:cs="宋体"/>
                <w:color w:val="000000" w:themeColor="text1"/>
                <w:sz w:val="24"/>
                <w:highlight w:val="none"/>
                <w:u w:val="single"/>
                <w14:textFill>
                  <w14:solidFill>
                    <w14:schemeClr w14:val="tx1"/>
                  </w14:solidFill>
                </w14:textFill>
              </w:rPr>
              <w:t>10、9.5、8.9、7.3</w:t>
            </w:r>
            <w:r>
              <w:rPr>
                <w:rFonts w:ascii="宋体" w:hAnsi="宋体" w:cs="宋体"/>
                <w:color w:val="000000" w:themeColor="text1"/>
                <w:sz w:val="24"/>
                <w:highlight w:val="none"/>
                <w14:textFill>
                  <w14:solidFill>
                    <w14:schemeClr w14:val="tx1"/>
                  </w14:solidFill>
                </w14:textFill>
              </w:rPr>
              <w:t xml:space="preserve"> 分。</w:t>
            </w:r>
          </w:p>
          <w:p w14:paraId="7F646A8D">
            <w:pPr>
              <w:widowControl/>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注：信用等级的确定原则遵循投标人须知前附表 10.2 款的规定。</w:t>
            </w:r>
          </w:p>
          <w:p w14:paraId="17E87A79">
            <w:pPr>
              <w:widowControl/>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2.履约情况(</w:t>
            </w:r>
            <w:r>
              <w:rPr>
                <w:rFonts w:hint="eastAsia" w:ascii="宋体" w:hAnsi="宋体" w:cs="宋体"/>
                <w:color w:val="000000" w:themeColor="text1"/>
                <w:sz w:val="24"/>
                <w:highlight w:val="none"/>
                <w:u w:val="singl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分)</w:t>
            </w:r>
          </w:p>
          <w:p w14:paraId="471F142A">
            <w:pPr>
              <w:widowControl/>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若没出现下述情形得满分；</w:t>
            </w:r>
          </w:p>
          <w:p w14:paraId="41F8EB68">
            <w:pPr>
              <w:widowControl/>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投标文件递交截止日前 1 年内，投标人因公路工程(含附属设施)质量、安全、履约或招标投标问题等原因被：</w:t>
            </w:r>
          </w:p>
          <w:p w14:paraId="10E01160">
            <w:pPr>
              <w:widowControl/>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(1)交通运输部行政处罚的，扣 5 分/次。</w:t>
            </w:r>
          </w:p>
          <w:p w14:paraId="6EFAFDC4">
            <w:pPr>
              <w:widowControl/>
              <w:tabs>
                <w:tab w:val="left" w:pos="247"/>
              </w:tabs>
              <w:autoSpaceDE w:val="0"/>
              <w:autoSpaceDN w:val="0"/>
              <w:adjustRightInd w:val="0"/>
              <w:snapToGrid w:val="0"/>
              <w:spacing w:line="360" w:lineRule="auto"/>
              <w:ind w:firstLine="19"/>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(2)广东省交通运输厅行政处罚的，扣 3 分/次。</w:t>
            </w:r>
          </w:p>
          <w:p w14:paraId="3E0664D5">
            <w:pPr>
              <w:widowControl/>
              <w:tabs>
                <w:tab w:val="left" w:pos="247"/>
              </w:tabs>
              <w:autoSpaceDE w:val="0"/>
              <w:autoSpaceDN w:val="0"/>
              <w:adjustRightInd w:val="0"/>
              <w:snapToGrid w:val="0"/>
              <w:spacing w:line="360" w:lineRule="auto"/>
              <w:ind w:firstLine="19"/>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(3)招标项目所在地地级以上市交通运输局行政处罚的，扣 1.5 分/次。</w:t>
            </w:r>
          </w:p>
          <w:p w14:paraId="13D10042">
            <w:pPr>
              <w:widowControl/>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 广东省交通运输厅正式约谈的，扣 0.1 分/次。</w:t>
            </w:r>
          </w:p>
          <w:p w14:paraId="4CD516E7">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同一事项同时被多个部门行政处罚或正式约谈只按最高的扣分计算 1</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次 。如果扣完本项分值，可以从总分中扣。</w:t>
            </w:r>
          </w:p>
        </w:tc>
      </w:tr>
      <w:tr w14:paraId="33C9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10131" w:type="dxa"/>
            <w:gridSpan w:val="10"/>
            <w:noWrap w:val="0"/>
            <w:vAlign w:val="top"/>
          </w:tcPr>
          <w:p w14:paraId="2B802C36">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需要补充的其他内容：</w:t>
            </w:r>
          </w:p>
        </w:tc>
      </w:tr>
      <w:tr w14:paraId="5234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top"/>
          </w:tcPr>
          <w:p w14:paraId="0C76FF33">
            <w:pPr>
              <w:widowControl/>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条款号</w:t>
            </w:r>
          </w:p>
        </w:tc>
        <w:tc>
          <w:tcPr>
            <w:tcW w:w="8020" w:type="dxa"/>
            <w:gridSpan w:val="6"/>
            <w:noWrap w:val="0"/>
            <w:vAlign w:val="top"/>
          </w:tcPr>
          <w:p w14:paraId="29C615CE">
            <w:pPr>
              <w:widowControl/>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补充或修改的内容</w:t>
            </w:r>
          </w:p>
        </w:tc>
      </w:tr>
      <w:tr w14:paraId="7FF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78823018">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20" w:type="dxa"/>
            <w:gridSpan w:val="6"/>
            <w:noWrap w:val="0"/>
            <w:vAlign w:val="top"/>
          </w:tcPr>
          <w:p w14:paraId="155127A1">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将评标办法原文第1条“评标方法”改为“评标方法、组织及工作程序”，原文内容修改如下：</w:t>
            </w:r>
          </w:p>
          <w:p w14:paraId="168B965B">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1.评标方法、组织及工作程序</w:t>
            </w:r>
          </w:p>
          <w:p w14:paraId="6014E71A">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评标方法</w:t>
            </w:r>
          </w:p>
          <w:p w14:paraId="2147CF22">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款规定对通过初步评审的投标人的施工组织设计、主要人员、其他因素等进行评分，按照得分由高到低排序，对排名在招标文件规定数量前 5 名（不少于 3 名但不足 5 名时，按全部实际数量）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14:paraId="1467D76D">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评标组织</w:t>
            </w:r>
          </w:p>
          <w:p w14:paraId="4EB589B0">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协助工作组</w:t>
            </w:r>
          </w:p>
          <w:p w14:paraId="1FCAA50B">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招标人可在评标工作开始前成立协助工作组，选派熟悉招标工作、政治素质高的人员组成，协助评标委员会工作。协助工作组人员的具体数量由招标人视评标工作量确定。</w:t>
            </w:r>
          </w:p>
          <w:p w14:paraId="42756B07">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招标人可以协助评标委员会开展下列工作并提供相关信息：</w:t>
            </w:r>
          </w:p>
          <w:p w14:paraId="33264DDD">
            <w:pPr>
              <w:widowControl/>
              <w:numPr>
                <w:ilvl w:val="0"/>
                <w:numId w:val="12"/>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根据招标文件，编制评标使用的相应表格；</w:t>
            </w:r>
          </w:p>
          <w:p w14:paraId="78EF1D3E">
            <w:pPr>
              <w:widowControl/>
              <w:numPr>
                <w:ilvl w:val="0"/>
                <w:numId w:val="12"/>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对投标报价进行算术性校核（如采用固化工程量清单，本步骤省略）；</w:t>
            </w:r>
          </w:p>
          <w:p w14:paraId="06EA9BBD">
            <w:pPr>
              <w:widowControl/>
              <w:numPr>
                <w:ilvl w:val="0"/>
                <w:numId w:val="12"/>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以评标标准和方法为依据，列出投标文件相对于招标文件的所有偏差，并进行归类汇总；</w:t>
            </w:r>
          </w:p>
          <w:p w14:paraId="23EFE47A">
            <w:pPr>
              <w:widowControl/>
              <w:numPr>
                <w:ilvl w:val="0"/>
                <w:numId w:val="12"/>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查询公路建设市场信用信息管理系统，对投标人的资质、业绩、主要人员资历和目前在岗情况、信用等级进行核实。招标人不得对投标文件作出任何评价，不得故意遗漏或者片面摘录，不得在评标委员会对所有偏差定性之前透露存有偏差的投标人名称。</w:t>
            </w:r>
          </w:p>
          <w:p w14:paraId="4497926C">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评标委员会</w:t>
            </w:r>
          </w:p>
          <w:p w14:paraId="4AA7AE17">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评标委员会由招标人按国家、广东省等的有关规定依法组建。评标委员会的主要工作内容包括：</w:t>
            </w:r>
          </w:p>
          <w:p w14:paraId="5A73C95F">
            <w:pPr>
              <w:widowControl/>
              <w:numPr>
                <w:ilvl w:val="0"/>
                <w:numId w:val="13"/>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评标委员会开始评标工作之前，首先听取招标人、协助工作组关于工程情况和辅助工作的说明，并认真研读招标文件，获取评标所需的重要信息和数据；</w:t>
            </w:r>
          </w:p>
          <w:p w14:paraId="16BAEFC0">
            <w:pPr>
              <w:widowControl/>
              <w:numPr>
                <w:ilvl w:val="0"/>
                <w:numId w:val="13"/>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对协助工作组提供的评标工作用表和评标内容进行核查。</w:t>
            </w:r>
          </w:p>
          <w:p w14:paraId="0EBE4CC0">
            <w:pPr>
              <w:widowControl/>
              <w:numPr>
                <w:ilvl w:val="0"/>
                <w:numId w:val="13"/>
              </w:numPr>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按照以下 1.3 款程序进行各项评审工作。</w:t>
            </w:r>
          </w:p>
          <w:p w14:paraId="5B26BAC2">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评审工作程序</w:t>
            </w:r>
          </w:p>
          <w:p w14:paraId="24698ED0">
            <w:pPr>
              <w:widowControl/>
              <w:numPr>
                <w:ilvl w:val="0"/>
                <w:numId w:val="14"/>
              </w:numPr>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w:t>
            </w:r>
          </w:p>
          <w:p w14:paraId="3EE3B538">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l、初步评审：包括形式评审与响应性评审、资格评审（适用于未进行资格预审 ）；</w:t>
            </w:r>
          </w:p>
          <w:p w14:paraId="0FFDAE9D">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详细评审（评审打分）：评标委员会首先对通过第一个信封初步评审的投标文件进行详细评审，对投标人的施工组织设计、主要人员、其他因素等分别评审打分，并按照综合得分由高到低排序，排名在招标文件规定数量前5名（不少于3名但不足5名的，按全部实际数量）的投标人，其投标文件第一个信封（商务及技术文件）通过详细评审。</w:t>
            </w:r>
          </w:p>
          <w:p w14:paraId="409F02E9">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（二）第二个信封（报价文件）：</w:t>
            </w:r>
          </w:p>
          <w:p w14:paraId="1DAC388A">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1、初步评审：</w:t>
            </w:r>
          </w:p>
          <w:p w14:paraId="5AB025B0">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（1）只有对投标文件第一个信封通过详细评审的投标人的报价文件才能继续参加第二个信封报价文件的形式评审与响应性评审。</w:t>
            </w:r>
          </w:p>
          <w:p w14:paraId="0639F12B">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（2）报价算术性修正（如采用固化工程量清单，本步骤省略）；</w:t>
            </w:r>
          </w:p>
          <w:p w14:paraId="6F26A9BE">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2、详细评审：计算评标价。</w:t>
            </w:r>
          </w:p>
          <w:p w14:paraId="7F6056A3">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（三）投标文件相关信息的核查。</w:t>
            </w:r>
          </w:p>
          <w:p w14:paraId="1E355CB1">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（四）投标文件的澄清和说明(如有)。</w:t>
            </w:r>
          </w:p>
          <w:p w14:paraId="349A47EB">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（五）按评标办法规定按照第二个信封的评标价由低到高的顺序推荐中标候选人，编写评标报告。</w:t>
            </w:r>
          </w:p>
        </w:tc>
      </w:tr>
      <w:tr w14:paraId="5C73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3D708905">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3.2.2</w:t>
            </w:r>
          </w:p>
        </w:tc>
        <w:tc>
          <w:tcPr>
            <w:tcW w:w="8020" w:type="dxa"/>
            <w:gridSpan w:val="6"/>
            <w:noWrap w:val="0"/>
            <w:vAlign w:val="top"/>
          </w:tcPr>
          <w:p w14:paraId="2015681A">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将评标办法原文第 3.2.2 项修改如下：</w:t>
            </w:r>
          </w:p>
          <w:p w14:paraId="716A6E43">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投标人的商务和技术得分分值计算保留小数点后三位，小数点后第四位“四舍五入”。</w:t>
            </w:r>
          </w:p>
        </w:tc>
      </w:tr>
      <w:tr w14:paraId="0EE9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4412129B">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3.2.3</w:t>
            </w:r>
          </w:p>
        </w:tc>
        <w:tc>
          <w:tcPr>
            <w:tcW w:w="8020" w:type="dxa"/>
            <w:gridSpan w:val="6"/>
            <w:noWrap w:val="0"/>
            <w:vAlign w:val="top"/>
          </w:tcPr>
          <w:p w14:paraId="274388D3">
            <w:pPr>
              <w:widowControl/>
              <w:spacing w:line="360"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将评标办法范本原文第 3.2.3 项细化如下：</w:t>
            </w:r>
          </w:p>
          <w:p w14:paraId="3DA6A1C5">
            <w:pPr>
              <w:widowControl/>
              <w:spacing w:line="360" w:lineRule="auto"/>
              <w:ind w:firstLine="456" w:firstLineChars="19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投标人的商务和技术得分=A+B+C。</w:t>
            </w:r>
          </w:p>
          <w:p w14:paraId="12950CFC">
            <w:pPr>
              <w:widowControl/>
              <w:spacing w:line="360" w:lineRule="auto"/>
              <w:ind w:firstLine="456" w:firstLineChars="19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除履约信誉、技术能力得分外，投标文件各评分因素细分项得分均不应低于其权重分的60%，评分低于权重分值60%的，评标委员会成员应当在评标报告中作出说明。计算投标人技术得分时:首先在评委技术评分中，采用取消同一评委对同一标段各投标人评分总分的差值最大的1名评委评分分值 (若有2名或以上评委技术评分总 分差值最大值相等时，则取消其中1名评委的所有评分，具体办法如下) ，再对各评 分因素细分项中取消一个最高、一个最低分后计算其算术平均值的和为投标人的最 终技术得分，平均值计算保留小数点后三位，小数点后第四位“四舍五入”。</w:t>
            </w:r>
          </w:p>
          <w:p w14:paraId="05F103A2">
            <w:pPr>
              <w:widowControl/>
              <w:spacing w:line="360" w:lineRule="auto"/>
              <w:ind w:firstLine="456" w:firstLineChars="19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取消其中1名评委所有评分的办法一(依次按照以下流程)：(1) 对比上述出 现技术评分总分差值最大值相等的评委的次大差值 (次大差值＝某一评委技术评分总分的最高分－该评委技术评分总分的次低分) ，取消次分差值最大的评委所有评分；(2) 如次分差值仍相同，则按随机抽取的方式选定取消1名评委评分。</w:t>
            </w:r>
          </w:p>
          <w:p w14:paraId="5E776559">
            <w:pPr>
              <w:widowControl/>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示例:同一评委对5名投标人技术评分总分分别为:6.65(最高分)、5.88、5.11、4.90(次低分)、4.55(最低分)，则其最大差值为 2.1、次大差值为 6.65-4.90=1.75)。 </w:t>
            </w:r>
          </w:p>
        </w:tc>
      </w:tr>
      <w:tr w14:paraId="4BB1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302" w:hRule="atLeast"/>
          <w:jc w:val="center"/>
        </w:trPr>
        <w:tc>
          <w:tcPr>
            <w:tcW w:w="2111" w:type="dxa"/>
            <w:gridSpan w:val="4"/>
            <w:noWrap w:val="0"/>
            <w:vAlign w:val="center"/>
          </w:tcPr>
          <w:p w14:paraId="0C4DF4F5">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w:t>
            </w:r>
          </w:p>
          <w:p w14:paraId="525E40D4">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8020" w:type="dxa"/>
            <w:gridSpan w:val="6"/>
            <w:noWrap w:val="0"/>
            <w:vAlign w:val="top"/>
          </w:tcPr>
          <w:p w14:paraId="27091839">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将评标办法范本原文第 3.4.2 项第(2)、(3)、(4)目修改为：</w:t>
            </w:r>
          </w:p>
          <w:p w14:paraId="121A5A72">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总价金额与依据单价计算出的结果不一致的，在保证投标总价不变的前提下予以合理调整单价；</w:t>
            </w:r>
          </w:p>
          <w:p w14:paraId="3D88E43A">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(3)当单价与数量相乘不等于合价时，应以标出的合价为准，同时对单价予以修正；</w:t>
            </w:r>
          </w:p>
          <w:p w14:paraId="6036BF2F">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当各子目的合价累计不等于总价时，应以总价不变的前提下，修正各子目合价。</w:t>
            </w:r>
          </w:p>
        </w:tc>
      </w:tr>
      <w:tr w14:paraId="0995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15416EE8">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w:t>
            </w:r>
          </w:p>
        </w:tc>
        <w:tc>
          <w:tcPr>
            <w:tcW w:w="8020" w:type="dxa"/>
            <w:gridSpan w:val="6"/>
            <w:noWrap w:val="0"/>
            <w:vAlign w:val="top"/>
          </w:tcPr>
          <w:p w14:paraId="2F253661">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3.6.2项（2）目末增加以下条款：</w:t>
            </w:r>
          </w:p>
          <w:p w14:paraId="75EDF83D">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g.当一家以上投标人评标价相同时，若各投标人工程量清单细目单价也相同，视为串标（一个标段仅一工作细目报价的除外）。</w:t>
            </w:r>
          </w:p>
          <w:p w14:paraId="40046AE3">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h .广东省实施《中华人民共和国招标投标法》办法第十六条规定的情形。</w:t>
            </w:r>
          </w:p>
          <w:p w14:paraId="166E4C3A">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增加3.6.3项：</w:t>
            </w:r>
          </w:p>
          <w:p w14:paraId="30B34D10">
            <w:pPr>
              <w:widowControl/>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376E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noWrap w:val="0"/>
            <w:vAlign w:val="center"/>
          </w:tcPr>
          <w:p w14:paraId="20FFF1E3">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3.7.1</w:t>
            </w:r>
          </w:p>
          <w:p w14:paraId="7436F398">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8020" w:type="dxa"/>
            <w:gridSpan w:val="6"/>
            <w:noWrap w:val="0"/>
            <w:vAlign w:val="top"/>
          </w:tcPr>
          <w:p w14:paraId="0C4870F1">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将评标办法范本原文第 3.7.1 项修改为：</w:t>
            </w:r>
          </w:p>
          <w:p w14:paraId="5FF0D8B5">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5C0E8AAD">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投标文件中的下列计算错误为细微偏差（采用固化工程量清单，则a－d 步骤省略）：</w:t>
            </w:r>
          </w:p>
          <w:p w14:paraId="477DDFBF">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a、在算术性复核中发现的算术性差错：</w:t>
            </w:r>
          </w:p>
          <w:p w14:paraId="50502DDE">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b、在招标人给定的工程量清单中漏报了某个工程细目的单价和合价；</w:t>
            </w:r>
          </w:p>
          <w:p w14:paraId="088C030B">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c、在招标人给定的工程量清单中多报了某个工程细目的单价和合价或所报单价增加或减少了报价范围；</w:t>
            </w:r>
          </w:p>
          <w:p w14:paraId="7CF87272">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d、在招标人给定的工程量清单中修改了某些支付号的工程数量。</w:t>
            </w:r>
          </w:p>
          <w:p w14:paraId="1D6E5ADA">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（2）评标委员会对投标文件中的细微偏差按如下规定处理（采用固化工程量清单，则 a－d 步骤省略）：</w:t>
            </w:r>
          </w:p>
          <w:p w14:paraId="09DD3924">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a、按本评标办法的规定对算术性错误予以修正；</w:t>
            </w:r>
          </w:p>
          <w:p w14:paraId="5194233A">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b、对于漏报的工程细目单价和合价或单价和合价减少的报价内容视为已含入其它工程细目的单价和合价之中；</w:t>
            </w:r>
          </w:p>
          <w:p w14:paraId="007B48AC">
            <w:pPr>
              <w:widowControl/>
              <w:spacing w:line="400" w:lineRule="exact"/>
              <w:ind w:firstLine="456" w:firstLineChars="19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c、在保证投标总价不变的前提下，对于多报的工程细目报价或工程细目报价中增加的部分报价从投标报价中予以扣除，并对其它细目作相应的平衡性调整；</w:t>
            </w:r>
          </w:p>
          <w:p w14:paraId="32283D1E">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d、在保证投标总价不变的前提下，对与给定工程量清单数量不符的工程数量进行更正，并对其它细目作相应的平衡性调整。</w:t>
            </w:r>
          </w:p>
        </w:tc>
      </w:tr>
      <w:tr w14:paraId="7AB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78" w:hRule="atLeast"/>
          <w:jc w:val="center"/>
        </w:trPr>
        <w:tc>
          <w:tcPr>
            <w:tcW w:w="2111" w:type="dxa"/>
            <w:gridSpan w:val="4"/>
            <w:noWrap w:val="0"/>
            <w:vAlign w:val="center"/>
          </w:tcPr>
          <w:p w14:paraId="32FA7F0C">
            <w:pPr>
              <w:widowControl/>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w:t>
            </w:r>
          </w:p>
          <w:p w14:paraId="1FBF3531">
            <w:pPr>
              <w:widowControl/>
              <w:spacing w:line="40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8020" w:type="dxa"/>
            <w:gridSpan w:val="6"/>
            <w:noWrap w:val="0"/>
            <w:vAlign w:val="top"/>
          </w:tcPr>
          <w:p w14:paraId="5848BF48">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增加 3.9.3-3.9.7 项 ：</w:t>
            </w:r>
          </w:p>
          <w:p w14:paraId="622E76E7">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3.9.3 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14:paraId="1E544C65">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3.9.4 通过第一个信封商务及技术文件评审的投标人少于3个的，评标委员会应否决全部投标。</w:t>
            </w:r>
          </w:p>
          <w:p w14:paraId="10C6195E">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3.9.5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11C0F3DF">
            <w:pPr>
              <w:widowControl/>
              <w:spacing w:line="400" w:lineRule="exact"/>
              <w:ind w:firstLine="456" w:firstLineChars="19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3.9.6 如果发生无法确定推荐中标候选人的其他意外情况，评标委员会可建议招标人重新招标。</w:t>
            </w:r>
          </w:p>
        </w:tc>
      </w:tr>
    </w:tbl>
    <w:p w14:paraId="46D1D17F">
      <w:pPr>
        <w:rPr>
          <w:color w:val="000000" w:themeColor="text1"/>
          <w:highlight w:val="none"/>
          <w14:textFill>
            <w14:solidFill>
              <w14:schemeClr w14:val="tx1"/>
            </w14:solidFill>
          </w14:textFill>
        </w:rPr>
      </w:pPr>
    </w:p>
    <w:p w14:paraId="1C9EBED7">
      <w:pPr>
        <w:pStyle w:val="6"/>
        <w:spacing w:beforeLines="50" w:line="400" w:lineRule="exact"/>
        <w:rPr>
          <w:rFonts w:ascii="宋体" w:hAnsi="宋体"/>
          <w:color w:val="000000" w:themeColor="text1"/>
          <w:sz w:val="24"/>
          <w:szCs w:val="24"/>
          <w:highlight w:val="none"/>
          <w14:textFill>
            <w14:solidFill>
              <w14:schemeClr w14:val="tx1"/>
            </w14:solidFill>
          </w14:textFill>
        </w:rPr>
      </w:pPr>
      <w:bookmarkStart w:id="247" w:name="_Toc234382653"/>
      <w:bookmarkStart w:id="248" w:name="_Toc522725722"/>
    </w:p>
    <w:bookmarkEnd w:id="247"/>
    <w:bookmarkEnd w:id="248"/>
    <w:p w14:paraId="32A2FD6B">
      <w:pPr>
        <w:pStyle w:val="5"/>
        <w:rPr>
          <w:color w:val="000000" w:themeColor="text1"/>
          <w:highlight w:val="none"/>
          <w14:textFill>
            <w14:solidFill>
              <w14:schemeClr w14:val="tx1"/>
            </w14:solidFill>
          </w14:textFill>
        </w:rPr>
      </w:pPr>
      <w:bookmarkStart w:id="249" w:name="_Toc14321"/>
      <w:r>
        <w:rPr>
          <w:rFonts w:hint="eastAsia"/>
          <w:color w:val="000000" w:themeColor="text1"/>
          <w:highlight w:val="none"/>
          <w14:textFill>
            <w14:solidFill>
              <w14:schemeClr w14:val="tx1"/>
            </w14:solidFill>
          </w14:textFill>
        </w:rPr>
        <w:t>1. 评标方法</w:t>
      </w:r>
      <w:bookmarkEnd w:id="249"/>
    </w:p>
    <w:p w14:paraId="683DC0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3558C35A">
      <w:pPr>
        <w:pStyle w:val="5"/>
        <w:rPr>
          <w:color w:val="000000" w:themeColor="text1"/>
          <w:highlight w:val="none"/>
          <w14:textFill>
            <w14:solidFill>
              <w14:schemeClr w14:val="tx1"/>
            </w14:solidFill>
          </w14:textFill>
        </w:rPr>
      </w:pPr>
      <w:bookmarkStart w:id="250" w:name="_Toc6288"/>
      <w:bookmarkStart w:id="251" w:name="_Toc32673"/>
      <w:bookmarkStart w:id="252" w:name="_Toc522725723"/>
      <w:bookmarkStart w:id="253" w:name="_Toc234382654"/>
      <w:r>
        <w:rPr>
          <w:rFonts w:hint="eastAsia"/>
          <w:color w:val="000000" w:themeColor="text1"/>
          <w:highlight w:val="none"/>
          <w14:textFill>
            <w14:solidFill>
              <w14:schemeClr w14:val="tx1"/>
            </w14:solidFill>
          </w14:textFill>
        </w:rPr>
        <w:t>2. 评审标准</w:t>
      </w:r>
      <w:bookmarkEnd w:id="250"/>
      <w:bookmarkEnd w:id="251"/>
      <w:bookmarkEnd w:id="252"/>
      <w:bookmarkEnd w:id="253"/>
    </w:p>
    <w:p w14:paraId="548DF43D">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54" w:name="_Toc234382655"/>
      <w:bookmarkStart w:id="255" w:name="_Toc7659"/>
      <w:bookmarkStart w:id="256" w:name="_Toc8478"/>
      <w:bookmarkStart w:id="257" w:name="_Toc522725724"/>
      <w:r>
        <w:rPr>
          <w:rFonts w:hint="eastAsia" w:ascii="宋体" w:hAnsi="宋体" w:cs="宋体"/>
          <w:color w:val="000000" w:themeColor="text1"/>
          <w:highlight w:val="none"/>
          <w14:textFill>
            <w14:solidFill>
              <w14:schemeClr w14:val="tx1"/>
            </w14:solidFill>
          </w14:textFill>
        </w:rPr>
        <w:t>2.1 初步评审标准</w:t>
      </w:r>
      <w:bookmarkEnd w:id="254"/>
      <w:bookmarkEnd w:id="255"/>
      <w:bookmarkEnd w:id="256"/>
      <w:bookmarkEnd w:id="257"/>
    </w:p>
    <w:p w14:paraId="7BB45C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2.1.1形式评审标准：见评标办法前附表。</w:t>
      </w:r>
    </w:p>
    <w:p w14:paraId="76D3EF9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2.1.2资格评审标准：见评标办法前附表。</w:t>
      </w:r>
    </w:p>
    <w:p w14:paraId="230ACE7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资格评审标准：见资格预审文件第三章“资格审查办法”详细审查标准（适用于已进行资格预审的）。</w:t>
      </w:r>
    </w:p>
    <w:p w14:paraId="50CB87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2.1.3响应性评审标准：见评标办法前附表。</w:t>
      </w:r>
    </w:p>
    <w:p w14:paraId="4B00B13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58" w:name="_Toc522725725"/>
      <w:bookmarkStart w:id="259" w:name="_Toc2995"/>
      <w:bookmarkStart w:id="260" w:name="_Toc31918"/>
      <w:bookmarkStart w:id="261" w:name="_Toc234382656"/>
      <w:r>
        <w:rPr>
          <w:rFonts w:hint="eastAsia" w:ascii="宋体" w:hAnsi="宋体" w:cs="宋体"/>
          <w:color w:val="000000" w:themeColor="text1"/>
          <w:highlight w:val="none"/>
          <w14:textFill>
            <w14:solidFill>
              <w14:schemeClr w14:val="tx1"/>
            </w14:solidFill>
          </w14:textFill>
        </w:rPr>
        <w:t>2.2 分值构成与评分标准</w:t>
      </w:r>
      <w:bookmarkEnd w:id="258"/>
      <w:bookmarkEnd w:id="259"/>
      <w:bookmarkEnd w:id="260"/>
      <w:bookmarkEnd w:id="261"/>
    </w:p>
    <w:p w14:paraId="267A7B75">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62" w:name="_Toc522725726"/>
      <w:r>
        <w:rPr>
          <w:rFonts w:hint="eastAsia" w:ascii="宋体" w:hAnsi="宋体" w:cs="宋体"/>
          <w:color w:val="000000" w:themeColor="text1"/>
          <w:kern w:val="0"/>
          <w:sz w:val="24"/>
          <w:highlight w:val="none"/>
          <w14:textFill>
            <w14:solidFill>
              <w14:schemeClr w14:val="tx1"/>
            </w14:solidFill>
          </w14:textFill>
        </w:rPr>
        <w:t>2.2.1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分值构成 </w:t>
      </w:r>
    </w:p>
    <w:p w14:paraId="5224A5D5">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（1）施工组织设计：见评标办法前附表； </w:t>
      </w:r>
    </w:p>
    <w:p w14:paraId="158C4BE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（2）主要人员：见</w:t>
      </w:r>
      <w:r>
        <w:rPr>
          <w:rFonts w:hint="eastAsia" w:ascii="宋体" w:hAnsi="宋体" w:cs="宋体"/>
          <w:color w:val="000000" w:themeColor="text1"/>
          <w:sz w:val="24"/>
          <w:highlight w:val="none"/>
          <w14:textFill>
            <w14:solidFill>
              <w14:schemeClr w14:val="tx1"/>
            </w14:solidFill>
          </w14:textFill>
        </w:rPr>
        <w:t>评标</w:t>
      </w:r>
      <w:r>
        <w:rPr>
          <w:rFonts w:hint="eastAsia" w:ascii="宋体" w:hAnsi="宋体" w:cs="宋体"/>
          <w:color w:val="000000" w:themeColor="text1"/>
          <w:kern w:val="0"/>
          <w:sz w:val="24"/>
          <w:highlight w:val="none"/>
          <w14:textFill>
            <w14:solidFill>
              <w14:schemeClr w14:val="tx1"/>
            </w14:solidFill>
          </w14:textFill>
        </w:rPr>
        <w:t xml:space="preserve">办法前附表； </w:t>
      </w:r>
    </w:p>
    <w:p w14:paraId="19B1A81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（3）其他因素：见评标办法前附表。 </w:t>
      </w:r>
    </w:p>
    <w:p w14:paraId="4F532FF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评分标准 </w:t>
      </w:r>
    </w:p>
    <w:p w14:paraId="5B41D316">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（1）施工组织设计评分标准：见评标办法前附表； </w:t>
      </w:r>
    </w:p>
    <w:p w14:paraId="7E563E3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（2）主要人员评分</w:t>
      </w:r>
      <w:r>
        <w:rPr>
          <w:rFonts w:hint="eastAsia" w:ascii="宋体" w:hAnsi="宋体" w:cs="宋体"/>
          <w:color w:val="000000" w:themeColor="text1"/>
          <w:sz w:val="24"/>
          <w:highlight w:val="none"/>
          <w14:textFill>
            <w14:solidFill>
              <w14:schemeClr w14:val="tx1"/>
            </w14:solidFill>
          </w14:textFill>
        </w:rPr>
        <w:t>标准</w:t>
      </w:r>
      <w:r>
        <w:rPr>
          <w:rFonts w:hint="eastAsia" w:ascii="宋体" w:hAnsi="宋体" w:cs="宋体"/>
          <w:color w:val="000000" w:themeColor="text1"/>
          <w:kern w:val="0"/>
          <w:sz w:val="24"/>
          <w:highlight w:val="none"/>
          <w14:textFill>
            <w14:solidFill>
              <w14:schemeClr w14:val="tx1"/>
            </w14:solidFill>
          </w14:textFill>
        </w:rPr>
        <w:t xml:space="preserve">：见评标办法前附表； </w:t>
      </w:r>
    </w:p>
    <w:p w14:paraId="580DD73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（3）其他因素评分标准：见评标办法前附表。 </w:t>
      </w:r>
    </w:p>
    <w:p w14:paraId="51E6601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2.2.3 第二个信封详细评审标准：见评标办法前附表。 </w:t>
      </w:r>
    </w:p>
    <w:p w14:paraId="2A45632D">
      <w:pPr>
        <w:pStyle w:val="5"/>
        <w:rPr>
          <w:color w:val="000000" w:themeColor="text1"/>
          <w:highlight w:val="none"/>
          <w14:textFill>
            <w14:solidFill>
              <w14:schemeClr w14:val="tx1"/>
            </w14:solidFill>
          </w14:textFill>
        </w:rPr>
      </w:pPr>
      <w:bookmarkStart w:id="263" w:name="_Toc10149"/>
      <w:bookmarkStart w:id="264" w:name="_Toc9844"/>
      <w:r>
        <w:rPr>
          <w:rFonts w:hint="eastAsia"/>
          <w:color w:val="000000" w:themeColor="text1"/>
          <w:highlight w:val="none"/>
          <w14:textFill>
            <w14:solidFill>
              <w14:schemeClr w14:val="tx1"/>
            </w14:solidFill>
          </w14:textFill>
        </w:rPr>
        <w:t>3. 评标程序</w:t>
      </w:r>
      <w:bookmarkEnd w:id="262"/>
      <w:bookmarkEnd w:id="263"/>
      <w:bookmarkEnd w:id="264"/>
    </w:p>
    <w:p w14:paraId="02919505">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5" w:name="_Toc522725727"/>
      <w:bookmarkStart w:id="266" w:name="_Toc15905"/>
      <w:bookmarkStart w:id="267" w:name="_Toc18283"/>
      <w:r>
        <w:rPr>
          <w:rFonts w:hint="eastAsia" w:ascii="宋体" w:hAnsi="宋体" w:cs="宋体"/>
          <w:color w:val="000000" w:themeColor="text1"/>
          <w:highlight w:val="none"/>
          <w14:textFill>
            <w14:solidFill>
              <w14:schemeClr w14:val="tx1"/>
            </w14:solidFill>
          </w14:textFill>
        </w:rPr>
        <w:t>3.1第一个信封初步评审</w:t>
      </w:r>
      <w:bookmarkEnd w:id="265"/>
      <w:bookmarkEnd w:id="266"/>
      <w:bookmarkEnd w:id="267"/>
    </w:p>
    <w:p w14:paraId="538180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14:paraId="1D5DF459">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 </w:t>
      </w:r>
    </w:p>
    <w:p w14:paraId="31881757">
      <w:pPr>
        <w:pStyle w:val="71"/>
        <w:numPr>
          <w:ilvl w:val="0"/>
          <w:numId w:val="0"/>
        </w:numPr>
        <w:spacing w:line="360" w:lineRule="auto"/>
        <w:rPr>
          <w:rFonts w:hint="eastAsia" w:ascii="宋体" w:hAnsi="宋体" w:cs="宋体"/>
          <w:color w:val="000000" w:themeColor="text1"/>
          <w:highlight w:val="none"/>
          <w14:textFill>
            <w14:solidFill>
              <w14:schemeClr w14:val="tx1"/>
            </w14:solidFill>
          </w14:textFill>
        </w:rPr>
      </w:pPr>
      <w:bookmarkStart w:id="268" w:name="_Toc14649"/>
      <w:bookmarkStart w:id="269" w:name="_Toc522725728"/>
    </w:p>
    <w:p w14:paraId="09BA1080">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0" w:name="_Toc17034"/>
      <w:r>
        <w:rPr>
          <w:rFonts w:hint="eastAsia" w:ascii="宋体" w:hAnsi="宋体" w:cs="宋体"/>
          <w:color w:val="000000" w:themeColor="text1"/>
          <w:highlight w:val="none"/>
          <w14:textFill>
            <w14:solidFill>
              <w14:schemeClr w14:val="tx1"/>
            </w14:solidFill>
          </w14:textFill>
        </w:rPr>
        <w:t>3.2第一个信封详细评审</w:t>
      </w:r>
      <w:bookmarkEnd w:id="268"/>
      <w:bookmarkEnd w:id="270"/>
    </w:p>
    <w:p w14:paraId="1BF3D0DF">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3.2.1 评标委员会按本章第 2.2 款规定的量化因素和分值进行打分，并计算出各投标人的商务和技术得分。 </w:t>
      </w:r>
    </w:p>
    <w:p w14:paraId="555B8655">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（1）按本章第 2.2.2 项（1）目规定的评审因素和分值对施工组织设计部分计算出得分 A； </w:t>
      </w:r>
    </w:p>
    <w:p w14:paraId="1121D3AA">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（2）按本章第 2.2.2 项（2）目规定的评审因素和分值对主要人员部分计算出得分B； </w:t>
      </w:r>
    </w:p>
    <w:p w14:paraId="290D8EA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（3）按本章第 2.2.2 项（3）目规定的评审因素和分值对其他因素部分计算出得分C。 </w:t>
      </w:r>
    </w:p>
    <w:p w14:paraId="1C109850">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3.2.2 投标人的商务和技术得分分值计算保留小数点后三位，小数点后第三位“四舍五入”。 </w:t>
      </w:r>
    </w:p>
    <w:p w14:paraId="77DCA08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3.2.3 投标人的商务和技术</w:t>
      </w:r>
      <w:r>
        <w:rPr>
          <w:rFonts w:hint="eastAsia" w:ascii="宋体" w:hAnsi="宋体" w:cs="宋体"/>
          <w:color w:val="000000" w:themeColor="text1"/>
          <w:sz w:val="24"/>
          <w:highlight w:val="none"/>
          <w14:textFill>
            <w14:solidFill>
              <w14:schemeClr w14:val="tx1"/>
            </w14:solidFill>
          </w14:textFill>
        </w:rPr>
        <w:t>得分</w:t>
      </w:r>
      <w:r>
        <w:rPr>
          <w:rFonts w:hint="eastAsia" w:ascii="宋体" w:hAnsi="宋体" w:cs="宋体"/>
          <w:color w:val="000000" w:themeColor="text1"/>
          <w:kern w:val="0"/>
          <w:sz w:val="24"/>
          <w:highlight w:val="none"/>
          <w14:textFill>
            <w14:solidFill>
              <w14:schemeClr w14:val="tx1"/>
            </w14:solidFill>
          </w14:textFill>
        </w:rPr>
        <w:t xml:space="preserve">=A+B+C。 </w:t>
      </w:r>
    </w:p>
    <w:p w14:paraId="6DB26CA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3.2.4 评标委员会按照投标人的商务和技术得分由高到低排序，排名在评标办法前附表规定数量以内的投标人，其投标</w:t>
      </w:r>
      <w:r>
        <w:rPr>
          <w:rFonts w:hint="eastAsia" w:ascii="宋体" w:hAnsi="宋体" w:cs="宋体"/>
          <w:color w:val="000000" w:themeColor="text1"/>
          <w:sz w:val="24"/>
          <w:highlight w:val="none"/>
          <w14:textFill>
            <w14:solidFill>
              <w14:schemeClr w14:val="tx1"/>
            </w14:solidFill>
          </w14:textFill>
        </w:rPr>
        <w:t>文件</w:t>
      </w:r>
      <w:r>
        <w:rPr>
          <w:rFonts w:hint="eastAsia" w:ascii="宋体" w:hAnsi="宋体" w:cs="宋体"/>
          <w:color w:val="000000" w:themeColor="text1"/>
          <w:kern w:val="0"/>
          <w:sz w:val="24"/>
          <w:highlight w:val="none"/>
          <w14:textFill>
            <w14:solidFill>
              <w14:schemeClr w14:val="tx1"/>
            </w14:solidFill>
          </w14:textFill>
        </w:rPr>
        <w:t xml:space="preserve">第一个信封（商务及技术文件）通过详细评审。 </w:t>
      </w:r>
    </w:p>
    <w:p w14:paraId="0526B4E0">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3.2.5 通过投标文件第一个信封（商务及技术文件）初步评审的投标人不少于3个且未超过评标办法前附表第 3.2.4 项规定数量的，均通过投标文件第一个信封（商务及技术文件）详细评审，不再对投标人的</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kern w:val="0"/>
          <w:sz w:val="24"/>
          <w:highlight w:val="none"/>
          <w14:textFill>
            <w14:solidFill>
              <w14:schemeClr w14:val="tx1"/>
            </w14:solidFill>
          </w14:textFill>
        </w:rPr>
        <w:t xml:space="preserve">和技术文件进行评分。 </w:t>
      </w:r>
    </w:p>
    <w:p w14:paraId="4DC1BFC9">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1" w:name="_Toc11419"/>
      <w:bookmarkStart w:id="272" w:name="_Toc29616"/>
      <w:r>
        <w:rPr>
          <w:rFonts w:hint="eastAsia" w:ascii="宋体" w:hAnsi="宋体" w:cs="宋体"/>
          <w:color w:val="000000" w:themeColor="text1"/>
          <w:highlight w:val="none"/>
          <w14:textFill>
            <w14:solidFill>
              <w14:schemeClr w14:val="tx1"/>
            </w14:solidFill>
          </w14:textFill>
        </w:rPr>
        <w:t>3.3 第二个信封开标</w:t>
      </w:r>
      <w:bookmarkEnd w:id="269"/>
      <w:bookmarkEnd w:id="271"/>
      <w:bookmarkEnd w:id="272"/>
    </w:p>
    <w:p w14:paraId="7B8A9BE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第一个信封（商务及技术文件）评审结束后，招标人将按照第二章“投标人须知”第 5.1 款规定的时间和地点对通过投标文件第一个信封（商务及技术文件）评审的投标文件第二个信封（报价文件）进行开标。</w:t>
      </w:r>
    </w:p>
    <w:p w14:paraId="2797BDB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3" w:name="_Toc785"/>
      <w:bookmarkStart w:id="274" w:name="_Toc898"/>
      <w:bookmarkStart w:id="275" w:name="_Toc522725729"/>
      <w:r>
        <w:rPr>
          <w:rFonts w:hint="eastAsia" w:ascii="宋体" w:hAnsi="宋体" w:cs="宋体"/>
          <w:color w:val="000000" w:themeColor="text1"/>
          <w:highlight w:val="none"/>
          <w14:textFill>
            <w14:solidFill>
              <w14:schemeClr w14:val="tx1"/>
            </w14:solidFill>
          </w14:textFill>
        </w:rPr>
        <w:t>3.4 第二个信封初步评审</w:t>
      </w:r>
      <w:bookmarkEnd w:id="273"/>
      <w:bookmarkEnd w:id="274"/>
      <w:bookmarkEnd w:id="275"/>
    </w:p>
    <w:p w14:paraId="415ABEE6">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bookmarkStart w:id="276" w:name="_Toc522725730"/>
      <w:r>
        <w:rPr>
          <w:rFonts w:hint="eastAsia" w:ascii="宋体" w:hAnsi="宋体" w:cs="宋体"/>
          <w:color w:val="000000" w:themeColor="text1"/>
          <w:kern w:val="0"/>
          <w:sz w:val="24"/>
          <w:highlight w:val="none"/>
          <w14:textFill>
            <w14:solidFill>
              <w14:schemeClr w14:val="tx1"/>
            </w14:solidFill>
          </w14:textFill>
        </w:rPr>
        <w:t>3.4.1 评标委员会依据本章第 2.1.1 项、第 2.1.3 项规定的评审标准对投标文件第二个信封（报价文件）进行初步评审。有一项不符合评审标准的，评标委员会应否决其投标。</w:t>
      </w:r>
    </w:p>
    <w:p w14:paraId="0317847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 投标报价有算术错误的，评标委员会按以下原则对投标报价进行修正，修正的价格经投标人书面确认后具有</w:t>
      </w:r>
      <w:r>
        <w:rPr>
          <w:rFonts w:hint="eastAsia" w:ascii="宋体" w:hAnsi="宋体" w:cs="宋体"/>
          <w:color w:val="000000" w:themeColor="text1"/>
          <w:sz w:val="24"/>
          <w:highlight w:val="none"/>
          <w14:textFill>
            <w14:solidFill>
              <w14:schemeClr w14:val="tx1"/>
            </w14:solidFill>
          </w14:textFill>
        </w:rPr>
        <w:t>约束力</w:t>
      </w:r>
      <w:r>
        <w:rPr>
          <w:rFonts w:hint="eastAsia" w:ascii="宋体" w:hAnsi="宋体" w:cs="宋体"/>
          <w:color w:val="000000" w:themeColor="text1"/>
          <w:kern w:val="0"/>
          <w:sz w:val="24"/>
          <w:highlight w:val="none"/>
          <w14:textFill>
            <w14:solidFill>
              <w14:schemeClr w14:val="tx1"/>
            </w14:solidFill>
          </w14:textFill>
        </w:rPr>
        <w:t xml:space="preserve">。投标人不接受修正价格的，评标委员会应否决其投标。 </w:t>
      </w:r>
    </w:p>
    <w:p w14:paraId="7C7298FA">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（1）投标文件中的大写金额与小写金额不一致的，以大写金额为准； </w:t>
      </w:r>
    </w:p>
    <w:p w14:paraId="51CCC3A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（2）总价金额与依据单价计算出的结果不一致的，以单价金额为准修正总价，但单价金额小数点有明显错误的除外； </w:t>
      </w:r>
    </w:p>
    <w:p w14:paraId="7121750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（3）当单价与数量相乘不等于合价时，以单价计算为准，如果单价有明显的小数点位置差错，应以标出的合价</w:t>
      </w:r>
      <w:r>
        <w:rPr>
          <w:rFonts w:hint="eastAsia" w:ascii="宋体" w:hAnsi="宋体" w:cs="宋体"/>
          <w:color w:val="000000" w:themeColor="text1"/>
          <w:sz w:val="24"/>
          <w:highlight w:val="none"/>
          <w14:textFill>
            <w14:solidFill>
              <w14:schemeClr w14:val="tx1"/>
            </w14:solidFill>
          </w14:textFill>
        </w:rPr>
        <w:t>为准</w:t>
      </w:r>
      <w:r>
        <w:rPr>
          <w:rFonts w:hint="eastAsia" w:ascii="宋体" w:hAnsi="宋体" w:cs="宋体"/>
          <w:color w:val="000000" w:themeColor="text1"/>
          <w:kern w:val="0"/>
          <w:sz w:val="24"/>
          <w:highlight w:val="none"/>
          <w14:textFill>
            <w14:solidFill>
              <w14:schemeClr w14:val="tx1"/>
            </w14:solidFill>
          </w14:textFill>
        </w:rPr>
        <w:t xml:space="preserve">，同时对单价予以修正； </w:t>
      </w:r>
    </w:p>
    <w:p w14:paraId="3AFB1C99">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（4）当各子目的合价累计不等于总价时，应以各子目合价累计数为准，修正总价。 </w:t>
      </w:r>
    </w:p>
    <w:p w14:paraId="1F28708A">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3.4.3 工程量清单中的投标报价有其他错误的，评标委员会按以下原则对投标报价进行修正，修正的价格经投标人书面确认后具有约束力。投标人不接受修正价格的，评标委员会应否决其投标。 </w:t>
      </w:r>
    </w:p>
    <w:p w14:paraId="1DCC800F">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的工程量清单中漏报了某个工程子目的单价、合价或总额价，或所报单价、合价或总额价减少了报价范围，则漏报的工程子目单价、合价和总额价或单价、合价和总额价中减少的报价</w:t>
      </w:r>
      <w:r>
        <w:rPr>
          <w:rFonts w:hint="eastAsia" w:ascii="宋体" w:hAnsi="宋体" w:cs="宋体"/>
          <w:color w:val="000000" w:themeColor="text1"/>
          <w:sz w:val="24"/>
          <w:highlight w:val="none"/>
          <w14:textFill>
            <w14:solidFill>
              <w14:schemeClr w14:val="tx1"/>
            </w14:solidFill>
          </w14:textFill>
        </w:rPr>
        <w:t>内容</w:t>
      </w:r>
      <w:r>
        <w:rPr>
          <w:rFonts w:hint="eastAsia" w:ascii="宋体" w:hAnsi="宋体" w:cs="宋体"/>
          <w:color w:val="000000" w:themeColor="text1"/>
          <w:kern w:val="0"/>
          <w:sz w:val="24"/>
          <w:highlight w:val="none"/>
          <w14:textFill>
            <w14:solidFill>
              <w14:schemeClr w14:val="tx1"/>
            </w14:solidFill>
          </w14:textFill>
        </w:rPr>
        <w:t xml:space="preserve">视为已含入其他工程子目的单价、合价和总额价之中。 </w:t>
      </w:r>
    </w:p>
    <w:p w14:paraId="1C21CA3A">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 xml:space="preserve">的工程量清单中多报了某个工程子目的单价、合价或总额价，或所报单价、合价或总额价增加了报价范围，则从投标报价中扣除多报的工程子目报价或工程子目报价中增加了报价范围的部分报价。 </w:t>
      </w:r>
    </w:p>
    <w:p w14:paraId="16D4941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（3）当单价与数量的乘积与合价（金额）虽然一致，但投标人修改了该子目的工程数量，则其合价按招标人给定的工程数量乘以投标人所报单价予以修正。 </w:t>
      </w:r>
    </w:p>
    <w:p w14:paraId="0527F5A0">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3.4.4 修正后的最终投标</w:t>
      </w:r>
      <w:r>
        <w:rPr>
          <w:rFonts w:hint="eastAsia" w:ascii="宋体" w:hAnsi="宋体" w:cs="宋体"/>
          <w:color w:val="000000" w:themeColor="text1"/>
          <w:sz w:val="24"/>
          <w:highlight w:val="none"/>
          <w14:textFill>
            <w14:solidFill>
              <w14:schemeClr w14:val="tx1"/>
            </w14:solidFill>
          </w14:textFill>
        </w:rPr>
        <w:t>报价</w:t>
      </w:r>
      <w:r>
        <w:rPr>
          <w:rFonts w:hint="eastAsia" w:ascii="宋体" w:hAnsi="宋体" w:cs="宋体"/>
          <w:color w:val="000000" w:themeColor="text1"/>
          <w:kern w:val="0"/>
          <w:sz w:val="24"/>
          <w:highlight w:val="none"/>
          <w14:textFill>
            <w14:solidFill>
              <w14:schemeClr w14:val="tx1"/>
            </w14:solidFill>
          </w14:textFill>
        </w:rPr>
        <w:t xml:space="preserve">若超过最高投标限价（如有），评标委员会应否决其投标。 </w:t>
      </w:r>
    </w:p>
    <w:p w14:paraId="71C8EC3A">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7" w:name="_Toc2394"/>
      <w:bookmarkStart w:id="278" w:name="_Toc4770"/>
      <w:r>
        <w:rPr>
          <w:rFonts w:hint="eastAsia" w:ascii="宋体" w:hAnsi="宋体" w:cs="宋体"/>
          <w:color w:val="000000" w:themeColor="text1"/>
          <w:highlight w:val="none"/>
          <w14:textFill>
            <w14:solidFill>
              <w14:schemeClr w14:val="tx1"/>
            </w14:solidFill>
          </w14:textFill>
        </w:rPr>
        <w:t>3.5 第二个信封详细评审</w:t>
      </w:r>
      <w:bookmarkEnd w:id="276"/>
      <w:bookmarkEnd w:id="277"/>
      <w:bookmarkEnd w:id="278"/>
    </w:p>
    <w:p w14:paraId="3D3F3705">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79" w:name="_Toc522725731"/>
      <w:r>
        <w:rPr>
          <w:rFonts w:hint="eastAsia" w:ascii="宋体" w:hAnsi="宋体" w:cs="宋体"/>
          <w:color w:val="000000" w:themeColor="text1"/>
          <w:kern w:val="0"/>
          <w:sz w:val="24"/>
          <w:highlight w:val="none"/>
          <w14:textFill>
            <w14:solidFill>
              <w14:schemeClr w14:val="tx1"/>
            </w14:solidFill>
          </w14:textFill>
        </w:rPr>
        <w:t xml:space="preserve">3.5.1 评标委员会按本章第 2.2 款规定的量化因素和标准进行价格折算，计算出评标价，并编制价格比较一览表。 </w:t>
      </w:r>
    </w:p>
    <w:p w14:paraId="3C2BBAEC">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p>
    <w:p w14:paraId="05E81553">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80" w:name="_Toc16154"/>
      <w:bookmarkStart w:id="281" w:name="_Toc30786"/>
      <w:r>
        <w:rPr>
          <w:rFonts w:hint="eastAsia" w:ascii="宋体" w:hAnsi="宋体" w:cs="宋体"/>
          <w:color w:val="000000" w:themeColor="text1"/>
          <w:highlight w:val="none"/>
          <w14:textFill>
            <w14:solidFill>
              <w14:schemeClr w14:val="tx1"/>
            </w14:solidFill>
          </w14:textFill>
        </w:rPr>
        <w:t>3.6 投标文件相关信息的核查</w:t>
      </w:r>
      <w:bookmarkEnd w:id="279"/>
      <w:bookmarkEnd w:id="280"/>
      <w:bookmarkEnd w:id="281"/>
    </w:p>
    <w:p w14:paraId="51D5BC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评标过程中，评标委员会应査询交通运输主管部门“全国公路建设市场监督管理系统”，对投标人的资质、业绩、主要人员资历和目前在岗情况、信用等级等信息进行核实。若投标文件载明的信息与交通运输主管部门“全国公路建设市场监督管理系统”公布的信息不符，使得投标人的资格条件不符合招标文件规定的，评标委员会应否决其投标。</w:t>
      </w:r>
    </w:p>
    <w:p w14:paraId="3E1675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2F4A5CE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（1）有下列情形之一的，属于投标人相互串通投标：</w:t>
      </w:r>
    </w:p>
    <w:p w14:paraId="5D07592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a.投标人之间协商投标报价等投标文件的实质性内容；</w:t>
      </w:r>
    </w:p>
    <w:p w14:paraId="086B396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b.投标人之间约定中标人；</w:t>
      </w:r>
    </w:p>
    <w:p w14:paraId="750AC4B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c.投标人之间约定部分投标人放弃投标或中标；</w:t>
      </w:r>
    </w:p>
    <w:p w14:paraId="4DE916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d.属于同一集团、协会、商会等组织成员的投标人按照该组织要求协同投标；</w:t>
      </w:r>
    </w:p>
    <w:p w14:paraId="007BFE0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e.投标人之间为谋取中标或排斥特定投标人而采取的其他联合行动。</w:t>
      </w:r>
    </w:p>
    <w:p w14:paraId="3FC748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（2）有下列情形之一的，视为投标人相互串通投标：</w:t>
      </w:r>
    </w:p>
    <w:p w14:paraId="5A4EE0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a.不同投标人的投标文件由同一单位或个人编制；</w:t>
      </w:r>
    </w:p>
    <w:p w14:paraId="5DCE6F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b.不同投标人委托同一单位或个人办理投标事宜；</w:t>
      </w:r>
    </w:p>
    <w:p w14:paraId="615658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c.不同投标人的投标文件载明的项目管理成员为同一人；</w:t>
      </w:r>
    </w:p>
    <w:p w14:paraId="7461B2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d.不同投标人的投标文件异常一致或投标报价呈规律性差异；</w:t>
      </w:r>
    </w:p>
    <w:p w14:paraId="18A356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e.不同投标人的投标文件相互混装；</w:t>
      </w:r>
    </w:p>
    <w:p w14:paraId="77D6CB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f.不同投标人的投标保证金从同一单位或个人的账户转出。</w:t>
      </w:r>
    </w:p>
    <w:p w14:paraId="6E348BB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（3）有下列情形之一的，属于招标人与投标人串通投标：</w:t>
      </w:r>
    </w:p>
    <w:p w14:paraId="7A0AFAC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a.招标人在开标前开启投标文件并将有关信息泄露给其他投标人；</w:t>
      </w:r>
    </w:p>
    <w:p w14:paraId="57F927B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b.招标人直接或间接向投标人泄露标底、评标委员会成员等信息；</w:t>
      </w:r>
    </w:p>
    <w:p w14:paraId="5501232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c.招标人明示或暗示投标人压低或抬高投标报价；</w:t>
      </w:r>
    </w:p>
    <w:p w14:paraId="17099F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d.招标人授意投标人撤換、修改投标文件；</w:t>
      </w:r>
    </w:p>
    <w:p w14:paraId="5F56A4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e.招标人明示或暗示投标人为特定投标人中标提供方便；</w:t>
      </w:r>
    </w:p>
    <w:p w14:paraId="07F2EFD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f.招标人与投标人为谋求特定投标人中标而采取的其他串通行为。</w:t>
      </w:r>
    </w:p>
    <w:p w14:paraId="7D357D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（4）投标人有下列情形之一的，属于弄虚作假的行为： </w:t>
      </w:r>
    </w:p>
    <w:p w14:paraId="508612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a.使用通过受让或租借等方式获取的资格、资质证书投标； </w:t>
      </w:r>
    </w:p>
    <w:p w14:paraId="4AEFA5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b.使用伪造、变造的许可证件；</w:t>
      </w:r>
    </w:p>
    <w:p w14:paraId="3EDA11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c.提供虚假的财务状况或业绩；</w:t>
      </w:r>
    </w:p>
    <w:p w14:paraId="223D14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d.提供虚假的项目负责人或主要技术人员简历、劳动关系证明；</w:t>
      </w:r>
    </w:p>
    <w:p w14:paraId="39A4364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e.提供虚假的信用状况；</w:t>
      </w:r>
    </w:p>
    <w:p w14:paraId="178F7D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f.具他弄虚作假的行为。</w:t>
      </w:r>
    </w:p>
    <w:p w14:paraId="202BCA82">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82" w:name="_Toc522725732"/>
      <w:bookmarkStart w:id="283" w:name="_Toc21295"/>
      <w:bookmarkStart w:id="284" w:name="_Toc25115"/>
      <w:r>
        <w:rPr>
          <w:rFonts w:hint="eastAsia" w:ascii="宋体" w:hAnsi="宋体" w:cs="宋体"/>
          <w:color w:val="000000" w:themeColor="text1"/>
          <w:highlight w:val="none"/>
          <w14:textFill>
            <w14:solidFill>
              <w14:schemeClr w14:val="tx1"/>
            </w14:solidFill>
          </w14:textFill>
        </w:rPr>
        <w:t>3.7 投标文件的澄清和说明</w:t>
      </w:r>
      <w:bookmarkEnd w:id="282"/>
      <w:bookmarkEnd w:id="283"/>
      <w:bookmarkEnd w:id="284"/>
    </w:p>
    <w:p w14:paraId="2C62C2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59E6973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澄清和说明不得超出投标文件的范围或改变招标文件的实质性内容（算术性错误修正的除外）。投标人的书面澄清、说明属于投标文件的组成部分。</w:t>
      </w:r>
    </w:p>
    <w:p w14:paraId="6EDAC2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 评标委员会不得暗示或诱导投标人作出澄清、说明，对投标人提交的澄清、说明有疑问的，可以要求投标人进一步澄清或说明，直至满足评标委员会的要求。</w:t>
      </w:r>
    </w:p>
    <w:p w14:paraId="504453B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 凡超出招标文件规定的或给发包人带来未曾要求的利益的变化、偏差或其他因素在评标时不予考虑。</w:t>
      </w:r>
    </w:p>
    <w:p w14:paraId="3A761338">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85" w:name="_Toc3411"/>
      <w:bookmarkStart w:id="286" w:name="_Toc522725733"/>
      <w:bookmarkStart w:id="287" w:name="_Toc5475"/>
      <w:r>
        <w:rPr>
          <w:rFonts w:hint="eastAsia" w:ascii="宋体" w:hAnsi="宋体" w:cs="宋体"/>
          <w:color w:val="000000" w:themeColor="text1"/>
          <w:highlight w:val="none"/>
          <w14:textFill>
            <w14:solidFill>
              <w14:schemeClr w14:val="tx1"/>
            </w14:solidFill>
          </w14:textFill>
        </w:rPr>
        <w:t>3.8 不得否决投标的情形</w:t>
      </w:r>
      <w:bookmarkEnd w:id="285"/>
      <w:bookmarkEnd w:id="286"/>
      <w:bookmarkEnd w:id="287"/>
    </w:p>
    <w:p w14:paraId="309DEF6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投标文件存在第二章“投标人须知”第1.12.3项所列情形的，均视为细微偏差，评标委员会不得否决投标人的投标， 应按照第二章“投标人须知”第1.12.4项规定的原则处理。</w:t>
      </w:r>
    </w:p>
    <w:p w14:paraId="65652DBF">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88" w:name="_Toc522725734"/>
      <w:bookmarkStart w:id="289" w:name="_Toc14369"/>
      <w:bookmarkStart w:id="290" w:name="_Toc26258"/>
      <w:r>
        <w:rPr>
          <w:rFonts w:hint="eastAsia" w:ascii="宋体" w:hAnsi="宋体" w:cs="宋体"/>
          <w:color w:val="000000" w:themeColor="text1"/>
          <w:highlight w:val="none"/>
          <w14:textFill>
            <w14:solidFill>
              <w14:schemeClr w14:val="tx1"/>
            </w14:solidFill>
          </w14:textFill>
        </w:rPr>
        <w:t>3.9 评标结果</w:t>
      </w:r>
      <w:bookmarkEnd w:id="288"/>
      <w:bookmarkEnd w:id="289"/>
      <w:bookmarkEnd w:id="290"/>
    </w:p>
    <w:p w14:paraId="03632F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3.9.1除第二章“投标人须知”前附表授权直接确定中标人外，评标委员会按照得分由高到低的顺序推荐中标候选人，并标明排序。</w:t>
      </w:r>
    </w:p>
    <w:p w14:paraId="0FBBF154">
      <w:pPr>
        <w:pStyle w:val="55"/>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3.9.2 评标委员会完成评标后，应向招标人提交书面评标报告。</w:t>
      </w:r>
    </w:p>
    <w:p w14:paraId="78C5F44B">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EEB6C50">
      <w:pPr>
        <w:adjustRightInd w:val="0"/>
        <w:snapToGrid w:val="0"/>
        <w:spacing w:line="360" w:lineRule="auto"/>
        <w:rPr>
          <w:rFonts w:ascii="宋体" w:hAnsi="宋体"/>
          <w:color w:val="000000" w:themeColor="text1"/>
          <w:highlight w:val="none"/>
          <w14:textFill>
            <w14:solidFill>
              <w14:schemeClr w14:val="tx1"/>
            </w14:solidFill>
          </w14:textFill>
        </w:rPr>
      </w:pPr>
    </w:p>
    <w:p w14:paraId="14AFC7A3">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14:paraId="2F9A3ED2">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14:paraId="35FF594D">
      <w:pPr>
        <w:pStyle w:val="4"/>
        <w:jc w:val="center"/>
        <w:rPr>
          <w:color w:val="000000" w:themeColor="text1"/>
          <w:highlight w:val="none"/>
          <w14:textFill>
            <w14:solidFill>
              <w14:schemeClr w14:val="tx1"/>
            </w14:solidFill>
          </w14:textFill>
        </w:rPr>
      </w:pPr>
      <w:bookmarkStart w:id="291" w:name="_Toc43475747"/>
    </w:p>
    <w:p w14:paraId="27871A78">
      <w:pPr>
        <w:pStyle w:val="4"/>
        <w:jc w:val="center"/>
        <w:rPr>
          <w:color w:val="000000" w:themeColor="text1"/>
          <w:highlight w:val="none"/>
          <w14:textFill>
            <w14:solidFill>
              <w14:schemeClr w14:val="tx1"/>
            </w14:solidFill>
          </w14:textFill>
        </w:rPr>
      </w:pPr>
    </w:p>
    <w:p w14:paraId="64877F73">
      <w:pPr>
        <w:pStyle w:val="4"/>
        <w:jc w:val="center"/>
        <w:rPr>
          <w:color w:val="000000" w:themeColor="text1"/>
          <w:highlight w:val="none"/>
          <w14:textFill>
            <w14:solidFill>
              <w14:schemeClr w14:val="tx1"/>
            </w14:solidFill>
          </w14:textFill>
        </w:rPr>
      </w:pPr>
    </w:p>
    <w:p w14:paraId="1FE2DD9B">
      <w:pPr>
        <w:pStyle w:val="4"/>
        <w:jc w:val="center"/>
        <w:rPr>
          <w:color w:val="000000" w:themeColor="text1"/>
          <w:highlight w:val="none"/>
          <w14:textFill>
            <w14:solidFill>
              <w14:schemeClr w14:val="tx1"/>
            </w14:solidFill>
          </w14:textFill>
        </w:rPr>
      </w:pPr>
    </w:p>
    <w:bookmarkEnd w:id="291"/>
    <w:p w14:paraId="58875667">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第四章合同条款及格式</w:t>
      </w:r>
    </w:p>
    <w:p w14:paraId="03762744">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br w:type="page"/>
      </w:r>
    </w:p>
    <w:p w14:paraId="077298DD">
      <w:pPr>
        <w:pStyle w:val="5"/>
        <w:spacing w:after="120" w:line="240" w:lineRule="auto"/>
        <w:jc w:val="center"/>
        <w:rPr>
          <w:rFonts w:ascii="宋体" w:hAnsi="宋体"/>
          <w:color w:val="000000" w:themeColor="text1"/>
          <w:highlight w:val="none"/>
          <w14:textFill>
            <w14:solidFill>
              <w14:schemeClr w14:val="tx1"/>
            </w14:solidFill>
          </w14:textFill>
        </w:rPr>
      </w:pPr>
      <w:bookmarkStart w:id="292" w:name="_Toc26318"/>
      <w:bookmarkEnd w:id="292"/>
      <w:bookmarkStart w:id="293" w:name="_Toc505844394"/>
      <w:bookmarkEnd w:id="293"/>
      <w:bookmarkStart w:id="294" w:name="_Toc43475748"/>
      <w:bookmarkEnd w:id="294"/>
      <w:r>
        <w:rPr>
          <w:rFonts w:hint="eastAsia" w:ascii="宋体" w:hAnsi="宋体"/>
          <w:color w:val="000000" w:themeColor="text1"/>
          <w:sz w:val="44"/>
          <w:szCs w:val="44"/>
          <w:highlight w:val="none"/>
          <w14:textFill>
            <w14:solidFill>
              <w14:schemeClr w14:val="tx1"/>
            </w14:solidFill>
          </w14:textFill>
        </w:rPr>
        <w:t>第一节通用合同条款</w:t>
      </w:r>
    </w:p>
    <w:p w14:paraId="5B2A2C4B">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（通用合同条款的内容与《中华人民共和国交通运输部公路工程标准施工招标文件》（2018年版）不一致时，以《中华人民共和国交通运输部公路工程标准施工招标文件》（2018年版）为准）</w:t>
      </w:r>
    </w:p>
    <w:p w14:paraId="0C175850">
      <w:pPr>
        <w:spacing w:line="400" w:lineRule="exact"/>
        <w:jc w:val="center"/>
        <w:rPr>
          <w:rFonts w:ascii="宋体" w:hAnsi="宋体" w:cs="宋体"/>
          <w:color w:val="000000" w:themeColor="text1"/>
          <w:sz w:val="30"/>
          <w:szCs w:val="30"/>
          <w:highlight w:val="none"/>
          <w14:textFill>
            <w14:solidFill>
              <w14:schemeClr w14:val="tx1"/>
            </w14:solidFill>
          </w14:textFill>
        </w:rPr>
      </w:pPr>
    </w:p>
    <w:p w14:paraId="68F8C98D">
      <w:pPr>
        <w:spacing w:before="240" w:line="400" w:lineRule="exact"/>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通用合同条款</w:t>
      </w:r>
    </w:p>
    <w:p w14:paraId="6305EA35">
      <w:pPr>
        <w:pStyle w:val="78"/>
        <w:rPr>
          <w:rFonts w:ascii="宋体" w:hAnsi="宋体"/>
          <w:color w:val="000000" w:themeColor="text1"/>
          <w:sz w:val="24"/>
          <w:szCs w:val="24"/>
          <w:highlight w:val="none"/>
          <w14:textFill>
            <w14:solidFill>
              <w14:schemeClr w14:val="tx1"/>
            </w14:solidFill>
          </w14:textFill>
        </w:rPr>
      </w:pPr>
      <w:bookmarkStart w:id="295" w:name="_Toc393546275"/>
      <w:bookmarkEnd w:id="295"/>
      <w:bookmarkStart w:id="296" w:name="_Toc43475749"/>
      <w:bookmarkEnd w:id="296"/>
      <w:bookmarkStart w:id="297" w:name="_Toc179632629"/>
      <w:bookmarkEnd w:id="297"/>
      <w:bookmarkStart w:id="298" w:name="_Toc152045611"/>
      <w:bookmarkEnd w:id="298"/>
      <w:bookmarkStart w:id="299" w:name="_Toc386467021"/>
      <w:bookmarkEnd w:id="299"/>
      <w:bookmarkStart w:id="300" w:name="_Toc330406216"/>
      <w:bookmarkEnd w:id="300"/>
      <w:bookmarkStart w:id="301" w:name="_Toc144974579"/>
      <w:bookmarkEnd w:id="301"/>
      <w:bookmarkStart w:id="302" w:name="_Toc152042389"/>
      <w:bookmarkEnd w:id="302"/>
      <w:r>
        <w:rPr>
          <w:rFonts w:hint="eastAsia" w:ascii="宋体" w:hAnsi="宋体"/>
          <w:color w:val="000000" w:themeColor="text1"/>
          <w:sz w:val="24"/>
          <w:szCs w:val="24"/>
          <w:highlight w:val="none"/>
          <w14:textFill>
            <w14:solidFill>
              <w14:schemeClr w14:val="tx1"/>
            </w14:solidFill>
          </w14:textFill>
        </w:rPr>
        <w:t>1. 一般约定</w:t>
      </w:r>
    </w:p>
    <w:p w14:paraId="1A70F726">
      <w:pPr>
        <w:pStyle w:val="67"/>
        <w:ind w:firstLine="118"/>
        <w:rPr>
          <w:rFonts w:ascii="宋体" w:eastAsia="宋体"/>
          <w:b/>
          <w:bCs/>
          <w:color w:val="000000" w:themeColor="text1"/>
          <w:szCs w:val="24"/>
          <w:highlight w:val="none"/>
          <w14:textFill>
            <w14:solidFill>
              <w14:schemeClr w14:val="tx1"/>
            </w14:solidFill>
          </w14:textFill>
        </w:rPr>
      </w:pPr>
      <w:bookmarkStart w:id="303" w:name="_Toc43475750"/>
      <w:bookmarkEnd w:id="303"/>
      <w:bookmarkStart w:id="304" w:name="_Toc386467022"/>
      <w:bookmarkEnd w:id="304"/>
      <w:bookmarkStart w:id="305" w:name="_Toc393546276"/>
      <w:bookmarkEnd w:id="305"/>
      <w:r>
        <w:rPr>
          <w:rFonts w:hint="eastAsia" w:ascii="宋体" w:eastAsia="宋体"/>
          <w:b/>
          <w:bCs/>
          <w:color w:val="000000" w:themeColor="text1"/>
          <w:szCs w:val="24"/>
          <w:highlight w:val="none"/>
          <w14:textFill>
            <w14:solidFill>
              <w14:schemeClr w14:val="tx1"/>
            </w14:solidFill>
          </w14:textFill>
        </w:rPr>
        <w:t>1.1 词语定义</w:t>
      </w:r>
    </w:p>
    <w:p w14:paraId="0DA9A9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通用合同条款、专用合同条款中的下列词语应具有本款所赋予的含义。</w:t>
      </w:r>
    </w:p>
    <w:p w14:paraId="27AA5D83">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 合同</w:t>
      </w:r>
    </w:p>
    <w:p w14:paraId="035DF8A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合同文件（或称合同）：指合同协议书、中标通知书、投标函及投标函附录、专用合同条款、通用合同条款、技术标准和要求、图纸、已标价工程量清单，以及其他合同文件。</w:t>
      </w:r>
    </w:p>
    <w:p w14:paraId="5FBF461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合同协议书：指第1.5款所指的合同协议书。</w:t>
      </w:r>
    </w:p>
    <w:p w14:paraId="65E1454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中标通知书：指发包人通知承包人中标的函件。</w:t>
      </w:r>
    </w:p>
    <w:p w14:paraId="1E5C871B">
      <w:pPr>
        <w:spacing w:line="400" w:lineRule="exact"/>
        <w:ind w:firstLine="820" w:firstLineChars="342"/>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投标函：指构成合同文件组成部分的由承包人填写并签署的投标函。</w:t>
      </w:r>
    </w:p>
    <w:p w14:paraId="2987CED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 投标函附录：指附在投标函后构成合同文件的投标函附录。</w:t>
      </w:r>
    </w:p>
    <w:p w14:paraId="0954532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 技术标准和要求：指构成合同文件组成部分的名为技术标准和要求的文件，包括合同双方当事人约定对其所作的修改或补充。</w:t>
      </w:r>
    </w:p>
    <w:p w14:paraId="20DADAA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1.1.1.7图纸：指包含在合同中的工程图纸，以及由发包人按合同约定提供的任何补充和修改的图纸，包括配套的说明。</w:t>
      </w:r>
    </w:p>
    <w:p w14:paraId="02C0262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1.1.1.8 已标价工程量清单：指构成合同文件组成部分的由承包人按照规定的格式和要求填写并标明价格的工程量清单。</w:t>
      </w:r>
    </w:p>
    <w:p w14:paraId="6261156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1.1.1.9 其他合同文件：指经合同双方当事人确认构成合同文件的其他文件。</w:t>
      </w:r>
    </w:p>
    <w:p w14:paraId="0B0E65B3">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 合同当事人和人员</w:t>
      </w:r>
    </w:p>
    <w:p w14:paraId="6B7E59E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合同当事人：指发包人和（或）承包人。</w:t>
      </w:r>
    </w:p>
    <w:p w14:paraId="46AB2EA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发包人：指专用合同条款中指明并与承包人在合同协议书中签字的当事人。</w:t>
      </w:r>
    </w:p>
    <w:p w14:paraId="5F4A345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 承包人：指与发包人签订合同协议书的当事人。</w:t>
      </w:r>
    </w:p>
    <w:p w14:paraId="7DFD01D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 承包人项目经理：指承包人派驻施工场地的全权负责人。</w:t>
      </w:r>
    </w:p>
    <w:p w14:paraId="57C0AD0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分包人：指从承包人处分包合同中某一部分工程，并与其签订分包合同的分包人。</w:t>
      </w:r>
    </w:p>
    <w:p w14:paraId="32F4699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 监理人：指在专用合同条款中指明的，受发包人委托对合同履行实施管理的法人或其他组织。</w:t>
      </w:r>
    </w:p>
    <w:p w14:paraId="0F7A8C6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 总监理工程师（总监）：指由监理人委派常驻施工场地对合同履行实施管理的全权负责人。</w:t>
      </w:r>
    </w:p>
    <w:p w14:paraId="72FD2622">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1.1.3 工程和设备</w:t>
      </w:r>
    </w:p>
    <w:p w14:paraId="2723D32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 工程：指永久工程和（或）临时工程。</w:t>
      </w:r>
    </w:p>
    <w:p w14:paraId="12D644A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永久工程：指按合同约定建造并移交给发包人的工程，包括工程设备。</w:t>
      </w:r>
    </w:p>
    <w:p w14:paraId="1C75497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 临时工程：指为完成合同约定的永久工程所修建的各类临时性工程，不包括施工设备。</w:t>
      </w:r>
    </w:p>
    <w:p w14:paraId="4038F3F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 单位工程：指专用合同条款中指明特定范围的永久工程。</w:t>
      </w:r>
    </w:p>
    <w:p w14:paraId="2FC41A3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 工程设备：指构成或计划构成永久工程一部分的机电设备、金属结构设备、仪器装置及其他类似的设备和装置。</w:t>
      </w:r>
    </w:p>
    <w:p w14:paraId="13A58F2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1.1.3.6 施工设备：指为完成合同约定的各项工作所需的设备、器具和其他物品，不包括临时工程和材料。</w:t>
      </w:r>
    </w:p>
    <w:p w14:paraId="625810C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临时设施：指为完成合同约定的各项工作所服务的临时性生产和生活设施。</w:t>
      </w:r>
    </w:p>
    <w:p w14:paraId="2A68D1D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1.1.3.8 承包人设备：指承包人自带的施工设备。</w:t>
      </w:r>
    </w:p>
    <w:p w14:paraId="753434D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施工场地（或称工地、现场）：指用于合同工程施工的场所，以及在合同中指定作为施工场地组成部分的其他场所，包括永久占地和临时占地。</w:t>
      </w:r>
    </w:p>
    <w:p w14:paraId="18884DE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永久占地：指专用合同条款中指明为实施合同工程需永久占用的土地。</w:t>
      </w:r>
    </w:p>
    <w:p w14:paraId="6647379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1.1.3.11 临时占地：指专用合同条款中指明为实施合同工程需临时占用的土地。</w:t>
      </w:r>
    </w:p>
    <w:p w14:paraId="7DF1FCEB">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1.1.4 日期</w:t>
      </w:r>
    </w:p>
    <w:p w14:paraId="768CDFE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1.1.4.1 开工通知：指监理人按第11.1款通知承包人开工的函件。</w:t>
      </w:r>
    </w:p>
    <w:p w14:paraId="11292A0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1.1.4.2 开工日期：指监理人按第11.1款发出的开工通知中写明的开工日期。</w:t>
      </w:r>
    </w:p>
    <w:p w14:paraId="054B63E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1.1.4.3工期：指承包人在投标函中承诺的完成合同工程所需的期限，包括按第11.3款、第11.4款和第11.6款约定所作的变更。</w:t>
      </w:r>
    </w:p>
    <w:p w14:paraId="217C767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1.1.4.4 竣工日期：指第1.1.4.3目约定工期届满时的日期。实际竣工日期以工程接收证书中写明的日期为准。</w:t>
      </w:r>
    </w:p>
    <w:p w14:paraId="44BD788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1.1.4.5 缺陷责任期：指履行第19.2款约定的缺陷责任的期限，具体期限由专用合同条款约定，包括根据第19.3款约定所作的延长。</w:t>
      </w:r>
    </w:p>
    <w:p w14:paraId="65C7960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1.1.4.6 基准日期：指投标截止时间前28天的日期。</w:t>
      </w:r>
    </w:p>
    <w:p w14:paraId="64A9206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1.1.4.7 天：除特别指明外，指日历天。合同中按天计算时间的，开始当天不计入，从次日开始计算。期限最后一天的截止时间为当天24:00。</w:t>
      </w:r>
    </w:p>
    <w:p w14:paraId="2EF36E58">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1.1.5 合同价格和费用</w:t>
      </w:r>
    </w:p>
    <w:p w14:paraId="74546EC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1.1.5.1 签约合同价：指签定合同时合同协议书中写明的，包括了暂列金额、暂估价的合同总金额。</w:t>
      </w:r>
    </w:p>
    <w:p w14:paraId="0176D62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14:paraId="344503B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1.1.5.3 费用：指为履行合同所发生的或将要发生的所有合理开支，包括管理费和应分摊的其他费用，但不包括利润。</w:t>
      </w:r>
    </w:p>
    <w:p w14:paraId="50C085C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1.1.5.4 暂列金额：指已标价工程量清单中所列的暂列金额，用于在签订协议书时尚未确定或不可预见变更的施工及其所需材料、工程设备、服务等的金额，包括以计日工方式支付的金额。</w:t>
      </w:r>
    </w:p>
    <w:p w14:paraId="025AA08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1.1.5.5暂估价：指发包人在工程量清单中给定的用于支付必然发生但暂时不能确定价格的材料、设备以及专业工程的金额。</w:t>
      </w:r>
    </w:p>
    <w:p w14:paraId="1315485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1.1.5.6 计日工：指对零星工作采取的一种计价方式，按合同中的计日工子目及其单价计价付款。</w:t>
      </w:r>
    </w:p>
    <w:p w14:paraId="647B986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1.1.5.7 质量保证金（或称保留金）：指按第17.4.1项约定用于保证在缺陷责任期内履行缺陷修复义务的金额。</w:t>
      </w:r>
    </w:p>
    <w:p w14:paraId="125AA0CF">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1.1.6 其他</w:t>
      </w:r>
    </w:p>
    <w:p w14:paraId="23CA8F4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 书面形式：指合同文件、信函、电报、传真等可以有形地表现所载内容的形式。</w:t>
      </w:r>
    </w:p>
    <w:p w14:paraId="7368ECA3">
      <w:pPr>
        <w:pStyle w:val="67"/>
        <w:ind w:firstLine="118"/>
        <w:rPr>
          <w:rFonts w:ascii="宋体" w:eastAsia="宋体"/>
          <w:b/>
          <w:bCs/>
          <w:color w:val="000000" w:themeColor="text1"/>
          <w:szCs w:val="24"/>
          <w:highlight w:val="none"/>
          <w14:textFill>
            <w14:solidFill>
              <w14:schemeClr w14:val="tx1"/>
            </w14:solidFill>
          </w14:textFill>
        </w:rPr>
      </w:pPr>
      <w:bookmarkStart w:id="306" w:name="_Toc393546277"/>
      <w:bookmarkEnd w:id="306"/>
      <w:bookmarkStart w:id="307" w:name="_Toc152045613"/>
      <w:bookmarkEnd w:id="307"/>
      <w:bookmarkStart w:id="308" w:name="_Toc330406218"/>
      <w:bookmarkEnd w:id="308"/>
      <w:bookmarkStart w:id="309" w:name="_Toc152042391"/>
      <w:bookmarkEnd w:id="309"/>
      <w:bookmarkStart w:id="310" w:name="_Toc144974581"/>
      <w:bookmarkEnd w:id="310"/>
      <w:bookmarkStart w:id="311" w:name="_Toc179632631"/>
      <w:bookmarkEnd w:id="311"/>
      <w:bookmarkStart w:id="312" w:name="_Toc386467023"/>
      <w:bookmarkEnd w:id="312"/>
      <w:bookmarkStart w:id="313" w:name="_Toc43475751"/>
      <w:bookmarkEnd w:id="313"/>
      <w:r>
        <w:rPr>
          <w:rFonts w:hint="eastAsia" w:ascii="宋体" w:eastAsia="宋体"/>
          <w:b/>
          <w:bCs/>
          <w:color w:val="000000" w:themeColor="text1"/>
          <w:szCs w:val="24"/>
          <w:highlight w:val="none"/>
          <w14:textFill>
            <w14:solidFill>
              <w14:schemeClr w14:val="tx1"/>
            </w14:solidFill>
          </w14:textFill>
        </w:rPr>
        <w:t>1.2 语言文字</w:t>
      </w:r>
    </w:p>
    <w:p w14:paraId="2F41E9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除专用术语外，合同使用的语言文字为中文。必要时专用术语应附有中文注释。</w:t>
      </w:r>
    </w:p>
    <w:p w14:paraId="3C8E7B4E">
      <w:pPr>
        <w:pStyle w:val="67"/>
        <w:ind w:firstLine="118"/>
        <w:rPr>
          <w:rFonts w:ascii="宋体" w:eastAsia="宋体"/>
          <w:b/>
          <w:bCs/>
          <w:color w:val="000000" w:themeColor="text1"/>
          <w:szCs w:val="24"/>
          <w:highlight w:val="none"/>
          <w14:textFill>
            <w14:solidFill>
              <w14:schemeClr w14:val="tx1"/>
            </w14:solidFill>
          </w14:textFill>
        </w:rPr>
      </w:pPr>
      <w:bookmarkStart w:id="314" w:name="_Toc152042392"/>
      <w:bookmarkEnd w:id="314"/>
      <w:bookmarkStart w:id="315" w:name="_Toc179632632"/>
      <w:bookmarkEnd w:id="315"/>
      <w:bookmarkStart w:id="316" w:name="_Toc144974582"/>
      <w:bookmarkEnd w:id="316"/>
      <w:bookmarkStart w:id="317" w:name="_Toc43475752"/>
      <w:bookmarkEnd w:id="317"/>
      <w:bookmarkStart w:id="318" w:name="_Toc393546278"/>
      <w:bookmarkEnd w:id="318"/>
      <w:bookmarkStart w:id="319" w:name="_Toc386467024"/>
      <w:bookmarkEnd w:id="319"/>
      <w:bookmarkStart w:id="320" w:name="_Toc330406219"/>
      <w:bookmarkEnd w:id="320"/>
      <w:bookmarkStart w:id="321" w:name="_Toc152045614"/>
      <w:bookmarkEnd w:id="321"/>
      <w:r>
        <w:rPr>
          <w:rFonts w:hint="eastAsia" w:ascii="宋体" w:eastAsia="宋体"/>
          <w:b/>
          <w:bCs/>
          <w:color w:val="000000" w:themeColor="text1"/>
          <w:szCs w:val="24"/>
          <w:highlight w:val="none"/>
          <w14:textFill>
            <w14:solidFill>
              <w14:schemeClr w14:val="tx1"/>
            </w14:solidFill>
          </w14:textFill>
        </w:rPr>
        <w:t>1.3 法律</w:t>
      </w:r>
    </w:p>
    <w:p w14:paraId="49AA1C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适用于合同的法律包括中华人民共和国法律、行政法规、部门规章，以及工程所在地的地方法规、自治条例、单行条例和地方政府规章。</w:t>
      </w:r>
    </w:p>
    <w:p w14:paraId="0B549C82">
      <w:pPr>
        <w:pStyle w:val="67"/>
        <w:ind w:firstLine="118"/>
        <w:rPr>
          <w:rFonts w:ascii="宋体" w:eastAsia="宋体"/>
          <w:b/>
          <w:bCs/>
          <w:color w:val="000000" w:themeColor="text1"/>
          <w:szCs w:val="24"/>
          <w:highlight w:val="none"/>
          <w14:textFill>
            <w14:solidFill>
              <w14:schemeClr w14:val="tx1"/>
            </w14:solidFill>
          </w14:textFill>
        </w:rPr>
      </w:pPr>
      <w:bookmarkStart w:id="322" w:name="_Toc43475753"/>
      <w:bookmarkEnd w:id="322"/>
      <w:bookmarkStart w:id="323" w:name="_Toc386467025"/>
      <w:bookmarkEnd w:id="323"/>
      <w:bookmarkStart w:id="324" w:name="_Toc393546279"/>
      <w:bookmarkEnd w:id="324"/>
      <w:r>
        <w:rPr>
          <w:rFonts w:hint="eastAsia" w:ascii="宋体" w:eastAsia="宋体"/>
          <w:b/>
          <w:bCs/>
          <w:color w:val="000000" w:themeColor="text1"/>
          <w:szCs w:val="24"/>
          <w:highlight w:val="none"/>
          <w14:textFill>
            <w14:solidFill>
              <w14:schemeClr w14:val="tx1"/>
            </w14:solidFill>
          </w14:textFill>
        </w:rPr>
        <w:t>1.4 合同文件的优先顺序</w:t>
      </w:r>
    </w:p>
    <w:p w14:paraId="6625B7C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组成合同的各项文件应互相解释，互为说明。除专用合同条款另有约定外，解释合同文件的优先顺序如下：</w:t>
      </w:r>
    </w:p>
    <w:p w14:paraId="7A943E0E">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w:t>
      </w:r>
    </w:p>
    <w:p w14:paraId="08A1C4E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14:paraId="38B4BBF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14:paraId="445242F2">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（4）专用合同条款；</w:t>
      </w:r>
    </w:p>
    <w:p w14:paraId="459BD0D0">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（5）通用合同条款；</w:t>
      </w:r>
    </w:p>
    <w:p w14:paraId="3CFA0FC8">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（6）技术标准和要求；</w:t>
      </w:r>
    </w:p>
    <w:p w14:paraId="57A0746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（7）图纸；</w:t>
      </w:r>
    </w:p>
    <w:p w14:paraId="55AAE9D0">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（8）已标价工程量清单；</w:t>
      </w:r>
    </w:p>
    <w:p w14:paraId="23A059D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（9）其他合同文件。</w:t>
      </w:r>
    </w:p>
    <w:p w14:paraId="6B7AE6AA">
      <w:pPr>
        <w:pStyle w:val="67"/>
        <w:ind w:firstLine="118"/>
        <w:rPr>
          <w:rFonts w:ascii="宋体" w:eastAsia="宋体"/>
          <w:b/>
          <w:bCs/>
          <w:color w:val="000000" w:themeColor="text1"/>
          <w:szCs w:val="24"/>
          <w:highlight w:val="none"/>
          <w14:textFill>
            <w14:solidFill>
              <w14:schemeClr w14:val="tx1"/>
            </w14:solidFill>
          </w14:textFill>
        </w:rPr>
      </w:pPr>
      <w:bookmarkStart w:id="325" w:name="_Toc43475754"/>
      <w:bookmarkEnd w:id="325"/>
      <w:bookmarkStart w:id="326" w:name="_Toc393546280"/>
      <w:bookmarkEnd w:id="326"/>
      <w:bookmarkStart w:id="327" w:name="_Toc386467026"/>
      <w:bookmarkEnd w:id="327"/>
      <w:r>
        <w:rPr>
          <w:rFonts w:hint="eastAsia" w:ascii="宋体" w:eastAsia="宋体"/>
          <w:b/>
          <w:bCs/>
          <w:color w:val="000000" w:themeColor="text1"/>
          <w:szCs w:val="24"/>
          <w:highlight w:val="none"/>
          <w14:textFill>
            <w14:solidFill>
              <w14:schemeClr w14:val="tx1"/>
            </w14:solidFill>
          </w14:textFill>
        </w:rPr>
        <w:t>1.5 合同协议书</w:t>
      </w:r>
    </w:p>
    <w:p w14:paraId="4B191E4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14:paraId="20D5FE5E">
      <w:pPr>
        <w:pStyle w:val="67"/>
        <w:ind w:firstLine="118"/>
        <w:rPr>
          <w:rFonts w:ascii="宋体" w:eastAsia="宋体"/>
          <w:b/>
          <w:bCs/>
          <w:color w:val="000000" w:themeColor="text1"/>
          <w:szCs w:val="24"/>
          <w:highlight w:val="none"/>
          <w14:textFill>
            <w14:solidFill>
              <w14:schemeClr w14:val="tx1"/>
            </w14:solidFill>
          </w14:textFill>
        </w:rPr>
      </w:pPr>
      <w:bookmarkStart w:id="328" w:name="_Toc386467027"/>
      <w:bookmarkEnd w:id="328"/>
      <w:bookmarkStart w:id="329" w:name="_Toc393546281"/>
      <w:bookmarkEnd w:id="329"/>
      <w:bookmarkStart w:id="330" w:name="_Toc43475755"/>
      <w:bookmarkEnd w:id="330"/>
      <w:r>
        <w:rPr>
          <w:rFonts w:hint="eastAsia" w:ascii="宋体" w:eastAsia="宋体"/>
          <w:b/>
          <w:bCs/>
          <w:color w:val="000000" w:themeColor="text1"/>
          <w:szCs w:val="24"/>
          <w:highlight w:val="none"/>
          <w14:textFill>
            <w14:solidFill>
              <w14:schemeClr w14:val="tx1"/>
            </w14:solidFill>
          </w14:textFill>
        </w:rPr>
        <w:t>1.6 图纸和承包人文件</w:t>
      </w:r>
    </w:p>
    <w:p w14:paraId="491BEE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1.6.1图纸的提供</w:t>
      </w:r>
    </w:p>
    <w:p w14:paraId="43A363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除专用合同条款另有约定外，图纸应在合理的期限内按照合同约定的数量提供给承包人。由于发包人未按时提供图纸造成工期延误的，按第11.3款的约定办理。</w:t>
      </w:r>
    </w:p>
    <w:p w14:paraId="0B27BA7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承包人提供的文件</w:t>
      </w:r>
    </w:p>
    <w:p w14:paraId="21B0C1C4">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按专用合同条款约定由承包人提供的文件，包括部分工程的大样图、加工图等，承包人应按约定的数量和期限报送监理人。监理人应在专用合同条款约定的期限内批复。</w:t>
      </w:r>
    </w:p>
    <w:p w14:paraId="5826B2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14:paraId="3DB2E5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102390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14:paraId="627160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承包人发现发包人提供的图纸存在明显错误或疏忽，应及时通知监理人。</w:t>
      </w:r>
    </w:p>
    <w:p w14:paraId="4B7BCF5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图纸和承包人文件的保管</w:t>
      </w:r>
    </w:p>
    <w:p w14:paraId="181A55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监理人和承包人均应在施工场地各保存一套完整的包含第1.6.1项、第1.6.2项、第1.6.3项约定内容的图纸和承包人文件。</w:t>
      </w:r>
    </w:p>
    <w:p w14:paraId="2CB89B81">
      <w:pPr>
        <w:pStyle w:val="67"/>
        <w:ind w:firstLine="118"/>
        <w:rPr>
          <w:rFonts w:ascii="宋体" w:eastAsia="宋体"/>
          <w:b/>
          <w:bCs/>
          <w:color w:val="000000" w:themeColor="text1"/>
          <w:szCs w:val="24"/>
          <w:highlight w:val="none"/>
          <w14:textFill>
            <w14:solidFill>
              <w14:schemeClr w14:val="tx1"/>
            </w14:solidFill>
          </w14:textFill>
        </w:rPr>
      </w:pPr>
      <w:bookmarkStart w:id="331" w:name="_Toc386467028"/>
      <w:bookmarkEnd w:id="331"/>
      <w:bookmarkStart w:id="332" w:name="_Toc330406223"/>
      <w:bookmarkEnd w:id="332"/>
      <w:bookmarkStart w:id="333" w:name="_Toc43475756"/>
      <w:bookmarkEnd w:id="333"/>
      <w:bookmarkStart w:id="334" w:name="_Toc179632636"/>
      <w:bookmarkEnd w:id="334"/>
      <w:bookmarkStart w:id="335" w:name="_Toc152045618"/>
      <w:bookmarkEnd w:id="335"/>
      <w:bookmarkStart w:id="336" w:name="_Toc393546282"/>
      <w:bookmarkEnd w:id="336"/>
      <w:bookmarkStart w:id="337" w:name="_Toc144974586"/>
      <w:bookmarkEnd w:id="337"/>
      <w:bookmarkStart w:id="338" w:name="_Toc152042396"/>
      <w:bookmarkEnd w:id="338"/>
      <w:r>
        <w:rPr>
          <w:rFonts w:hint="eastAsia" w:ascii="宋体" w:eastAsia="宋体"/>
          <w:b/>
          <w:bCs/>
          <w:color w:val="000000" w:themeColor="text1"/>
          <w:szCs w:val="24"/>
          <w:highlight w:val="none"/>
          <w14:textFill>
            <w14:solidFill>
              <w14:schemeClr w14:val="tx1"/>
            </w14:solidFill>
          </w14:textFill>
        </w:rPr>
        <w:t>1.7 联络</w:t>
      </w:r>
    </w:p>
    <w:p w14:paraId="711E1B1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与合同有关的通知、批准、证明、证书、指示、要求、请求、同意、意见、确定和决定等，均应采用书面形式。</w:t>
      </w:r>
    </w:p>
    <w:p w14:paraId="08E44B7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第1.7.1项中的通知、批准、证明、证书、指示、要求、请求、同意、意见、确定和决定等来往函件，均应在合同约定的期限内送达指定地点和接收人，并办理签收手续。</w:t>
      </w:r>
    </w:p>
    <w:p w14:paraId="667882F2">
      <w:pPr>
        <w:pStyle w:val="67"/>
        <w:ind w:firstLine="118"/>
        <w:rPr>
          <w:rFonts w:ascii="宋体" w:eastAsia="宋体"/>
          <w:b/>
          <w:bCs/>
          <w:color w:val="000000" w:themeColor="text1"/>
          <w:szCs w:val="24"/>
          <w:highlight w:val="none"/>
          <w14:textFill>
            <w14:solidFill>
              <w14:schemeClr w14:val="tx1"/>
            </w14:solidFill>
          </w14:textFill>
        </w:rPr>
      </w:pPr>
      <w:bookmarkStart w:id="339" w:name="_Toc179632637"/>
      <w:bookmarkEnd w:id="339"/>
      <w:bookmarkStart w:id="340" w:name="_Toc144974587"/>
      <w:bookmarkEnd w:id="340"/>
      <w:bookmarkStart w:id="341" w:name="_Toc330406224"/>
      <w:bookmarkEnd w:id="341"/>
      <w:bookmarkStart w:id="342" w:name="_Toc152042397"/>
      <w:bookmarkEnd w:id="342"/>
      <w:bookmarkStart w:id="343" w:name="_Toc43475757"/>
      <w:bookmarkEnd w:id="343"/>
      <w:bookmarkStart w:id="344" w:name="_Toc152045619"/>
      <w:bookmarkEnd w:id="344"/>
      <w:bookmarkStart w:id="345" w:name="_Toc386467029"/>
      <w:bookmarkEnd w:id="345"/>
      <w:bookmarkStart w:id="346" w:name="_Toc393546283"/>
      <w:bookmarkEnd w:id="346"/>
      <w:r>
        <w:rPr>
          <w:rFonts w:hint="eastAsia" w:ascii="宋体" w:eastAsia="宋体"/>
          <w:b/>
          <w:bCs/>
          <w:color w:val="000000" w:themeColor="text1"/>
          <w:szCs w:val="24"/>
          <w:highlight w:val="none"/>
          <w14:textFill>
            <w14:solidFill>
              <w14:schemeClr w14:val="tx1"/>
            </w14:solidFill>
          </w14:textFill>
        </w:rPr>
        <w:t>1.8 转让</w:t>
      </w:r>
    </w:p>
    <w:p w14:paraId="0D54C1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除合同另有约定外，未经对方当事人同意，一方当事人不得将合同权利全部或部分转让给第三人，也不得全部或部分转移合同义务。</w:t>
      </w:r>
    </w:p>
    <w:p w14:paraId="7B644D7C">
      <w:pPr>
        <w:pStyle w:val="67"/>
        <w:ind w:firstLine="118"/>
        <w:rPr>
          <w:rFonts w:ascii="宋体" w:eastAsia="宋体"/>
          <w:b/>
          <w:bCs/>
          <w:color w:val="000000" w:themeColor="text1"/>
          <w:szCs w:val="24"/>
          <w:highlight w:val="none"/>
          <w14:textFill>
            <w14:solidFill>
              <w14:schemeClr w14:val="tx1"/>
            </w14:solidFill>
          </w14:textFill>
        </w:rPr>
      </w:pPr>
      <w:bookmarkStart w:id="347" w:name="_Toc393546284"/>
      <w:bookmarkEnd w:id="347"/>
      <w:bookmarkStart w:id="348" w:name="_Toc386467030"/>
      <w:bookmarkEnd w:id="348"/>
      <w:bookmarkStart w:id="349" w:name="_Toc43475758"/>
      <w:bookmarkEnd w:id="349"/>
      <w:r>
        <w:rPr>
          <w:rFonts w:hint="eastAsia" w:ascii="宋体" w:eastAsia="宋体"/>
          <w:b/>
          <w:bCs/>
          <w:color w:val="000000" w:themeColor="text1"/>
          <w:szCs w:val="24"/>
          <w:highlight w:val="none"/>
          <w14:textFill>
            <w14:solidFill>
              <w14:schemeClr w14:val="tx1"/>
            </w14:solidFill>
          </w14:textFill>
        </w:rPr>
        <w:t>1.9 严禁贿赂</w:t>
      </w:r>
    </w:p>
    <w:p w14:paraId="586C27E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14:paraId="01D80358">
      <w:pPr>
        <w:pStyle w:val="67"/>
        <w:ind w:firstLine="118"/>
        <w:rPr>
          <w:rFonts w:ascii="宋体" w:eastAsia="宋体"/>
          <w:color w:val="000000" w:themeColor="text1"/>
          <w:szCs w:val="24"/>
          <w:highlight w:val="none"/>
          <w14:textFill>
            <w14:solidFill>
              <w14:schemeClr w14:val="tx1"/>
            </w14:solidFill>
          </w14:textFill>
        </w:rPr>
      </w:pPr>
      <w:bookmarkStart w:id="350" w:name="_Toc152045621"/>
      <w:bookmarkEnd w:id="350"/>
      <w:bookmarkStart w:id="351" w:name="_Toc144974589"/>
      <w:bookmarkEnd w:id="351"/>
      <w:bookmarkStart w:id="352" w:name="_Toc386467031"/>
      <w:bookmarkEnd w:id="352"/>
      <w:bookmarkStart w:id="353" w:name="_Toc43475759"/>
      <w:bookmarkEnd w:id="353"/>
      <w:bookmarkStart w:id="354" w:name="_Toc152042399"/>
      <w:bookmarkEnd w:id="354"/>
      <w:bookmarkStart w:id="355" w:name="_Toc179632639"/>
      <w:bookmarkEnd w:id="355"/>
      <w:bookmarkStart w:id="356" w:name="_Toc330406226"/>
      <w:bookmarkEnd w:id="356"/>
      <w:bookmarkStart w:id="357" w:name="_Toc393546285"/>
      <w:bookmarkEnd w:id="357"/>
      <w:r>
        <w:rPr>
          <w:rFonts w:hint="eastAsia" w:ascii="宋体" w:eastAsia="宋体"/>
          <w:b/>
          <w:bCs/>
          <w:color w:val="000000" w:themeColor="text1"/>
          <w:szCs w:val="24"/>
          <w:highlight w:val="none"/>
          <w14:textFill>
            <w14:solidFill>
              <w14:schemeClr w14:val="tx1"/>
            </w14:solidFill>
          </w14:textFill>
        </w:rPr>
        <w:t>1.10 化石、文物</w:t>
      </w:r>
    </w:p>
    <w:p w14:paraId="14B30B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728FFE3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 承包人发现文物后不及时报告或隐瞒不报，致使文物丢失或损坏的，应赔偿损失，并承担相应的法律责任。</w:t>
      </w:r>
    </w:p>
    <w:p w14:paraId="4D48880A">
      <w:pPr>
        <w:pStyle w:val="67"/>
        <w:ind w:firstLine="118"/>
        <w:rPr>
          <w:rFonts w:ascii="宋体" w:eastAsia="宋体"/>
          <w:b/>
          <w:bCs/>
          <w:color w:val="000000" w:themeColor="text1"/>
          <w:szCs w:val="24"/>
          <w:highlight w:val="none"/>
          <w14:textFill>
            <w14:solidFill>
              <w14:schemeClr w14:val="tx1"/>
            </w14:solidFill>
          </w14:textFill>
        </w:rPr>
      </w:pPr>
      <w:bookmarkStart w:id="358" w:name="_Toc152045622"/>
      <w:bookmarkEnd w:id="358"/>
      <w:bookmarkStart w:id="359" w:name="_Toc144974590"/>
      <w:bookmarkEnd w:id="359"/>
      <w:bookmarkStart w:id="360" w:name="_Toc386467032"/>
      <w:bookmarkEnd w:id="360"/>
      <w:bookmarkStart w:id="361" w:name="_Toc43475760"/>
      <w:bookmarkEnd w:id="361"/>
      <w:bookmarkStart w:id="362" w:name="_Toc152042400"/>
      <w:bookmarkEnd w:id="362"/>
      <w:bookmarkStart w:id="363" w:name="_Toc179632640"/>
      <w:bookmarkEnd w:id="363"/>
      <w:bookmarkStart w:id="364" w:name="_Toc330406227"/>
      <w:bookmarkEnd w:id="364"/>
      <w:bookmarkStart w:id="365" w:name="_Toc393546286"/>
      <w:bookmarkEnd w:id="365"/>
      <w:r>
        <w:rPr>
          <w:rFonts w:hint="eastAsia" w:ascii="宋体" w:eastAsia="宋体"/>
          <w:b/>
          <w:bCs/>
          <w:color w:val="000000" w:themeColor="text1"/>
          <w:szCs w:val="24"/>
          <w:highlight w:val="none"/>
          <w14:textFill>
            <w14:solidFill>
              <w14:schemeClr w14:val="tx1"/>
            </w14:solidFill>
          </w14:textFill>
        </w:rPr>
        <w:t>1.11 专利技术</w:t>
      </w:r>
    </w:p>
    <w:p w14:paraId="7BDBCC2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承包人在使用任何材料、承包人设备、工程设备或采用施工工艺时，因侵犯专利权或其他知识产权所引起的责任，由承包人承担，但由于遵照发包人提供的设计或技术标准和要求引起的除外。</w:t>
      </w:r>
    </w:p>
    <w:p w14:paraId="00DE40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承包人在投标文件中采用专利技术的，专利技术的使用费包含在投标报价内。</w:t>
      </w:r>
    </w:p>
    <w:p w14:paraId="1343EB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承包人的技术秘密和声明需要保密的资料和信息，发包人和监理人不得为合同以外的目的泄露给他人。</w:t>
      </w:r>
    </w:p>
    <w:p w14:paraId="3C61FFF9">
      <w:pPr>
        <w:pStyle w:val="67"/>
        <w:ind w:firstLine="118"/>
        <w:rPr>
          <w:rFonts w:ascii="宋体" w:eastAsia="宋体"/>
          <w:b/>
          <w:bCs/>
          <w:color w:val="000000" w:themeColor="text1"/>
          <w:szCs w:val="24"/>
          <w:highlight w:val="none"/>
          <w14:textFill>
            <w14:solidFill>
              <w14:schemeClr w14:val="tx1"/>
            </w14:solidFill>
          </w14:textFill>
        </w:rPr>
      </w:pPr>
      <w:bookmarkStart w:id="366" w:name="_Toc330406228"/>
      <w:bookmarkEnd w:id="366"/>
      <w:bookmarkStart w:id="367" w:name="_Toc152042401"/>
      <w:bookmarkEnd w:id="367"/>
      <w:bookmarkStart w:id="368" w:name="_Toc152045623"/>
      <w:bookmarkEnd w:id="368"/>
      <w:bookmarkStart w:id="369" w:name="_Toc386467033"/>
      <w:bookmarkEnd w:id="369"/>
      <w:bookmarkStart w:id="370" w:name="_Toc179632641"/>
      <w:bookmarkEnd w:id="370"/>
      <w:bookmarkStart w:id="371" w:name="_Toc393546287"/>
      <w:bookmarkEnd w:id="371"/>
      <w:bookmarkStart w:id="372" w:name="_Toc43475761"/>
      <w:bookmarkEnd w:id="372"/>
      <w:bookmarkStart w:id="373" w:name="_Toc144974591"/>
      <w:bookmarkEnd w:id="373"/>
      <w:r>
        <w:rPr>
          <w:rFonts w:hint="eastAsia" w:ascii="宋体" w:eastAsia="宋体"/>
          <w:b/>
          <w:bCs/>
          <w:color w:val="000000" w:themeColor="text1"/>
          <w:szCs w:val="24"/>
          <w:highlight w:val="none"/>
          <w14:textFill>
            <w14:solidFill>
              <w14:schemeClr w14:val="tx1"/>
            </w14:solidFill>
          </w14:textFill>
        </w:rPr>
        <w:t>1.12 图纸和文件的保密</w:t>
      </w:r>
    </w:p>
    <w:p w14:paraId="44E3F1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发包人提供的图纸和文件，未经发包人同意，承包人不得为合同以外的目的泄露给他人或公开发表与引用。</w:t>
      </w:r>
    </w:p>
    <w:p w14:paraId="303881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承包人提供的文件，未经承包人同意，发包人和监理人不得为合同以外的目的泄露给他人或公开发表与引用。</w:t>
      </w:r>
    </w:p>
    <w:p w14:paraId="232A3A9C">
      <w:pPr>
        <w:pStyle w:val="78"/>
        <w:rPr>
          <w:rFonts w:ascii="宋体" w:hAnsi="宋体"/>
          <w:color w:val="000000" w:themeColor="text1"/>
          <w:sz w:val="24"/>
          <w:szCs w:val="24"/>
          <w:highlight w:val="none"/>
          <w14:textFill>
            <w14:solidFill>
              <w14:schemeClr w14:val="tx1"/>
            </w14:solidFill>
          </w14:textFill>
        </w:rPr>
      </w:pPr>
      <w:bookmarkStart w:id="374" w:name="_Toc43475762"/>
      <w:bookmarkEnd w:id="374"/>
      <w:bookmarkStart w:id="375" w:name="_Toc393546288"/>
      <w:bookmarkEnd w:id="375"/>
      <w:bookmarkStart w:id="376" w:name="_Toc386467034"/>
      <w:bookmarkEnd w:id="376"/>
      <w:r>
        <w:rPr>
          <w:rFonts w:hint="eastAsia" w:ascii="宋体" w:hAnsi="宋体"/>
          <w:color w:val="000000" w:themeColor="text1"/>
          <w:sz w:val="24"/>
          <w:szCs w:val="24"/>
          <w:highlight w:val="none"/>
          <w14:textFill>
            <w14:solidFill>
              <w14:schemeClr w14:val="tx1"/>
            </w14:solidFill>
          </w14:textFill>
        </w:rPr>
        <w:t>2. 发包人义务</w:t>
      </w:r>
    </w:p>
    <w:p w14:paraId="471E0F1F">
      <w:pPr>
        <w:pStyle w:val="67"/>
        <w:ind w:firstLine="118"/>
        <w:rPr>
          <w:rFonts w:ascii="宋体" w:eastAsia="宋体"/>
          <w:color w:val="000000" w:themeColor="text1"/>
          <w:szCs w:val="24"/>
          <w:highlight w:val="none"/>
          <w14:textFill>
            <w14:solidFill>
              <w14:schemeClr w14:val="tx1"/>
            </w14:solidFill>
          </w14:textFill>
        </w:rPr>
      </w:pPr>
      <w:bookmarkStart w:id="377" w:name="_Toc43475763"/>
      <w:bookmarkEnd w:id="377"/>
      <w:bookmarkStart w:id="378" w:name="_Toc330406230"/>
      <w:bookmarkEnd w:id="378"/>
      <w:bookmarkStart w:id="379" w:name="_Toc393546289"/>
      <w:bookmarkEnd w:id="379"/>
      <w:bookmarkStart w:id="380" w:name="_Toc152045625"/>
      <w:bookmarkEnd w:id="380"/>
      <w:bookmarkStart w:id="381" w:name="_Toc152042403"/>
      <w:bookmarkEnd w:id="381"/>
      <w:bookmarkStart w:id="382" w:name="_Toc179632643"/>
      <w:bookmarkEnd w:id="382"/>
      <w:bookmarkStart w:id="383" w:name="_Toc144974593"/>
      <w:bookmarkEnd w:id="383"/>
      <w:bookmarkStart w:id="384" w:name="_Toc386467035"/>
      <w:bookmarkEnd w:id="384"/>
      <w:r>
        <w:rPr>
          <w:rFonts w:hint="eastAsia" w:ascii="宋体" w:eastAsia="宋体"/>
          <w:color w:val="000000" w:themeColor="text1"/>
          <w:szCs w:val="24"/>
          <w:highlight w:val="none"/>
          <w14:textFill>
            <w14:solidFill>
              <w14:schemeClr w14:val="tx1"/>
            </w14:solidFill>
          </w14:textFill>
        </w:rPr>
        <w:t>2.1 遵守法律</w:t>
      </w:r>
    </w:p>
    <w:p w14:paraId="34AEC2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发包人在履行合同过程中应遵守法律，并保证承包人免于承担因发包人违反法律而引起的任何责任。</w:t>
      </w:r>
    </w:p>
    <w:p w14:paraId="63AC4047">
      <w:pPr>
        <w:pStyle w:val="67"/>
        <w:ind w:firstLine="118"/>
        <w:rPr>
          <w:rFonts w:ascii="宋体" w:eastAsia="宋体"/>
          <w:color w:val="000000" w:themeColor="text1"/>
          <w:szCs w:val="24"/>
          <w:highlight w:val="none"/>
          <w14:textFill>
            <w14:solidFill>
              <w14:schemeClr w14:val="tx1"/>
            </w14:solidFill>
          </w14:textFill>
        </w:rPr>
      </w:pPr>
      <w:bookmarkStart w:id="385" w:name="_Toc152045626"/>
      <w:bookmarkEnd w:id="385"/>
      <w:bookmarkStart w:id="386" w:name="_Toc43475764"/>
      <w:bookmarkEnd w:id="386"/>
      <w:bookmarkStart w:id="387" w:name="_Toc152042404"/>
      <w:bookmarkEnd w:id="387"/>
      <w:bookmarkStart w:id="388" w:name="_Toc179632644"/>
      <w:bookmarkEnd w:id="388"/>
      <w:bookmarkStart w:id="389" w:name="_Toc386467036"/>
      <w:bookmarkEnd w:id="389"/>
      <w:bookmarkStart w:id="390" w:name="_Toc330406231"/>
      <w:bookmarkEnd w:id="390"/>
      <w:bookmarkStart w:id="391" w:name="_Toc144974594"/>
      <w:bookmarkEnd w:id="391"/>
      <w:bookmarkStart w:id="392" w:name="_Toc393546290"/>
      <w:bookmarkEnd w:id="392"/>
      <w:r>
        <w:rPr>
          <w:rFonts w:hint="eastAsia" w:ascii="宋体" w:eastAsia="宋体"/>
          <w:color w:val="000000" w:themeColor="text1"/>
          <w:szCs w:val="24"/>
          <w:highlight w:val="none"/>
          <w14:textFill>
            <w14:solidFill>
              <w14:schemeClr w14:val="tx1"/>
            </w14:solidFill>
          </w14:textFill>
        </w:rPr>
        <w:t>2.2 发出开工通知</w:t>
      </w:r>
    </w:p>
    <w:p w14:paraId="3F779C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发包人应委托监理人按第11.1款的约定向承包人发出开工通知。</w:t>
      </w:r>
    </w:p>
    <w:p w14:paraId="6AB76B3C">
      <w:pPr>
        <w:pStyle w:val="67"/>
        <w:ind w:firstLine="118"/>
        <w:rPr>
          <w:rFonts w:ascii="宋体" w:eastAsia="宋体"/>
          <w:color w:val="000000" w:themeColor="text1"/>
          <w:szCs w:val="24"/>
          <w:highlight w:val="none"/>
          <w14:textFill>
            <w14:solidFill>
              <w14:schemeClr w14:val="tx1"/>
            </w14:solidFill>
          </w14:textFill>
        </w:rPr>
      </w:pPr>
      <w:bookmarkStart w:id="393" w:name="_Toc386467037"/>
      <w:bookmarkEnd w:id="393"/>
      <w:bookmarkStart w:id="394" w:name="_Toc43475765"/>
      <w:bookmarkEnd w:id="394"/>
      <w:bookmarkStart w:id="395" w:name="_Toc393546291"/>
      <w:bookmarkEnd w:id="395"/>
      <w:r>
        <w:rPr>
          <w:rFonts w:hint="eastAsia" w:ascii="宋体" w:eastAsia="宋体"/>
          <w:color w:val="000000" w:themeColor="text1"/>
          <w:szCs w:val="24"/>
          <w:highlight w:val="none"/>
          <w14:textFill>
            <w14:solidFill>
              <w14:schemeClr w14:val="tx1"/>
            </w14:solidFill>
          </w14:textFill>
        </w:rPr>
        <w:t>2.3 提供施工场地</w:t>
      </w:r>
    </w:p>
    <w:p w14:paraId="6A137C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发包人应按专用合同条款约定向承包人提供施工场地，以及施工场地内地下管线和地下设施等有关资料，并保证资料的真实、准确、完整。</w:t>
      </w:r>
    </w:p>
    <w:p w14:paraId="13080BE6">
      <w:pPr>
        <w:pStyle w:val="67"/>
        <w:ind w:firstLine="118"/>
        <w:rPr>
          <w:rFonts w:ascii="宋体" w:eastAsia="宋体"/>
          <w:color w:val="000000" w:themeColor="text1"/>
          <w:szCs w:val="24"/>
          <w:highlight w:val="none"/>
          <w14:textFill>
            <w14:solidFill>
              <w14:schemeClr w14:val="tx1"/>
            </w14:solidFill>
          </w14:textFill>
        </w:rPr>
      </w:pPr>
      <w:bookmarkStart w:id="396" w:name="_Toc144974596"/>
      <w:bookmarkEnd w:id="396"/>
      <w:bookmarkStart w:id="397" w:name="_Toc330406233"/>
      <w:bookmarkEnd w:id="397"/>
      <w:bookmarkStart w:id="398" w:name="_Toc179632646"/>
      <w:bookmarkEnd w:id="398"/>
      <w:bookmarkStart w:id="399" w:name="_Toc152045628"/>
      <w:bookmarkEnd w:id="399"/>
      <w:bookmarkStart w:id="400" w:name="_Toc393546292"/>
      <w:bookmarkEnd w:id="400"/>
      <w:bookmarkStart w:id="401" w:name="_Toc386467038"/>
      <w:bookmarkEnd w:id="401"/>
      <w:bookmarkStart w:id="402" w:name="_Toc43475766"/>
      <w:bookmarkEnd w:id="402"/>
      <w:bookmarkStart w:id="403" w:name="_Toc152042406"/>
      <w:bookmarkEnd w:id="403"/>
      <w:r>
        <w:rPr>
          <w:rFonts w:hint="eastAsia" w:ascii="宋体" w:eastAsia="宋体"/>
          <w:color w:val="000000" w:themeColor="text1"/>
          <w:szCs w:val="24"/>
          <w:highlight w:val="none"/>
          <w14:textFill>
            <w14:solidFill>
              <w14:schemeClr w14:val="tx1"/>
            </w14:solidFill>
          </w14:textFill>
        </w:rPr>
        <w:t>2.4 协助承包人办理证件和批件</w:t>
      </w:r>
    </w:p>
    <w:p w14:paraId="4B7833D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发包人应协助承包人办理法律规定的有关施工证件和批件。</w:t>
      </w:r>
    </w:p>
    <w:p w14:paraId="5C7129A6">
      <w:pPr>
        <w:pStyle w:val="67"/>
        <w:ind w:firstLine="118"/>
        <w:rPr>
          <w:rFonts w:ascii="宋体" w:eastAsia="宋体"/>
          <w:color w:val="000000" w:themeColor="text1"/>
          <w:szCs w:val="24"/>
          <w:highlight w:val="none"/>
          <w14:textFill>
            <w14:solidFill>
              <w14:schemeClr w14:val="tx1"/>
            </w14:solidFill>
          </w14:textFill>
        </w:rPr>
      </w:pPr>
      <w:bookmarkStart w:id="404" w:name="_Toc330406234"/>
      <w:bookmarkEnd w:id="404"/>
      <w:bookmarkStart w:id="405" w:name="_Toc152045629"/>
      <w:bookmarkEnd w:id="405"/>
      <w:bookmarkStart w:id="406" w:name="_Toc43475767"/>
      <w:bookmarkEnd w:id="406"/>
      <w:bookmarkStart w:id="407" w:name="_Toc144974597"/>
      <w:bookmarkEnd w:id="407"/>
      <w:bookmarkStart w:id="408" w:name="_Toc152042407"/>
      <w:bookmarkEnd w:id="408"/>
      <w:bookmarkStart w:id="409" w:name="_Toc179632647"/>
      <w:bookmarkEnd w:id="409"/>
      <w:bookmarkStart w:id="410" w:name="_Toc386467039"/>
      <w:bookmarkEnd w:id="410"/>
      <w:bookmarkStart w:id="411" w:name="_Toc393546293"/>
      <w:bookmarkEnd w:id="411"/>
      <w:r>
        <w:rPr>
          <w:rFonts w:hint="eastAsia" w:ascii="宋体" w:eastAsia="宋体"/>
          <w:color w:val="000000" w:themeColor="text1"/>
          <w:szCs w:val="24"/>
          <w:highlight w:val="none"/>
          <w14:textFill>
            <w14:solidFill>
              <w14:schemeClr w14:val="tx1"/>
            </w14:solidFill>
          </w14:textFill>
        </w:rPr>
        <w:t>2.5 组织设计交底</w:t>
      </w:r>
    </w:p>
    <w:p w14:paraId="3C87AE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发包人应根据合同进度计划，组织设计单位向承包人进行设计交底。</w:t>
      </w:r>
    </w:p>
    <w:p w14:paraId="2356A05A">
      <w:pPr>
        <w:pStyle w:val="67"/>
        <w:ind w:firstLine="118"/>
        <w:rPr>
          <w:rFonts w:ascii="宋体" w:eastAsia="宋体"/>
          <w:color w:val="000000" w:themeColor="text1"/>
          <w:szCs w:val="24"/>
          <w:highlight w:val="none"/>
          <w14:textFill>
            <w14:solidFill>
              <w14:schemeClr w14:val="tx1"/>
            </w14:solidFill>
          </w14:textFill>
        </w:rPr>
      </w:pPr>
      <w:bookmarkStart w:id="412" w:name="_Toc152042408"/>
      <w:bookmarkEnd w:id="412"/>
      <w:bookmarkStart w:id="413" w:name="_Toc144974598"/>
      <w:bookmarkEnd w:id="413"/>
      <w:bookmarkStart w:id="414" w:name="_Toc179632648"/>
      <w:bookmarkEnd w:id="414"/>
      <w:bookmarkStart w:id="415" w:name="_Toc330406235"/>
      <w:bookmarkEnd w:id="415"/>
      <w:bookmarkStart w:id="416" w:name="_Toc43475768"/>
      <w:bookmarkEnd w:id="416"/>
      <w:bookmarkStart w:id="417" w:name="_Toc386467040"/>
      <w:bookmarkEnd w:id="417"/>
      <w:bookmarkStart w:id="418" w:name="_Toc393546294"/>
      <w:bookmarkEnd w:id="418"/>
      <w:bookmarkStart w:id="419" w:name="_Toc152045630"/>
      <w:bookmarkEnd w:id="419"/>
      <w:r>
        <w:rPr>
          <w:rFonts w:hint="eastAsia" w:ascii="宋体" w:eastAsia="宋体"/>
          <w:color w:val="000000" w:themeColor="text1"/>
          <w:szCs w:val="24"/>
          <w:highlight w:val="none"/>
          <w14:textFill>
            <w14:solidFill>
              <w14:schemeClr w14:val="tx1"/>
            </w14:solidFill>
          </w14:textFill>
        </w:rPr>
        <w:t>2.6 支付合同价款</w:t>
      </w:r>
    </w:p>
    <w:p w14:paraId="6242CC1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发包人应按合同约定向承包人及时支付合同价款。</w:t>
      </w:r>
    </w:p>
    <w:p w14:paraId="690712BF">
      <w:pPr>
        <w:pStyle w:val="67"/>
        <w:ind w:firstLine="118"/>
        <w:rPr>
          <w:rFonts w:ascii="宋体" w:eastAsia="宋体"/>
          <w:color w:val="000000" w:themeColor="text1"/>
          <w:szCs w:val="24"/>
          <w:highlight w:val="none"/>
          <w14:textFill>
            <w14:solidFill>
              <w14:schemeClr w14:val="tx1"/>
            </w14:solidFill>
          </w14:textFill>
        </w:rPr>
      </w:pPr>
      <w:bookmarkStart w:id="420" w:name="_Toc393546295"/>
      <w:bookmarkEnd w:id="420"/>
      <w:bookmarkStart w:id="421" w:name="_Toc386467041"/>
      <w:bookmarkEnd w:id="421"/>
      <w:bookmarkStart w:id="422" w:name="_Toc330406236"/>
      <w:bookmarkEnd w:id="422"/>
      <w:bookmarkStart w:id="423" w:name="_Toc179632649"/>
      <w:bookmarkEnd w:id="423"/>
      <w:bookmarkStart w:id="424" w:name="_Toc152045631"/>
      <w:bookmarkEnd w:id="424"/>
      <w:bookmarkStart w:id="425" w:name="_Toc152042409"/>
      <w:bookmarkEnd w:id="425"/>
      <w:bookmarkStart w:id="426" w:name="_Toc43475769"/>
      <w:bookmarkEnd w:id="426"/>
      <w:bookmarkStart w:id="427" w:name="_Toc144974599"/>
      <w:bookmarkEnd w:id="427"/>
      <w:r>
        <w:rPr>
          <w:rFonts w:hint="eastAsia" w:ascii="宋体" w:eastAsia="宋体"/>
          <w:color w:val="000000" w:themeColor="text1"/>
          <w:szCs w:val="24"/>
          <w:highlight w:val="none"/>
          <w14:textFill>
            <w14:solidFill>
              <w14:schemeClr w14:val="tx1"/>
            </w14:solidFill>
          </w14:textFill>
        </w:rPr>
        <w:t>2.7 组织竣工验收</w:t>
      </w:r>
    </w:p>
    <w:p w14:paraId="13A7CE4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发包人应按合同约定及时组织竣工验收。</w:t>
      </w:r>
    </w:p>
    <w:p w14:paraId="3E237B64">
      <w:pPr>
        <w:pStyle w:val="67"/>
        <w:ind w:firstLine="118"/>
        <w:rPr>
          <w:rFonts w:ascii="宋体" w:eastAsia="宋体"/>
          <w:color w:val="000000" w:themeColor="text1"/>
          <w:szCs w:val="24"/>
          <w:highlight w:val="none"/>
          <w14:textFill>
            <w14:solidFill>
              <w14:schemeClr w14:val="tx1"/>
            </w14:solidFill>
          </w14:textFill>
        </w:rPr>
      </w:pPr>
      <w:bookmarkStart w:id="428" w:name="_Toc144974600"/>
      <w:bookmarkEnd w:id="428"/>
      <w:bookmarkStart w:id="429" w:name="_Toc179632650"/>
      <w:bookmarkEnd w:id="429"/>
      <w:bookmarkStart w:id="430" w:name="_Toc393546296"/>
      <w:bookmarkEnd w:id="430"/>
      <w:bookmarkStart w:id="431" w:name="_Toc330406237"/>
      <w:bookmarkEnd w:id="431"/>
      <w:bookmarkStart w:id="432" w:name="_Toc43475770"/>
      <w:bookmarkEnd w:id="432"/>
      <w:bookmarkStart w:id="433" w:name="_Toc386467042"/>
      <w:bookmarkEnd w:id="433"/>
      <w:bookmarkStart w:id="434" w:name="_Toc152045632"/>
      <w:bookmarkEnd w:id="434"/>
      <w:bookmarkStart w:id="435" w:name="_Toc152042410"/>
      <w:bookmarkEnd w:id="435"/>
      <w:r>
        <w:rPr>
          <w:rFonts w:hint="eastAsia" w:ascii="宋体" w:eastAsia="宋体"/>
          <w:color w:val="000000" w:themeColor="text1"/>
          <w:szCs w:val="24"/>
          <w:highlight w:val="none"/>
          <w14:textFill>
            <w14:solidFill>
              <w14:schemeClr w14:val="tx1"/>
            </w14:solidFill>
          </w14:textFill>
        </w:rPr>
        <w:t>2.8 其他义务</w:t>
      </w:r>
    </w:p>
    <w:p w14:paraId="3E48AA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发包人应履行合同约定的其他义务。</w:t>
      </w:r>
    </w:p>
    <w:p w14:paraId="3B263114">
      <w:pPr>
        <w:pStyle w:val="78"/>
        <w:rPr>
          <w:rFonts w:ascii="宋体" w:hAnsi="宋体"/>
          <w:color w:val="000000" w:themeColor="text1"/>
          <w:sz w:val="24"/>
          <w:szCs w:val="24"/>
          <w:highlight w:val="none"/>
          <w14:textFill>
            <w14:solidFill>
              <w14:schemeClr w14:val="tx1"/>
            </w14:solidFill>
          </w14:textFill>
        </w:rPr>
      </w:pPr>
      <w:bookmarkStart w:id="436" w:name="_Toc393546297"/>
      <w:bookmarkEnd w:id="436"/>
      <w:bookmarkStart w:id="437" w:name="_Toc43475771"/>
      <w:bookmarkEnd w:id="437"/>
      <w:bookmarkStart w:id="438" w:name="_Toc386467043"/>
      <w:bookmarkEnd w:id="438"/>
      <w:r>
        <w:rPr>
          <w:rFonts w:hint="eastAsia" w:ascii="宋体" w:hAnsi="宋体"/>
          <w:color w:val="000000" w:themeColor="text1"/>
          <w:sz w:val="24"/>
          <w:szCs w:val="24"/>
          <w:highlight w:val="none"/>
          <w14:textFill>
            <w14:solidFill>
              <w14:schemeClr w14:val="tx1"/>
            </w14:solidFill>
          </w14:textFill>
        </w:rPr>
        <w:t>3. 监理人</w:t>
      </w:r>
    </w:p>
    <w:p w14:paraId="2B4E12C3">
      <w:pPr>
        <w:pStyle w:val="67"/>
        <w:ind w:firstLine="118"/>
        <w:rPr>
          <w:rFonts w:ascii="宋体" w:eastAsia="宋体"/>
          <w:b/>
          <w:bCs/>
          <w:color w:val="000000" w:themeColor="text1"/>
          <w:szCs w:val="24"/>
          <w:highlight w:val="none"/>
          <w14:textFill>
            <w14:solidFill>
              <w14:schemeClr w14:val="tx1"/>
            </w14:solidFill>
          </w14:textFill>
        </w:rPr>
      </w:pPr>
      <w:bookmarkStart w:id="439" w:name="_Toc393546298"/>
      <w:bookmarkEnd w:id="439"/>
      <w:bookmarkStart w:id="440" w:name="_Toc386467044"/>
      <w:bookmarkEnd w:id="440"/>
      <w:bookmarkStart w:id="441" w:name="_Toc43475772"/>
      <w:bookmarkEnd w:id="441"/>
      <w:r>
        <w:rPr>
          <w:rFonts w:hint="eastAsia" w:ascii="宋体" w:eastAsia="宋体"/>
          <w:b/>
          <w:bCs/>
          <w:color w:val="000000" w:themeColor="text1"/>
          <w:szCs w:val="24"/>
          <w:highlight w:val="none"/>
          <w14:textFill>
            <w14:solidFill>
              <w14:schemeClr w14:val="tx1"/>
            </w14:solidFill>
          </w14:textFill>
        </w:rPr>
        <w:t>3.1 监理人的职责和权力</w:t>
      </w:r>
    </w:p>
    <w:p w14:paraId="0E206C8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监理人受发包人委托，享有合同约定的权力。监理人在行使某项权力前需要经发包人事先批准而通用合同条款没有指明的，应在专用合同条款中指明。</w:t>
      </w:r>
    </w:p>
    <w:p w14:paraId="5D672D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 监理人发出的任何指示应视为已得到发包人的批准，但监理人无权免除或变更合同约定的发包人和承包人的权利、义务和责任。</w:t>
      </w:r>
    </w:p>
    <w:p w14:paraId="7098E4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合同约定应由承包人承担的义务和责任，不因监理人对承包人提交文件的审查或批准，对工程、材料和设备的检查和检验，以及为实施监理作出的指示等职务行为而减轻或解除。</w:t>
      </w:r>
    </w:p>
    <w:p w14:paraId="69F47C43">
      <w:pPr>
        <w:pStyle w:val="67"/>
        <w:ind w:firstLine="118"/>
        <w:rPr>
          <w:rFonts w:ascii="宋体" w:eastAsia="宋体"/>
          <w:b/>
          <w:bCs/>
          <w:color w:val="000000" w:themeColor="text1"/>
          <w:szCs w:val="24"/>
          <w:highlight w:val="none"/>
          <w14:textFill>
            <w14:solidFill>
              <w14:schemeClr w14:val="tx1"/>
            </w14:solidFill>
          </w14:textFill>
        </w:rPr>
      </w:pPr>
      <w:bookmarkStart w:id="442" w:name="_Toc179632653"/>
      <w:bookmarkEnd w:id="442"/>
      <w:bookmarkStart w:id="443" w:name="_Toc386467045"/>
      <w:bookmarkEnd w:id="443"/>
      <w:bookmarkStart w:id="444" w:name="_Toc144974603"/>
      <w:bookmarkEnd w:id="444"/>
      <w:bookmarkStart w:id="445" w:name="_Toc152042413"/>
      <w:bookmarkEnd w:id="445"/>
      <w:bookmarkStart w:id="446" w:name="_Toc330406240"/>
      <w:bookmarkEnd w:id="446"/>
      <w:bookmarkStart w:id="447" w:name="_Toc393546299"/>
      <w:bookmarkEnd w:id="447"/>
      <w:bookmarkStart w:id="448" w:name="_Toc43475773"/>
      <w:bookmarkEnd w:id="448"/>
      <w:bookmarkStart w:id="449" w:name="_Toc152045635"/>
      <w:bookmarkEnd w:id="449"/>
      <w:r>
        <w:rPr>
          <w:rFonts w:hint="eastAsia" w:ascii="宋体" w:eastAsia="宋体"/>
          <w:b/>
          <w:bCs/>
          <w:color w:val="000000" w:themeColor="text1"/>
          <w:szCs w:val="24"/>
          <w:highlight w:val="none"/>
          <w14:textFill>
            <w14:solidFill>
              <w14:schemeClr w14:val="tx1"/>
            </w14:solidFill>
          </w14:textFill>
        </w:rPr>
        <w:t>3.2 总监理工程师</w:t>
      </w:r>
    </w:p>
    <w:p w14:paraId="31CA7D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发包人应在发出开工通知前将总监理工程师的任命通知承包人。总监理工程师更换时，应在调离14天前通知承包人。总监理工程师短期离开施工场地的，应委派代表代行其职责，并通知承包人。</w:t>
      </w:r>
    </w:p>
    <w:p w14:paraId="087ED285">
      <w:pPr>
        <w:pStyle w:val="67"/>
        <w:ind w:firstLine="118"/>
        <w:rPr>
          <w:rFonts w:ascii="宋体" w:eastAsia="宋体"/>
          <w:b/>
          <w:bCs/>
          <w:color w:val="000000" w:themeColor="text1"/>
          <w:szCs w:val="24"/>
          <w:highlight w:val="none"/>
          <w14:textFill>
            <w14:solidFill>
              <w14:schemeClr w14:val="tx1"/>
            </w14:solidFill>
          </w14:textFill>
        </w:rPr>
      </w:pPr>
      <w:bookmarkStart w:id="450" w:name="_Toc386467046"/>
      <w:bookmarkEnd w:id="450"/>
      <w:bookmarkStart w:id="451" w:name="_Toc393546300"/>
      <w:bookmarkEnd w:id="451"/>
      <w:bookmarkStart w:id="452" w:name="_Toc43475774"/>
      <w:bookmarkEnd w:id="452"/>
      <w:bookmarkStart w:id="453" w:name="_Toc152045636"/>
      <w:bookmarkEnd w:id="453"/>
      <w:bookmarkStart w:id="454" w:name="_Toc330406241"/>
      <w:bookmarkEnd w:id="454"/>
      <w:bookmarkStart w:id="455" w:name="_Toc152042414"/>
      <w:bookmarkEnd w:id="455"/>
      <w:bookmarkStart w:id="456" w:name="_Toc179632654"/>
      <w:bookmarkEnd w:id="456"/>
      <w:bookmarkStart w:id="457" w:name="_Toc144974604"/>
      <w:bookmarkEnd w:id="457"/>
      <w:r>
        <w:rPr>
          <w:rFonts w:hint="eastAsia" w:ascii="宋体" w:eastAsia="宋体"/>
          <w:b/>
          <w:bCs/>
          <w:color w:val="000000" w:themeColor="text1"/>
          <w:szCs w:val="24"/>
          <w:highlight w:val="none"/>
          <w14:textFill>
            <w14:solidFill>
              <w14:schemeClr w14:val="tx1"/>
            </w14:solidFill>
          </w14:textFill>
        </w:rPr>
        <w:t>3.3 监理人员</w:t>
      </w:r>
    </w:p>
    <w:p w14:paraId="0A44D6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69165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监理人员对承包人的任何工作、工程或其采用的材料和工程设备未在约定的或合理的期限内提出否定意见的，视为已获批准，但不影响监理人在以后拒绝该项工作、工程、材料或工程设备的权利。</w:t>
      </w:r>
    </w:p>
    <w:p w14:paraId="1BC512E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承包人对总监理工程师授权的监理人员发出的指示有疑问的，可向总监理工程师提出书面异议，总监理工程师应在48小时内对该指示予以确认、更改或撤销。</w:t>
      </w:r>
    </w:p>
    <w:p w14:paraId="2BA645E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除专用合同条款另有约定外，总监理工程师不应将第3.5款约定应由总监理工程师作出确定的权力授权或委托给其他监理人员。</w:t>
      </w:r>
    </w:p>
    <w:p w14:paraId="01C1C3C5">
      <w:pPr>
        <w:pStyle w:val="67"/>
        <w:ind w:firstLine="118"/>
        <w:rPr>
          <w:rFonts w:ascii="宋体" w:eastAsia="宋体"/>
          <w:b/>
          <w:bCs/>
          <w:color w:val="000000" w:themeColor="text1"/>
          <w:szCs w:val="24"/>
          <w:highlight w:val="none"/>
          <w14:textFill>
            <w14:solidFill>
              <w14:schemeClr w14:val="tx1"/>
            </w14:solidFill>
          </w14:textFill>
        </w:rPr>
      </w:pPr>
      <w:bookmarkStart w:id="458" w:name="_Toc152045637"/>
      <w:bookmarkEnd w:id="458"/>
      <w:bookmarkStart w:id="459" w:name="_Toc386467047"/>
      <w:bookmarkEnd w:id="459"/>
      <w:bookmarkStart w:id="460" w:name="_Toc144974605"/>
      <w:bookmarkEnd w:id="460"/>
      <w:bookmarkStart w:id="461" w:name="_Toc393546301"/>
      <w:bookmarkEnd w:id="461"/>
      <w:bookmarkStart w:id="462" w:name="_Toc43475775"/>
      <w:bookmarkEnd w:id="462"/>
      <w:bookmarkStart w:id="463" w:name="_Toc152042415"/>
      <w:bookmarkEnd w:id="463"/>
      <w:bookmarkStart w:id="464" w:name="_Toc179632655"/>
      <w:bookmarkEnd w:id="464"/>
      <w:bookmarkStart w:id="465" w:name="_Toc330406242"/>
      <w:bookmarkEnd w:id="465"/>
      <w:r>
        <w:rPr>
          <w:rFonts w:hint="eastAsia" w:ascii="宋体" w:eastAsia="宋体"/>
          <w:b/>
          <w:bCs/>
          <w:color w:val="000000" w:themeColor="text1"/>
          <w:szCs w:val="24"/>
          <w:highlight w:val="none"/>
          <w14:textFill>
            <w14:solidFill>
              <w14:schemeClr w14:val="tx1"/>
            </w14:solidFill>
          </w14:textFill>
        </w:rPr>
        <w:t>3.4 监理人的指示</w:t>
      </w:r>
    </w:p>
    <w:p w14:paraId="658FFD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监理人应按第3.1款的约定向承包人发出指示，监理人的指示应盖有监理人授权的施工场地机构章，并由总监理工程师或总监理工程师按第3.3.1项约定授权的监理人员签字。</w:t>
      </w:r>
    </w:p>
    <w:p w14:paraId="6FEDA1B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承包人收到监理人按第3.4.1项作出的指示后应遵照执行。指示构成变更的，应按第15条处理。</w:t>
      </w:r>
    </w:p>
    <w:p w14:paraId="3B2CE0A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671AF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除合同另有约定外，承包人只从总监理工程师或按第3.3.1项被授权的监理人员处取得指示。</w:t>
      </w:r>
    </w:p>
    <w:p w14:paraId="708064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3.4.5 由于监理人未能按合同约定发出指示、指示延误或指示错误而导致承包人费用增加和（或）工期延误的，由发包人承担赔偿责任。 </w:t>
      </w:r>
    </w:p>
    <w:p w14:paraId="256318C3">
      <w:pPr>
        <w:pStyle w:val="67"/>
        <w:ind w:firstLine="118"/>
        <w:rPr>
          <w:rFonts w:ascii="宋体" w:eastAsia="宋体"/>
          <w:b/>
          <w:bCs/>
          <w:color w:val="000000" w:themeColor="text1"/>
          <w:szCs w:val="24"/>
          <w:highlight w:val="none"/>
          <w14:textFill>
            <w14:solidFill>
              <w14:schemeClr w14:val="tx1"/>
            </w14:solidFill>
          </w14:textFill>
        </w:rPr>
      </w:pPr>
      <w:bookmarkStart w:id="466" w:name="_Toc393546302"/>
      <w:bookmarkEnd w:id="466"/>
      <w:bookmarkStart w:id="467" w:name="_Toc386467048"/>
      <w:bookmarkEnd w:id="467"/>
      <w:bookmarkStart w:id="468" w:name="_Toc43475776"/>
      <w:bookmarkEnd w:id="468"/>
      <w:r>
        <w:rPr>
          <w:rFonts w:hint="eastAsia" w:ascii="宋体" w:eastAsia="宋体"/>
          <w:b/>
          <w:bCs/>
          <w:color w:val="000000" w:themeColor="text1"/>
          <w:szCs w:val="24"/>
          <w:highlight w:val="none"/>
          <w14:textFill>
            <w14:solidFill>
              <w14:schemeClr w14:val="tx1"/>
            </w14:solidFill>
          </w14:textFill>
        </w:rPr>
        <w:t>3.5 商定或确定</w:t>
      </w:r>
    </w:p>
    <w:p w14:paraId="6DE69D6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3.5.1合同约定总监理工程师应按照本款对任何事项进行商定或确定时，总监理工程师应与合同当事人协商，尽量达成一致。不能达成一致的，总监理工程师应认真研究后审慎确定。</w:t>
      </w:r>
    </w:p>
    <w:p w14:paraId="393A1B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57B97C01">
      <w:pPr>
        <w:pStyle w:val="78"/>
        <w:rPr>
          <w:rFonts w:ascii="宋体" w:hAnsi="宋体"/>
          <w:color w:val="000000" w:themeColor="text1"/>
          <w:sz w:val="24"/>
          <w:szCs w:val="24"/>
          <w:highlight w:val="none"/>
          <w14:textFill>
            <w14:solidFill>
              <w14:schemeClr w14:val="tx1"/>
            </w14:solidFill>
          </w14:textFill>
        </w:rPr>
      </w:pPr>
      <w:bookmarkStart w:id="469" w:name="_Toc386467049"/>
      <w:bookmarkEnd w:id="469"/>
      <w:bookmarkStart w:id="470" w:name="_Toc43475777"/>
      <w:bookmarkEnd w:id="470"/>
      <w:bookmarkStart w:id="471" w:name="_Toc393546303"/>
      <w:bookmarkEnd w:id="471"/>
      <w:r>
        <w:rPr>
          <w:rFonts w:hint="eastAsia" w:ascii="宋体" w:hAnsi="宋体"/>
          <w:color w:val="000000" w:themeColor="text1"/>
          <w:sz w:val="24"/>
          <w:szCs w:val="24"/>
          <w:highlight w:val="none"/>
          <w14:textFill>
            <w14:solidFill>
              <w14:schemeClr w14:val="tx1"/>
            </w14:solidFill>
          </w14:textFill>
        </w:rPr>
        <w:t>4. 承包人</w:t>
      </w:r>
    </w:p>
    <w:p w14:paraId="18E635AA">
      <w:pPr>
        <w:pStyle w:val="67"/>
        <w:ind w:firstLine="118"/>
        <w:rPr>
          <w:rFonts w:ascii="宋体" w:eastAsia="宋体"/>
          <w:color w:val="000000" w:themeColor="text1"/>
          <w:szCs w:val="24"/>
          <w:highlight w:val="none"/>
          <w14:textFill>
            <w14:solidFill>
              <w14:schemeClr w14:val="tx1"/>
            </w14:solidFill>
          </w14:textFill>
        </w:rPr>
      </w:pPr>
      <w:bookmarkStart w:id="472" w:name="_Toc43475778"/>
      <w:bookmarkEnd w:id="472"/>
      <w:bookmarkStart w:id="473" w:name="_Toc386467050"/>
      <w:bookmarkEnd w:id="473"/>
      <w:bookmarkStart w:id="474" w:name="_Toc393546304"/>
      <w:bookmarkEnd w:id="474"/>
      <w:r>
        <w:rPr>
          <w:rFonts w:hint="eastAsia" w:ascii="宋体" w:eastAsia="宋体"/>
          <w:color w:val="000000" w:themeColor="text1"/>
          <w:szCs w:val="24"/>
          <w:highlight w:val="none"/>
          <w14:textFill>
            <w14:solidFill>
              <w14:schemeClr w14:val="tx1"/>
            </w14:solidFill>
          </w14:textFill>
        </w:rPr>
        <w:t>4.1 承包人的一般义务</w:t>
      </w:r>
    </w:p>
    <w:p w14:paraId="3FFB2F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遵守法律</w:t>
      </w:r>
    </w:p>
    <w:p w14:paraId="331DD9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承包人在履行合同过程中应遵守法律，并保证发包人免于承担因承包人违反法律而引起的任何责任。</w:t>
      </w:r>
    </w:p>
    <w:p w14:paraId="798705C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 依法纳税</w:t>
      </w:r>
    </w:p>
    <w:p w14:paraId="6C43AEC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承包人应按有关法律规定纳税，应缴纳的税金包括在合同价格内。</w:t>
      </w:r>
    </w:p>
    <w:p w14:paraId="0E186D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 完成各项承包工作</w:t>
      </w:r>
    </w:p>
    <w:p w14:paraId="4F6739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0E2DDC2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 对施工作业和施工方法的完备性负责</w:t>
      </w:r>
    </w:p>
    <w:p w14:paraId="7CC00C7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承包人应按合同约定的工作内容和施工进度要求，编制施工组织设计和施工措施计划，并对所有施工作业和施工方法的完备性和安全可靠性负责。</w:t>
      </w:r>
    </w:p>
    <w:p w14:paraId="0AFD1B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 保证工程施工和人员的安全</w:t>
      </w:r>
    </w:p>
    <w:p w14:paraId="3C4F5F0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承包人应按第9.2款约定采取施工安全措施，确保工程及其人员、材料、设备和设施的安全，防止因工程施工造成的人身伤害和财产损失。</w:t>
      </w:r>
    </w:p>
    <w:p w14:paraId="5BACC1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4.1.6 负责施工场地及其周边环境与生态的保护工作</w:t>
      </w:r>
    </w:p>
    <w:p w14:paraId="6D51C19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承包人应按照第9.4款约定负责施工场地及其周边环境与生态的保护工作。</w:t>
      </w:r>
    </w:p>
    <w:p w14:paraId="5A3F31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4.1.7 避免施工对公众与他人的利益造成损害</w:t>
      </w:r>
    </w:p>
    <w:p w14:paraId="60542C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72979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4.1.8 为他人提供方便</w:t>
      </w:r>
    </w:p>
    <w:p w14:paraId="50175F4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承包人应按监理人的指示为他人在施工场地或附近实施与工程有关的其他各项工作提供可能的条件。除合同另有约定外，提供有关条件的内容和可能发生的费用，由监理人按第3.5款商定或确定。</w:t>
      </w:r>
    </w:p>
    <w:p w14:paraId="20EDB16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4.1.9 工程的维护和照管</w:t>
      </w:r>
    </w:p>
    <w:p w14:paraId="261CF2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工程接收证书颁发前，承包人应负责照管和维护工程。工程接收证书颁发时尚有部分未竣工工程的，承包人还应负责该未竣工工程的照管和维护工作，直至竣工后移交给发包人为止。</w:t>
      </w:r>
    </w:p>
    <w:p w14:paraId="224F3B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4.1.10 其他义务</w:t>
      </w:r>
    </w:p>
    <w:p w14:paraId="3E54B58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承包人应履行合同约定的其他义务。</w:t>
      </w:r>
    </w:p>
    <w:p w14:paraId="4DB07994">
      <w:pPr>
        <w:pStyle w:val="67"/>
        <w:ind w:firstLine="118"/>
        <w:rPr>
          <w:rFonts w:ascii="宋体" w:eastAsia="宋体"/>
          <w:color w:val="000000" w:themeColor="text1"/>
          <w:szCs w:val="24"/>
          <w:highlight w:val="none"/>
          <w14:textFill>
            <w14:solidFill>
              <w14:schemeClr w14:val="tx1"/>
            </w14:solidFill>
          </w14:textFill>
        </w:rPr>
      </w:pPr>
      <w:bookmarkStart w:id="475" w:name="_Toc43475779"/>
      <w:bookmarkEnd w:id="475"/>
      <w:bookmarkStart w:id="476" w:name="_Toc386467051"/>
      <w:bookmarkEnd w:id="476"/>
      <w:bookmarkStart w:id="477" w:name="_Toc393546305"/>
      <w:bookmarkEnd w:id="477"/>
      <w:r>
        <w:rPr>
          <w:rFonts w:hint="eastAsia" w:ascii="宋体" w:eastAsia="宋体"/>
          <w:color w:val="000000" w:themeColor="text1"/>
          <w:szCs w:val="24"/>
          <w:highlight w:val="none"/>
          <w14:textFill>
            <w14:solidFill>
              <w14:schemeClr w14:val="tx1"/>
            </w14:solidFill>
          </w14:textFill>
        </w:rPr>
        <w:t>4.2 履约担保</w:t>
      </w:r>
    </w:p>
    <w:p w14:paraId="7A3780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承包人应保证其履约担保在发包人颁发工程接收证书前一直有效。发包人应在工程接收证书颁发后28天内把履约担保退还给承包人。</w:t>
      </w:r>
    </w:p>
    <w:p w14:paraId="0A951DFC">
      <w:pPr>
        <w:pStyle w:val="67"/>
        <w:ind w:firstLine="118"/>
        <w:rPr>
          <w:rFonts w:ascii="宋体" w:eastAsia="宋体"/>
          <w:color w:val="000000" w:themeColor="text1"/>
          <w:szCs w:val="24"/>
          <w:highlight w:val="none"/>
          <w14:textFill>
            <w14:solidFill>
              <w14:schemeClr w14:val="tx1"/>
            </w14:solidFill>
          </w14:textFill>
        </w:rPr>
      </w:pPr>
      <w:bookmarkStart w:id="478" w:name="_Toc393546306"/>
      <w:bookmarkEnd w:id="478"/>
      <w:bookmarkStart w:id="479" w:name="_Toc43475780"/>
      <w:bookmarkEnd w:id="479"/>
      <w:bookmarkStart w:id="480" w:name="_Toc386467052"/>
      <w:bookmarkEnd w:id="480"/>
      <w:r>
        <w:rPr>
          <w:rFonts w:hint="eastAsia" w:ascii="宋体" w:eastAsia="宋体"/>
          <w:color w:val="000000" w:themeColor="text1"/>
          <w:szCs w:val="24"/>
          <w:highlight w:val="none"/>
          <w14:textFill>
            <w14:solidFill>
              <w14:schemeClr w14:val="tx1"/>
            </w14:solidFill>
          </w14:textFill>
        </w:rPr>
        <w:t>4.3 分包</w:t>
      </w:r>
    </w:p>
    <w:p w14:paraId="30AA5B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承包人不得将其承包的全部工程转包给第三人，或将其承包的全部工程肢解后以分包的名义转包给第三人。</w:t>
      </w:r>
    </w:p>
    <w:p w14:paraId="7A703C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承包人不得将工程主体、关键性工作分包给第三人。除专用合同条款另有约定外，未经发包人同意，承包人不得将工程的其他部分或工作分包给第三人。</w:t>
      </w:r>
    </w:p>
    <w:p w14:paraId="32E523C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 分包人的资格能力应与其分包工程的标准和规模相适应。</w:t>
      </w:r>
    </w:p>
    <w:p w14:paraId="77C01EB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 按投标函附录约定分包工程的，承包人应向发包人和监理人提交分包合同副本。</w:t>
      </w:r>
    </w:p>
    <w:p w14:paraId="5B564A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 承包人应与分包人就分包工程向发包人承担连带责任。</w:t>
      </w:r>
    </w:p>
    <w:p w14:paraId="2C66CC6C">
      <w:pPr>
        <w:pStyle w:val="67"/>
        <w:ind w:firstLine="118"/>
        <w:rPr>
          <w:rFonts w:ascii="宋体" w:eastAsia="宋体"/>
          <w:color w:val="000000" w:themeColor="text1"/>
          <w:szCs w:val="24"/>
          <w:highlight w:val="none"/>
          <w14:textFill>
            <w14:solidFill>
              <w14:schemeClr w14:val="tx1"/>
            </w14:solidFill>
          </w14:textFill>
        </w:rPr>
      </w:pPr>
      <w:bookmarkStart w:id="481" w:name="_Toc43475781"/>
      <w:bookmarkEnd w:id="481"/>
      <w:bookmarkStart w:id="482" w:name="_Toc386467053"/>
      <w:bookmarkEnd w:id="482"/>
      <w:bookmarkStart w:id="483" w:name="_Toc393546307"/>
      <w:bookmarkEnd w:id="483"/>
      <w:r>
        <w:rPr>
          <w:rFonts w:hint="eastAsia" w:ascii="宋体" w:eastAsia="宋体"/>
          <w:color w:val="000000" w:themeColor="text1"/>
          <w:szCs w:val="24"/>
          <w:highlight w:val="none"/>
          <w14:textFill>
            <w14:solidFill>
              <w14:schemeClr w14:val="tx1"/>
            </w14:solidFill>
          </w14:textFill>
        </w:rPr>
        <w:t>4.4 联合体</w:t>
      </w:r>
    </w:p>
    <w:p w14:paraId="1AE731D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 联合体各方应共同与发包人签订合同协议书。联合体各方应为履行合同承担连带责任。</w:t>
      </w:r>
    </w:p>
    <w:p w14:paraId="58CB510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4.4.2 联合体协议经发包人确认后作为合同附件。在履行合同过程中，未经发包人同意，不得修改联合体协议。</w:t>
      </w:r>
    </w:p>
    <w:p w14:paraId="3373B5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 联合体牵头人负责与发包人和监理人联系，并接受指示，负责组织联合体各成员全面履行合同。</w:t>
      </w:r>
    </w:p>
    <w:p w14:paraId="139CBB76">
      <w:pPr>
        <w:pStyle w:val="67"/>
        <w:ind w:firstLine="118"/>
        <w:rPr>
          <w:rFonts w:ascii="宋体" w:eastAsia="宋体"/>
          <w:color w:val="000000" w:themeColor="text1"/>
          <w:szCs w:val="24"/>
          <w:highlight w:val="none"/>
          <w14:textFill>
            <w14:solidFill>
              <w14:schemeClr w14:val="tx1"/>
            </w14:solidFill>
          </w14:textFill>
        </w:rPr>
      </w:pPr>
      <w:bookmarkStart w:id="484" w:name="_Toc43475782"/>
      <w:bookmarkEnd w:id="484"/>
      <w:bookmarkStart w:id="485" w:name="_Toc393546308"/>
      <w:bookmarkEnd w:id="485"/>
      <w:bookmarkStart w:id="486" w:name="_Toc386467054"/>
      <w:bookmarkEnd w:id="486"/>
      <w:r>
        <w:rPr>
          <w:rFonts w:hint="eastAsia" w:ascii="宋体" w:eastAsia="宋体"/>
          <w:color w:val="000000" w:themeColor="text1"/>
          <w:szCs w:val="24"/>
          <w:highlight w:val="none"/>
          <w14:textFill>
            <w14:solidFill>
              <w14:schemeClr w14:val="tx1"/>
            </w14:solidFill>
          </w14:textFill>
        </w:rPr>
        <w:t>4.5 承包人项目经理</w:t>
      </w:r>
    </w:p>
    <w:p w14:paraId="4E0CCB8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61C6F9F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CABBD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4.5.3承包人为履行合同发出的一切函件均应盖有承包人授权的施工场地管理机构章，并由承包人项目经理或其授权代表签字。</w:t>
      </w:r>
    </w:p>
    <w:p w14:paraId="042770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4.5.4 承包人项目经理可以授权其下属人员履行其某项职责，但事先应将这些人员的姓名和授权范围通知监理人。</w:t>
      </w:r>
    </w:p>
    <w:p w14:paraId="5155382C">
      <w:pPr>
        <w:pStyle w:val="67"/>
        <w:ind w:firstLine="118"/>
        <w:rPr>
          <w:rFonts w:ascii="宋体" w:eastAsia="宋体"/>
          <w:color w:val="000000" w:themeColor="text1"/>
          <w:szCs w:val="24"/>
          <w:highlight w:val="none"/>
          <w14:textFill>
            <w14:solidFill>
              <w14:schemeClr w14:val="tx1"/>
            </w14:solidFill>
          </w14:textFill>
        </w:rPr>
      </w:pPr>
      <w:bookmarkStart w:id="487" w:name="_Toc152042423"/>
      <w:bookmarkEnd w:id="487"/>
      <w:bookmarkStart w:id="488" w:name="_Toc43475783"/>
      <w:bookmarkEnd w:id="488"/>
      <w:bookmarkStart w:id="489" w:name="_Toc152045645"/>
      <w:bookmarkEnd w:id="489"/>
      <w:bookmarkStart w:id="490" w:name="_Toc144974613"/>
      <w:bookmarkEnd w:id="490"/>
      <w:bookmarkStart w:id="491" w:name="_Toc393546309"/>
      <w:bookmarkEnd w:id="491"/>
      <w:bookmarkStart w:id="492" w:name="_Toc179632663"/>
      <w:bookmarkEnd w:id="492"/>
      <w:bookmarkStart w:id="493" w:name="_Toc330406250"/>
      <w:bookmarkEnd w:id="493"/>
      <w:bookmarkStart w:id="494" w:name="_Toc386467055"/>
      <w:bookmarkEnd w:id="494"/>
      <w:r>
        <w:rPr>
          <w:rFonts w:hint="eastAsia" w:ascii="宋体" w:eastAsia="宋体"/>
          <w:color w:val="000000" w:themeColor="text1"/>
          <w:szCs w:val="24"/>
          <w:highlight w:val="none"/>
          <w14:textFill>
            <w14:solidFill>
              <w14:schemeClr w14:val="tx1"/>
            </w14:solidFill>
          </w14:textFill>
        </w:rPr>
        <w:t>4.6 承包人人员的管理</w:t>
      </w:r>
    </w:p>
    <w:p w14:paraId="3201132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E9B7FD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 为完成合同约定的各项工作，承包人应向施工场地派遣或雇佣足够数量的下列人员：</w:t>
      </w:r>
    </w:p>
    <w:p w14:paraId="4F4BF4D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（1）具有相应资格的专业技工和合格的普工；</w:t>
      </w:r>
    </w:p>
    <w:p w14:paraId="3C61347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（2）具有相应施工经验的技术人员；</w:t>
      </w:r>
    </w:p>
    <w:p w14:paraId="634782C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（3）具有相应岗位资格的各级管理人员。</w:t>
      </w:r>
    </w:p>
    <w:p w14:paraId="11601C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 承包人安排在施工场地的主要管理人员和技术骨干应相对稳定。承包人更换主要管理人员和技术骨干时，应取得监理人的同意。</w:t>
      </w:r>
    </w:p>
    <w:p w14:paraId="4AF647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4.6.4 特殊岗位的工作人员均应持有相应的资格证明，监理人有权随时检查。监理人认为有必要时，可进行现场考核。</w:t>
      </w:r>
    </w:p>
    <w:p w14:paraId="7ACB57E4">
      <w:pPr>
        <w:pStyle w:val="67"/>
        <w:ind w:firstLine="118"/>
        <w:rPr>
          <w:rFonts w:ascii="宋体" w:eastAsia="宋体"/>
          <w:color w:val="000000" w:themeColor="text1"/>
          <w:szCs w:val="24"/>
          <w:highlight w:val="none"/>
          <w14:textFill>
            <w14:solidFill>
              <w14:schemeClr w14:val="tx1"/>
            </w14:solidFill>
          </w14:textFill>
        </w:rPr>
      </w:pPr>
      <w:bookmarkStart w:id="495" w:name="_Toc144974614"/>
      <w:bookmarkEnd w:id="495"/>
      <w:bookmarkStart w:id="496" w:name="_Toc179632664"/>
      <w:bookmarkEnd w:id="496"/>
      <w:bookmarkStart w:id="497" w:name="_Toc152045646"/>
      <w:bookmarkEnd w:id="497"/>
      <w:bookmarkStart w:id="498" w:name="_Toc386467056"/>
      <w:bookmarkEnd w:id="498"/>
      <w:bookmarkStart w:id="499" w:name="_Toc43475784"/>
      <w:bookmarkEnd w:id="499"/>
      <w:bookmarkStart w:id="500" w:name="_Toc330406251"/>
      <w:bookmarkEnd w:id="500"/>
      <w:bookmarkStart w:id="501" w:name="_Toc393546310"/>
      <w:bookmarkEnd w:id="501"/>
      <w:bookmarkStart w:id="502" w:name="_Toc152042424"/>
      <w:bookmarkEnd w:id="502"/>
      <w:r>
        <w:rPr>
          <w:rFonts w:hint="eastAsia" w:ascii="宋体" w:eastAsia="宋体"/>
          <w:color w:val="000000" w:themeColor="text1"/>
          <w:szCs w:val="24"/>
          <w:highlight w:val="none"/>
          <w14:textFill>
            <w14:solidFill>
              <w14:schemeClr w14:val="tx1"/>
            </w14:solidFill>
          </w14:textFill>
        </w:rPr>
        <w:t>4.7 撤换承包人项目经理和其他人员</w:t>
      </w:r>
    </w:p>
    <w:p w14:paraId="0A2B3D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14:paraId="41FE0314">
      <w:pPr>
        <w:pStyle w:val="67"/>
        <w:ind w:firstLine="118"/>
        <w:rPr>
          <w:rFonts w:ascii="宋体" w:eastAsia="宋体"/>
          <w:color w:val="000000" w:themeColor="text1"/>
          <w:szCs w:val="24"/>
          <w:highlight w:val="none"/>
          <w14:textFill>
            <w14:solidFill>
              <w14:schemeClr w14:val="tx1"/>
            </w14:solidFill>
          </w14:textFill>
        </w:rPr>
      </w:pPr>
      <w:bookmarkStart w:id="503" w:name="_Toc386467057"/>
      <w:bookmarkEnd w:id="503"/>
      <w:bookmarkStart w:id="504" w:name="_Toc330406252"/>
      <w:bookmarkEnd w:id="504"/>
      <w:bookmarkStart w:id="505" w:name="_Toc152042425"/>
      <w:bookmarkEnd w:id="505"/>
      <w:bookmarkStart w:id="506" w:name="_Toc393546311"/>
      <w:bookmarkEnd w:id="506"/>
      <w:bookmarkStart w:id="507" w:name="_Toc144974615"/>
      <w:bookmarkEnd w:id="507"/>
      <w:bookmarkStart w:id="508" w:name="_Toc152045647"/>
      <w:bookmarkEnd w:id="508"/>
      <w:bookmarkStart w:id="509" w:name="_Toc43475785"/>
      <w:bookmarkEnd w:id="509"/>
      <w:bookmarkStart w:id="510" w:name="_Toc179632665"/>
      <w:bookmarkEnd w:id="510"/>
      <w:r>
        <w:rPr>
          <w:rFonts w:hint="eastAsia" w:ascii="宋体" w:eastAsia="宋体"/>
          <w:color w:val="000000" w:themeColor="text1"/>
          <w:szCs w:val="24"/>
          <w:highlight w:val="none"/>
          <w14:textFill>
            <w14:solidFill>
              <w14:schemeClr w14:val="tx1"/>
            </w14:solidFill>
          </w14:textFill>
        </w:rPr>
        <w:t>4.8 保障承包人人员的合法权益</w:t>
      </w:r>
    </w:p>
    <w:p w14:paraId="644790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4.8.1 承包人应与其雇佣的人员签订劳动合同，并按时发放工资。</w:t>
      </w:r>
    </w:p>
    <w:p w14:paraId="1C21023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4.8.2 承包人应按劳动法的规定安排工作时间，保证其雇佣人员享有休息和休假的权利。因工程施工的特殊需要占用休假日或延长工作时间的，应不超过法律规定的限度，并按法律规定给予补休或付酬。</w:t>
      </w:r>
    </w:p>
    <w:p w14:paraId="643A5E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4.8.3 承包人应为其雇佣人员提供必要的食宿条件，以及符合环境保护和卫生要求的生活环境，在远离城镇的施工场地，还应配备必要的伤病防治和急救的医务人员与医疗设施。</w:t>
      </w:r>
    </w:p>
    <w:p w14:paraId="0AAF4D5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AB8828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4.8.5 承包人应按有关法律规定和合同约定，为其雇佣人员办理保险。</w:t>
      </w:r>
    </w:p>
    <w:p w14:paraId="52F9CE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4.8.6 承包人应负责处理其雇佣人员因工伤亡事故的善后事宜。</w:t>
      </w:r>
    </w:p>
    <w:p w14:paraId="17A893BB">
      <w:pPr>
        <w:pStyle w:val="67"/>
        <w:ind w:firstLine="118"/>
        <w:rPr>
          <w:rFonts w:ascii="宋体" w:eastAsia="宋体"/>
          <w:color w:val="000000" w:themeColor="text1"/>
          <w:szCs w:val="24"/>
          <w:highlight w:val="none"/>
          <w14:textFill>
            <w14:solidFill>
              <w14:schemeClr w14:val="tx1"/>
            </w14:solidFill>
          </w14:textFill>
        </w:rPr>
      </w:pPr>
      <w:bookmarkStart w:id="511" w:name="_Toc152045648"/>
      <w:bookmarkEnd w:id="511"/>
      <w:bookmarkStart w:id="512" w:name="_Toc393546312"/>
      <w:bookmarkEnd w:id="512"/>
      <w:bookmarkStart w:id="513" w:name="_Toc144974616"/>
      <w:bookmarkEnd w:id="513"/>
      <w:bookmarkStart w:id="514" w:name="_Toc330406253"/>
      <w:bookmarkEnd w:id="514"/>
      <w:bookmarkStart w:id="515" w:name="_Toc386467058"/>
      <w:bookmarkEnd w:id="515"/>
      <w:bookmarkStart w:id="516" w:name="_Toc152042426"/>
      <w:bookmarkEnd w:id="516"/>
      <w:bookmarkStart w:id="517" w:name="_Toc179632666"/>
      <w:bookmarkEnd w:id="517"/>
      <w:bookmarkStart w:id="518" w:name="_Toc43475786"/>
      <w:bookmarkEnd w:id="518"/>
      <w:r>
        <w:rPr>
          <w:rFonts w:hint="eastAsia" w:ascii="宋体" w:eastAsia="宋体"/>
          <w:color w:val="000000" w:themeColor="text1"/>
          <w:szCs w:val="24"/>
          <w:highlight w:val="none"/>
          <w14:textFill>
            <w14:solidFill>
              <w14:schemeClr w14:val="tx1"/>
            </w14:solidFill>
          </w14:textFill>
        </w:rPr>
        <w:t>4.9 工程价款应专款专用</w:t>
      </w:r>
    </w:p>
    <w:p w14:paraId="6AFDBA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w:t>
      </w:r>
    </w:p>
    <w:p w14:paraId="3899128C">
      <w:pPr>
        <w:pStyle w:val="67"/>
        <w:ind w:firstLine="118"/>
        <w:rPr>
          <w:rFonts w:ascii="宋体" w:eastAsia="宋体"/>
          <w:color w:val="000000" w:themeColor="text1"/>
          <w:szCs w:val="24"/>
          <w:highlight w:val="none"/>
          <w14:textFill>
            <w14:solidFill>
              <w14:schemeClr w14:val="tx1"/>
            </w14:solidFill>
          </w14:textFill>
        </w:rPr>
      </w:pPr>
      <w:bookmarkStart w:id="519" w:name="_Toc43475787"/>
      <w:bookmarkEnd w:id="519"/>
      <w:bookmarkStart w:id="520" w:name="_Toc393546313"/>
      <w:bookmarkEnd w:id="520"/>
      <w:bookmarkStart w:id="521" w:name="_Toc386467059"/>
      <w:bookmarkEnd w:id="521"/>
      <w:r>
        <w:rPr>
          <w:rFonts w:hint="eastAsia" w:ascii="宋体" w:eastAsia="宋体"/>
          <w:color w:val="000000" w:themeColor="text1"/>
          <w:szCs w:val="24"/>
          <w:highlight w:val="none"/>
          <w14:textFill>
            <w14:solidFill>
              <w14:schemeClr w14:val="tx1"/>
            </w14:solidFill>
          </w14:textFill>
        </w:rPr>
        <w:t>4.10 承包人现场查勘</w:t>
      </w:r>
    </w:p>
    <w:p w14:paraId="3D061BE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4.10.1 发包人应将其持有的现场地质勘探资料、水文气象资料提供给承包人，并对其准确性负责。但承包人应对其阅读上述有关资料后所作出的解释和推断负责。</w:t>
      </w:r>
    </w:p>
    <w:p w14:paraId="161D7E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F1FCF50">
      <w:pPr>
        <w:pStyle w:val="67"/>
        <w:ind w:firstLine="118"/>
        <w:rPr>
          <w:rFonts w:ascii="宋体" w:eastAsia="宋体"/>
          <w:color w:val="000000" w:themeColor="text1"/>
          <w:szCs w:val="24"/>
          <w:highlight w:val="none"/>
          <w14:textFill>
            <w14:solidFill>
              <w14:schemeClr w14:val="tx1"/>
            </w14:solidFill>
          </w14:textFill>
        </w:rPr>
      </w:pPr>
      <w:bookmarkStart w:id="522" w:name="_Toc43475788"/>
      <w:bookmarkEnd w:id="522"/>
      <w:bookmarkStart w:id="523" w:name="_Toc393546314"/>
      <w:bookmarkEnd w:id="523"/>
      <w:bookmarkStart w:id="524" w:name="_Toc386467060"/>
      <w:bookmarkEnd w:id="524"/>
      <w:r>
        <w:rPr>
          <w:rFonts w:hint="eastAsia" w:ascii="宋体" w:eastAsia="宋体"/>
          <w:color w:val="000000" w:themeColor="text1"/>
          <w:szCs w:val="24"/>
          <w:highlight w:val="none"/>
          <w14:textFill>
            <w14:solidFill>
              <w14:schemeClr w14:val="tx1"/>
            </w14:solidFill>
          </w14:textFill>
        </w:rPr>
        <w:t>4.11 不利物质条件</w:t>
      </w:r>
    </w:p>
    <w:p w14:paraId="0F8640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4.11.1 不利物质条件，除专用合同条款另有约定外，是指承包人在施工场地遇到的不可预见的自然物质条件、非自然的物质障碍和污染物，包括地下和水文条件，但不包括气候条件。</w:t>
      </w:r>
    </w:p>
    <w:p w14:paraId="6FF13B3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31E3F31D">
      <w:pPr>
        <w:pStyle w:val="78"/>
        <w:rPr>
          <w:rFonts w:ascii="宋体" w:hAnsi="宋体"/>
          <w:color w:val="000000" w:themeColor="text1"/>
          <w:sz w:val="24"/>
          <w:szCs w:val="24"/>
          <w:highlight w:val="none"/>
          <w14:textFill>
            <w14:solidFill>
              <w14:schemeClr w14:val="tx1"/>
            </w14:solidFill>
          </w14:textFill>
        </w:rPr>
      </w:pPr>
      <w:bookmarkStart w:id="525" w:name="_Toc43475789"/>
      <w:bookmarkEnd w:id="525"/>
      <w:bookmarkStart w:id="526" w:name="_Toc386467061"/>
      <w:bookmarkEnd w:id="526"/>
      <w:bookmarkStart w:id="527" w:name="_Toc393546315"/>
      <w:bookmarkEnd w:id="527"/>
      <w:r>
        <w:rPr>
          <w:rFonts w:hint="eastAsia" w:ascii="宋体" w:hAnsi="宋体"/>
          <w:color w:val="000000" w:themeColor="text1"/>
          <w:sz w:val="24"/>
          <w:szCs w:val="24"/>
          <w:highlight w:val="none"/>
          <w14:textFill>
            <w14:solidFill>
              <w14:schemeClr w14:val="tx1"/>
            </w14:solidFill>
          </w14:textFill>
        </w:rPr>
        <w:t>5. 材料和工程设备</w:t>
      </w:r>
    </w:p>
    <w:p w14:paraId="351FA910">
      <w:pPr>
        <w:pStyle w:val="67"/>
        <w:ind w:firstLine="118"/>
        <w:rPr>
          <w:rFonts w:ascii="宋体" w:eastAsia="宋体"/>
          <w:color w:val="000000" w:themeColor="text1"/>
          <w:szCs w:val="24"/>
          <w:highlight w:val="none"/>
          <w14:textFill>
            <w14:solidFill>
              <w14:schemeClr w14:val="tx1"/>
            </w14:solidFill>
          </w14:textFill>
        </w:rPr>
      </w:pPr>
      <w:bookmarkStart w:id="528" w:name="_Toc144974620"/>
      <w:bookmarkEnd w:id="528"/>
      <w:bookmarkStart w:id="529" w:name="_Toc386467062"/>
      <w:bookmarkEnd w:id="529"/>
      <w:bookmarkStart w:id="530" w:name="_Toc330406257"/>
      <w:bookmarkEnd w:id="530"/>
      <w:bookmarkStart w:id="531" w:name="_Toc152042430"/>
      <w:bookmarkEnd w:id="531"/>
      <w:bookmarkStart w:id="532" w:name="_Toc43475790"/>
      <w:bookmarkEnd w:id="532"/>
      <w:bookmarkStart w:id="533" w:name="_Toc393546316"/>
      <w:bookmarkEnd w:id="533"/>
      <w:bookmarkStart w:id="534" w:name="_Toc152045652"/>
      <w:bookmarkEnd w:id="534"/>
      <w:bookmarkStart w:id="535" w:name="_Toc179632670"/>
      <w:bookmarkEnd w:id="535"/>
      <w:r>
        <w:rPr>
          <w:rFonts w:hint="eastAsia" w:ascii="宋体" w:eastAsia="宋体"/>
          <w:color w:val="000000" w:themeColor="text1"/>
          <w:szCs w:val="24"/>
          <w:highlight w:val="none"/>
          <w14:textFill>
            <w14:solidFill>
              <w14:schemeClr w14:val="tx1"/>
            </w14:solidFill>
          </w14:textFill>
        </w:rPr>
        <w:t>5.1 承包人提供的材料和工程设备</w:t>
      </w:r>
    </w:p>
    <w:p w14:paraId="03D59D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除专用合同条款另有约定外，承包人提供的材料和工程设备均由承包人负责采购、运输和保管。承包人应对其采购的材料和工程设备负责。</w:t>
      </w:r>
    </w:p>
    <w:p w14:paraId="124660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FCB849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73C58B63">
      <w:pPr>
        <w:pStyle w:val="67"/>
        <w:ind w:firstLine="118"/>
        <w:rPr>
          <w:rFonts w:ascii="宋体" w:eastAsia="宋体"/>
          <w:color w:val="000000" w:themeColor="text1"/>
          <w:szCs w:val="24"/>
          <w:highlight w:val="none"/>
          <w14:textFill>
            <w14:solidFill>
              <w14:schemeClr w14:val="tx1"/>
            </w14:solidFill>
          </w14:textFill>
        </w:rPr>
      </w:pPr>
      <w:bookmarkStart w:id="536" w:name="_Toc43475791"/>
      <w:bookmarkEnd w:id="536"/>
      <w:bookmarkStart w:id="537" w:name="_Toc386467063"/>
      <w:bookmarkEnd w:id="537"/>
      <w:bookmarkStart w:id="538" w:name="_Toc393546317"/>
      <w:bookmarkEnd w:id="538"/>
      <w:r>
        <w:rPr>
          <w:rFonts w:hint="eastAsia" w:ascii="宋体" w:eastAsia="宋体"/>
          <w:color w:val="000000" w:themeColor="text1"/>
          <w:szCs w:val="24"/>
          <w:highlight w:val="none"/>
          <w14:textFill>
            <w14:solidFill>
              <w14:schemeClr w14:val="tx1"/>
            </w14:solidFill>
          </w14:textFill>
        </w:rPr>
        <w:t>5.2 发包人提供的材料和工程设备</w:t>
      </w:r>
    </w:p>
    <w:p w14:paraId="689954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 发包人提供的材料和工程设备，应在专用合同条款中写明材料和工程设备的名称、规格、数量、价格、交货方式、交货地点和计划交货日期等。</w:t>
      </w:r>
    </w:p>
    <w:p w14:paraId="0A8AA07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5.2.2 承包人应根据合同进度计划的安排，向监理人报送要求发包人交货的日期计划。发包人应按照监理人与合同双方当事人商定的交货日期，向承包人提交材料和工程设备。</w:t>
      </w:r>
    </w:p>
    <w:p w14:paraId="01CF8C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3749F2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5.2.4 发包人要求向承包人提前交货的，承包人不得拒绝，但发包人应承担承包人由此增加的费用。 </w:t>
      </w:r>
    </w:p>
    <w:p w14:paraId="0AAF29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5.2.5 承包人要求更改交货日期或地点的，应事先报请监理人批准。由于承包人要求更改交货时间或地点所增加的费用和（或）工期延误由承包人承担。 </w:t>
      </w:r>
    </w:p>
    <w:p w14:paraId="35E1F9B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F010801">
      <w:pPr>
        <w:pStyle w:val="67"/>
        <w:ind w:firstLine="118"/>
        <w:rPr>
          <w:rFonts w:ascii="宋体" w:eastAsia="宋体"/>
          <w:color w:val="000000" w:themeColor="text1"/>
          <w:szCs w:val="24"/>
          <w:highlight w:val="none"/>
          <w14:textFill>
            <w14:solidFill>
              <w14:schemeClr w14:val="tx1"/>
            </w14:solidFill>
          </w14:textFill>
        </w:rPr>
      </w:pPr>
      <w:bookmarkStart w:id="539" w:name="_Toc386467064"/>
      <w:bookmarkEnd w:id="539"/>
      <w:bookmarkStart w:id="540" w:name="_Toc330406259"/>
      <w:bookmarkEnd w:id="540"/>
      <w:bookmarkStart w:id="541" w:name="_Toc393546318"/>
      <w:bookmarkEnd w:id="541"/>
      <w:bookmarkStart w:id="542" w:name="_Toc179632672"/>
      <w:bookmarkEnd w:id="542"/>
      <w:bookmarkStart w:id="543" w:name="_Toc43475792"/>
      <w:bookmarkEnd w:id="543"/>
      <w:bookmarkStart w:id="544" w:name="_Toc152045654"/>
      <w:bookmarkEnd w:id="544"/>
      <w:bookmarkStart w:id="545" w:name="_Toc144974622"/>
      <w:bookmarkEnd w:id="545"/>
      <w:bookmarkStart w:id="546" w:name="_Toc152042432"/>
      <w:bookmarkEnd w:id="546"/>
      <w:r>
        <w:rPr>
          <w:rFonts w:hint="eastAsia" w:ascii="宋体" w:eastAsia="宋体"/>
          <w:color w:val="000000" w:themeColor="text1"/>
          <w:szCs w:val="24"/>
          <w:highlight w:val="none"/>
          <w14:textFill>
            <w14:solidFill>
              <w14:schemeClr w14:val="tx1"/>
            </w14:solidFill>
          </w14:textFill>
        </w:rPr>
        <w:t>5.3 材料和工程设备专用于合同工程</w:t>
      </w:r>
    </w:p>
    <w:p w14:paraId="32E135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5.3.1运入施工场地的材料、工程设备，包括备品备件、安装专用工器具与随机资料，必须专用于合同工程，未经监理人同意，承包人不得运出施工场地或挪作他用。</w:t>
      </w:r>
    </w:p>
    <w:p w14:paraId="26AD5A4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874D97D">
      <w:pPr>
        <w:pStyle w:val="67"/>
        <w:ind w:firstLine="118"/>
        <w:rPr>
          <w:rFonts w:ascii="宋体" w:eastAsia="宋体"/>
          <w:color w:val="000000" w:themeColor="text1"/>
          <w:szCs w:val="24"/>
          <w:highlight w:val="none"/>
          <w14:textFill>
            <w14:solidFill>
              <w14:schemeClr w14:val="tx1"/>
            </w14:solidFill>
          </w14:textFill>
        </w:rPr>
      </w:pPr>
      <w:bookmarkStart w:id="547" w:name="_Toc330406260"/>
      <w:bookmarkEnd w:id="547"/>
      <w:bookmarkStart w:id="548" w:name="_Toc43475793"/>
      <w:bookmarkEnd w:id="548"/>
      <w:bookmarkStart w:id="549" w:name="_Toc144974623"/>
      <w:bookmarkEnd w:id="549"/>
      <w:bookmarkStart w:id="550" w:name="_Toc152042433"/>
      <w:bookmarkEnd w:id="550"/>
      <w:bookmarkStart w:id="551" w:name="_Toc179632673"/>
      <w:bookmarkEnd w:id="551"/>
      <w:bookmarkStart w:id="552" w:name="_Toc386467065"/>
      <w:bookmarkEnd w:id="552"/>
      <w:bookmarkStart w:id="553" w:name="_Toc393546319"/>
      <w:bookmarkEnd w:id="553"/>
      <w:bookmarkStart w:id="554" w:name="_Toc152045655"/>
      <w:bookmarkEnd w:id="554"/>
      <w:r>
        <w:rPr>
          <w:rFonts w:hint="eastAsia" w:ascii="宋体" w:eastAsia="宋体"/>
          <w:color w:val="000000" w:themeColor="text1"/>
          <w:szCs w:val="24"/>
          <w:highlight w:val="none"/>
          <w14:textFill>
            <w14:solidFill>
              <w14:schemeClr w14:val="tx1"/>
            </w14:solidFill>
          </w14:textFill>
        </w:rPr>
        <w:t>5.4 禁止使用不合格的材料和工程设备</w:t>
      </w:r>
    </w:p>
    <w:p w14:paraId="4EF00D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 监理人有权拒绝承包人提供的不合格材料或工程设备，并要求承包人立即进行更换。监理人应在更换后再次进行检查和检验，由此增加的费用和（或）工期延误由承包人承担。</w:t>
      </w:r>
    </w:p>
    <w:p w14:paraId="5A1BF98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 监理人发现承包人使用了不合格的材料和工程设备，应即时发出指示要求承包人立即改正，并禁止在工程中继续使用不合格的材料和工程设备。</w:t>
      </w:r>
    </w:p>
    <w:p w14:paraId="4D484E9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5.4.3 发包人提供的材料或工程设备不符合合同要求的，承包人有权拒绝，并可要求发包人更换，由此增加的费用和（或）工期延误由发包人承担。</w:t>
      </w:r>
    </w:p>
    <w:p w14:paraId="59F91441">
      <w:pPr>
        <w:pStyle w:val="78"/>
        <w:rPr>
          <w:rFonts w:ascii="宋体" w:hAnsi="宋体"/>
          <w:color w:val="000000" w:themeColor="text1"/>
          <w:sz w:val="24"/>
          <w:szCs w:val="24"/>
          <w:highlight w:val="none"/>
          <w14:textFill>
            <w14:solidFill>
              <w14:schemeClr w14:val="tx1"/>
            </w14:solidFill>
          </w14:textFill>
        </w:rPr>
      </w:pPr>
      <w:bookmarkStart w:id="555" w:name="_Toc386467066"/>
      <w:bookmarkEnd w:id="555"/>
      <w:bookmarkStart w:id="556" w:name="_Toc393546320"/>
      <w:bookmarkEnd w:id="556"/>
      <w:bookmarkStart w:id="557" w:name="_Toc43475794"/>
      <w:bookmarkEnd w:id="557"/>
      <w:r>
        <w:rPr>
          <w:rFonts w:hint="eastAsia" w:ascii="宋体" w:hAnsi="宋体"/>
          <w:color w:val="000000" w:themeColor="text1"/>
          <w:sz w:val="24"/>
          <w:szCs w:val="24"/>
          <w:highlight w:val="none"/>
          <w14:textFill>
            <w14:solidFill>
              <w14:schemeClr w14:val="tx1"/>
            </w14:solidFill>
          </w14:textFill>
        </w:rPr>
        <w:t>6. 施工设备和临时设施</w:t>
      </w:r>
    </w:p>
    <w:p w14:paraId="10470909">
      <w:pPr>
        <w:pStyle w:val="67"/>
        <w:ind w:firstLine="118"/>
        <w:rPr>
          <w:rFonts w:ascii="宋体" w:eastAsia="宋体"/>
          <w:color w:val="000000" w:themeColor="text1"/>
          <w:szCs w:val="24"/>
          <w:highlight w:val="none"/>
          <w14:textFill>
            <w14:solidFill>
              <w14:schemeClr w14:val="tx1"/>
            </w14:solidFill>
          </w14:textFill>
        </w:rPr>
      </w:pPr>
      <w:bookmarkStart w:id="558" w:name="_Toc43475795"/>
      <w:bookmarkEnd w:id="558"/>
      <w:bookmarkStart w:id="559" w:name="_Toc393546321"/>
      <w:bookmarkEnd w:id="559"/>
      <w:bookmarkStart w:id="560" w:name="_Toc386467067"/>
      <w:bookmarkEnd w:id="560"/>
      <w:r>
        <w:rPr>
          <w:rFonts w:hint="eastAsia" w:ascii="宋体" w:eastAsia="宋体"/>
          <w:color w:val="000000" w:themeColor="text1"/>
          <w:szCs w:val="24"/>
          <w:highlight w:val="none"/>
          <w14:textFill>
            <w14:solidFill>
              <w14:schemeClr w14:val="tx1"/>
            </w14:solidFill>
          </w14:textFill>
        </w:rPr>
        <w:t>6.1 承包人提供的施工设备和临时设施</w:t>
      </w:r>
    </w:p>
    <w:p w14:paraId="641B76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承包人应按合同进度计划的要求，及时配置施工设备和修建临时设施。进入施工场地的承包人设备需经监理人核查后才能投入使用。承包人更换合同约定的承包人设备的，应报监理人批准。</w:t>
      </w:r>
    </w:p>
    <w:p w14:paraId="58D39A1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6.1.2除专用合同条款另有约定外，承包人应自行承担修建临时设施的费用，需要临时占地的，应由发包人办理申请手续并承担相应费用。</w:t>
      </w:r>
    </w:p>
    <w:p w14:paraId="40D48227">
      <w:pPr>
        <w:pStyle w:val="67"/>
        <w:ind w:firstLine="118"/>
        <w:rPr>
          <w:rFonts w:ascii="宋体" w:eastAsia="宋体"/>
          <w:color w:val="000000" w:themeColor="text1"/>
          <w:szCs w:val="24"/>
          <w:highlight w:val="none"/>
          <w14:textFill>
            <w14:solidFill>
              <w14:schemeClr w14:val="tx1"/>
            </w14:solidFill>
          </w14:textFill>
        </w:rPr>
      </w:pPr>
      <w:bookmarkStart w:id="561" w:name="_Toc144974626"/>
      <w:bookmarkEnd w:id="561"/>
      <w:bookmarkStart w:id="562" w:name="_Toc179632676"/>
      <w:bookmarkEnd w:id="562"/>
      <w:bookmarkStart w:id="563" w:name="_Toc152042436"/>
      <w:bookmarkEnd w:id="563"/>
      <w:bookmarkStart w:id="564" w:name="_Toc393546322"/>
      <w:bookmarkEnd w:id="564"/>
      <w:bookmarkStart w:id="565" w:name="_Toc43475796"/>
      <w:bookmarkEnd w:id="565"/>
      <w:bookmarkStart w:id="566" w:name="_Toc330406263"/>
      <w:bookmarkEnd w:id="566"/>
      <w:bookmarkStart w:id="567" w:name="_Toc386467068"/>
      <w:bookmarkEnd w:id="567"/>
      <w:bookmarkStart w:id="568" w:name="_Toc152045658"/>
      <w:bookmarkEnd w:id="568"/>
      <w:r>
        <w:rPr>
          <w:rFonts w:hint="eastAsia" w:ascii="宋体" w:eastAsia="宋体"/>
          <w:color w:val="000000" w:themeColor="text1"/>
          <w:szCs w:val="24"/>
          <w:highlight w:val="none"/>
          <w14:textFill>
            <w14:solidFill>
              <w14:schemeClr w14:val="tx1"/>
            </w14:solidFill>
          </w14:textFill>
        </w:rPr>
        <w:t>6.2 发包人提供的施工设备和临时设施</w:t>
      </w:r>
    </w:p>
    <w:p w14:paraId="08E0F4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发包人提供的施工设备或临时设施在专用合同条款中约定。</w:t>
      </w:r>
    </w:p>
    <w:p w14:paraId="73408DEC">
      <w:pPr>
        <w:pStyle w:val="67"/>
        <w:ind w:firstLine="118"/>
        <w:rPr>
          <w:rFonts w:ascii="宋体" w:eastAsia="宋体"/>
          <w:color w:val="000000" w:themeColor="text1"/>
          <w:szCs w:val="24"/>
          <w:highlight w:val="none"/>
          <w14:textFill>
            <w14:solidFill>
              <w14:schemeClr w14:val="tx1"/>
            </w14:solidFill>
          </w14:textFill>
        </w:rPr>
      </w:pPr>
      <w:bookmarkStart w:id="569" w:name="_Toc393546323"/>
      <w:bookmarkEnd w:id="569"/>
      <w:bookmarkStart w:id="570" w:name="_Toc386467069"/>
      <w:bookmarkEnd w:id="570"/>
      <w:bookmarkStart w:id="571" w:name="_Toc43475797"/>
      <w:bookmarkEnd w:id="571"/>
      <w:r>
        <w:rPr>
          <w:rFonts w:hint="eastAsia" w:ascii="宋体" w:eastAsia="宋体"/>
          <w:color w:val="000000" w:themeColor="text1"/>
          <w:szCs w:val="24"/>
          <w:highlight w:val="none"/>
          <w14:textFill>
            <w14:solidFill>
              <w14:schemeClr w14:val="tx1"/>
            </w14:solidFill>
          </w14:textFill>
        </w:rPr>
        <w:t>6.3 要求承包人增加或更换施工设备</w:t>
      </w:r>
    </w:p>
    <w:p w14:paraId="72FF290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14:paraId="20970DB8">
      <w:pPr>
        <w:pStyle w:val="67"/>
        <w:ind w:firstLine="118"/>
        <w:rPr>
          <w:rFonts w:ascii="宋体" w:eastAsia="宋体"/>
          <w:color w:val="000000" w:themeColor="text1"/>
          <w:szCs w:val="24"/>
          <w:highlight w:val="none"/>
          <w14:textFill>
            <w14:solidFill>
              <w14:schemeClr w14:val="tx1"/>
            </w14:solidFill>
          </w14:textFill>
        </w:rPr>
      </w:pPr>
      <w:bookmarkStart w:id="572" w:name="_Toc386467070"/>
      <w:bookmarkEnd w:id="572"/>
      <w:bookmarkStart w:id="573" w:name="_Toc152042438"/>
      <w:bookmarkEnd w:id="573"/>
      <w:bookmarkStart w:id="574" w:name="_Toc152045660"/>
      <w:bookmarkEnd w:id="574"/>
      <w:bookmarkStart w:id="575" w:name="_Toc179632678"/>
      <w:bookmarkEnd w:id="575"/>
      <w:bookmarkStart w:id="576" w:name="_Toc144974628"/>
      <w:bookmarkEnd w:id="576"/>
      <w:bookmarkStart w:id="577" w:name="_Toc43475798"/>
      <w:bookmarkEnd w:id="577"/>
      <w:bookmarkStart w:id="578" w:name="_Toc393546324"/>
      <w:bookmarkEnd w:id="578"/>
      <w:bookmarkStart w:id="579" w:name="_Toc330406265"/>
      <w:bookmarkEnd w:id="579"/>
      <w:r>
        <w:rPr>
          <w:rFonts w:hint="eastAsia" w:ascii="宋体" w:eastAsia="宋体"/>
          <w:color w:val="000000" w:themeColor="text1"/>
          <w:szCs w:val="24"/>
          <w:highlight w:val="none"/>
          <w14:textFill>
            <w14:solidFill>
              <w14:schemeClr w14:val="tx1"/>
            </w14:solidFill>
          </w14:textFill>
        </w:rPr>
        <w:t>6.4 施工设备和临时设施专用于合同工程</w:t>
      </w:r>
    </w:p>
    <w:p w14:paraId="7D0BBCB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6.4.1除合同另有约定外，运入施工场地的所有施工设备以及在施工场地建设的临时设施应专用于合同工程。未经监理人同意，不得将上述施工设备和临时设施中的任何部分运出施工场地或挪作他用。</w:t>
      </w:r>
    </w:p>
    <w:p w14:paraId="5D55349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 经监理人同意，承包人可根据合同进度计划撤走闲置的施工设备。</w:t>
      </w:r>
    </w:p>
    <w:p w14:paraId="60A17FAC">
      <w:pPr>
        <w:pStyle w:val="78"/>
        <w:rPr>
          <w:rFonts w:ascii="宋体" w:hAnsi="宋体"/>
          <w:color w:val="000000" w:themeColor="text1"/>
          <w:sz w:val="24"/>
          <w:szCs w:val="24"/>
          <w:highlight w:val="none"/>
          <w14:textFill>
            <w14:solidFill>
              <w14:schemeClr w14:val="tx1"/>
            </w14:solidFill>
          </w14:textFill>
        </w:rPr>
      </w:pPr>
      <w:bookmarkStart w:id="580" w:name="_Toc393546325"/>
      <w:bookmarkEnd w:id="580"/>
      <w:bookmarkStart w:id="581" w:name="_Toc386467071"/>
      <w:bookmarkEnd w:id="581"/>
      <w:bookmarkStart w:id="582" w:name="_Toc43475799"/>
      <w:bookmarkEnd w:id="582"/>
      <w:r>
        <w:rPr>
          <w:rFonts w:hint="eastAsia" w:ascii="宋体" w:hAnsi="宋体"/>
          <w:color w:val="000000" w:themeColor="text1"/>
          <w:sz w:val="24"/>
          <w:szCs w:val="24"/>
          <w:highlight w:val="none"/>
          <w14:textFill>
            <w14:solidFill>
              <w14:schemeClr w14:val="tx1"/>
            </w14:solidFill>
          </w14:textFill>
        </w:rPr>
        <w:t>7. 交通运输</w:t>
      </w:r>
    </w:p>
    <w:p w14:paraId="59E236FF">
      <w:pPr>
        <w:pStyle w:val="67"/>
        <w:ind w:firstLine="118"/>
        <w:rPr>
          <w:rFonts w:ascii="宋体" w:eastAsia="宋体"/>
          <w:color w:val="000000" w:themeColor="text1"/>
          <w:szCs w:val="24"/>
          <w:highlight w:val="none"/>
          <w14:textFill>
            <w14:solidFill>
              <w14:schemeClr w14:val="tx1"/>
            </w14:solidFill>
          </w14:textFill>
        </w:rPr>
      </w:pPr>
      <w:bookmarkStart w:id="583" w:name="_Toc43475800"/>
      <w:bookmarkEnd w:id="583"/>
      <w:bookmarkStart w:id="584" w:name="_Toc393546326"/>
      <w:bookmarkEnd w:id="584"/>
      <w:bookmarkStart w:id="585" w:name="_Toc386467072"/>
      <w:bookmarkEnd w:id="585"/>
      <w:r>
        <w:rPr>
          <w:rFonts w:hint="eastAsia" w:ascii="宋体" w:eastAsia="宋体"/>
          <w:color w:val="000000" w:themeColor="text1"/>
          <w:szCs w:val="24"/>
          <w:highlight w:val="none"/>
          <w14:textFill>
            <w14:solidFill>
              <w14:schemeClr w14:val="tx1"/>
            </w14:solidFill>
          </w14:textFill>
        </w:rPr>
        <w:t>7.1 道路通行权和场外设施</w:t>
      </w:r>
    </w:p>
    <w:p w14:paraId="66A826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0A162537">
      <w:pPr>
        <w:pStyle w:val="67"/>
        <w:ind w:firstLine="118"/>
        <w:rPr>
          <w:rFonts w:ascii="宋体" w:eastAsia="宋体"/>
          <w:color w:val="000000" w:themeColor="text1"/>
          <w:szCs w:val="24"/>
          <w:highlight w:val="none"/>
          <w14:textFill>
            <w14:solidFill>
              <w14:schemeClr w14:val="tx1"/>
            </w14:solidFill>
          </w14:textFill>
        </w:rPr>
      </w:pPr>
      <w:bookmarkStart w:id="586" w:name="_Toc152042441"/>
      <w:bookmarkEnd w:id="586"/>
      <w:bookmarkStart w:id="587" w:name="_Toc330406268"/>
      <w:bookmarkEnd w:id="587"/>
      <w:bookmarkStart w:id="588" w:name="_Toc393546327"/>
      <w:bookmarkEnd w:id="588"/>
      <w:bookmarkStart w:id="589" w:name="_Toc144974631"/>
      <w:bookmarkEnd w:id="589"/>
      <w:bookmarkStart w:id="590" w:name="_Toc179632681"/>
      <w:bookmarkEnd w:id="590"/>
      <w:bookmarkStart w:id="591" w:name="_Toc152045663"/>
      <w:bookmarkEnd w:id="591"/>
      <w:bookmarkStart w:id="592" w:name="_Toc43475801"/>
      <w:bookmarkEnd w:id="592"/>
      <w:bookmarkStart w:id="593" w:name="_Toc386467073"/>
      <w:bookmarkEnd w:id="593"/>
      <w:r>
        <w:rPr>
          <w:rFonts w:hint="eastAsia" w:ascii="宋体" w:eastAsia="宋体"/>
          <w:color w:val="000000" w:themeColor="text1"/>
          <w:szCs w:val="24"/>
          <w:highlight w:val="none"/>
          <w14:textFill>
            <w14:solidFill>
              <w14:schemeClr w14:val="tx1"/>
            </w14:solidFill>
          </w14:textFill>
        </w:rPr>
        <w:t>7.2 场内施工道路</w:t>
      </w:r>
    </w:p>
    <w:p w14:paraId="4698C0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7.2.1 除专用合同条款另有约定外，承包人应负责修建、维修、养护和管理施工所需的临时道路和交通设施，包括维修、养护和管理发包人提供的道路和交通设施，并承担相应费用。</w:t>
      </w:r>
    </w:p>
    <w:p w14:paraId="3AFD4E8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除专用合同条款另有约定外，承包人修建的临时道路和交通设施应免费提供发包人和监理人使用。</w:t>
      </w:r>
    </w:p>
    <w:p w14:paraId="6ED60700">
      <w:pPr>
        <w:pStyle w:val="67"/>
        <w:ind w:firstLine="118"/>
        <w:rPr>
          <w:rFonts w:ascii="宋体" w:eastAsia="宋体"/>
          <w:color w:val="000000" w:themeColor="text1"/>
          <w:szCs w:val="24"/>
          <w:highlight w:val="none"/>
          <w14:textFill>
            <w14:solidFill>
              <w14:schemeClr w14:val="tx1"/>
            </w14:solidFill>
          </w14:textFill>
        </w:rPr>
      </w:pPr>
      <w:bookmarkStart w:id="594" w:name="_Toc330406269"/>
      <w:bookmarkEnd w:id="594"/>
      <w:bookmarkStart w:id="595" w:name="_Toc152042442"/>
      <w:bookmarkEnd w:id="595"/>
      <w:bookmarkStart w:id="596" w:name="_Toc179632682"/>
      <w:bookmarkEnd w:id="596"/>
      <w:bookmarkStart w:id="597" w:name="_Toc43475802"/>
      <w:bookmarkEnd w:id="597"/>
      <w:bookmarkStart w:id="598" w:name="_Toc144974632"/>
      <w:bookmarkEnd w:id="598"/>
      <w:bookmarkStart w:id="599" w:name="_Toc393546328"/>
      <w:bookmarkEnd w:id="599"/>
      <w:bookmarkStart w:id="600" w:name="_Toc152045664"/>
      <w:bookmarkEnd w:id="600"/>
      <w:bookmarkStart w:id="601" w:name="_Toc386467074"/>
      <w:bookmarkEnd w:id="601"/>
      <w:r>
        <w:rPr>
          <w:rFonts w:hint="eastAsia" w:ascii="宋体" w:eastAsia="宋体"/>
          <w:color w:val="000000" w:themeColor="text1"/>
          <w:szCs w:val="24"/>
          <w:highlight w:val="none"/>
          <w14:textFill>
            <w14:solidFill>
              <w14:schemeClr w14:val="tx1"/>
            </w14:solidFill>
          </w14:textFill>
        </w:rPr>
        <w:t>7.3 场外交通</w:t>
      </w:r>
    </w:p>
    <w:p w14:paraId="4F020F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承包人车辆外出行驶所需的场外公共道路的通行费、养路费和税款等由承包人承担。</w:t>
      </w:r>
    </w:p>
    <w:p w14:paraId="1E9F0C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 承包人应遵守有关交通法规，严格按照道路和桥梁的限制荷重安全行驶，并服从交通管理部门的检查和监督。</w:t>
      </w:r>
    </w:p>
    <w:p w14:paraId="21006494">
      <w:pPr>
        <w:pStyle w:val="67"/>
        <w:ind w:firstLine="118"/>
        <w:rPr>
          <w:rFonts w:ascii="宋体" w:eastAsia="宋体"/>
          <w:color w:val="000000" w:themeColor="text1"/>
          <w:szCs w:val="24"/>
          <w:highlight w:val="none"/>
          <w14:textFill>
            <w14:solidFill>
              <w14:schemeClr w14:val="tx1"/>
            </w14:solidFill>
          </w14:textFill>
        </w:rPr>
      </w:pPr>
      <w:bookmarkStart w:id="602" w:name="_Toc179632683"/>
      <w:bookmarkEnd w:id="602"/>
      <w:bookmarkStart w:id="603" w:name="_Toc393546329"/>
      <w:bookmarkEnd w:id="603"/>
      <w:bookmarkStart w:id="604" w:name="_Toc152042443"/>
      <w:bookmarkEnd w:id="604"/>
      <w:bookmarkStart w:id="605" w:name="_Toc330406270"/>
      <w:bookmarkEnd w:id="605"/>
      <w:bookmarkStart w:id="606" w:name="_Toc152045665"/>
      <w:bookmarkEnd w:id="606"/>
      <w:bookmarkStart w:id="607" w:name="_Toc43475803"/>
      <w:bookmarkEnd w:id="607"/>
      <w:bookmarkStart w:id="608" w:name="_Toc386467075"/>
      <w:bookmarkEnd w:id="608"/>
      <w:bookmarkStart w:id="609" w:name="_Toc144974633"/>
      <w:bookmarkEnd w:id="609"/>
      <w:r>
        <w:rPr>
          <w:rFonts w:hint="eastAsia" w:ascii="宋体" w:eastAsia="宋体"/>
          <w:color w:val="000000" w:themeColor="text1"/>
          <w:szCs w:val="24"/>
          <w:highlight w:val="none"/>
          <w14:textFill>
            <w14:solidFill>
              <w14:schemeClr w14:val="tx1"/>
            </w14:solidFill>
          </w14:textFill>
        </w:rPr>
        <w:t>7.4 超大件和超重件的运输</w:t>
      </w:r>
    </w:p>
    <w:p w14:paraId="01E825F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F81C1AC">
      <w:pPr>
        <w:pStyle w:val="67"/>
        <w:ind w:firstLine="118"/>
        <w:rPr>
          <w:rFonts w:ascii="宋体" w:eastAsia="宋体"/>
          <w:color w:val="000000" w:themeColor="text1"/>
          <w:szCs w:val="24"/>
          <w:highlight w:val="none"/>
          <w14:textFill>
            <w14:solidFill>
              <w14:schemeClr w14:val="tx1"/>
            </w14:solidFill>
          </w14:textFill>
        </w:rPr>
      </w:pPr>
      <w:bookmarkStart w:id="610" w:name="_Toc393546330"/>
      <w:bookmarkEnd w:id="610"/>
      <w:bookmarkStart w:id="611" w:name="_Toc43475804"/>
      <w:bookmarkEnd w:id="611"/>
      <w:bookmarkStart w:id="612" w:name="_Toc179632684"/>
      <w:bookmarkEnd w:id="612"/>
      <w:bookmarkStart w:id="613" w:name="_Toc386467076"/>
      <w:bookmarkEnd w:id="613"/>
      <w:bookmarkStart w:id="614" w:name="_Toc144974634"/>
      <w:bookmarkEnd w:id="614"/>
      <w:bookmarkStart w:id="615" w:name="_Toc152045666"/>
      <w:bookmarkEnd w:id="615"/>
      <w:bookmarkStart w:id="616" w:name="_Toc330406271"/>
      <w:bookmarkEnd w:id="616"/>
      <w:bookmarkStart w:id="617" w:name="_Toc152042444"/>
      <w:bookmarkEnd w:id="617"/>
      <w:r>
        <w:rPr>
          <w:rFonts w:hint="eastAsia" w:ascii="宋体" w:eastAsia="宋体"/>
          <w:color w:val="000000" w:themeColor="text1"/>
          <w:szCs w:val="24"/>
          <w:highlight w:val="none"/>
          <w14:textFill>
            <w14:solidFill>
              <w14:schemeClr w14:val="tx1"/>
            </w14:solidFill>
          </w14:textFill>
        </w:rPr>
        <w:t>7.5 道路和桥梁的损坏责任</w:t>
      </w:r>
    </w:p>
    <w:p w14:paraId="7FA135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因承包人运输造成施工场地内外公共道路和桥梁损坏的，由承包人承担修复损坏的全部费用和可能引起的赔偿。</w:t>
      </w:r>
    </w:p>
    <w:p w14:paraId="111D49D7">
      <w:pPr>
        <w:pStyle w:val="67"/>
        <w:ind w:firstLine="118"/>
        <w:rPr>
          <w:rFonts w:ascii="宋体" w:eastAsia="宋体"/>
          <w:color w:val="000000" w:themeColor="text1"/>
          <w:szCs w:val="24"/>
          <w:highlight w:val="none"/>
          <w14:textFill>
            <w14:solidFill>
              <w14:schemeClr w14:val="tx1"/>
            </w14:solidFill>
          </w14:textFill>
        </w:rPr>
      </w:pPr>
      <w:bookmarkStart w:id="618" w:name="_Toc144974635"/>
      <w:bookmarkEnd w:id="618"/>
      <w:bookmarkStart w:id="619" w:name="_Toc152045667"/>
      <w:bookmarkEnd w:id="619"/>
      <w:bookmarkStart w:id="620" w:name="_Toc393546331"/>
      <w:bookmarkEnd w:id="620"/>
      <w:bookmarkStart w:id="621" w:name="_Toc386467077"/>
      <w:bookmarkEnd w:id="621"/>
      <w:bookmarkStart w:id="622" w:name="_Toc179632685"/>
      <w:bookmarkEnd w:id="622"/>
      <w:bookmarkStart w:id="623" w:name="_Toc152042445"/>
      <w:bookmarkEnd w:id="623"/>
      <w:bookmarkStart w:id="624" w:name="_Toc330406272"/>
      <w:bookmarkEnd w:id="624"/>
      <w:bookmarkStart w:id="625" w:name="_Toc43475805"/>
      <w:bookmarkEnd w:id="625"/>
      <w:r>
        <w:rPr>
          <w:rFonts w:hint="eastAsia" w:ascii="宋体" w:eastAsia="宋体"/>
          <w:color w:val="000000" w:themeColor="text1"/>
          <w:szCs w:val="24"/>
          <w:highlight w:val="none"/>
          <w14:textFill>
            <w14:solidFill>
              <w14:schemeClr w14:val="tx1"/>
            </w14:solidFill>
          </w14:textFill>
        </w:rPr>
        <w:t>7.6 水路和航空运输</w:t>
      </w:r>
    </w:p>
    <w:p w14:paraId="35AC2B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本条上述各款的内容适用于水路运输和航空运输，其中“道路”一词的涵义包括河道、航线、船闸、机场、码头、堤防以及水路或航空运输中其他相似结构物；“车辆”一词的涵义包括船舶和飞机等。 </w:t>
      </w:r>
    </w:p>
    <w:p w14:paraId="42F050A5">
      <w:pPr>
        <w:pStyle w:val="78"/>
        <w:rPr>
          <w:rFonts w:ascii="宋体" w:hAnsi="宋体"/>
          <w:color w:val="000000" w:themeColor="text1"/>
          <w:sz w:val="24"/>
          <w:szCs w:val="24"/>
          <w:highlight w:val="none"/>
          <w14:textFill>
            <w14:solidFill>
              <w14:schemeClr w14:val="tx1"/>
            </w14:solidFill>
          </w14:textFill>
        </w:rPr>
      </w:pPr>
      <w:bookmarkStart w:id="626" w:name="_Toc43475806"/>
      <w:bookmarkEnd w:id="626"/>
      <w:bookmarkStart w:id="627" w:name="_Toc386467078"/>
      <w:bookmarkEnd w:id="627"/>
      <w:bookmarkStart w:id="628" w:name="_Toc393546332"/>
      <w:bookmarkEnd w:id="628"/>
      <w:r>
        <w:rPr>
          <w:rFonts w:hint="eastAsia" w:ascii="宋体" w:hAnsi="宋体"/>
          <w:color w:val="000000" w:themeColor="text1"/>
          <w:sz w:val="24"/>
          <w:szCs w:val="24"/>
          <w:highlight w:val="none"/>
          <w14:textFill>
            <w14:solidFill>
              <w14:schemeClr w14:val="tx1"/>
            </w14:solidFill>
          </w14:textFill>
        </w:rPr>
        <w:t>8. 测量放线</w:t>
      </w:r>
    </w:p>
    <w:p w14:paraId="16E6BF7B">
      <w:pPr>
        <w:pStyle w:val="67"/>
        <w:ind w:firstLine="118"/>
        <w:rPr>
          <w:rFonts w:ascii="宋体" w:eastAsia="宋体"/>
          <w:color w:val="000000" w:themeColor="text1"/>
          <w:szCs w:val="24"/>
          <w:highlight w:val="none"/>
          <w14:textFill>
            <w14:solidFill>
              <w14:schemeClr w14:val="tx1"/>
            </w14:solidFill>
          </w14:textFill>
        </w:rPr>
      </w:pPr>
      <w:bookmarkStart w:id="629" w:name="_Toc152045669"/>
      <w:bookmarkEnd w:id="629"/>
      <w:bookmarkStart w:id="630" w:name="_Toc179632687"/>
      <w:bookmarkEnd w:id="630"/>
      <w:bookmarkStart w:id="631" w:name="_Toc144974637"/>
      <w:bookmarkEnd w:id="631"/>
      <w:bookmarkStart w:id="632" w:name="_Toc152042447"/>
      <w:bookmarkEnd w:id="632"/>
      <w:bookmarkStart w:id="633" w:name="_Toc43475807"/>
      <w:bookmarkEnd w:id="633"/>
      <w:bookmarkStart w:id="634" w:name="_Toc393546333"/>
      <w:bookmarkEnd w:id="634"/>
      <w:bookmarkStart w:id="635" w:name="_Toc386467079"/>
      <w:bookmarkEnd w:id="635"/>
      <w:bookmarkStart w:id="636" w:name="_Toc330406274"/>
      <w:bookmarkEnd w:id="636"/>
      <w:r>
        <w:rPr>
          <w:rFonts w:hint="eastAsia" w:ascii="宋体" w:eastAsia="宋体"/>
          <w:color w:val="000000" w:themeColor="text1"/>
          <w:szCs w:val="24"/>
          <w:highlight w:val="none"/>
          <w14:textFill>
            <w14:solidFill>
              <w14:schemeClr w14:val="tx1"/>
            </w14:solidFill>
          </w14:textFill>
        </w:rPr>
        <w:t>8.1 施工控制网</w:t>
      </w:r>
    </w:p>
    <w:p w14:paraId="150553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75CBB8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8.1.2承包人应负责管理施工控制网点。施工控制网点丢失或损坏的，承包人应及时修复。承包人应承担施工控制网点的管理与修复费用，并在工程竣工后将施工控制网点移交发包人。</w:t>
      </w:r>
    </w:p>
    <w:p w14:paraId="2950E35A">
      <w:pPr>
        <w:pStyle w:val="67"/>
        <w:ind w:firstLine="118"/>
        <w:rPr>
          <w:rFonts w:ascii="宋体" w:eastAsia="宋体"/>
          <w:color w:val="000000" w:themeColor="text1"/>
          <w:szCs w:val="24"/>
          <w:highlight w:val="none"/>
          <w14:textFill>
            <w14:solidFill>
              <w14:schemeClr w14:val="tx1"/>
            </w14:solidFill>
          </w14:textFill>
        </w:rPr>
      </w:pPr>
      <w:bookmarkStart w:id="637" w:name="_Toc152045670"/>
      <w:bookmarkEnd w:id="637"/>
      <w:bookmarkStart w:id="638" w:name="_Toc393546334"/>
      <w:bookmarkEnd w:id="638"/>
      <w:bookmarkStart w:id="639" w:name="_Toc386467080"/>
      <w:bookmarkEnd w:id="639"/>
      <w:bookmarkStart w:id="640" w:name="_Toc179632688"/>
      <w:bookmarkEnd w:id="640"/>
      <w:bookmarkStart w:id="641" w:name="_Toc43475808"/>
      <w:bookmarkEnd w:id="641"/>
      <w:bookmarkStart w:id="642" w:name="_Toc144974638"/>
      <w:bookmarkEnd w:id="642"/>
      <w:bookmarkStart w:id="643" w:name="_Toc152042448"/>
      <w:bookmarkEnd w:id="643"/>
      <w:bookmarkStart w:id="644" w:name="_Toc330406275"/>
      <w:bookmarkEnd w:id="644"/>
      <w:r>
        <w:rPr>
          <w:rFonts w:hint="eastAsia" w:ascii="宋体" w:eastAsia="宋体"/>
          <w:color w:val="000000" w:themeColor="text1"/>
          <w:szCs w:val="24"/>
          <w:highlight w:val="none"/>
          <w14:textFill>
            <w14:solidFill>
              <w14:schemeClr w14:val="tx1"/>
            </w14:solidFill>
          </w14:textFill>
        </w:rPr>
        <w:t>8.2 施工测量</w:t>
      </w:r>
    </w:p>
    <w:p w14:paraId="674243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8.2.1承包人应负责施工过程中的全部施工测量放线工作，并配置合格的人员、仪器、设备和其他物品。</w:t>
      </w:r>
    </w:p>
    <w:p w14:paraId="27DF0AC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8.2.2监理人可以指示承包人进行抽样复测，当复测中发现错误或出现超过合同约定的误差时，承包人应按监理人指示进行修正或补测，并承担相应的复测费用。</w:t>
      </w:r>
    </w:p>
    <w:p w14:paraId="0F52F971">
      <w:pPr>
        <w:pStyle w:val="67"/>
        <w:ind w:firstLine="118"/>
        <w:rPr>
          <w:rFonts w:ascii="宋体" w:eastAsia="宋体"/>
          <w:color w:val="000000" w:themeColor="text1"/>
          <w:szCs w:val="24"/>
          <w:highlight w:val="none"/>
          <w14:textFill>
            <w14:solidFill>
              <w14:schemeClr w14:val="tx1"/>
            </w14:solidFill>
          </w14:textFill>
        </w:rPr>
      </w:pPr>
      <w:bookmarkStart w:id="645" w:name="_Toc179632689"/>
      <w:bookmarkEnd w:id="645"/>
      <w:bookmarkStart w:id="646" w:name="_Toc386467081"/>
      <w:bookmarkEnd w:id="646"/>
      <w:bookmarkStart w:id="647" w:name="_Toc152042449"/>
      <w:bookmarkEnd w:id="647"/>
      <w:bookmarkStart w:id="648" w:name="_Toc330406276"/>
      <w:bookmarkEnd w:id="648"/>
      <w:bookmarkStart w:id="649" w:name="_Toc144974639"/>
      <w:bookmarkEnd w:id="649"/>
      <w:bookmarkStart w:id="650" w:name="_Toc393546335"/>
      <w:bookmarkEnd w:id="650"/>
      <w:bookmarkStart w:id="651" w:name="_Toc152045671"/>
      <w:bookmarkEnd w:id="651"/>
      <w:bookmarkStart w:id="652" w:name="_Toc43475809"/>
      <w:bookmarkEnd w:id="652"/>
      <w:r>
        <w:rPr>
          <w:rFonts w:hint="eastAsia" w:ascii="宋体" w:eastAsia="宋体"/>
          <w:color w:val="000000" w:themeColor="text1"/>
          <w:szCs w:val="24"/>
          <w:highlight w:val="none"/>
          <w14:textFill>
            <w14:solidFill>
              <w14:schemeClr w14:val="tx1"/>
            </w14:solidFill>
          </w14:textFill>
        </w:rPr>
        <w:t>8.3 基准资料错误的责任</w:t>
      </w:r>
    </w:p>
    <w:p w14:paraId="1669DE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ABBC01A">
      <w:pPr>
        <w:pStyle w:val="67"/>
        <w:ind w:firstLine="118"/>
        <w:rPr>
          <w:rFonts w:ascii="宋体" w:eastAsia="宋体"/>
          <w:color w:val="000000" w:themeColor="text1"/>
          <w:szCs w:val="24"/>
          <w:highlight w:val="none"/>
          <w14:textFill>
            <w14:solidFill>
              <w14:schemeClr w14:val="tx1"/>
            </w14:solidFill>
          </w14:textFill>
        </w:rPr>
      </w:pPr>
      <w:bookmarkStart w:id="653" w:name="_Toc386467082"/>
      <w:bookmarkEnd w:id="653"/>
      <w:bookmarkStart w:id="654" w:name="_Toc393546336"/>
      <w:bookmarkEnd w:id="654"/>
      <w:bookmarkStart w:id="655" w:name="_Toc43475810"/>
      <w:bookmarkEnd w:id="655"/>
      <w:r>
        <w:rPr>
          <w:rFonts w:hint="eastAsia" w:ascii="宋体" w:eastAsia="宋体"/>
          <w:color w:val="000000" w:themeColor="text1"/>
          <w:szCs w:val="24"/>
          <w:highlight w:val="none"/>
          <w14:textFill>
            <w14:solidFill>
              <w14:schemeClr w14:val="tx1"/>
            </w14:solidFill>
          </w14:textFill>
        </w:rPr>
        <w:t>8.4 监理人使用施工控制网</w:t>
      </w:r>
    </w:p>
    <w:p w14:paraId="5E8309EC">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监理人需要使用施工控制网的，承包人应提供必要的协助，发包人不再为此支付费用。</w:t>
      </w:r>
    </w:p>
    <w:p w14:paraId="4F69F673">
      <w:pPr>
        <w:pStyle w:val="78"/>
        <w:rPr>
          <w:rFonts w:ascii="宋体" w:hAnsi="宋体"/>
          <w:color w:val="000000" w:themeColor="text1"/>
          <w:sz w:val="24"/>
          <w:szCs w:val="24"/>
          <w:highlight w:val="none"/>
          <w14:textFill>
            <w14:solidFill>
              <w14:schemeClr w14:val="tx1"/>
            </w14:solidFill>
          </w14:textFill>
        </w:rPr>
      </w:pPr>
      <w:bookmarkStart w:id="656" w:name="_Toc43475811"/>
      <w:bookmarkEnd w:id="656"/>
      <w:bookmarkStart w:id="657" w:name="_Toc386467083"/>
      <w:bookmarkEnd w:id="657"/>
      <w:bookmarkStart w:id="658" w:name="_Toc393546337"/>
      <w:bookmarkEnd w:id="658"/>
      <w:r>
        <w:rPr>
          <w:rFonts w:hint="eastAsia" w:ascii="宋体" w:hAnsi="宋体"/>
          <w:color w:val="000000" w:themeColor="text1"/>
          <w:sz w:val="24"/>
          <w:szCs w:val="24"/>
          <w:highlight w:val="none"/>
          <w14:textFill>
            <w14:solidFill>
              <w14:schemeClr w14:val="tx1"/>
            </w14:solidFill>
          </w14:textFill>
        </w:rPr>
        <w:t>9. 施工安全、治安保卫和环境保护</w:t>
      </w:r>
    </w:p>
    <w:p w14:paraId="314804B4">
      <w:pPr>
        <w:pStyle w:val="67"/>
        <w:ind w:firstLine="118"/>
        <w:rPr>
          <w:rFonts w:ascii="宋体" w:eastAsia="宋体"/>
          <w:color w:val="000000" w:themeColor="text1"/>
          <w:szCs w:val="24"/>
          <w:highlight w:val="none"/>
          <w14:textFill>
            <w14:solidFill>
              <w14:schemeClr w14:val="tx1"/>
            </w14:solidFill>
          </w14:textFill>
        </w:rPr>
      </w:pPr>
      <w:bookmarkStart w:id="659" w:name="_Toc144974642"/>
      <w:bookmarkEnd w:id="659"/>
      <w:bookmarkStart w:id="660" w:name="_Toc152045674"/>
      <w:bookmarkEnd w:id="660"/>
      <w:bookmarkStart w:id="661" w:name="_Toc386467084"/>
      <w:bookmarkEnd w:id="661"/>
      <w:bookmarkStart w:id="662" w:name="_Toc43475812"/>
      <w:bookmarkEnd w:id="662"/>
      <w:bookmarkStart w:id="663" w:name="_Toc330406279"/>
      <w:bookmarkEnd w:id="663"/>
      <w:bookmarkStart w:id="664" w:name="_Toc393546338"/>
      <w:bookmarkEnd w:id="664"/>
      <w:bookmarkStart w:id="665" w:name="_Toc179632692"/>
      <w:bookmarkEnd w:id="665"/>
      <w:bookmarkStart w:id="666" w:name="_Toc152042452"/>
      <w:bookmarkEnd w:id="666"/>
      <w:r>
        <w:rPr>
          <w:rFonts w:hint="eastAsia" w:ascii="宋体" w:eastAsia="宋体"/>
          <w:color w:val="000000" w:themeColor="text1"/>
          <w:szCs w:val="24"/>
          <w:highlight w:val="none"/>
          <w14:textFill>
            <w14:solidFill>
              <w14:schemeClr w14:val="tx1"/>
            </w14:solidFill>
          </w14:textFill>
        </w:rPr>
        <w:t>9.1 发包人的施工安全责任</w:t>
      </w:r>
    </w:p>
    <w:p w14:paraId="6761B8A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 发包人应按合同约定履行安全职责，授权监理人按合同约定的安全工作内容监督、检查承包人安全工作的实施，组织承包人和有关单位进行安全检查。</w:t>
      </w:r>
    </w:p>
    <w:p w14:paraId="3DD80F3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发包人应对其现场机构雇佣的全部人员的工伤事故承担责任，但由于承包人原因造成发包人人员工伤的，应由承包人承担责任。</w:t>
      </w:r>
    </w:p>
    <w:p w14:paraId="0B89E72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9.1.3 发包人应负责赔偿以下各种情况造成的第三者人身伤亡和财产损失：</w:t>
      </w:r>
    </w:p>
    <w:p w14:paraId="089678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工程或工程的任何部分对土地的占用所造成的第三者财产损失；</w:t>
      </w:r>
    </w:p>
    <w:p w14:paraId="578A61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由于发包人原因在施工场地及其毗邻地带造成的第三者人身伤亡和财产损失。</w:t>
      </w:r>
    </w:p>
    <w:p w14:paraId="469EF6A9">
      <w:pPr>
        <w:pStyle w:val="67"/>
        <w:ind w:firstLine="118"/>
        <w:rPr>
          <w:rFonts w:ascii="宋体" w:eastAsia="宋体"/>
          <w:color w:val="000000" w:themeColor="text1"/>
          <w:szCs w:val="24"/>
          <w:highlight w:val="none"/>
          <w14:textFill>
            <w14:solidFill>
              <w14:schemeClr w14:val="tx1"/>
            </w14:solidFill>
          </w14:textFill>
        </w:rPr>
      </w:pPr>
      <w:bookmarkStart w:id="667" w:name="_Toc386467085"/>
      <w:bookmarkEnd w:id="667"/>
      <w:bookmarkStart w:id="668" w:name="_Toc43475813"/>
      <w:bookmarkEnd w:id="668"/>
      <w:bookmarkStart w:id="669" w:name="_Toc393546339"/>
      <w:bookmarkEnd w:id="669"/>
      <w:r>
        <w:rPr>
          <w:rFonts w:hint="eastAsia" w:ascii="宋体" w:eastAsia="宋体"/>
          <w:color w:val="000000" w:themeColor="text1"/>
          <w:szCs w:val="24"/>
          <w:highlight w:val="none"/>
          <w14:textFill>
            <w14:solidFill>
              <w14:schemeClr w14:val="tx1"/>
            </w14:solidFill>
          </w14:textFill>
        </w:rPr>
        <w:t>9.2 承包人的施工安全责任</w:t>
      </w:r>
    </w:p>
    <w:p w14:paraId="387AF8A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承包人应按合同约定履行安全职责,执行监理人有关安全工作的指示,并在专用合同条款约定的期限内，按合同约定的安全工作内容，编制施工安全措施计划报送监理人审批。</w:t>
      </w:r>
    </w:p>
    <w:p w14:paraId="174D9D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9.2.2 承包人应加强施工作业安全管理，特别应加强易燃、易爆材料、火工器材、有毒与腐蚀性材料和其他危险品的管理，以及对爆破作业和地下工程施工等危险作业的管理。</w:t>
      </w:r>
    </w:p>
    <w:p w14:paraId="4655D4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 承包人应严格按照国家安全标准制定施工安全操作规程，配备必要的安全生产和劳动保护设施，加强对承包人人员的安全教育，并发放安全工作手册和劳动保护用具。</w:t>
      </w:r>
    </w:p>
    <w:p w14:paraId="71F790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9.2.4 承包人应按监理人的指示制定应对灾害的紧急预案，报送监理人审批。承包人还应按预案做好安全检查，配置必要的救助物资和器材，切实保护好有关人员的人身和财产安全。</w:t>
      </w:r>
    </w:p>
    <w:p w14:paraId="754C59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7CA2AC5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9.2.6 承包人应对其履行合同所雇佣的全部人员，包括分包人人员的工伤事故承担责任，但由于发包人原因造成承包人人员工伤事故的，应由发包人承担责任。</w:t>
      </w:r>
    </w:p>
    <w:p w14:paraId="0F19B8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9.2.7 由于承包人原因在施工场地内及其毗邻地带造成的第三者人员伤亡和财产损失，由承包人负责赔偿。</w:t>
      </w:r>
    </w:p>
    <w:p w14:paraId="41785BA3">
      <w:pPr>
        <w:pStyle w:val="67"/>
        <w:ind w:firstLine="118"/>
        <w:rPr>
          <w:rFonts w:ascii="宋体" w:eastAsia="宋体"/>
          <w:color w:val="000000" w:themeColor="text1"/>
          <w:szCs w:val="24"/>
          <w:highlight w:val="none"/>
          <w14:textFill>
            <w14:solidFill>
              <w14:schemeClr w14:val="tx1"/>
            </w14:solidFill>
          </w14:textFill>
        </w:rPr>
      </w:pPr>
      <w:bookmarkStart w:id="670" w:name="_Toc330406281"/>
      <w:bookmarkEnd w:id="670"/>
      <w:bookmarkStart w:id="671" w:name="_Toc152042454"/>
      <w:bookmarkEnd w:id="671"/>
      <w:bookmarkStart w:id="672" w:name="_Toc179632694"/>
      <w:bookmarkEnd w:id="672"/>
      <w:bookmarkStart w:id="673" w:name="_Toc386467086"/>
      <w:bookmarkEnd w:id="673"/>
      <w:bookmarkStart w:id="674" w:name="_Toc152045676"/>
      <w:bookmarkEnd w:id="674"/>
      <w:bookmarkStart w:id="675" w:name="_Toc393546340"/>
      <w:bookmarkEnd w:id="675"/>
      <w:bookmarkStart w:id="676" w:name="_Toc43475814"/>
      <w:bookmarkEnd w:id="676"/>
      <w:bookmarkStart w:id="677" w:name="_Toc144974644"/>
      <w:bookmarkEnd w:id="677"/>
      <w:r>
        <w:rPr>
          <w:rFonts w:hint="eastAsia" w:ascii="宋体" w:eastAsia="宋体"/>
          <w:color w:val="000000" w:themeColor="text1"/>
          <w:szCs w:val="24"/>
          <w:highlight w:val="none"/>
          <w14:textFill>
            <w14:solidFill>
              <w14:schemeClr w14:val="tx1"/>
            </w14:solidFill>
          </w14:textFill>
        </w:rPr>
        <w:t>9.3 治安保卫</w:t>
      </w:r>
    </w:p>
    <w:p w14:paraId="50693D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9.3.1 除合同另有约定外，发包人应与当地公安部门协商，在现场建立治安管理机构或联防组织，统一管理施工场地的治安保卫事项，履行合同工程的治安保卫职责。</w:t>
      </w:r>
    </w:p>
    <w:p w14:paraId="3A2B82D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9.3.2 发包人和承包人除应协助现场治安管理机构或联防组织维护施工场地的社会治安外，还应做好包括生活区在内的各自管辖区的治安保卫工作。</w:t>
      </w:r>
    </w:p>
    <w:p w14:paraId="03AF1F8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FB204EA">
      <w:pPr>
        <w:pStyle w:val="67"/>
        <w:ind w:firstLine="118"/>
        <w:rPr>
          <w:rFonts w:ascii="宋体" w:eastAsia="宋体"/>
          <w:color w:val="000000" w:themeColor="text1"/>
          <w:szCs w:val="24"/>
          <w:highlight w:val="none"/>
          <w14:textFill>
            <w14:solidFill>
              <w14:schemeClr w14:val="tx1"/>
            </w14:solidFill>
          </w14:textFill>
        </w:rPr>
      </w:pPr>
      <w:bookmarkStart w:id="678" w:name="_Toc386467087"/>
      <w:bookmarkEnd w:id="678"/>
      <w:bookmarkStart w:id="679" w:name="_Toc393546341"/>
      <w:bookmarkEnd w:id="679"/>
      <w:bookmarkStart w:id="680" w:name="_Toc43475815"/>
      <w:bookmarkEnd w:id="680"/>
      <w:r>
        <w:rPr>
          <w:rFonts w:hint="eastAsia" w:ascii="宋体" w:eastAsia="宋体"/>
          <w:color w:val="000000" w:themeColor="text1"/>
          <w:szCs w:val="24"/>
          <w:highlight w:val="none"/>
          <w14:textFill>
            <w14:solidFill>
              <w14:schemeClr w14:val="tx1"/>
            </w14:solidFill>
          </w14:textFill>
        </w:rPr>
        <w:t>9.4 环境保护</w:t>
      </w:r>
    </w:p>
    <w:p w14:paraId="586138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 承包人在施工过程中，应遵守有关环境保护的法律，履行合同约定的环境保护义务，并对违反法律和合同约定义务所造成的环境破坏、人身伤害和财产损失负责。</w:t>
      </w:r>
    </w:p>
    <w:p w14:paraId="55AE85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9.4.2 承包人应按合同约定的环保工作内容，编制施工环保措施计划，报送监理人审批。</w:t>
      </w:r>
    </w:p>
    <w:p w14:paraId="578D56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AB646B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9.4.4 承包人应按合同约定采取有效措施，对施工开挖的边坡及时进行支护,维护排水设施，并进行水土保护，避免因施工造成的地质灾害。</w:t>
      </w:r>
    </w:p>
    <w:p w14:paraId="4D5B81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9.4.5 承包人应按国家饮用水管理标准定期对饮用水源进行监测，防止施工活动污染饮用水源。</w:t>
      </w:r>
    </w:p>
    <w:p w14:paraId="663CD2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9.4.6 承包人应按合同约定，加强对噪声、粉尘、废气、废水和废油的控制，努力降低噪声，控制粉尘和废气浓度，做好废水和废油的治理和排放。</w:t>
      </w:r>
    </w:p>
    <w:p w14:paraId="31EC4303">
      <w:pPr>
        <w:pStyle w:val="67"/>
        <w:ind w:firstLine="118"/>
        <w:rPr>
          <w:rFonts w:ascii="宋体" w:eastAsia="宋体"/>
          <w:color w:val="000000" w:themeColor="text1"/>
          <w:szCs w:val="24"/>
          <w:highlight w:val="none"/>
          <w14:textFill>
            <w14:solidFill>
              <w14:schemeClr w14:val="tx1"/>
            </w14:solidFill>
          </w14:textFill>
        </w:rPr>
      </w:pPr>
      <w:bookmarkStart w:id="681" w:name="_Toc386467088"/>
      <w:bookmarkEnd w:id="681"/>
      <w:bookmarkStart w:id="682" w:name="_Toc43475816"/>
      <w:bookmarkEnd w:id="682"/>
      <w:bookmarkStart w:id="683" w:name="_Toc152045678"/>
      <w:bookmarkEnd w:id="683"/>
      <w:bookmarkStart w:id="684" w:name="_Toc393546342"/>
      <w:bookmarkEnd w:id="684"/>
      <w:bookmarkStart w:id="685" w:name="_Toc179632696"/>
      <w:bookmarkEnd w:id="685"/>
      <w:bookmarkStart w:id="686" w:name="_Toc144974646"/>
      <w:bookmarkEnd w:id="686"/>
      <w:bookmarkStart w:id="687" w:name="_Toc330406283"/>
      <w:bookmarkEnd w:id="687"/>
      <w:bookmarkStart w:id="688" w:name="_Toc152042456"/>
      <w:bookmarkEnd w:id="688"/>
      <w:r>
        <w:rPr>
          <w:rFonts w:hint="eastAsia" w:ascii="宋体" w:eastAsia="宋体"/>
          <w:color w:val="000000" w:themeColor="text1"/>
          <w:szCs w:val="24"/>
          <w:highlight w:val="none"/>
          <w14:textFill>
            <w14:solidFill>
              <w14:schemeClr w14:val="tx1"/>
            </w14:solidFill>
          </w14:textFill>
        </w:rPr>
        <w:t>9.5 事故处理</w:t>
      </w:r>
    </w:p>
    <w:p w14:paraId="59A7C2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73D442F">
      <w:pPr>
        <w:pStyle w:val="78"/>
        <w:rPr>
          <w:rFonts w:ascii="宋体" w:hAnsi="宋体"/>
          <w:color w:val="000000" w:themeColor="text1"/>
          <w:sz w:val="24"/>
          <w:szCs w:val="24"/>
          <w:highlight w:val="none"/>
          <w14:textFill>
            <w14:solidFill>
              <w14:schemeClr w14:val="tx1"/>
            </w14:solidFill>
          </w14:textFill>
        </w:rPr>
      </w:pPr>
      <w:bookmarkStart w:id="689" w:name="_Toc43475817"/>
      <w:bookmarkEnd w:id="689"/>
      <w:bookmarkStart w:id="690" w:name="_Toc386467089"/>
      <w:bookmarkEnd w:id="690"/>
      <w:bookmarkStart w:id="691" w:name="_Toc393546343"/>
      <w:bookmarkEnd w:id="691"/>
      <w:r>
        <w:rPr>
          <w:rFonts w:hint="eastAsia" w:ascii="宋体" w:hAnsi="宋体"/>
          <w:color w:val="000000" w:themeColor="text1"/>
          <w:sz w:val="24"/>
          <w:szCs w:val="24"/>
          <w:highlight w:val="none"/>
          <w14:textFill>
            <w14:solidFill>
              <w14:schemeClr w14:val="tx1"/>
            </w14:solidFill>
          </w14:textFill>
        </w:rPr>
        <w:t>10. 进度计划</w:t>
      </w:r>
    </w:p>
    <w:p w14:paraId="022D104D">
      <w:pPr>
        <w:pStyle w:val="67"/>
        <w:ind w:firstLine="118"/>
        <w:rPr>
          <w:rFonts w:ascii="宋体" w:eastAsia="宋体"/>
          <w:color w:val="000000" w:themeColor="text1"/>
          <w:szCs w:val="24"/>
          <w:highlight w:val="none"/>
          <w14:textFill>
            <w14:solidFill>
              <w14:schemeClr w14:val="tx1"/>
            </w14:solidFill>
          </w14:textFill>
        </w:rPr>
      </w:pPr>
      <w:bookmarkStart w:id="692" w:name="_Toc43475818"/>
      <w:bookmarkEnd w:id="692"/>
      <w:bookmarkStart w:id="693" w:name="_Toc386467090"/>
      <w:bookmarkEnd w:id="693"/>
      <w:bookmarkStart w:id="694" w:name="_Toc393546344"/>
      <w:bookmarkEnd w:id="694"/>
      <w:r>
        <w:rPr>
          <w:rFonts w:hint="eastAsia" w:ascii="宋体" w:eastAsia="宋体"/>
          <w:color w:val="000000" w:themeColor="text1"/>
          <w:szCs w:val="24"/>
          <w:highlight w:val="none"/>
          <w14:textFill>
            <w14:solidFill>
              <w14:schemeClr w14:val="tx1"/>
            </w14:solidFill>
          </w14:textFill>
        </w:rPr>
        <w:t>10.1 合同进度计划</w:t>
      </w:r>
    </w:p>
    <w:p w14:paraId="315BA1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7C1DDCF2">
      <w:pPr>
        <w:pStyle w:val="67"/>
        <w:ind w:firstLine="118"/>
        <w:rPr>
          <w:rFonts w:ascii="宋体" w:eastAsia="宋体"/>
          <w:color w:val="000000" w:themeColor="text1"/>
          <w:szCs w:val="24"/>
          <w:highlight w:val="none"/>
          <w14:textFill>
            <w14:solidFill>
              <w14:schemeClr w14:val="tx1"/>
            </w14:solidFill>
          </w14:textFill>
        </w:rPr>
      </w:pPr>
      <w:bookmarkStart w:id="695" w:name="_Toc393546345"/>
      <w:bookmarkEnd w:id="695"/>
      <w:bookmarkStart w:id="696" w:name="_Toc43475819"/>
      <w:bookmarkEnd w:id="696"/>
      <w:bookmarkStart w:id="697" w:name="_Toc386467091"/>
      <w:bookmarkEnd w:id="697"/>
      <w:r>
        <w:rPr>
          <w:rFonts w:hint="eastAsia" w:ascii="宋体" w:eastAsia="宋体"/>
          <w:color w:val="000000" w:themeColor="text1"/>
          <w:szCs w:val="24"/>
          <w:highlight w:val="none"/>
          <w14:textFill>
            <w14:solidFill>
              <w14:schemeClr w14:val="tx1"/>
            </w14:solidFill>
          </w14:textFill>
        </w:rPr>
        <w:t>10.2 合同进度计划的修订</w:t>
      </w:r>
    </w:p>
    <w:p w14:paraId="2EEC2B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09918468">
      <w:pPr>
        <w:pStyle w:val="78"/>
        <w:rPr>
          <w:rFonts w:ascii="宋体" w:hAnsi="宋体"/>
          <w:color w:val="000000" w:themeColor="text1"/>
          <w:sz w:val="24"/>
          <w:szCs w:val="24"/>
          <w:highlight w:val="none"/>
          <w14:textFill>
            <w14:solidFill>
              <w14:schemeClr w14:val="tx1"/>
            </w14:solidFill>
          </w14:textFill>
        </w:rPr>
      </w:pPr>
      <w:bookmarkStart w:id="698" w:name="_Toc386467092"/>
      <w:bookmarkEnd w:id="698"/>
      <w:bookmarkStart w:id="699" w:name="_Toc43475820"/>
      <w:bookmarkEnd w:id="699"/>
      <w:bookmarkStart w:id="700" w:name="_Toc393546346"/>
      <w:bookmarkEnd w:id="700"/>
      <w:r>
        <w:rPr>
          <w:rFonts w:hint="eastAsia" w:ascii="宋体" w:hAnsi="宋体"/>
          <w:color w:val="000000" w:themeColor="text1"/>
          <w:sz w:val="24"/>
          <w:szCs w:val="24"/>
          <w:highlight w:val="none"/>
          <w14:textFill>
            <w14:solidFill>
              <w14:schemeClr w14:val="tx1"/>
            </w14:solidFill>
          </w14:textFill>
        </w:rPr>
        <w:t>11. 开工和竣工</w:t>
      </w:r>
    </w:p>
    <w:p w14:paraId="796F75D4">
      <w:pPr>
        <w:pStyle w:val="67"/>
        <w:ind w:firstLine="118"/>
        <w:rPr>
          <w:rFonts w:ascii="宋体" w:eastAsia="宋体"/>
          <w:color w:val="000000" w:themeColor="text1"/>
          <w:szCs w:val="24"/>
          <w:highlight w:val="none"/>
          <w14:textFill>
            <w14:solidFill>
              <w14:schemeClr w14:val="tx1"/>
            </w14:solidFill>
          </w14:textFill>
        </w:rPr>
      </w:pPr>
      <w:bookmarkStart w:id="701" w:name="_Toc386467093"/>
      <w:bookmarkEnd w:id="701"/>
      <w:bookmarkStart w:id="702" w:name="_Toc43475821"/>
      <w:bookmarkEnd w:id="702"/>
      <w:bookmarkStart w:id="703" w:name="_Toc393546347"/>
      <w:bookmarkEnd w:id="703"/>
      <w:r>
        <w:rPr>
          <w:rFonts w:hint="eastAsia" w:ascii="宋体" w:eastAsia="宋体"/>
          <w:color w:val="000000" w:themeColor="text1"/>
          <w:szCs w:val="24"/>
          <w:highlight w:val="none"/>
          <w14:textFill>
            <w14:solidFill>
              <w14:schemeClr w14:val="tx1"/>
            </w14:solidFill>
          </w14:textFill>
        </w:rPr>
        <w:t>11.1 开工</w:t>
      </w:r>
    </w:p>
    <w:p w14:paraId="0B5182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监理人应在开工日期7天前向承包人发出开工通知。监理人在发出开工通知前应获得发包人同意。工期自监理人发出的开工通知中载明的开工日期起计算。承包人应在开工日期后尽快施工。</w:t>
      </w:r>
    </w:p>
    <w:p w14:paraId="22437771">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0487EBF">
      <w:pPr>
        <w:pStyle w:val="67"/>
        <w:ind w:firstLine="118"/>
        <w:rPr>
          <w:rFonts w:ascii="宋体" w:eastAsia="宋体"/>
          <w:color w:val="000000" w:themeColor="text1"/>
          <w:szCs w:val="24"/>
          <w:highlight w:val="none"/>
          <w14:textFill>
            <w14:solidFill>
              <w14:schemeClr w14:val="tx1"/>
            </w14:solidFill>
          </w14:textFill>
        </w:rPr>
      </w:pPr>
      <w:bookmarkStart w:id="704" w:name="_Toc43475822"/>
      <w:bookmarkEnd w:id="704"/>
      <w:bookmarkStart w:id="705" w:name="_Toc386467094"/>
      <w:bookmarkEnd w:id="705"/>
      <w:bookmarkStart w:id="706" w:name="_Toc152045684"/>
      <w:bookmarkEnd w:id="706"/>
      <w:bookmarkStart w:id="707" w:name="_Toc152042462"/>
      <w:bookmarkEnd w:id="707"/>
      <w:bookmarkStart w:id="708" w:name="_Toc393546348"/>
      <w:bookmarkEnd w:id="708"/>
      <w:bookmarkStart w:id="709" w:name="_Toc144974652"/>
      <w:bookmarkEnd w:id="709"/>
      <w:bookmarkStart w:id="710" w:name="_Toc179632702"/>
      <w:bookmarkEnd w:id="710"/>
      <w:bookmarkStart w:id="711" w:name="_Toc330406289"/>
      <w:bookmarkEnd w:id="711"/>
      <w:r>
        <w:rPr>
          <w:rFonts w:hint="eastAsia" w:ascii="宋体" w:eastAsia="宋体"/>
          <w:color w:val="000000" w:themeColor="text1"/>
          <w:szCs w:val="24"/>
          <w:highlight w:val="none"/>
          <w14:textFill>
            <w14:solidFill>
              <w14:schemeClr w14:val="tx1"/>
            </w14:solidFill>
          </w14:textFill>
        </w:rPr>
        <w:t>11.2 竣工</w:t>
      </w:r>
    </w:p>
    <w:p w14:paraId="29438C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承包人应在第1.1.4.3目约定的期限内完成合同工程。实际竣工日期在接收证书中写明。</w:t>
      </w:r>
    </w:p>
    <w:p w14:paraId="288AF8B9">
      <w:pPr>
        <w:pStyle w:val="67"/>
        <w:ind w:firstLine="118"/>
        <w:rPr>
          <w:rFonts w:ascii="宋体" w:eastAsia="宋体"/>
          <w:color w:val="000000" w:themeColor="text1"/>
          <w:szCs w:val="24"/>
          <w:highlight w:val="none"/>
          <w14:textFill>
            <w14:solidFill>
              <w14:schemeClr w14:val="tx1"/>
            </w14:solidFill>
          </w14:textFill>
        </w:rPr>
      </w:pPr>
      <w:bookmarkStart w:id="712" w:name="_Toc386467095"/>
      <w:bookmarkEnd w:id="712"/>
      <w:bookmarkStart w:id="713" w:name="_Toc393546349"/>
      <w:bookmarkEnd w:id="713"/>
      <w:bookmarkStart w:id="714" w:name="_Toc43475823"/>
      <w:bookmarkEnd w:id="714"/>
      <w:r>
        <w:rPr>
          <w:rFonts w:hint="eastAsia" w:ascii="宋体" w:eastAsia="宋体"/>
          <w:color w:val="000000" w:themeColor="text1"/>
          <w:szCs w:val="24"/>
          <w:highlight w:val="none"/>
          <w14:textFill>
            <w14:solidFill>
              <w14:schemeClr w14:val="tx1"/>
            </w14:solidFill>
          </w14:textFill>
        </w:rPr>
        <w:t>11.3 发包人的工期延误</w:t>
      </w:r>
    </w:p>
    <w:p w14:paraId="39C9D3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在履行合同过程中，由于发包人的下列原因造成工期延误的，承包人有权要求发包人延长工期和（或）增加费用，并支付合理利润。需要修订合同进度计划的，按照第10.2款的约定办理。</w:t>
      </w:r>
    </w:p>
    <w:p w14:paraId="62925F25">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（1）增加合同工作内容；</w:t>
      </w:r>
    </w:p>
    <w:p w14:paraId="57AD4989">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（2）改变合同中任何一项工作的质量要求或其他特性；</w:t>
      </w:r>
    </w:p>
    <w:p w14:paraId="629E1A5E">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（3）发包人迟延提供材料、工程设备或变更交货地点的；</w:t>
      </w:r>
    </w:p>
    <w:p w14:paraId="6DB5AB9F">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（4）因发包人原因导致的暂停施工；</w:t>
      </w:r>
    </w:p>
    <w:p w14:paraId="32FC26DA">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（5）提供图纸延误；</w:t>
      </w:r>
    </w:p>
    <w:p w14:paraId="26A8CF1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（6）未按合同约定及时支付预付款、进度款；</w:t>
      </w:r>
    </w:p>
    <w:p w14:paraId="5F79C39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（7）发包人造成工期延误的其他原因。</w:t>
      </w:r>
    </w:p>
    <w:p w14:paraId="78A5F82A">
      <w:pPr>
        <w:pStyle w:val="67"/>
        <w:ind w:firstLine="118"/>
        <w:rPr>
          <w:rFonts w:ascii="宋体" w:eastAsia="宋体"/>
          <w:color w:val="000000" w:themeColor="text1"/>
          <w:szCs w:val="24"/>
          <w:highlight w:val="none"/>
          <w14:textFill>
            <w14:solidFill>
              <w14:schemeClr w14:val="tx1"/>
            </w14:solidFill>
          </w14:textFill>
        </w:rPr>
      </w:pPr>
      <w:bookmarkStart w:id="715" w:name="_Toc43475824"/>
      <w:bookmarkEnd w:id="715"/>
      <w:bookmarkStart w:id="716" w:name="_Toc393546350"/>
      <w:bookmarkEnd w:id="716"/>
      <w:bookmarkStart w:id="717" w:name="_Toc386467096"/>
      <w:bookmarkEnd w:id="717"/>
      <w:r>
        <w:rPr>
          <w:rFonts w:hint="eastAsia" w:ascii="宋体" w:eastAsia="宋体"/>
          <w:color w:val="000000" w:themeColor="text1"/>
          <w:szCs w:val="24"/>
          <w:highlight w:val="none"/>
          <w14:textFill>
            <w14:solidFill>
              <w14:schemeClr w14:val="tx1"/>
            </w14:solidFill>
          </w14:textFill>
        </w:rPr>
        <w:t>11.4 异常恶劣的气候条件</w:t>
      </w:r>
    </w:p>
    <w:p w14:paraId="43289A2C">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由于出现专用合同条款规定的异常恶劣气候的条件导致工期延误的，承包人有权要求发包人延长工期。</w:t>
      </w:r>
    </w:p>
    <w:p w14:paraId="775AFCE7">
      <w:pPr>
        <w:pStyle w:val="67"/>
        <w:ind w:firstLine="118"/>
        <w:rPr>
          <w:rFonts w:ascii="宋体" w:eastAsia="宋体"/>
          <w:color w:val="000000" w:themeColor="text1"/>
          <w:szCs w:val="24"/>
          <w:highlight w:val="none"/>
          <w14:textFill>
            <w14:solidFill>
              <w14:schemeClr w14:val="tx1"/>
            </w14:solidFill>
          </w14:textFill>
        </w:rPr>
      </w:pPr>
      <w:bookmarkStart w:id="718" w:name="_Toc393546351"/>
      <w:bookmarkEnd w:id="718"/>
      <w:bookmarkStart w:id="719" w:name="_Toc43475825"/>
      <w:bookmarkEnd w:id="719"/>
      <w:bookmarkStart w:id="720" w:name="_Toc386467097"/>
      <w:bookmarkEnd w:id="720"/>
      <w:r>
        <w:rPr>
          <w:rFonts w:hint="eastAsia" w:ascii="宋体" w:eastAsia="宋体"/>
          <w:color w:val="000000" w:themeColor="text1"/>
          <w:szCs w:val="24"/>
          <w:highlight w:val="none"/>
          <w14:textFill>
            <w14:solidFill>
              <w14:schemeClr w14:val="tx1"/>
            </w14:solidFill>
          </w14:textFill>
        </w:rPr>
        <w:t>11.5 承包人的工期延误</w:t>
      </w:r>
    </w:p>
    <w:p w14:paraId="0B8D45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6005B7A1">
      <w:pPr>
        <w:pStyle w:val="67"/>
        <w:ind w:firstLine="118"/>
        <w:rPr>
          <w:rFonts w:ascii="宋体" w:eastAsia="宋体"/>
          <w:color w:val="000000" w:themeColor="text1"/>
          <w:szCs w:val="24"/>
          <w:highlight w:val="none"/>
          <w14:textFill>
            <w14:solidFill>
              <w14:schemeClr w14:val="tx1"/>
            </w14:solidFill>
          </w14:textFill>
        </w:rPr>
      </w:pPr>
      <w:bookmarkStart w:id="721" w:name="_Toc393546352"/>
      <w:bookmarkEnd w:id="721"/>
      <w:bookmarkStart w:id="722" w:name="_Toc43475826"/>
      <w:bookmarkEnd w:id="722"/>
      <w:bookmarkStart w:id="723" w:name="_Toc386467098"/>
      <w:bookmarkEnd w:id="723"/>
      <w:r>
        <w:rPr>
          <w:rFonts w:hint="eastAsia" w:ascii="宋体" w:eastAsia="宋体"/>
          <w:color w:val="000000" w:themeColor="text1"/>
          <w:szCs w:val="24"/>
          <w:highlight w:val="none"/>
          <w14:textFill>
            <w14:solidFill>
              <w14:schemeClr w14:val="tx1"/>
            </w14:solidFill>
          </w14:textFill>
        </w:rPr>
        <w:t>11.6 工期提前</w:t>
      </w:r>
    </w:p>
    <w:p w14:paraId="23AAC0C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22C2696F">
      <w:pPr>
        <w:pStyle w:val="78"/>
        <w:rPr>
          <w:rFonts w:ascii="宋体" w:hAnsi="宋体"/>
          <w:color w:val="000000" w:themeColor="text1"/>
          <w:sz w:val="24"/>
          <w:szCs w:val="24"/>
          <w:highlight w:val="none"/>
          <w14:textFill>
            <w14:solidFill>
              <w14:schemeClr w14:val="tx1"/>
            </w14:solidFill>
          </w14:textFill>
        </w:rPr>
      </w:pPr>
      <w:bookmarkStart w:id="724" w:name="_Toc386467099"/>
      <w:bookmarkEnd w:id="724"/>
      <w:bookmarkStart w:id="725" w:name="_Toc43475827"/>
      <w:bookmarkEnd w:id="725"/>
      <w:bookmarkStart w:id="726" w:name="_Toc393546353"/>
      <w:bookmarkEnd w:id="726"/>
      <w:r>
        <w:rPr>
          <w:rFonts w:hint="eastAsia" w:ascii="宋体" w:hAnsi="宋体"/>
          <w:color w:val="000000" w:themeColor="text1"/>
          <w:sz w:val="24"/>
          <w:szCs w:val="24"/>
          <w:highlight w:val="none"/>
          <w14:textFill>
            <w14:solidFill>
              <w14:schemeClr w14:val="tx1"/>
            </w14:solidFill>
          </w14:textFill>
        </w:rPr>
        <w:t>12. 暂停施工</w:t>
      </w:r>
    </w:p>
    <w:p w14:paraId="372786D6">
      <w:pPr>
        <w:pStyle w:val="67"/>
        <w:ind w:firstLine="118"/>
        <w:rPr>
          <w:rFonts w:ascii="宋体" w:eastAsia="宋体"/>
          <w:color w:val="000000" w:themeColor="text1"/>
          <w:szCs w:val="24"/>
          <w:highlight w:val="none"/>
          <w14:textFill>
            <w14:solidFill>
              <w14:schemeClr w14:val="tx1"/>
            </w14:solidFill>
          </w14:textFill>
        </w:rPr>
      </w:pPr>
      <w:bookmarkStart w:id="727" w:name="_Toc386467100"/>
      <w:bookmarkEnd w:id="727"/>
      <w:bookmarkStart w:id="728" w:name="_Toc393546354"/>
      <w:bookmarkEnd w:id="728"/>
      <w:bookmarkStart w:id="729" w:name="_Toc43475828"/>
      <w:bookmarkEnd w:id="729"/>
      <w:r>
        <w:rPr>
          <w:rFonts w:hint="eastAsia" w:ascii="宋体" w:eastAsia="宋体"/>
          <w:color w:val="000000" w:themeColor="text1"/>
          <w:szCs w:val="24"/>
          <w:highlight w:val="none"/>
          <w14:textFill>
            <w14:solidFill>
              <w14:schemeClr w14:val="tx1"/>
            </w14:solidFill>
          </w14:textFill>
        </w:rPr>
        <w:t>12.1 承包人暂停施工的责任</w:t>
      </w:r>
    </w:p>
    <w:p w14:paraId="79CC74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因下列暂停施工增加的费用和（或）工期延误由承包人承担：</w:t>
      </w:r>
    </w:p>
    <w:p w14:paraId="48557659">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（1）承包人违约引起的暂停施工；</w:t>
      </w:r>
    </w:p>
    <w:p w14:paraId="14606722">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（2）由于承包人原因为工程合理施工和安全保障所必需的暂停施工；</w:t>
      </w:r>
    </w:p>
    <w:p w14:paraId="0E1F1E88">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（3）承包人擅自暂停施工；</w:t>
      </w:r>
    </w:p>
    <w:p w14:paraId="4663B3C1">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（4）承包人其他原因引起的暂停施工；</w:t>
      </w:r>
    </w:p>
    <w:p w14:paraId="2AED814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（5）专用合同条款约定由承包人承担的其他暂停施工。</w:t>
      </w:r>
    </w:p>
    <w:p w14:paraId="01373337">
      <w:pPr>
        <w:pStyle w:val="67"/>
        <w:ind w:firstLine="118"/>
        <w:rPr>
          <w:rFonts w:ascii="宋体" w:eastAsia="宋体"/>
          <w:color w:val="000000" w:themeColor="text1"/>
          <w:szCs w:val="24"/>
          <w:highlight w:val="none"/>
          <w14:textFill>
            <w14:solidFill>
              <w14:schemeClr w14:val="tx1"/>
            </w14:solidFill>
          </w14:textFill>
        </w:rPr>
      </w:pPr>
      <w:bookmarkStart w:id="730" w:name="_Toc152045691"/>
      <w:bookmarkEnd w:id="730"/>
      <w:bookmarkStart w:id="731" w:name="_Toc144974660"/>
      <w:bookmarkEnd w:id="731"/>
      <w:bookmarkStart w:id="732" w:name="_Toc152042469"/>
      <w:bookmarkEnd w:id="732"/>
      <w:bookmarkStart w:id="733" w:name="_Toc43475829"/>
      <w:bookmarkEnd w:id="733"/>
      <w:bookmarkStart w:id="734" w:name="_Toc330406296"/>
      <w:bookmarkEnd w:id="734"/>
      <w:bookmarkStart w:id="735" w:name="_Toc386467101"/>
      <w:bookmarkEnd w:id="735"/>
      <w:bookmarkStart w:id="736" w:name="_Toc393546355"/>
      <w:bookmarkEnd w:id="736"/>
      <w:bookmarkStart w:id="737" w:name="_Toc179632709"/>
      <w:bookmarkEnd w:id="737"/>
      <w:r>
        <w:rPr>
          <w:rFonts w:hint="eastAsia" w:ascii="宋体" w:eastAsia="宋体"/>
          <w:color w:val="000000" w:themeColor="text1"/>
          <w:szCs w:val="24"/>
          <w:highlight w:val="none"/>
          <w14:textFill>
            <w14:solidFill>
              <w14:schemeClr w14:val="tx1"/>
            </w14:solidFill>
          </w14:textFill>
        </w:rPr>
        <w:t>12.2 发包人暂停施工的责任</w:t>
      </w:r>
    </w:p>
    <w:p w14:paraId="0C5CBE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由于发包人原因引起的暂停施工造成工期延误的，承包人有权要求发包人延长工期和（或）增加费用，并支付合理利润。</w:t>
      </w:r>
    </w:p>
    <w:p w14:paraId="71F31C67">
      <w:pPr>
        <w:pStyle w:val="67"/>
        <w:ind w:firstLine="118"/>
        <w:rPr>
          <w:rFonts w:ascii="宋体" w:eastAsia="宋体"/>
          <w:color w:val="000000" w:themeColor="text1"/>
          <w:szCs w:val="24"/>
          <w:highlight w:val="none"/>
          <w14:textFill>
            <w14:solidFill>
              <w14:schemeClr w14:val="tx1"/>
            </w14:solidFill>
          </w14:textFill>
        </w:rPr>
      </w:pPr>
      <w:bookmarkStart w:id="738" w:name="_Toc152042470"/>
      <w:bookmarkEnd w:id="738"/>
      <w:bookmarkStart w:id="739" w:name="_Toc152045692"/>
      <w:bookmarkEnd w:id="739"/>
      <w:bookmarkStart w:id="740" w:name="_Toc179632710"/>
      <w:bookmarkEnd w:id="740"/>
      <w:bookmarkStart w:id="741" w:name="_Toc393546356"/>
      <w:bookmarkEnd w:id="741"/>
      <w:bookmarkStart w:id="742" w:name="_Toc386467102"/>
      <w:bookmarkEnd w:id="742"/>
      <w:bookmarkStart w:id="743" w:name="_Toc144974661"/>
      <w:bookmarkEnd w:id="743"/>
      <w:bookmarkStart w:id="744" w:name="_Toc43475830"/>
      <w:bookmarkEnd w:id="744"/>
      <w:bookmarkStart w:id="745" w:name="_Toc330406297"/>
      <w:bookmarkEnd w:id="745"/>
      <w:r>
        <w:rPr>
          <w:rFonts w:hint="eastAsia" w:ascii="宋体" w:eastAsia="宋体"/>
          <w:color w:val="000000" w:themeColor="text1"/>
          <w:szCs w:val="24"/>
          <w:highlight w:val="none"/>
          <w14:textFill>
            <w14:solidFill>
              <w14:schemeClr w14:val="tx1"/>
            </w14:solidFill>
          </w14:textFill>
        </w:rPr>
        <w:t>12.3 监理人暂停施工指示</w:t>
      </w:r>
    </w:p>
    <w:p w14:paraId="76FDD0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监理人认为有必要时，可向承包人作出暂停施工的指示，承包人应按监理人指示暂停施工。不论由于何种原因引起的暂停施工，暂停施工期间承包人应负责妥善保护工程并提供安全保障。</w:t>
      </w:r>
    </w:p>
    <w:p w14:paraId="5CB1E06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59BF6B96">
      <w:pPr>
        <w:pStyle w:val="67"/>
        <w:ind w:firstLine="118"/>
        <w:rPr>
          <w:rFonts w:ascii="宋体" w:eastAsia="宋体"/>
          <w:color w:val="000000" w:themeColor="text1"/>
          <w:szCs w:val="24"/>
          <w:highlight w:val="none"/>
          <w14:textFill>
            <w14:solidFill>
              <w14:schemeClr w14:val="tx1"/>
            </w14:solidFill>
          </w14:textFill>
        </w:rPr>
      </w:pPr>
      <w:bookmarkStart w:id="746" w:name="_Toc152042471"/>
      <w:bookmarkEnd w:id="746"/>
      <w:bookmarkStart w:id="747" w:name="_Toc330406298"/>
      <w:bookmarkEnd w:id="747"/>
      <w:bookmarkStart w:id="748" w:name="_Toc144974662"/>
      <w:bookmarkEnd w:id="748"/>
      <w:bookmarkStart w:id="749" w:name="_Toc43475831"/>
      <w:bookmarkEnd w:id="749"/>
      <w:bookmarkStart w:id="750" w:name="_Toc152045693"/>
      <w:bookmarkEnd w:id="750"/>
      <w:bookmarkStart w:id="751" w:name="_Toc179632711"/>
      <w:bookmarkEnd w:id="751"/>
      <w:bookmarkStart w:id="752" w:name="_Toc386467103"/>
      <w:bookmarkEnd w:id="752"/>
      <w:bookmarkStart w:id="753" w:name="_Toc393546357"/>
      <w:bookmarkEnd w:id="753"/>
      <w:r>
        <w:rPr>
          <w:rFonts w:hint="eastAsia" w:ascii="宋体" w:eastAsia="宋体"/>
          <w:color w:val="000000" w:themeColor="text1"/>
          <w:szCs w:val="24"/>
          <w:highlight w:val="none"/>
          <w14:textFill>
            <w14:solidFill>
              <w14:schemeClr w14:val="tx1"/>
            </w14:solidFill>
          </w14:textFill>
        </w:rPr>
        <w:t>12.4 暂停施工后的复工</w:t>
      </w:r>
    </w:p>
    <w:p w14:paraId="19A1D3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14D871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承包人无故拖延和拒绝复工的，由此增加的费用和工期延误由承包人承担；因发包人原因无法按时复工的，承包人有权要求发包人延长工期和（或）增加费用，并支付合理利润。</w:t>
      </w:r>
    </w:p>
    <w:p w14:paraId="4D2D8FDC">
      <w:pPr>
        <w:pStyle w:val="67"/>
        <w:ind w:firstLine="118"/>
        <w:rPr>
          <w:rFonts w:ascii="宋体" w:eastAsia="宋体"/>
          <w:color w:val="000000" w:themeColor="text1"/>
          <w:szCs w:val="24"/>
          <w:highlight w:val="none"/>
          <w14:textFill>
            <w14:solidFill>
              <w14:schemeClr w14:val="tx1"/>
            </w14:solidFill>
          </w14:textFill>
        </w:rPr>
      </w:pPr>
      <w:bookmarkStart w:id="754" w:name="_Toc152045694"/>
      <w:bookmarkEnd w:id="754"/>
      <w:bookmarkStart w:id="755" w:name="_Toc386467104"/>
      <w:bookmarkEnd w:id="755"/>
      <w:bookmarkStart w:id="756" w:name="_Toc330406299"/>
      <w:bookmarkEnd w:id="756"/>
      <w:bookmarkStart w:id="757" w:name="_Toc43475832"/>
      <w:bookmarkEnd w:id="757"/>
      <w:bookmarkStart w:id="758" w:name="_Toc144974663"/>
      <w:bookmarkEnd w:id="758"/>
      <w:bookmarkStart w:id="759" w:name="_Toc152042472"/>
      <w:bookmarkEnd w:id="759"/>
      <w:bookmarkStart w:id="760" w:name="_Toc179632712"/>
      <w:bookmarkEnd w:id="760"/>
      <w:bookmarkStart w:id="761" w:name="_Toc393546358"/>
      <w:bookmarkEnd w:id="761"/>
      <w:r>
        <w:rPr>
          <w:rFonts w:hint="eastAsia" w:ascii="宋体" w:eastAsia="宋体"/>
          <w:color w:val="000000" w:themeColor="text1"/>
          <w:szCs w:val="24"/>
          <w:highlight w:val="none"/>
          <w14:textFill>
            <w14:solidFill>
              <w14:schemeClr w14:val="tx1"/>
            </w14:solidFill>
          </w14:textFill>
        </w:rPr>
        <w:t>12.5 暂停施工持续56天以上</w:t>
      </w:r>
    </w:p>
    <w:p w14:paraId="370FF836">
      <w:pPr>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3FF2033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由于承包人责任引起的暂停施工，如承包人在收到监理人暂停施工指示后56天内不认真采取有效的复工措施，造成工期延误，可视为承包人违约，应按第22.1款的规定办理。</w:t>
      </w:r>
    </w:p>
    <w:p w14:paraId="12723A46">
      <w:pPr>
        <w:pStyle w:val="78"/>
        <w:rPr>
          <w:rFonts w:ascii="宋体" w:hAnsi="宋体"/>
          <w:color w:val="000000" w:themeColor="text1"/>
          <w:sz w:val="24"/>
          <w:szCs w:val="24"/>
          <w:highlight w:val="none"/>
          <w14:textFill>
            <w14:solidFill>
              <w14:schemeClr w14:val="tx1"/>
            </w14:solidFill>
          </w14:textFill>
        </w:rPr>
      </w:pPr>
      <w:bookmarkStart w:id="762" w:name="_Toc386467105"/>
      <w:bookmarkEnd w:id="762"/>
      <w:bookmarkStart w:id="763" w:name="_Toc43475833"/>
      <w:bookmarkEnd w:id="763"/>
      <w:bookmarkStart w:id="764" w:name="_Toc393546359"/>
      <w:bookmarkEnd w:id="764"/>
      <w:r>
        <w:rPr>
          <w:rFonts w:hint="eastAsia" w:ascii="宋体" w:hAnsi="宋体"/>
          <w:color w:val="000000" w:themeColor="text1"/>
          <w:sz w:val="24"/>
          <w:szCs w:val="24"/>
          <w:highlight w:val="none"/>
          <w14:textFill>
            <w14:solidFill>
              <w14:schemeClr w14:val="tx1"/>
            </w14:solidFill>
          </w14:textFill>
        </w:rPr>
        <w:t>13. 工程质量</w:t>
      </w:r>
    </w:p>
    <w:p w14:paraId="7948ACE3">
      <w:pPr>
        <w:pStyle w:val="67"/>
        <w:ind w:firstLine="118"/>
        <w:rPr>
          <w:rFonts w:ascii="宋体" w:eastAsia="宋体"/>
          <w:color w:val="000000" w:themeColor="text1"/>
          <w:szCs w:val="24"/>
          <w:highlight w:val="none"/>
          <w14:textFill>
            <w14:solidFill>
              <w14:schemeClr w14:val="tx1"/>
            </w14:solidFill>
          </w14:textFill>
        </w:rPr>
      </w:pPr>
      <w:bookmarkStart w:id="765" w:name="_Toc393546360"/>
      <w:bookmarkEnd w:id="765"/>
      <w:bookmarkStart w:id="766" w:name="_Toc43475834"/>
      <w:bookmarkEnd w:id="766"/>
      <w:bookmarkStart w:id="767" w:name="_Toc386467106"/>
      <w:bookmarkEnd w:id="767"/>
      <w:r>
        <w:rPr>
          <w:rFonts w:hint="eastAsia" w:ascii="宋体" w:eastAsia="宋体"/>
          <w:color w:val="000000" w:themeColor="text1"/>
          <w:szCs w:val="24"/>
          <w:highlight w:val="none"/>
          <w14:textFill>
            <w14:solidFill>
              <w14:schemeClr w14:val="tx1"/>
            </w14:solidFill>
          </w14:textFill>
        </w:rPr>
        <w:t>13.1 工程质量要求</w:t>
      </w:r>
    </w:p>
    <w:p w14:paraId="27B31A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工程质量验收按合同约定验收标准执行。</w:t>
      </w:r>
    </w:p>
    <w:p w14:paraId="524765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因承包人原因造成工程质量达不到合同约定验收标准的，监理人有权要求承包人返工直至符合合同要求为止，由此造成的费用增加和（或）工期延误由承包人承担。</w:t>
      </w:r>
    </w:p>
    <w:p w14:paraId="3497EC1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13.1.3 因发包人原因造成工程质量达不到合同约定验收标准的，发包人应承担由于承包人返工造成的费用增加和（或）工期延误，并支付承包人合理利润。</w:t>
      </w:r>
    </w:p>
    <w:p w14:paraId="522119B0">
      <w:pPr>
        <w:pStyle w:val="67"/>
        <w:ind w:firstLine="118"/>
        <w:rPr>
          <w:rFonts w:ascii="宋体" w:eastAsia="宋体"/>
          <w:color w:val="000000" w:themeColor="text1"/>
          <w:szCs w:val="24"/>
          <w:highlight w:val="none"/>
          <w14:textFill>
            <w14:solidFill>
              <w14:schemeClr w14:val="tx1"/>
            </w14:solidFill>
          </w14:textFill>
        </w:rPr>
      </w:pPr>
      <w:bookmarkStart w:id="768" w:name="_Toc393546361"/>
      <w:bookmarkEnd w:id="768"/>
      <w:bookmarkStart w:id="769" w:name="_Toc386467107"/>
      <w:bookmarkEnd w:id="769"/>
      <w:bookmarkStart w:id="770" w:name="_Toc43475835"/>
      <w:bookmarkEnd w:id="770"/>
      <w:r>
        <w:rPr>
          <w:rFonts w:hint="eastAsia" w:ascii="宋体" w:eastAsia="宋体"/>
          <w:color w:val="000000" w:themeColor="text1"/>
          <w:szCs w:val="24"/>
          <w:highlight w:val="none"/>
          <w14:textFill>
            <w14:solidFill>
              <w14:schemeClr w14:val="tx1"/>
            </w14:solidFill>
          </w14:textFill>
        </w:rPr>
        <w:t>13.2 承包人的质量管理</w:t>
      </w:r>
    </w:p>
    <w:p w14:paraId="49BB54D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7044FE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 承包人应加强对施工人员的质量教育和技术培训，定期考核施工人员的劳动技能，严格执行规范和操作规程。</w:t>
      </w:r>
    </w:p>
    <w:p w14:paraId="26C8066B">
      <w:pPr>
        <w:pStyle w:val="67"/>
        <w:ind w:firstLine="118"/>
        <w:rPr>
          <w:rFonts w:ascii="宋体" w:eastAsia="宋体"/>
          <w:color w:val="000000" w:themeColor="text1"/>
          <w:szCs w:val="24"/>
          <w:highlight w:val="none"/>
          <w14:textFill>
            <w14:solidFill>
              <w14:schemeClr w14:val="tx1"/>
            </w14:solidFill>
          </w14:textFill>
        </w:rPr>
      </w:pPr>
      <w:bookmarkStart w:id="771" w:name="_Toc386467108"/>
      <w:bookmarkEnd w:id="771"/>
      <w:bookmarkStart w:id="772" w:name="_Toc43475836"/>
      <w:bookmarkEnd w:id="772"/>
      <w:bookmarkStart w:id="773" w:name="_Toc152042476"/>
      <w:bookmarkEnd w:id="773"/>
      <w:bookmarkStart w:id="774" w:name="_Toc330406303"/>
      <w:bookmarkEnd w:id="774"/>
      <w:bookmarkStart w:id="775" w:name="_Toc179632716"/>
      <w:bookmarkEnd w:id="775"/>
      <w:bookmarkStart w:id="776" w:name="_Toc144974667"/>
      <w:bookmarkEnd w:id="776"/>
      <w:bookmarkStart w:id="777" w:name="_Toc393546362"/>
      <w:bookmarkEnd w:id="777"/>
      <w:bookmarkStart w:id="778" w:name="_Toc152045698"/>
      <w:bookmarkEnd w:id="778"/>
      <w:r>
        <w:rPr>
          <w:rFonts w:hint="eastAsia" w:ascii="宋体" w:eastAsia="宋体"/>
          <w:color w:val="000000" w:themeColor="text1"/>
          <w:szCs w:val="24"/>
          <w:highlight w:val="none"/>
          <w14:textFill>
            <w14:solidFill>
              <w14:schemeClr w14:val="tx1"/>
            </w14:solidFill>
          </w14:textFill>
        </w:rPr>
        <w:t>13.3 承包人的质量检查</w:t>
      </w:r>
    </w:p>
    <w:p w14:paraId="76BA77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14:paraId="5FE9F455">
      <w:pPr>
        <w:pStyle w:val="67"/>
        <w:ind w:firstLine="118"/>
        <w:rPr>
          <w:rFonts w:ascii="宋体" w:eastAsia="宋体"/>
          <w:color w:val="000000" w:themeColor="text1"/>
          <w:szCs w:val="24"/>
          <w:highlight w:val="none"/>
          <w14:textFill>
            <w14:solidFill>
              <w14:schemeClr w14:val="tx1"/>
            </w14:solidFill>
          </w14:textFill>
        </w:rPr>
      </w:pPr>
      <w:bookmarkStart w:id="779" w:name="_Toc386467109"/>
      <w:bookmarkEnd w:id="779"/>
      <w:bookmarkStart w:id="780" w:name="_Toc393546363"/>
      <w:bookmarkEnd w:id="780"/>
      <w:bookmarkStart w:id="781" w:name="_Toc43475837"/>
      <w:bookmarkEnd w:id="781"/>
      <w:r>
        <w:rPr>
          <w:rFonts w:hint="eastAsia" w:ascii="宋体" w:eastAsia="宋体"/>
          <w:color w:val="000000" w:themeColor="text1"/>
          <w:szCs w:val="24"/>
          <w:highlight w:val="none"/>
          <w14:textFill>
            <w14:solidFill>
              <w14:schemeClr w14:val="tx1"/>
            </w14:solidFill>
          </w14:textFill>
        </w:rPr>
        <w:t>13.4 监理人的质量检查</w:t>
      </w:r>
    </w:p>
    <w:p w14:paraId="2A7F4D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49FCFE5E">
      <w:pPr>
        <w:pStyle w:val="67"/>
        <w:ind w:firstLine="118"/>
        <w:rPr>
          <w:rFonts w:ascii="宋体" w:eastAsia="宋体"/>
          <w:color w:val="000000" w:themeColor="text1"/>
          <w:szCs w:val="24"/>
          <w:highlight w:val="none"/>
          <w14:textFill>
            <w14:solidFill>
              <w14:schemeClr w14:val="tx1"/>
            </w14:solidFill>
          </w14:textFill>
        </w:rPr>
      </w:pPr>
      <w:bookmarkStart w:id="782" w:name="_Toc43475838"/>
      <w:bookmarkEnd w:id="782"/>
      <w:bookmarkStart w:id="783" w:name="_Toc386467110"/>
      <w:bookmarkEnd w:id="783"/>
      <w:bookmarkStart w:id="784" w:name="_Toc393546364"/>
      <w:bookmarkEnd w:id="784"/>
      <w:r>
        <w:rPr>
          <w:rFonts w:hint="eastAsia" w:ascii="宋体" w:eastAsia="宋体"/>
          <w:color w:val="000000" w:themeColor="text1"/>
          <w:szCs w:val="24"/>
          <w:highlight w:val="none"/>
          <w14:textFill>
            <w14:solidFill>
              <w14:schemeClr w14:val="tx1"/>
            </w14:solidFill>
          </w14:textFill>
        </w:rPr>
        <w:t>13.5 工程隐蔽部位覆盖前的检查</w:t>
      </w:r>
    </w:p>
    <w:p w14:paraId="34DBB8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 通知监理人检查</w:t>
      </w:r>
    </w:p>
    <w:p w14:paraId="7AFA90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AA22B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13.5.2 监理人未到场检查</w:t>
      </w:r>
    </w:p>
    <w:p w14:paraId="4A2E16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7A3DEA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13.5.3 监理人重新检查</w:t>
      </w:r>
    </w:p>
    <w:p w14:paraId="58FED2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26405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13.5.4 承包人私自覆盖</w:t>
      </w:r>
    </w:p>
    <w:p w14:paraId="5D2FD6B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14:paraId="579F55AF">
      <w:pPr>
        <w:pStyle w:val="67"/>
        <w:ind w:firstLine="118"/>
        <w:rPr>
          <w:rFonts w:ascii="宋体" w:eastAsia="宋体"/>
          <w:color w:val="000000" w:themeColor="text1"/>
          <w:szCs w:val="24"/>
          <w:highlight w:val="none"/>
          <w14:textFill>
            <w14:solidFill>
              <w14:schemeClr w14:val="tx1"/>
            </w14:solidFill>
          </w14:textFill>
        </w:rPr>
      </w:pPr>
      <w:bookmarkStart w:id="785" w:name="_Toc393546365"/>
      <w:bookmarkEnd w:id="785"/>
      <w:bookmarkStart w:id="786" w:name="_Toc43475839"/>
      <w:bookmarkEnd w:id="786"/>
      <w:bookmarkStart w:id="787" w:name="_Toc386467111"/>
      <w:bookmarkEnd w:id="787"/>
      <w:r>
        <w:rPr>
          <w:rFonts w:hint="eastAsia" w:ascii="宋体" w:eastAsia="宋体"/>
          <w:color w:val="000000" w:themeColor="text1"/>
          <w:szCs w:val="24"/>
          <w:highlight w:val="none"/>
          <w14:textFill>
            <w14:solidFill>
              <w14:schemeClr w14:val="tx1"/>
            </w14:solidFill>
          </w14:textFill>
        </w:rPr>
        <w:t>13.6 清除不合格工程</w:t>
      </w:r>
    </w:p>
    <w:p w14:paraId="21DF93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E2C1B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13.6.2 由于发包人提供的材料或工程设备不合格造成的工程不合格，需要承包人采取措施补救的，发包人应承担由此增加的费用和（或）工期延误，并支付承包人合理利润。</w:t>
      </w:r>
    </w:p>
    <w:p w14:paraId="746AF06E">
      <w:pPr>
        <w:pStyle w:val="78"/>
        <w:rPr>
          <w:rFonts w:ascii="宋体" w:hAnsi="宋体"/>
          <w:color w:val="000000" w:themeColor="text1"/>
          <w:sz w:val="24"/>
          <w:szCs w:val="24"/>
          <w:highlight w:val="none"/>
          <w14:textFill>
            <w14:solidFill>
              <w14:schemeClr w14:val="tx1"/>
            </w14:solidFill>
          </w14:textFill>
        </w:rPr>
      </w:pPr>
      <w:bookmarkStart w:id="788" w:name="_Toc393546366"/>
      <w:bookmarkEnd w:id="788"/>
      <w:bookmarkStart w:id="789" w:name="_Toc43475840"/>
      <w:bookmarkEnd w:id="789"/>
      <w:bookmarkStart w:id="790" w:name="_Toc386467112"/>
      <w:bookmarkEnd w:id="790"/>
      <w:r>
        <w:rPr>
          <w:rFonts w:hint="eastAsia" w:ascii="宋体" w:hAnsi="宋体"/>
          <w:color w:val="000000" w:themeColor="text1"/>
          <w:sz w:val="24"/>
          <w:szCs w:val="24"/>
          <w:highlight w:val="none"/>
          <w14:textFill>
            <w14:solidFill>
              <w14:schemeClr w14:val="tx1"/>
            </w14:solidFill>
          </w14:textFill>
        </w:rPr>
        <w:t>14. 试验和检验</w:t>
      </w:r>
    </w:p>
    <w:p w14:paraId="56106CB3">
      <w:pPr>
        <w:pStyle w:val="67"/>
        <w:ind w:firstLine="118"/>
        <w:rPr>
          <w:rFonts w:ascii="宋体" w:eastAsia="宋体"/>
          <w:color w:val="000000" w:themeColor="text1"/>
          <w:szCs w:val="24"/>
          <w:highlight w:val="none"/>
          <w14:textFill>
            <w14:solidFill>
              <w14:schemeClr w14:val="tx1"/>
            </w14:solidFill>
          </w14:textFill>
        </w:rPr>
      </w:pPr>
      <w:bookmarkStart w:id="791" w:name="_Toc144974672"/>
      <w:bookmarkEnd w:id="791"/>
      <w:bookmarkStart w:id="792" w:name="_Toc386467113"/>
      <w:bookmarkEnd w:id="792"/>
      <w:bookmarkStart w:id="793" w:name="_Toc179632721"/>
      <w:bookmarkEnd w:id="793"/>
      <w:bookmarkStart w:id="794" w:name="_Toc152042481"/>
      <w:bookmarkEnd w:id="794"/>
      <w:bookmarkStart w:id="795" w:name="_Toc43475841"/>
      <w:bookmarkEnd w:id="795"/>
      <w:bookmarkStart w:id="796" w:name="_Toc393546367"/>
      <w:bookmarkEnd w:id="796"/>
      <w:bookmarkStart w:id="797" w:name="_Toc152045703"/>
      <w:bookmarkEnd w:id="797"/>
      <w:bookmarkStart w:id="798" w:name="_Toc330406308"/>
      <w:bookmarkEnd w:id="798"/>
      <w:r>
        <w:rPr>
          <w:rFonts w:hint="eastAsia" w:ascii="宋体" w:eastAsia="宋体"/>
          <w:color w:val="000000" w:themeColor="text1"/>
          <w:szCs w:val="24"/>
          <w:highlight w:val="none"/>
          <w14:textFill>
            <w14:solidFill>
              <w14:schemeClr w14:val="tx1"/>
            </w14:solidFill>
          </w14:textFill>
        </w:rPr>
        <w:t>14.1 材料、工程设备和工程的试验和检验</w:t>
      </w:r>
    </w:p>
    <w:p w14:paraId="423C85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6F634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14.1.2 监理人未按合同约定派员参加试验和检验的，除监理人另有指示外，承包人可自行试验和检验，并应立即将试验和检验结果报送监理人，监理人应签字确认。</w:t>
      </w:r>
    </w:p>
    <w:p w14:paraId="53051EC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FB56584">
      <w:pPr>
        <w:pStyle w:val="67"/>
        <w:ind w:firstLine="118"/>
        <w:rPr>
          <w:rFonts w:ascii="宋体" w:eastAsia="宋体"/>
          <w:color w:val="000000" w:themeColor="text1"/>
          <w:szCs w:val="24"/>
          <w:highlight w:val="none"/>
          <w14:textFill>
            <w14:solidFill>
              <w14:schemeClr w14:val="tx1"/>
            </w14:solidFill>
          </w14:textFill>
        </w:rPr>
      </w:pPr>
      <w:bookmarkStart w:id="799" w:name="_Toc152045704"/>
      <w:bookmarkEnd w:id="799"/>
      <w:bookmarkStart w:id="800" w:name="_Toc330406309"/>
      <w:bookmarkEnd w:id="800"/>
      <w:bookmarkStart w:id="801" w:name="_Toc144974673"/>
      <w:bookmarkEnd w:id="801"/>
      <w:bookmarkStart w:id="802" w:name="_Toc152042482"/>
      <w:bookmarkEnd w:id="802"/>
      <w:bookmarkStart w:id="803" w:name="_Toc179632722"/>
      <w:bookmarkEnd w:id="803"/>
      <w:bookmarkStart w:id="804" w:name="_Toc43475842"/>
      <w:bookmarkEnd w:id="804"/>
      <w:bookmarkStart w:id="805" w:name="_Toc393546368"/>
      <w:bookmarkEnd w:id="805"/>
      <w:bookmarkStart w:id="806" w:name="_Toc386467114"/>
      <w:bookmarkEnd w:id="806"/>
      <w:r>
        <w:rPr>
          <w:rFonts w:hint="eastAsia" w:ascii="宋体" w:eastAsia="宋体"/>
          <w:color w:val="000000" w:themeColor="text1"/>
          <w:szCs w:val="24"/>
          <w:highlight w:val="none"/>
          <w14:textFill>
            <w14:solidFill>
              <w14:schemeClr w14:val="tx1"/>
            </w14:solidFill>
          </w14:textFill>
        </w:rPr>
        <w:t>14.2 现场材料试验</w:t>
      </w:r>
    </w:p>
    <w:p w14:paraId="4975E7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 承包人根据合同约定或监理人指示进行的现场材料试验，应由承包人提供试验场所、试验人员、试验设备器材以及其他必要的试验条件。</w:t>
      </w:r>
    </w:p>
    <w:p w14:paraId="2D454F0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14.2.2 监理人在必要时可以使用承包人的试验场所、试验设备器材以及其他试验条件，进行以工程质量检查为目的的复核性材料试验，承包人应予以协助。</w:t>
      </w:r>
    </w:p>
    <w:p w14:paraId="4B845F8D">
      <w:pPr>
        <w:pStyle w:val="67"/>
        <w:ind w:firstLine="118"/>
        <w:rPr>
          <w:rFonts w:ascii="宋体" w:eastAsia="宋体"/>
          <w:color w:val="000000" w:themeColor="text1"/>
          <w:szCs w:val="24"/>
          <w:highlight w:val="none"/>
          <w14:textFill>
            <w14:solidFill>
              <w14:schemeClr w14:val="tx1"/>
            </w14:solidFill>
          </w14:textFill>
        </w:rPr>
      </w:pPr>
      <w:bookmarkStart w:id="807" w:name="_Toc43475843"/>
      <w:bookmarkEnd w:id="807"/>
      <w:bookmarkStart w:id="808" w:name="_Toc393546369"/>
      <w:bookmarkEnd w:id="808"/>
      <w:bookmarkStart w:id="809" w:name="_Toc386467115"/>
      <w:bookmarkEnd w:id="809"/>
      <w:r>
        <w:rPr>
          <w:rFonts w:hint="eastAsia" w:ascii="宋体" w:eastAsia="宋体"/>
          <w:color w:val="000000" w:themeColor="text1"/>
          <w:szCs w:val="24"/>
          <w:highlight w:val="none"/>
          <w14:textFill>
            <w14:solidFill>
              <w14:schemeClr w14:val="tx1"/>
            </w14:solidFill>
          </w14:textFill>
        </w:rPr>
        <w:t>14.3 现场工艺试验</w:t>
      </w:r>
    </w:p>
    <w:p w14:paraId="596CA40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14:paraId="35FEF46E">
      <w:pPr>
        <w:pStyle w:val="78"/>
        <w:rPr>
          <w:rFonts w:ascii="宋体" w:hAnsi="宋体"/>
          <w:color w:val="000000" w:themeColor="text1"/>
          <w:sz w:val="24"/>
          <w:szCs w:val="24"/>
          <w:highlight w:val="none"/>
          <w14:textFill>
            <w14:solidFill>
              <w14:schemeClr w14:val="tx1"/>
            </w14:solidFill>
          </w14:textFill>
        </w:rPr>
      </w:pPr>
      <w:bookmarkStart w:id="810" w:name="_Toc43475844"/>
      <w:bookmarkEnd w:id="810"/>
      <w:bookmarkStart w:id="811" w:name="_Toc393546370"/>
      <w:bookmarkEnd w:id="811"/>
      <w:bookmarkStart w:id="812" w:name="_Toc386467116"/>
      <w:bookmarkEnd w:id="812"/>
      <w:r>
        <w:rPr>
          <w:rFonts w:hint="eastAsia" w:ascii="宋体" w:hAnsi="宋体"/>
          <w:color w:val="000000" w:themeColor="text1"/>
          <w:sz w:val="24"/>
          <w:szCs w:val="24"/>
          <w:highlight w:val="none"/>
          <w14:textFill>
            <w14:solidFill>
              <w14:schemeClr w14:val="tx1"/>
            </w14:solidFill>
          </w14:textFill>
        </w:rPr>
        <w:t>15. 变更</w:t>
      </w:r>
    </w:p>
    <w:p w14:paraId="3CD45454">
      <w:pPr>
        <w:pStyle w:val="67"/>
        <w:ind w:firstLine="118"/>
        <w:rPr>
          <w:rFonts w:ascii="宋体" w:eastAsia="宋体"/>
          <w:color w:val="000000" w:themeColor="text1"/>
          <w:szCs w:val="24"/>
          <w:highlight w:val="none"/>
          <w14:textFill>
            <w14:solidFill>
              <w14:schemeClr w14:val="tx1"/>
            </w14:solidFill>
          </w14:textFill>
        </w:rPr>
      </w:pPr>
      <w:bookmarkStart w:id="813" w:name="_Toc43475845"/>
      <w:bookmarkEnd w:id="813"/>
      <w:bookmarkStart w:id="814" w:name="_Toc393546371"/>
      <w:bookmarkEnd w:id="814"/>
      <w:bookmarkStart w:id="815" w:name="_Toc386467117"/>
      <w:bookmarkEnd w:id="815"/>
      <w:r>
        <w:rPr>
          <w:rFonts w:hint="eastAsia" w:ascii="宋体" w:eastAsia="宋体"/>
          <w:color w:val="000000" w:themeColor="text1"/>
          <w:szCs w:val="24"/>
          <w:highlight w:val="none"/>
          <w14:textFill>
            <w14:solidFill>
              <w14:schemeClr w14:val="tx1"/>
            </w14:solidFill>
          </w14:textFill>
        </w:rPr>
        <w:t>15.1 变更的范围和内容</w:t>
      </w:r>
    </w:p>
    <w:p w14:paraId="5B2903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除专用合同条款另有约定外，在履行合同中发生以下情形之一，应按照本条规定进行变更。</w:t>
      </w:r>
    </w:p>
    <w:p w14:paraId="50DA7F9F">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w:t>
      </w:r>
    </w:p>
    <w:p w14:paraId="24DFC41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（2）改变合同中任何一项工作的质量或其他特性；</w:t>
      </w:r>
    </w:p>
    <w:p w14:paraId="3FF4D724">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（3）改变合同工程的基线、标高、位置或尺寸；</w:t>
      </w:r>
    </w:p>
    <w:p w14:paraId="4C9FD85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（4）改变合同中任何一项工作的施工时间或改变已批准的施工工艺或顺序；</w:t>
      </w:r>
    </w:p>
    <w:p w14:paraId="385F2311">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（5）为完成工程需要追加的额外工作。</w:t>
      </w:r>
    </w:p>
    <w:p w14:paraId="251726E1">
      <w:pPr>
        <w:pStyle w:val="67"/>
        <w:ind w:firstLine="118"/>
        <w:rPr>
          <w:rFonts w:ascii="宋体" w:eastAsia="宋体"/>
          <w:color w:val="000000" w:themeColor="text1"/>
          <w:szCs w:val="24"/>
          <w:highlight w:val="none"/>
          <w14:textFill>
            <w14:solidFill>
              <w14:schemeClr w14:val="tx1"/>
            </w14:solidFill>
          </w14:textFill>
        </w:rPr>
      </w:pPr>
      <w:bookmarkStart w:id="816" w:name="_Toc43475846"/>
      <w:bookmarkEnd w:id="816"/>
      <w:bookmarkStart w:id="817" w:name="_Toc386467118"/>
      <w:bookmarkEnd w:id="817"/>
      <w:bookmarkStart w:id="818" w:name="_Toc393546372"/>
      <w:bookmarkEnd w:id="818"/>
      <w:bookmarkStart w:id="819" w:name="_Toc330406313"/>
      <w:bookmarkEnd w:id="819"/>
      <w:bookmarkStart w:id="820" w:name="_Toc144974677"/>
      <w:bookmarkEnd w:id="820"/>
      <w:bookmarkStart w:id="821" w:name="_Toc152045708"/>
      <w:bookmarkEnd w:id="821"/>
      <w:bookmarkStart w:id="822" w:name="_Toc152042486"/>
      <w:bookmarkEnd w:id="822"/>
      <w:bookmarkStart w:id="823" w:name="_Toc179632726"/>
      <w:bookmarkEnd w:id="823"/>
      <w:r>
        <w:rPr>
          <w:rFonts w:hint="eastAsia" w:ascii="宋体" w:eastAsia="宋体"/>
          <w:color w:val="000000" w:themeColor="text1"/>
          <w:szCs w:val="24"/>
          <w:highlight w:val="none"/>
          <w14:textFill>
            <w14:solidFill>
              <w14:schemeClr w14:val="tx1"/>
            </w14:solidFill>
          </w14:textFill>
        </w:rPr>
        <w:t>15.2 变更权</w:t>
      </w:r>
    </w:p>
    <w:p w14:paraId="1ECD28E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在履行合同过程中，经发包人同意，监理人可按第15.3款约定的变更程序向承包人作出变更指示，承包人应遵照执行。没有监理人的变更指示，承包人不得擅自变更。</w:t>
      </w:r>
    </w:p>
    <w:p w14:paraId="5E8F535B">
      <w:pPr>
        <w:pStyle w:val="67"/>
        <w:ind w:firstLine="118"/>
        <w:rPr>
          <w:rFonts w:ascii="宋体" w:eastAsia="宋体"/>
          <w:color w:val="000000" w:themeColor="text1"/>
          <w:szCs w:val="24"/>
          <w:highlight w:val="none"/>
          <w14:textFill>
            <w14:solidFill>
              <w14:schemeClr w14:val="tx1"/>
            </w14:solidFill>
          </w14:textFill>
        </w:rPr>
      </w:pPr>
      <w:bookmarkStart w:id="824" w:name="_Toc43475847"/>
      <w:bookmarkEnd w:id="824"/>
      <w:bookmarkStart w:id="825" w:name="_Toc393546373"/>
      <w:bookmarkEnd w:id="825"/>
      <w:bookmarkStart w:id="826" w:name="_Toc386467119"/>
      <w:bookmarkEnd w:id="826"/>
      <w:r>
        <w:rPr>
          <w:rFonts w:hint="eastAsia" w:ascii="宋体" w:eastAsia="宋体"/>
          <w:color w:val="000000" w:themeColor="text1"/>
          <w:szCs w:val="24"/>
          <w:highlight w:val="none"/>
          <w14:textFill>
            <w14:solidFill>
              <w14:schemeClr w14:val="tx1"/>
            </w14:solidFill>
          </w14:textFill>
        </w:rPr>
        <w:t>15.3 变更程序</w:t>
      </w:r>
    </w:p>
    <w:p w14:paraId="55E3070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变更的提出</w:t>
      </w:r>
    </w:p>
    <w:p w14:paraId="774EA42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79F28B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（2）在合同履行过程中，发生第15.1款约定情形的，监理人应按照第15.3.3项约定向承包人发出变更指示。</w:t>
      </w:r>
    </w:p>
    <w:p w14:paraId="3D7A6AC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6D8A2FB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14:paraId="01CAC7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15.3.2 变更估价</w:t>
      </w:r>
    </w:p>
    <w:p w14:paraId="280ECD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32D95D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（2）变更工作影响工期的，承包人应提出调整工期的具体细节。监理人认为有必要时，可要求承包人提交要求提前或延长工期的施工进度计划及相应施工措施等详细资料。</w:t>
      </w:r>
    </w:p>
    <w:p w14:paraId="6F3F6F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（3）除专用合同条款对期限另有约定外，监理人收到承包人变更报价书后的14天内，根据第15.4款约定的估价原则，按照第3.5款商定或确定变更价格。</w:t>
      </w:r>
    </w:p>
    <w:p w14:paraId="1529AA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15.3.3 变更指示</w:t>
      </w:r>
    </w:p>
    <w:p w14:paraId="477088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（1）变更指示只能由监理人发出。</w:t>
      </w:r>
    </w:p>
    <w:p w14:paraId="2F896D2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14:paraId="46F344DB">
      <w:pPr>
        <w:pStyle w:val="67"/>
        <w:ind w:firstLine="118"/>
        <w:rPr>
          <w:rFonts w:ascii="宋体" w:eastAsia="宋体"/>
          <w:color w:val="000000" w:themeColor="text1"/>
          <w:szCs w:val="24"/>
          <w:highlight w:val="none"/>
          <w14:textFill>
            <w14:solidFill>
              <w14:schemeClr w14:val="tx1"/>
            </w14:solidFill>
          </w14:textFill>
        </w:rPr>
      </w:pPr>
      <w:bookmarkStart w:id="827" w:name="_Toc393546374"/>
      <w:bookmarkEnd w:id="827"/>
      <w:bookmarkStart w:id="828" w:name="_Toc386467120"/>
      <w:bookmarkEnd w:id="828"/>
      <w:bookmarkStart w:id="829" w:name="_Toc43475848"/>
      <w:bookmarkEnd w:id="829"/>
      <w:r>
        <w:rPr>
          <w:rFonts w:hint="eastAsia" w:ascii="宋体" w:eastAsia="宋体"/>
          <w:color w:val="000000" w:themeColor="text1"/>
          <w:szCs w:val="24"/>
          <w:highlight w:val="none"/>
          <w14:textFill>
            <w14:solidFill>
              <w14:schemeClr w14:val="tx1"/>
            </w14:solidFill>
          </w14:textFill>
        </w:rPr>
        <w:t>15.4 变更的估价原则</w:t>
      </w:r>
    </w:p>
    <w:p w14:paraId="4D593B1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除专用合同条款另有约定外，因变更引起的价格调整按照本款约定处理。</w:t>
      </w:r>
    </w:p>
    <w:p w14:paraId="4825BF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已标价工程量清单中有适用于变更工作的子目的，采用该子目的单价。</w:t>
      </w:r>
    </w:p>
    <w:p w14:paraId="7B9BA2B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已标价工程量清单中无适用于变更工作的子目，但有类似子目的，可在合理范围内参照类似子目的单价，由监理人按第3.5款商定或确定变更工作的单价。</w:t>
      </w:r>
    </w:p>
    <w:p w14:paraId="76BE1B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已标价工程量清单中无适用或类似子目的单价，可按照成本加利润的原则，由监理人按第3.5款商定或确定变更工作的单价。</w:t>
      </w:r>
    </w:p>
    <w:p w14:paraId="729FBA70">
      <w:pPr>
        <w:pStyle w:val="67"/>
        <w:ind w:firstLine="118"/>
        <w:rPr>
          <w:rFonts w:ascii="宋体" w:eastAsia="宋体"/>
          <w:color w:val="000000" w:themeColor="text1"/>
          <w:szCs w:val="24"/>
          <w:highlight w:val="none"/>
          <w14:textFill>
            <w14:solidFill>
              <w14:schemeClr w14:val="tx1"/>
            </w14:solidFill>
          </w14:textFill>
        </w:rPr>
      </w:pPr>
      <w:bookmarkStart w:id="830" w:name="_Toc43475849"/>
      <w:bookmarkEnd w:id="830"/>
      <w:bookmarkStart w:id="831" w:name="_Toc386467121"/>
      <w:bookmarkEnd w:id="831"/>
      <w:bookmarkStart w:id="832" w:name="_Toc393546375"/>
      <w:bookmarkEnd w:id="832"/>
      <w:r>
        <w:rPr>
          <w:rFonts w:hint="eastAsia" w:ascii="宋体" w:eastAsia="宋体"/>
          <w:color w:val="000000" w:themeColor="text1"/>
          <w:szCs w:val="24"/>
          <w:highlight w:val="none"/>
          <w14:textFill>
            <w14:solidFill>
              <w14:schemeClr w14:val="tx1"/>
            </w14:solidFill>
          </w14:textFill>
        </w:rPr>
        <w:t>15.5 承包人的合理化建议</w:t>
      </w:r>
    </w:p>
    <w:p w14:paraId="30457B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9D365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15.5.2 承包人提出的合理化建议降低了合同价格、缩短了工期或者提高了工程经济效益的，发包人可按国家有关规定在专用合同条款中约定给予奖励。</w:t>
      </w:r>
    </w:p>
    <w:p w14:paraId="5AA7A22B">
      <w:pPr>
        <w:pStyle w:val="67"/>
        <w:ind w:firstLine="118"/>
        <w:rPr>
          <w:rFonts w:ascii="宋体" w:eastAsia="宋体"/>
          <w:color w:val="000000" w:themeColor="text1"/>
          <w:szCs w:val="24"/>
          <w:highlight w:val="none"/>
          <w14:textFill>
            <w14:solidFill>
              <w14:schemeClr w14:val="tx1"/>
            </w14:solidFill>
          </w14:textFill>
        </w:rPr>
      </w:pPr>
      <w:bookmarkStart w:id="833" w:name="_Toc386467122"/>
      <w:bookmarkEnd w:id="833"/>
      <w:bookmarkStart w:id="834" w:name="_Toc43475850"/>
      <w:bookmarkEnd w:id="834"/>
      <w:bookmarkStart w:id="835" w:name="_Toc393546376"/>
      <w:bookmarkEnd w:id="835"/>
      <w:r>
        <w:rPr>
          <w:rFonts w:hint="eastAsia" w:ascii="宋体" w:eastAsia="宋体"/>
          <w:color w:val="000000" w:themeColor="text1"/>
          <w:szCs w:val="24"/>
          <w:highlight w:val="none"/>
          <w14:textFill>
            <w14:solidFill>
              <w14:schemeClr w14:val="tx1"/>
            </w14:solidFill>
          </w14:textFill>
        </w:rPr>
        <w:t>15.6 暂列金额</w:t>
      </w:r>
    </w:p>
    <w:p w14:paraId="2070D84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暂列金额只能按照监理人的指示使用，并对合同价格进行相应调整。</w:t>
      </w:r>
    </w:p>
    <w:p w14:paraId="6C5370CD">
      <w:pPr>
        <w:pStyle w:val="67"/>
        <w:ind w:firstLine="118"/>
        <w:rPr>
          <w:rFonts w:ascii="宋体" w:eastAsia="宋体"/>
          <w:color w:val="000000" w:themeColor="text1"/>
          <w:szCs w:val="24"/>
          <w:highlight w:val="none"/>
          <w14:textFill>
            <w14:solidFill>
              <w14:schemeClr w14:val="tx1"/>
            </w14:solidFill>
          </w14:textFill>
        </w:rPr>
      </w:pPr>
      <w:bookmarkStart w:id="836" w:name="_Toc393546377"/>
      <w:bookmarkEnd w:id="836"/>
      <w:bookmarkStart w:id="837" w:name="_Toc386467123"/>
      <w:bookmarkEnd w:id="837"/>
      <w:bookmarkStart w:id="838" w:name="_Toc152045713"/>
      <w:bookmarkEnd w:id="838"/>
      <w:bookmarkStart w:id="839" w:name="_Toc144974682"/>
      <w:bookmarkEnd w:id="839"/>
      <w:bookmarkStart w:id="840" w:name="_Toc330406318"/>
      <w:bookmarkEnd w:id="840"/>
      <w:bookmarkStart w:id="841" w:name="_Toc179632731"/>
      <w:bookmarkEnd w:id="841"/>
      <w:bookmarkStart w:id="842" w:name="_Toc43475851"/>
      <w:bookmarkEnd w:id="842"/>
      <w:bookmarkStart w:id="843" w:name="_Toc152042491"/>
      <w:bookmarkEnd w:id="843"/>
      <w:r>
        <w:rPr>
          <w:rFonts w:hint="eastAsia" w:ascii="宋体" w:eastAsia="宋体"/>
          <w:color w:val="000000" w:themeColor="text1"/>
          <w:szCs w:val="24"/>
          <w:highlight w:val="none"/>
          <w14:textFill>
            <w14:solidFill>
              <w14:schemeClr w14:val="tx1"/>
            </w14:solidFill>
          </w14:textFill>
        </w:rPr>
        <w:t>15.7 计日工</w:t>
      </w:r>
    </w:p>
    <w:p w14:paraId="611C9AE0">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15.7.1 发包人认为有必要时，由监理人通知承包人以计日工方式实施变更的零星工作。其价款按列入已标价工程量清单中的计日工计价子目及其单价进行计算。</w:t>
      </w:r>
    </w:p>
    <w:p w14:paraId="7B3FAA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15.7.2 采用计日工计价的任何一项变更工作，应从暂列金额中支付，承包人应在该项变更的实施过程中，每天提交以下报表和有关凭证报送监理人审批：</w:t>
      </w:r>
    </w:p>
    <w:p w14:paraId="1E07F48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（1）工作名称、内容和数量；</w:t>
      </w:r>
    </w:p>
    <w:p w14:paraId="3874847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（2）投入该工作所有人员的姓名、工种、级别和耗用工时；</w:t>
      </w:r>
    </w:p>
    <w:p w14:paraId="70F897E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（3）投入该工作的材料类别和数量；</w:t>
      </w:r>
    </w:p>
    <w:p w14:paraId="7C43B41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（4）投入该工作的施工设备型号、台数和耗用台时；</w:t>
      </w:r>
    </w:p>
    <w:p w14:paraId="461E318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（5）监理人要求提交的其他资料和凭证。</w:t>
      </w:r>
    </w:p>
    <w:p w14:paraId="6AE25B7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15.7.3 计日工由承包人汇总后，按第17.3.2项的约定列入进度付款申请单，由监理人复核并经发包人同意后列入进度付款。</w:t>
      </w:r>
    </w:p>
    <w:p w14:paraId="7A3578E8">
      <w:pPr>
        <w:pStyle w:val="67"/>
        <w:ind w:firstLine="118"/>
        <w:rPr>
          <w:rFonts w:ascii="宋体" w:eastAsia="宋体"/>
          <w:color w:val="000000" w:themeColor="text1"/>
          <w:szCs w:val="24"/>
          <w:highlight w:val="none"/>
          <w14:textFill>
            <w14:solidFill>
              <w14:schemeClr w14:val="tx1"/>
            </w14:solidFill>
          </w14:textFill>
        </w:rPr>
      </w:pPr>
      <w:bookmarkStart w:id="844" w:name="_Toc330406319"/>
      <w:bookmarkEnd w:id="844"/>
      <w:bookmarkStart w:id="845" w:name="_Toc393546378"/>
      <w:bookmarkEnd w:id="845"/>
      <w:bookmarkStart w:id="846" w:name="_Toc43475852"/>
      <w:bookmarkEnd w:id="846"/>
      <w:bookmarkStart w:id="847" w:name="_Toc144974683"/>
      <w:bookmarkEnd w:id="847"/>
      <w:bookmarkStart w:id="848" w:name="_Toc179632732"/>
      <w:bookmarkEnd w:id="848"/>
      <w:bookmarkStart w:id="849" w:name="_Toc152045714"/>
      <w:bookmarkEnd w:id="849"/>
      <w:bookmarkStart w:id="850" w:name="_Toc386467124"/>
      <w:bookmarkEnd w:id="850"/>
      <w:bookmarkStart w:id="851" w:name="_Toc152042492"/>
      <w:bookmarkEnd w:id="851"/>
      <w:r>
        <w:rPr>
          <w:rFonts w:hint="eastAsia" w:ascii="宋体" w:eastAsia="宋体"/>
          <w:color w:val="000000" w:themeColor="text1"/>
          <w:szCs w:val="24"/>
          <w:highlight w:val="none"/>
          <w14:textFill>
            <w14:solidFill>
              <w14:schemeClr w14:val="tx1"/>
            </w14:solidFill>
          </w14:textFill>
        </w:rPr>
        <w:t>15.8 暂估价</w:t>
      </w:r>
    </w:p>
    <w:p w14:paraId="2A0B0916">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E6F77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B3E67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4D11BEA4">
      <w:pPr>
        <w:pStyle w:val="78"/>
        <w:rPr>
          <w:rFonts w:ascii="宋体" w:hAnsi="宋体"/>
          <w:color w:val="000000" w:themeColor="text1"/>
          <w:sz w:val="24"/>
          <w:szCs w:val="24"/>
          <w:highlight w:val="none"/>
          <w14:textFill>
            <w14:solidFill>
              <w14:schemeClr w14:val="tx1"/>
            </w14:solidFill>
          </w14:textFill>
        </w:rPr>
      </w:pPr>
      <w:bookmarkStart w:id="852" w:name="_Toc386467125"/>
      <w:bookmarkEnd w:id="852"/>
      <w:bookmarkStart w:id="853" w:name="_Toc393546379"/>
      <w:bookmarkEnd w:id="853"/>
      <w:bookmarkStart w:id="854" w:name="_Toc43475853"/>
      <w:bookmarkEnd w:id="854"/>
      <w:r>
        <w:rPr>
          <w:rFonts w:hint="eastAsia" w:ascii="宋体" w:hAnsi="宋体"/>
          <w:color w:val="000000" w:themeColor="text1"/>
          <w:sz w:val="24"/>
          <w:szCs w:val="24"/>
          <w:highlight w:val="none"/>
          <w14:textFill>
            <w14:solidFill>
              <w14:schemeClr w14:val="tx1"/>
            </w14:solidFill>
          </w14:textFill>
        </w:rPr>
        <w:t>16. 价格调整</w:t>
      </w:r>
    </w:p>
    <w:p w14:paraId="408AB917">
      <w:pPr>
        <w:pStyle w:val="67"/>
        <w:ind w:firstLine="118"/>
        <w:rPr>
          <w:rFonts w:ascii="宋体" w:eastAsia="宋体"/>
          <w:color w:val="000000" w:themeColor="text1"/>
          <w:szCs w:val="24"/>
          <w:highlight w:val="none"/>
          <w14:textFill>
            <w14:solidFill>
              <w14:schemeClr w14:val="tx1"/>
            </w14:solidFill>
          </w14:textFill>
        </w:rPr>
      </w:pPr>
      <w:bookmarkStart w:id="855" w:name="_Toc393546380"/>
      <w:bookmarkEnd w:id="855"/>
      <w:bookmarkStart w:id="856" w:name="_Toc43475854"/>
      <w:bookmarkEnd w:id="856"/>
      <w:bookmarkStart w:id="857" w:name="_Toc386467126"/>
      <w:bookmarkEnd w:id="857"/>
      <w:r>
        <w:rPr>
          <w:rFonts w:hint="eastAsia" w:ascii="宋体" w:eastAsia="宋体"/>
          <w:color w:val="000000" w:themeColor="text1"/>
          <w:szCs w:val="24"/>
          <w:highlight w:val="none"/>
          <w14:textFill>
            <w14:solidFill>
              <w14:schemeClr w14:val="tx1"/>
            </w14:solidFill>
          </w14:textFill>
        </w:rPr>
        <w:t>16.1 物价波动引起的价格调整</w:t>
      </w:r>
    </w:p>
    <w:p w14:paraId="4919D4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除专用合同条款另有约定外，因物价波动引起的价格调整按照本款约定处理。</w:t>
      </w:r>
    </w:p>
    <w:p w14:paraId="461E375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 采用价格指数调整价格差额</w:t>
      </w:r>
    </w:p>
    <w:p w14:paraId="299575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16.1.1.1 价格调整公式</w:t>
      </w:r>
    </w:p>
    <w:p w14:paraId="1C3E41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14:paraId="6684C3ED">
      <w:pPr>
        <w:autoSpaceDE w:val="0"/>
        <w:autoSpaceDN w:val="0"/>
        <w:adjustRightInd w:val="0"/>
        <w:spacing w:line="1200" w:lineRule="exact"/>
        <w:ind w:right="248" w:firstLine="955" w:firstLineChars="3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position w:val="-34"/>
          <w:sz w:val="24"/>
          <w:highlight w:val="none"/>
          <w14:textFill>
            <w14:solidFill>
              <w14:schemeClr w14:val="tx1"/>
            </w14:solidFill>
          </w14:textFill>
        </w:rPr>
        <w:drawing>
          <wp:inline distT="0" distB="0" distL="0" distR="0">
            <wp:extent cx="3891280" cy="520700"/>
            <wp:effectExtent l="0" t="0" r="13970" b="13335"/>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21" cstate="print"/>
                    <a:stretch>
                      <a:fillRect/>
                    </a:stretch>
                  </pic:blipFill>
                  <pic:spPr>
                    <a:xfrm>
                      <a:off x="0" y="0"/>
                      <a:ext cx="3891280" cy="520700"/>
                    </a:xfrm>
                    <a:prstGeom prst="rect">
                      <a:avLst/>
                    </a:prstGeom>
                  </pic:spPr>
                </pic:pic>
              </a:graphicData>
            </a:graphic>
          </wp:inline>
        </w:drawing>
      </w:r>
    </w:p>
    <w:p w14:paraId="3BE983F1">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A39B6F6">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 △P -- 需调整的价格差额；</w:t>
      </w:r>
    </w:p>
    <w:p w14:paraId="1F0FF7AB">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P</w:t>
      </w:r>
      <w:r>
        <w:rPr>
          <w:rFonts w:hint="eastAsia" w:ascii="宋体" w:hAnsi="宋体" w:cs="宋体"/>
          <w:color w:val="000000" w:themeColor="text1"/>
          <w:sz w:val="24"/>
          <w:highlight w:val="none"/>
          <w:vertAlign w:val="subscript"/>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4961F2F6">
      <w:pPr>
        <w:tabs>
          <w:tab w:val="left" w:pos="1260"/>
        </w:tabs>
        <w:spacing w:line="400" w:lineRule="exact"/>
        <w:rPr>
          <w:rFonts w:ascii="宋体" w:hAnsi="宋体" w:cs="宋体"/>
          <w:color w:val="000000" w:themeColor="text1"/>
          <w:sz w:val="24"/>
          <w:highlight w:val="none"/>
          <w14:textFill>
            <w14:solidFill>
              <w14:schemeClr w14:val="tx1"/>
            </w14:solidFill>
          </w14:textFill>
        </w:rPr>
      </w:pPr>
      <w:bookmarkStart w:id="858" w:name="_Toc144974686"/>
      <w:bookmarkEnd w:id="858"/>
      <w:bookmarkStart w:id="859" w:name="_Toc152042495"/>
      <w:bookmarkEnd w:id="859"/>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 -- 定值权重(即不调部分的权重)；</w:t>
      </w:r>
    </w:p>
    <w:p w14:paraId="14914DAE">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 B</w:t>
      </w:r>
      <w:r>
        <w:rPr>
          <w:rFonts w:hint="eastAsia" w:ascii="宋体" w:hAnsi="宋体" w:cs="宋体"/>
          <w:color w:val="000000" w:themeColor="text1"/>
          <w:sz w:val="24"/>
          <w:highlight w:val="none"/>
          <w:vertAlign w:val="sub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；B</w:t>
      </w:r>
      <w:r>
        <w:rPr>
          <w:rFonts w:hint="eastAsia" w:ascii="宋体" w:hAnsi="宋体" w:cs="宋体"/>
          <w:color w:val="000000" w:themeColor="text1"/>
          <w:sz w:val="24"/>
          <w:highlight w:val="none"/>
          <w:vertAlign w:val="subscript"/>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n</w:t>
      </w:r>
      <w:r>
        <w:rPr>
          <w:rFonts w:hint="eastAsia" w:ascii="宋体" w:hAnsi="宋体" w:cs="宋体"/>
          <w:color w:val="000000" w:themeColor="text1"/>
          <w:sz w:val="24"/>
          <w:highlight w:val="none"/>
          <w14:textFill>
            <w14:solidFill>
              <w14:schemeClr w14:val="tx1"/>
            </w14:solidFill>
          </w14:textFill>
        </w:rPr>
        <w:t xml:space="preserve"> -- 各可调因子的变值权重(即可调部分的权重)为各可调因子在投标函投标总报价中所占的比例；</w:t>
      </w:r>
    </w:p>
    <w:p w14:paraId="0C22C6C1">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t1</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t2</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t3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tn</w:t>
      </w:r>
      <w:r>
        <w:rPr>
          <w:rFonts w:hint="eastAsia" w:ascii="宋体" w:hAnsi="宋体" w:cs="宋体"/>
          <w:color w:val="000000" w:themeColor="text1"/>
          <w:sz w:val="24"/>
          <w:highlight w:val="none"/>
          <w14:textFill>
            <w14:solidFill>
              <w14:schemeClr w14:val="tx1"/>
            </w14:solidFill>
          </w14:textFill>
        </w:rPr>
        <w:t xml:space="preserve"> -- 各可调因子的现行价格指数，指第17.3.3项、第17.5.2项和第17.6.2项约定的付款证书相关周期最后一天的前42天的各可调因子的价格指数；</w:t>
      </w:r>
    </w:p>
    <w:p w14:paraId="5A6D0042">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o1</w:t>
      </w:r>
      <w:r>
        <w:rPr>
          <w:rFonts w:hint="eastAsia" w:ascii="宋体" w:hAnsi="宋体" w:cs="宋体"/>
          <w:color w:val="000000" w:themeColor="text1"/>
          <w:sz w:val="24"/>
          <w:highlight w:val="none"/>
          <w14:textFill>
            <w14:solidFill>
              <w14:schemeClr w14:val="tx1"/>
            </w14:solidFill>
          </w14:textFill>
        </w:rPr>
        <w:t>； F</w:t>
      </w:r>
      <w:r>
        <w:rPr>
          <w:rFonts w:hint="eastAsia" w:ascii="宋体" w:hAnsi="宋体" w:cs="宋体"/>
          <w:color w:val="000000" w:themeColor="text1"/>
          <w:sz w:val="24"/>
          <w:highlight w:val="none"/>
          <w:vertAlign w:val="subscript"/>
          <w14:textFill>
            <w14:solidFill>
              <w14:schemeClr w14:val="tx1"/>
            </w14:solidFill>
          </w14:textFill>
        </w:rPr>
        <w:t>o2</w:t>
      </w:r>
      <w:r>
        <w:rPr>
          <w:rFonts w:hint="eastAsia" w:ascii="宋体" w:hAnsi="宋体" w:cs="宋体"/>
          <w:color w:val="000000" w:themeColor="text1"/>
          <w:sz w:val="24"/>
          <w:highlight w:val="none"/>
          <w14:textFill>
            <w14:solidFill>
              <w14:schemeClr w14:val="tx1"/>
            </w14:solidFill>
          </w14:textFill>
        </w:rPr>
        <w:t>； F</w:t>
      </w:r>
      <w:r>
        <w:rPr>
          <w:rFonts w:hint="eastAsia" w:ascii="宋体" w:hAnsi="宋体" w:cs="宋体"/>
          <w:color w:val="000000" w:themeColor="text1"/>
          <w:sz w:val="24"/>
          <w:highlight w:val="none"/>
          <w:vertAlign w:val="subscript"/>
          <w14:textFill>
            <w14:solidFill>
              <w14:schemeClr w14:val="tx1"/>
            </w14:solidFill>
          </w14:textFill>
        </w:rPr>
        <w:t>o3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on</w:t>
      </w:r>
      <w:r>
        <w:rPr>
          <w:rFonts w:hint="eastAsia" w:ascii="宋体" w:hAnsi="宋体" w:cs="宋体"/>
          <w:color w:val="000000" w:themeColor="text1"/>
          <w:sz w:val="24"/>
          <w:highlight w:val="none"/>
          <w14:textFill>
            <w14:solidFill>
              <w14:schemeClr w14:val="tx1"/>
            </w14:solidFill>
          </w14:textFill>
        </w:rPr>
        <w:t xml:space="preserve"> -- 各可调因子的基本价格指数，指基准日期的各可调因子的价格指数。</w:t>
      </w:r>
    </w:p>
    <w:p w14:paraId="225874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33F95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16.1.1.2 暂时确定调整差额</w:t>
      </w:r>
    </w:p>
    <w:p w14:paraId="0D9043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在计算调整差额时得不到现行价格指数的，可暂用上一次价格指数计算，并在以后的付款中再按实际价格指数进行调整。</w:t>
      </w:r>
    </w:p>
    <w:p w14:paraId="25E2A7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16.1.1.3 权重的调整</w:t>
      </w:r>
    </w:p>
    <w:p w14:paraId="422CCC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按第15.1款约定的变更导致原定合同中的权重不合理时，由监理人与承包人和发包人协商后进行调整。</w:t>
      </w:r>
    </w:p>
    <w:p w14:paraId="06C0FF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16.1.1.4 承包人工期延误后的价格调整</w:t>
      </w:r>
    </w:p>
    <w:p w14:paraId="1E4391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6D3029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14:paraId="3ADFF5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10BA23EB">
      <w:pPr>
        <w:pStyle w:val="67"/>
        <w:ind w:firstLine="118"/>
        <w:rPr>
          <w:rFonts w:ascii="宋体" w:eastAsia="宋体"/>
          <w:color w:val="000000" w:themeColor="text1"/>
          <w:szCs w:val="24"/>
          <w:highlight w:val="none"/>
          <w14:textFill>
            <w14:solidFill>
              <w14:schemeClr w14:val="tx1"/>
            </w14:solidFill>
          </w14:textFill>
        </w:rPr>
      </w:pPr>
      <w:bookmarkStart w:id="860" w:name="_Toc393546381"/>
      <w:bookmarkEnd w:id="860"/>
      <w:bookmarkStart w:id="861" w:name="_Toc144974688"/>
      <w:bookmarkEnd w:id="861"/>
      <w:bookmarkStart w:id="862" w:name="_Toc330406322"/>
      <w:bookmarkEnd w:id="862"/>
      <w:bookmarkStart w:id="863" w:name="_Toc386467127"/>
      <w:bookmarkEnd w:id="863"/>
      <w:bookmarkStart w:id="864" w:name="_Toc43475855"/>
      <w:bookmarkEnd w:id="864"/>
      <w:bookmarkStart w:id="865" w:name="_Toc152045717"/>
      <w:bookmarkEnd w:id="865"/>
      <w:bookmarkStart w:id="866" w:name="_Toc152042496"/>
      <w:bookmarkEnd w:id="866"/>
      <w:bookmarkStart w:id="867" w:name="_Toc179632735"/>
      <w:bookmarkEnd w:id="867"/>
      <w:r>
        <w:rPr>
          <w:rFonts w:hint="eastAsia" w:ascii="宋体" w:eastAsia="宋体"/>
          <w:color w:val="000000" w:themeColor="text1"/>
          <w:szCs w:val="24"/>
          <w:highlight w:val="none"/>
          <w14:textFill>
            <w14:solidFill>
              <w14:schemeClr w14:val="tx1"/>
            </w14:solidFill>
          </w14:textFill>
        </w:rPr>
        <w:t>16.2 法律变化引起的价格调整</w:t>
      </w:r>
    </w:p>
    <w:p w14:paraId="51694E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30AAE6C">
      <w:pPr>
        <w:pStyle w:val="78"/>
        <w:rPr>
          <w:rFonts w:ascii="宋体" w:hAnsi="宋体"/>
          <w:color w:val="000000" w:themeColor="text1"/>
          <w:sz w:val="24"/>
          <w:szCs w:val="24"/>
          <w:highlight w:val="none"/>
          <w14:textFill>
            <w14:solidFill>
              <w14:schemeClr w14:val="tx1"/>
            </w14:solidFill>
          </w14:textFill>
        </w:rPr>
      </w:pPr>
      <w:bookmarkStart w:id="868" w:name="_Toc386467128"/>
      <w:bookmarkEnd w:id="868"/>
      <w:bookmarkStart w:id="869" w:name="_Toc393546382"/>
      <w:bookmarkEnd w:id="869"/>
      <w:bookmarkStart w:id="870" w:name="_Toc43475856"/>
      <w:bookmarkEnd w:id="870"/>
      <w:r>
        <w:rPr>
          <w:rFonts w:hint="eastAsia" w:ascii="宋体" w:hAnsi="宋体"/>
          <w:color w:val="000000" w:themeColor="text1"/>
          <w:sz w:val="24"/>
          <w:szCs w:val="24"/>
          <w:highlight w:val="none"/>
          <w14:textFill>
            <w14:solidFill>
              <w14:schemeClr w14:val="tx1"/>
            </w14:solidFill>
          </w14:textFill>
        </w:rPr>
        <w:t>17. 计量与支付</w:t>
      </w:r>
    </w:p>
    <w:p w14:paraId="6C2BDF28">
      <w:pPr>
        <w:pStyle w:val="67"/>
        <w:ind w:firstLine="118"/>
        <w:rPr>
          <w:rFonts w:ascii="宋体" w:eastAsia="宋体"/>
          <w:color w:val="000000" w:themeColor="text1"/>
          <w:szCs w:val="24"/>
          <w:highlight w:val="none"/>
          <w14:textFill>
            <w14:solidFill>
              <w14:schemeClr w14:val="tx1"/>
            </w14:solidFill>
          </w14:textFill>
        </w:rPr>
      </w:pPr>
      <w:bookmarkStart w:id="871" w:name="_Toc43475857"/>
      <w:bookmarkEnd w:id="871"/>
      <w:bookmarkStart w:id="872" w:name="_Toc386467129"/>
      <w:bookmarkEnd w:id="872"/>
      <w:bookmarkStart w:id="873" w:name="_Toc393546383"/>
      <w:bookmarkEnd w:id="873"/>
      <w:r>
        <w:rPr>
          <w:rFonts w:hint="eastAsia" w:ascii="宋体" w:eastAsia="宋体"/>
          <w:color w:val="000000" w:themeColor="text1"/>
          <w:szCs w:val="24"/>
          <w:highlight w:val="none"/>
          <w14:textFill>
            <w14:solidFill>
              <w14:schemeClr w14:val="tx1"/>
            </w14:solidFill>
          </w14:textFill>
        </w:rPr>
        <w:t>17.1 计量</w:t>
      </w:r>
    </w:p>
    <w:p w14:paraId="7FC0C5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17.1.1 计量单位</w:t>
      </w:r>
    </w:p>
    <w:p w14:paraId="5F0356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计量采用国家法定的计量单位。</w:t>
      </w:r>
    </w:p>
    <w:p w14:paraId="1D34368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17.1.2 计量方法</w:t>
      </w:r>
    </w:p>
    <w:p w14:paraId="01FEA2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工程量清单中的工程量计算规则应按有关国家标准、行业标准的规定，并在合同中约定执行。</w:t>
      </w:r>
    </w:p>
    <w:p w14:paraId="1AA848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17.1.3 计量周期</w:t>
      </w:r>
    </w:p>
    <w:p w14:paraId="151E93A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除专用合同条款另有约定外，单价子目已完成工程量按月计量，总价子目的计量周期按批准的支付分解报告确定。</w:t>
      </w:r>
    </w:p>
    <w:p w14:paraId="71FC82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17.1.4 单价子目的计量</w:t>
      </w:r>
    </w:p>
    <w:p w14:paraId="4A2D07E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（1）已标价工程量清单中的单价子目工程量为估算工程量。结算工程量是承包人实际完成的，并按合同约定的计量方法进行计量的工程量。</w:t>
      </w:r>
    </w:p>
    <w:p w14:paraId="359F6C6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（2）承包人对已完成的工程进行计量，向监理人提交进度付款申请单、已完成工程量报表和有关计量资料。</w:t>
      </w:r>
    </w:p>
    <w:p w14:paraId="75F3971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4DF51C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（4）监理人认为有必要时，可通知承包人共同进行联合测量、计量，承包人应遵照执行。</w:t>
      </w:r>
    </w:p>
    <w:p w14:paraId="5B0FCD1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2F9C531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（6）监理人应在收到承包人提交的工程量报表后的7天内进行复核，监理人未在约定时间内复核的，承包人提交的工程量报表中的工程量视为承包人实际完成的工程量，据此计算工程价款。</w:t>
      </w:r>
    </w:p>
    <w:p w14:paraId="49E510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14:paraId="7FD2705E">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除专用合同条款另有约定外，总价子目的分解和计量按照下述约定进行。</w:t>
      </w:r>
    </w:p>
    <w:p w14:paraId="0C6F084C">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（1）总价子目的计量和支付应以总价为基础，不因第16.1款中的因素而进行调整。承包人实际完成的工程量，是进行工程目标管理和控制进度支付的依据。</w:t>
      </w:r>
    </w:p>
    <w:p w14:paraId="66FE1FE0">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7103FC42">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（3）监理人对承包人提交的上述资料进行复核，以确定分阶段实际完成的工程量和工程形象目标。对其有异议的，可要求承包人按第8.2款约定进行共同复核和抽样复测。</w:t>
      </w:r>
    </w:p>
    <w:p w14:paraId="473AFBEB">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（4）除按照第15条约定的变更外，总价子目的工程量是承包人用于结算的最终工程量。 </w:t>
      </w:r>
    </w:p>
    <w:p w14:paraId="2E4017E3">
      <w:pPr>
        <w:pStyle w:val="67"/>
        <w:ind w:firstLine="118"/>
        <w:rPr>
          <w:rFonts w:ascii="宋体" w:eastAsia="宋体"/>
          <w:color w:val="000000" w:themeColor="text1"/>
          <w:szCs w:val="24"/>
          <w:highlight w:val="none"/>
          <w14:textFill>
            <w14:solidFill>
              <w14:schemeClr w14:val="tx1"/>
            </w14:solidFill>
          </w14:textFill>
        </w:rPr>
      </w:pPr>
      <w:bookmarkStart w:id="874" w:name="_Toc386467130"/>
      <w:bookmarkEnd w:id="874"/>
      <w:bookmarkStart w:id="875" w:name="_Toc43475858"/>
      <w:bookmarkEnd w:id="875"/>
      <w:bookmarkStart w:id="876" w:name="_Toc393546384"/>
      <w:bookmarkEnd w:id="876"/>
      <w:r>
        <w:rPr>
          <w:rFonts w:hint="eastAsia" w:ascii="宋体" w:eastAsia="宋体"/>
          <w:color w:val="000000" w:themeColor="text1"/>
          <w:szCs w:val="24"/>
          <w:highlight w:val="none"/>
          <w14:textFill>
            <w14:solidFill>
              <w14:schemeClr w14:val="tx1"/>
            </w14:solidFill>
          </w14:textFill>
        </w:rPr>
        <w:t>17.2 预付款</w:t>
      </w:r>
    </w:p>
    <w:p w14:paraId="0457C2A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17.2.1 预付款</w:t>
      </w:r>
    </w:p>
    <w:p w14:paraId="3ED4A36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预付款用于承包人为合同工程施工购置材料、工程设备、施工设备、修建临时设施以及组织施工队伍进场等。预付款的额度和预付办法在专用合同条款中约定。预付款必须专用于合同工程。</w:t>
      </w:r>
    </w:p>
    <w:p w14:paraId="7AB5A6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17.2.2 预付款保函</w:t>
      </w:r>
    </w:p>
    <w:p w14:paraId="6056A6E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14:paraId="251C24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14:paraId="42BB66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14:paraId="6756F3A4">
      <w:pPr>
        <w:pStyle w:val="67"/>
        <w:ind w:firstLine="118"/>
        <w:rPr>
          <w:rFonts w:ascii="宋体" w:eastAsia="宋体"/>
          <w:color w:val="000000" w:themeColor="text1"/>
          <w:szCs w:val="24"/>
          <w:highlight w:val="none"/>
          <w14:textFill>
            <w14:solidFill>
              <w14:schemeClr w14:val="tx1"/>
            </w14:solidFill>
          </w14:textFill>
        </w:rPr>
      </w:pPr>
      <w:bookmarkStart w:id="877" w:name="_Toc386467131"/>
      <w:bookmarkEnd w:id="877"/>
      <w:bookmarkStart w:id="878" w:name="_Toc43475859"/>
      <w:bookmarkEnd w:id="878"/>
      <w:bookmarkStart w:id="879" w:name="_Toc393546385"/>
      <w:bookmarkEnd w:id="879"/>
      <w:r>
        <w:rPr>
          <w:rFonts w:hint="eastAsia" w:ascii="宋体" w:eastAsia="宋体"/>
          <w:color w:val="000000" w:themeColor="text1"/>
          <w:szCs w:val="24"/>
          <w:highlight w:val="none"/>
          <w14:textFill>
            <w14:solidFill>
              <w14:schemeClr w14:val="tx1"/>
            </w14:solidFill>
          </w14:textFill>
        </w:rPr>
        <w:t>17.3 工程进度付款</w:t>
      </w:r>
    </w:p>
    <w:p w14:paraId="66B0C6C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14:paraId="64813FE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付款周期同计量周期。</w:t>
      </w:r>
    </w:p>
    <w:p w14:paraId="002AA2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17.3.2 进度付款申请单</w:t>
      </w:r>
    </w:p>
    <w:p w14:paraId="7429DB18">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F4FF1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（1）截至本次付款周期末已实施工程的价款；</w:t>
      </w:r>
    </w:p>
    <w:p w14:paraId="598409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（2）根据第15条应增加和扣减的变更金额；</w:t>
      </w:r>
    </w:p>
    <w:p w14:paraId="444BEE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（3）根据第23条应增加和扣减的索赔金额；</w:t>
      </w:r>
    </w:p>
    <w:p w14:paraId="20A91BD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（4）根据第17.2款约定应支付的预付款和扣减的返还预付款；</w:t>
      </w:r>
    </w:p>
    <w:p w14:paraId="6BBD6B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（5）根据第17.4.1项约定应扣减的质量保证金；</w:t>
      </w:r>
    </w:p>
    <w:p w14:paraId="4B0F740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（6）根据合同应增加和扣减的其他金额。</w:t>
      </w:r>
    </w:p>
    <w:p w14:paraId="2038D0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 进度付款证书和支付时间</w:t>
      </w:r>
    </w:p>
    <w:p w14:paraId="5C0DA939">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42F00E4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（2）发包人应在监理人收到进度付款申请单后的28天内，将进度应付款支付给承包人。发包人不按期支付的，按专用合同条款的约定支付逾期付款违约金。</w:t>
      </w:r>
    </w:p>
    <w:p w14:paraId="2BD2AA8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（3）监理人出具进度付款证书，不应视为监理人已同意、批准或接受了承包人完成的该部分工作。</w:t>
      </w:r>
    </w:p>
    <w:p w14:paraId="71A459D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（4）进度付款涉及政府投资资金的，按照国库集中支付等国家相关规定和专用合同条款的约定办理。</w:t>
      </w:r>
    </w:p>
    <w:p w14:paraId="7AC839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17.3.4 工程进度付款的修正</w:t>
      </w:r>
    </w:p>
    <w:p w14:paraId="68D2353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14:paraId="75222A69">
      <w:pPr>
        <w:pStyle w:val="67"/>
        <w:ind w:firstLine="118"/>
        <w:rPr>
          <w:rFonts w:ascii="宋体" w:eastAsia="宋体"/>
          <w:color w:val="000000" w:themeColor="text1"/>
          <w:szCs w:val="24"/>
          <w:highlight w:val="none"/>
          <w14:textFill>
            <w14:solidFill>
              <w14:schemeClr w14:val="tx1"/>
            </w14:solidFill>
          </w14:textFill>
        </w:rPr>
      </w:pPr>
      <w:bookmarkStart w:id="880" w:name="_Toc393546386"/>
      <w:bookmarkEnd w:id="880"/>
      <w:bookmarkStart w:id="881" w:name="_Toc386467132"/>
      <w:bookmarkEnd w:id="881"/>
      <w:bookmarkStart w:id="882" w:name="_Toc43475860"/>
      <w:bookmarkEnd w:id="882"/>
      <w:r>
        <w:rPr>
          <w:rFonts w:hint="eastAsia" w:ascii="宋体" w:eastAsia="宋体"/>
          <w:color w:val="000000" w:themeColor="text1"/>
          <w:szCs w:val="24"/>
          <w:highlight w:val="none"/>
          <w14:textFill>
            <w14:solidFill>
              <w14:schemeClr w14:val="tx1"/>
            </w14:solidFill>
          </w14:textFill>
        </w:rPr>
        <w:t>17.4 质量保证金</w:t>
      </w:r>
    </w:p>
    <w:p w14:paraId="5290654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2411C4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6EAA9E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1AFBE238">
      <w:pPr>
        <w:pStyle w:val="67"/>
        <w:ind w:firstLine="118"/>
        <w:rPr>
          <w:rFonts w:ascii="宋体" w:eastAsia="宋体"/>
          <w:color w:val="000000" w:themeColor="text1"/>
          <w:szCs w:val="24"/>
          <w:highlight w:val="none"/>
          <w14:textFill>
            <w14:solidFill>
              <w14:schemeClr w14:val="tx1"/>
            </w14:solidFill>
          </w14:textFill>
        </w:rPr>
      </w:pPr>
      <w:bookmarkStart w:id="883" w:name="_Toc386467133"/>
      <w:bookmarkEnd w:id="883"/>
      <w:bookmarkStart w:id="884" w:name="_Toc393546387"/>
      <w:bookmarkEnd w:id="884"/>
      <w:bookmarkStart w:id="885" w:name="_Toc43475861"/>
      <w:bookmarkEnd w:id="885"/>
      <w:r>
        <w:rPr>
          <w:rFonts w:hint="eastAsia" w:ascii="宋体" w:eastAsia="宋体"/>
          <w:color w:val="000000" w:themeColor="text1"/>
          <w:szCs w:val="24"/>
          <w:highlight w:val="none"/>
          <w14:textFill>
            <w14:solidFill>
              <w14:schemeClr w14:val="tx1"/>
            </w14:solidFill>
          </w14:textFill>
        </w:rPr>
        <w:t>17.5 竣工结算</w:t>
      </w:r>
    </w:p>
    <w:p w14:paraId="58A280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17.5.1 竣工付款申请单</w:t>
      </w:r>
    </w:p>
    <w:p w14:paraId="618C1A0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8CF207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（2）监理人对竣工付款申请单有异议的，有权要求承包人进行修正和提供补充资料。经监理人和承包人协商后，由承包人向监理人提交修正后的竣工付款申请单。</w:t>
      </w:r>
    </w:p>
    <w:p w14:paraId="2B999C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17.5.2 竣工付款证书及支付时间</w:t>
      </w:r>
    </w:p>
    <w:p w14:paraId="0F84E9D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708146C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（2）发包人应在监理人出具竣工付款证书后的14天内，将应支付款支付给承包人。发包人不按期支付的，按第17.3.3（2）目的约定，将逾期付款违约金支付给承包人。</w:t>
      </w:r>
    </w:p>
    <w:p w14:paraId="41252E6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（3）承包人对发包人签认的竣工付款证书有异议的，发包人可出具竣工付款申请单中承包人已同意部分的临时付款证书。存在争议的部分，按第24条的约定办理。</w:t>
      </w:r>
    </w:p>
    <w:p w14:paraId="176A2C57">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（4）竣工付款涉及政府投资资金的，按第17.3.3（4）目的约定办理。</w:t>
      </w:r>
    </w:p>
    <w:p w14:paraId="0BA085F9">
      <w:pPr>
        <w:pStyle w:val="67"/>
        <w:ind w:firstLine="118"/>
        <w:rPr>
          <w:rFonts w:ascii="宋体" w:eastAsia="宋体"/>
          <w:color w:val="000000" w:themeColor="text1"/>
          <w:szCs w:val="24"/>
          <w:highlight w:val="none"/>
          <w14:textFill>
            <w14:solidFill>
              <w14:schemeClr w14:val="tx1"/>
            </w14:solidFill>
          </w14:textFill>
        </w:rPr>
      </w:pPr>
      <w:bookmarkStart w:id="886" w:name="_Toc393546388"/>
      <w:bookmarkEnd w:id="886"/>
      <w:bookmarkStart w:id="887" w:name="_Toc386467134"/>
      <w:bookmarkEnd w:id="887"/>
      <w:bookmarkStart w:id="888" w:name="_Toc43475862"/>
      <w:bookmarkEnd w:id="888"/>
      <w:r>
        <w:rPr>
          <w:rFonts w:hint="eastAsia" w:ascii="宋体" w:eastAsia="宋体"/>
          <w:color w:val="000000" w:themeColor="text1"/>
          <w:szCs w:val="24"/>
          <w:highlight w:val="none"/>
          <w14:textFill>
            <w14:solidFill>
              <w14:schemeClr w14:val="tx1"/>
            </w14:solidFill>
          </w14:textFill>
        </w:rPr>
        <w:t>17.6 最终结清</w:t>
      </w:r>
    </w:p>
    <w:p w14:paraId="2C93A5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14:paraId="17F2E52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（1）缺陷责任期终止证书签发后，承包人可按专用合同条款约定的份数和期限向监理人提交最终结清申请单，并提供相关证明材料。</w:t>
      </w:r>
    </w:p>
    <w:p w14:paraId="470BF20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（2）发包人对最终结清申请单内容有异议的，有权要求承包人进行修正和提供补充资料，由承包人向监理人提交修正后的最终结清申请单。</w:t>
      </w:r>
    </w:p>
    <w:p w14:paraId="58CAC4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17.6.2 最终结清证书和支付时间</w:t>
      </w:r>
    </w:p>
    <w:p w14:paraId="2C6BC4C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AB378F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（2）发包人应在监理人出具最终结清证书后的14天内，将应支付款支付给承包人。发包人不按期支付的，按第17.3.3（2）目的约定，将逾期付款违约金支付给承包人。</w:t>
      </w:r>
    </w:p>
    <w:p w14:paraId="5F865DF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（3）承包人对发包人签认的最终结清证书有异议的，按第24条的约定办理。</w:t>
      </w:r>
    </w:p>
    <w:p w14:paraId="69226B3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（4）最终结清付款涉及政府投资资金的，按第17.3.3（4）目的约定办理。</w:t>
      </w:r>
    </w:p>
    <w:p w14:paraId="4C351D36">
      <w:pPr>
        <w:pStyle w:val="78"/>
        <w:rPr>
          <w:rFonts w:ascii="宋体" w:hAnsi="宋体"/>
          <w:color w:val="000000" w:themeColor="text1"/>
          <w:sz w:val="24"/>
          <w:szCs w:val="24"/>
          <w:highlight w:val="none"/>
          <w14:textFill>
            <w14:solidFill>
              <w14:schemeClr w14:val="tx1"/>
            </w14:solidFill>
          </w14:textFill>
        </w:rPr>
      </w:pPr>
      <w:bookmarkStart w:id="889" w:name="_Toc386467135"/>
      <w:bookmarkEnd w:id="889"/>
      <w:bookmarkStart w:id="890" w:name="_Toc393546389"/>
      <w:bookmarkEnd w:id="890"/>
      <w:bookmarkStart w:id="891" w:name="_Toc43475863"/>
      <w:bookmarkEnd w:id="891"/>
      <w:r>
        <w:rPr>
          <w:rFonts w:hint="eastAsia" w:ascii="宋体" w:hAnsi="宋体"/>
          <w:color w:val="000000" w:themeColor="text1"/>
          <w:sz w:val="24"/>
          <w:szCs w:val="24"/>
          <w:highlight w:val="none"/>
          <w14:textFill>
            <w14:solidFill>
              <w14:schemeClr w14:val="tx1"/>
            </w14:solidFill>
          </w14:textFill>
        </w:rPr>
        <w:t>18. 竣工验收</w:t>
      </w:r>
    </w:p>
    <w:p w14:paraId="116BC8AD">
      <w:pPr>
        <w:pStyle w:val="67"/>
        <w:ind w:firstLine="118"/>
        <w:rPr>
          <w:rFonts w:ascii="宋体" w:eastAsia="宋体"/>
          <w:color w:val="000000" w:themeColor="text1"/>
          <w:szCs w:val="24"/>
          <w:highlight w:val="none"/>
          <w14:textFill>
            <w14:solidFill>
              <w14:schemeClr w14:val="tx1"/>
            </w14:solidFill>
          </w14:textFill>
        </w:rPr>
      </w:pPr>
      <w:bookmarkStart w:id="892" w:name="_Toc152042505"/>
      <w:bookmarkEnd w:id="892"/>
      <w:bookmarkStart w:id="893" w:name="_Toc144974697"/>
      <w:bookmarkEnd w:id="893"/>
      <w:bookmarkStart w:id="894" w:name="_Toc386467136"/>
      <w:bookmarkEnd w:id="894"/>
      <w:bookmarkStart w:id="895" w:name="_Toc393546390"/>
      <w:bookmarkEnd w:id="895"/>
      <w:bookmarkStart w:id="896" w:name="_Toc330406331"/>
      <w:bookmarkEnd w:id="896"/>
      <w:bookmarkStart w:id="897" w:name="_Toc43475864"/>
      <w:bookmarkEnd w:id="897"/>
      <w:bookmarkStart w:id="898" w:name="_Toc179632744"/>
      <w:bookmarkEnd w:id="898"/>
      <w:bookmarkStart w:id="899" w:name="_Toc152045726"/>
      <w:bookmarkEnd w:id="899"/>
      <w:r>
        <w:rPr>
          <w:rFonts w:hint="eastAsia" w:ascii="宋体" w:eastAsia="宋体"/>
          <w:color w:val="000000" w:themeColor="text1"/>
          <w:szCs w:val="24"/>
          <w:highlight w:val="none"/>
          <w14:textFill>
            <w14:solidFill>
              <w14:schemeClr w14:val="tx1"/>
            </w14:solidFill>
          </w14:textFill>
        </w:rPr>
        <w:t>18.1 竣工验收的含义</w:t>
      </w:r>
    </w:p>
    <w:p w14:paraId="31EF889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 竣工验收指承包人完成了全部合同工作后，发包人按合同要求进行的验收。</w:t>
      </w:r>
    </w:p>
    <w:p w14:paraId="2BEA836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18.1.2 国家验收是政府有关部门根据法律、规范、规程和政策要求，针对发包人全面组织实施的整个工程正式交付投运前的验收。</w:t>
      </w:r>
    </w:p>
    <w:p w14:paraId="359CB6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2EDF3372">
      <w:pPr>
        <w:pStyle w:val="67"/>
        <w:ind w:firstLine="118"/>
        <w:rPr>
          <w:rFonts w:ascii="宋体" w:eastAsia="宋体"/>
          <w:color w:val="000000" w:themeColor="text1"/>
          <w:szCs w:val="24"/>
          <w:highlight w:val="none"/>
          <w14:textFill>
            <w14:solidFill>
              <w14:schemeClr w14:val="tx1"/>
            </w14:solidFill>
          </w14:textFill>
        </w:rPr>
      </w:pPr>
      <w:bookmarkStart w:id="900" w:name="_Toc386467137"/>
      <w:bookmarkEnd w:id="900"/>
      <w:bookmarkStart w:id="901" w:name="_Toc43475865"/>
      <w:bookmarkEnd w:id="901"/>
      <w:bookmarkStart w:id="902" w:name="_Toc393546391"/>
      <w:bookmarkEnd w:id="902"/>
      <w:r>
        <w:rPr>
          <w:rFonts w:hint="eastAsia" w:ascii="宋体" w:eastAsia="宋体"/>
          <w:color w:val="000000" w:themeColor="text1"/>
          <w:szCs w:val="24"/>
          <w:highlight w:val="none"/>
          <w14:textFill>
            <w14:solidFill>
              <w14:schemeClr w14:val="tx1"/>
            </w14:solidFill>
          </w14:textFill>
        </w:rPr>
        <w:t>18.2 竣工验收申请报告</w:t>
      </w:r>
    </w:p>
    <w:p w14:paraId="138759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当工程具备以下条件时，承包人即可向监理人报送竣工验收申请报告：</w:t>
      </w:r>
    </w:p>
    <w:p w14:paraId="1B402700">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（1）除监理人同意列入缺陷责任期内完成的尾工（甩项）工程和缺陷修补工作外，合同范围内的全部单位工程以及有关工作，包括合同要求的试验、试运行以及检验和验收均已完成，并符合合同要求；</w:t>
      </w:r>
    </w:p>
    <w:p w14:paraId="763C342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（2）已按合同约定的内容和份数备齐了符合要求的竣工资料； </w:t>
      </w:r>
    </w:p>
    <w:p w14:paraId="7603C36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（3）已按监理人的要求编制了在缺陷责任期内完成的尾工（甩项）工程和缺陷修补工作清单以及相应施工计划；</w:t>
      </w:r>
    </w:p>
    <w:p w14:paraId="6F1148D5">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（4）监理人要求在竣工验收前应完成的其他工作；</w:t>
      </w:r>
    </w:p>
    <w:p w14:paraId="52FE693F">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（5）监理人要求提交的竣工验收资料清单。</w:t>
      </w:r>
    </w:p>
    <w:p w14:paraId="02343C20">
      <w:pPr>
        <w:pStyle w:val="67"/>
        <w:ind w:firstLine="118"/>
        <w:rPr>
          <w:rFonts w:ascii="宋体" w:eastAsia="宋体"/>
          <w:color w:val="000000" w:themeColor="text1"/>
          <w:szCs w:val="24"/>
          <w:highlight w:val="none"/>
          <w14:textFill>
            <w14:solidFill>
              <w14:schemeClr w14:val="tx1"/>
            </w14:solidFill>
          </w14:textFill>
        </w:rPr>
      </w:pPr>
      <w:bookmarkStart w:id="903" w:name="_Toc43475866"/>
      <w:bookmarkEnd w:id="903"/>
      <w:bookmarkStart w:id="904" w:name="_Toc386467138"/>
      <w:bookmarkEnd w:id="904"/>
      <w:bookmarkStart w:id="905" w:name="_Toc393546392"/>
      <w:bookmarkEnd w:id="905"/>
      <w:r>
        <w:rPr>
          <w:rFonts w:hint="eastAsia" w:ascii="宋体" w:eastAsia="宋体"/>
          <w:color w:val="000000" w:themeColor="text1"/>
          <w:szCs w:val="24"/>
          <w:highlight w:val="none"/>
          <w14:textFill>
            <w14:solidFill>
              <w14:schemeClr w14:val="tx1"/>
            </w14:solidFill>
          </w14:textFill>
        </w:rPr>
        <w:t>18.3 验收</w:t>
      </w:r>
    </w:p>
    <w:p w14:paraId="178779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监理人收到承包人按第18.2款约定提交的竣工验收申请报告后，应审查申请报告的各项内容，并按以下不同情况进行处理。</w:t>
      </w:r>
    </w:p>
    <w:p w14:paraId="7491A2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118E27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18.3.2 监理人审查后认为已具备竣工验收条件的，应在收到竣工验收申请报告后的28天内提请发包人进行工程验收。</w:t>
      </w:r>
    </w:p>
    <w:p w14:paraId="16C5FF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9F11E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4FC9FF3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18.3.5 除专用合同条款另有约定外，经验收合格工程的实际竣工日期，以提交竣工验收申请报告的日期为准，并在工程接收证书中写明。</w:t>
      </w:r>
    </w:p>
    <w:p w14:paraId="4D94B2E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18.3.6 发包人在收到承包人竣工验收申请报告56天后未进行验收的，视为验收合格，实际竣工日期以提交竣工验收申请报告的日期为准，但发包人由于不可抗力不能进行验收的除外。</w:t>
      </w:r>
    </w:p>
    <w:p w14:paraId="7F92F421">
      <w:pPr>
        <w:pStyle w:val="67"/>
        <w:ind w:firstLine="118"/>
        <w:rPr>
          <w:rFonts w:ascii="宋体" w:eastAsia="宋体"/>
          <w:color w:val="000000" w:themeColor="text1"/>
          <w:szCs w:val="24"/>
          <w:highlight w:val="none"/>
          <w14:textFill>
            <w14:solidFill>
              <w14:schemeClr w14:val="tx1"/>
            </w14:solidFill>
          </w14:textFill>
        </w:rPr>
      </w:pPr>
      <w:bookmarkStart w:id="906" w:name="_Toc43475867"/>
      <w:bookmarkEnd w:id="906"/>
      <w:bookmarkStart w:id="907" w:name="_Toc144974700"/>
      <w:bookmarkEnd w:id="907"/>
      <w:bookmarkStart w:id="908" w:name="_Toc152042508"/>
      <w:bookmarkEnd w:id="908"/>
      <w:bookmarkStart w:id="909" w:name="_Toc330406334"/>
      <w:bookmarkEnd w:id="909"/>
      <w:bookmarkStart w:id="910" w:name="_Toc179632747"/>
      <w:bookmarkEnd w:id="910"/>
      <w:bookmarkStart w:id="911" w:name="_Toc386467139"/>
      <w:bookmarkEnd w:id="911"/>
      <w:bookmarkStart w:id="912" w:name="_Toc152045729"/>
      <w:bookmarkEnd w:id="912"/>
      <w:bookmarkStart w:id="913" w:name="_Toc393546393"/>
      <w:bookmarkEnd w:id="913"/>
      <w:r>
        <w:rPr>
          <w:rFonts w:hint="eastAsia" w:ascii="宋体" w:eastAsia="宋体"/>
          <w:color w:val="000000" w:themeColor="text1"/>
          <w:szCs w:val="24"/>
          <w:highlight w:val="none"/>
          <w14:textFill>
            <w14:solidFill>
              <w14:schemeClr w14:val="tx1"/>
            </w14:solidFill>
          </w14:textFill>
        </w:rPr>
        <w:t>18.4 单位工程验收</w:t>
      </w:r>
    </w:p>
    <w:p w14:paraId="7D5460E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56272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18.4.2 发包人在全部工程竣工前，使用已接收的单位工程导致承包人费用增加的，发包人应承担由此增加的费用和（或）工期延误，并支付承包人合理利润。</w:t>
      </w:r>
    </w:p>
    <w:p w14:paraId="48ABCF95">
      <w:pPr>
        <w:pStyle w:val="67"/>
        <w:ind w:firstLine="118"/>
        <w:rPr>
          <w:rFonts w:ascii="宋体" w:eastAsia="宋体"/>
          <w:color w:val="000000" w:themeColor="text1"/>
          <w:szCs w:val="24"/>
          <w:highlight w:val="none"/>
          <w14:textFill>
            <w14:solidFill>
              <w14:schemeClr w14:val="tx1"/>
            </w14:solidFill>
          </w14:textFill>
        </w:rPr>
      </w:pPr>
      <w:bookmarkStart w:id="914" w:name="_Toc386467140"/>
      <w:bookmarkEnd w:id="914"/>
      <w:bookmarkStart w:id="915" w:name="_Toc393546394"/>
      <w:bookmarkEnd w:id="915"/>
      <w:bookmarkStart w:id="916" w:name="_Toc144974701"/>
      <w:bookmarkEnd w:id="916"/>
      <w:bookmarkStart w:id="917" w:name="_Toc152042509"/>
      <w:bookmarkEnd w:id="917"/>
      <w:bookmarkStart w:id="918" w:name="_Toc43475868"/>
      <w:bookmarkEnd w:id="918"/>
      <w:bookmarkStart w:id="919" w:name="_Toc179632748"/>
      <w:bookmarkEnd w:id="919"/>
      <w:bookmarkStart w:id="920" w:name="_Toc330406335"/>
      <w:bookmarkEnd w:id="920"/>
      <w:bookmarkStart w:id="921" w:name="_Toc152045730"/>
      <w:bookmarkEnd w:id="921"/>
      <w:r>
        <w:rPr>
          <w:rFonts w:hint="eastAsia" w:ascii="宋体" w:eastAsia="宋体"/>
          <w:color w:val="000000" w:themeColor="text1"/>
          <w:szCs w:val="24"/>
          <w:highlight w:val="none"/>
          <w14:textFill>
            <w14:solidFill>
              <w14:schemeClr w14:val="tx1"/>
            </w14:solidFill>
          </w14:textFill>
        </w:rPr>
        <w:t>18.5 施工期运行</w:t>
      </w:r>
    </w:p>
    <w:p w14:paraId="6AAD08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703ED3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18.5.2 在施工期运行中发现工程或工程设备损坏或存在缺陷的，由承包人按第19.2款约定进行修复。</w:t>
      </w:r>
    </w:p>
    <w:p w14:paraId="073D53FB">
      <w:pPr>
        <w:pStyle w:val="67"/>
        <w:ind w:firstLine="118"/>
        <w:rPr>
          <w:rFonts w:ascii="宋体" w:eastAsia="宋体"/>
          <w:color w:val="000000" w:themeColor="text1"/>
          <w:szCs w:val="24"/>
          <w:highlight w:val="none"/>
          <w14:textFill>
            <w14:solidFill>
              <w14:schemeClr w14:val="tx1"/>
            </w14:solidFill>
          </w14:textFill>
        </w:rPr>
      </w:pPr>
      <w:bookmarkStart w:id="922" w:name="_Toc43475869"/>
      <w:bookmarkEnd w:id="922"/>
      <w:bookmarkStart w:id="923" w:name="_Toc386467141"/>
      <w:bookmarkEnd w:id="923"/>
      <w:bookmarkStart w:id="924" w:name="_Toc152045731"/>
      <w:bookmarkEnd w:id="924"/>
      <w:bookmarkStart w:id="925" w:name="_Toc330406336"/>
      <w:bookmarkEnd w:id="925"/>
      <w:bookmarkStart w:id="926" w:name="_Toc152042510"/>
      <w:bookmarkEnd w:id="926"/>
      <w:bookmarkStart w:id="927" w:name="_Toc179632749"/>
      <w:bookmarkEnd w:id="927"/>
      <w:bookmarkStart w:id="928" w:name="_Toc144974702"/>
      <w:bookmarkEnd w:id="928"/>
      <w:bookmarkStart w:id="929" w:name="_Toc393546395"/>
      <w:bookmarkEnd w:id="929"/>
      <w:r>
        <w:rPr>
          <w:rFonts w:hint="eastAsia" w:ascii="宋体" w:eastAsia="宋体"/>
          <w:color w:val="000000" w:themeColor="text1"/>
          <w:szCs w:val="24"/>
          <w:highlight w:val="none"/>
          <w14:textFill>
            <w14:solidFill>
              <w14:schemeClr w14:val="tx1"/>
            </w14:solidFill>
          </w14:textFill>
        </w:rPr>
        <w:t>18.6 试运行</w:t>
      </w:r>
    </w:p>
    <w:p w14:paraId="7D07280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18.6.1 除专用合同条款另有约定外，承包人应按专用合同条款约定进行工程及工程设备试运行，负责提供试运行所需的人员、器材和必要的条件，并承担全部试运行费用。</w:t>
      </w:r>
    </w:p>
    <w:p w14:paraId="610170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9AF04C1">
      <w:pPr>
        <w:pStyle w:val="67"/>
        <w:ind w:firstLine="118"/>
        <w:rPr>
          <w:rFonts w:ascii="宋体" w:eastAsia="宋体"/>
          <w:color w:val="000000" w:themeColor="text1"/>
          <w:szCs w:val="24"/>
          <w:highlight w:val="none"/>
          <w14:textFill>
            <w14:solidFill>
              <w14:schemeClr w14:val="tx1"/>
            </w14:solidFill>
          </w14:textFill>
        </w:rPr>
      </w:pPr>
      <w:bookmarkStart w:id="930" w:name="_Toc393546396"/>
      <w:bookmarkEnd w:id="930"/>
      <w:bookmarkStart w:id="931" w:name="_Toc43475870"/>
      <w:bookmarkEnd w:id="931"/>
      <w:bookmarkStart w:id="932" w:name="_Toc179632750"/>
      <w:bookmarkEnd w:id="932"/>
      <w:bookmarkStart w:id="933" w:name="_Toc330406337"/>
      <w:bookmarkEnd w:id="933"/>
      <w:bookmarkStart w:id="934" w:name="_Toc144974703"/>
      <w:bookmarkEnd w:id="934"/>
      <w:bookmarkStart w:id="935" w:name="_Toc386467142"/>
      <w:bookmarkEnd w:id="935"/>
      <w:bookmarkStart w:id="936" w:name="_Toc152042511"/>
      <w:bookmarkEnd w:id="936"/>
      <w:bookmarkStart w:id="937" w:name="_Toc152045732"/>
      <w:bookmarkEnd w:id="937"/>
      <w:r>
        <w:rPr>
          <w:rFonts w:hint="eastAsia" w:ascii="宋体" w:eastAsia="宋体"/>
          <w:color w:val="000000" w:themeColor="text1"/>
          <w:szCs w:val="24"/>
          <w:highlight w:val="none"/>
          <w14:textFill>
            <w14:solidFill>
              <w14:schemeClr w14:val="tx1"/>
            </w14:solidFill>
          </w14:textFill>
        </w:rPr>
        <w:t>18.7 竣工清场</w:t>
      </w:r>
    </w:p>
    <w:p w14:paraId="56CF3D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18.7.1 除合同另有约定外，工程接收证书颁发后，承包人应按以下要求对施工场地进行清理，直至监理人检验合格为止。竣工清场费用由承包人承担。</w:t>
      </w:r>
    </w:p>
    <w:p w14:paraId="65E1D65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（1）施工场地内残留的垃圾已全部清除出场；</w:t>
      </w:r>
    </w:p>
    <w:p w14:paraId="7DA01D6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（2）临时工程已拆除，场地已按合同要求进行清理、平整或复原；</w:t>
      </w:r>
    </w:p>
    <w:p w14:paraId="6E3518A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（3）按合同约定应撤离的承包人设备和剩余的材料，包括废弃的施工设备和材料，已按计划撤离施工场地；</w:t>
      </w:r>
    </w:p>
    <w:p w14:paraId="2B46CB6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（4）工程建筑物周边及其附近道路、河道的施工堆积物，已按监理人指示全部清理；</w:t>
      </w:r>
    </w:p>
    <w:p w14:paraId="58451D2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（5）监理人指示的其他场地清理工作已全部完成。</w:t>
      </w:r>
    </w:p>
    <w:p w14:paraId="3BE5C0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18.7.2 承包人未按监理人的要求恢复临时占地，或者场地清理未达到合同约定的，发包人有权委托其他人恢复或清理，所发生的金额从拟支付给承包人的款项中扣除。</w:t>
      </w:r>
    </w:p>
    <w:p w14:paraId="014F5B7A">
      <w:pPr>
        <w:pStyle w:val="67"/>
        <w:ind w:firstLine="118"/>
        <w:rPr>
          <w:rFonts w:ascii="宋体" w:eastAsia="宋体"/>
          <w:color w:val="000000" w:themeColor="text1"/>
          <w:szCs w:val="24"/>
          <w:highlight w:val="none"/>
          <w14:textFill>
            <w14:solidFill>
              <w14:schemeClr w14:val="tx1"/>
            </w14:solidFill>
          </w14:textFill>
        </w:rPr>
      </w:pPr>
      <w:bookmarkStart w:id="938" w:name="_Toc393546397"/>
      <w:bookmarkEnd w:id="938"/>
      <w:bookmarkStart w:id="939" w:name="_Toc43475871"/>
      <w:bookmarkEnd w:id="939"/>
      <w:bookmarkStart w:id="940" w:name="_Toc386467143"/>
      <w:bookmarkEnd w:id="940"/>
      <w:r>
        <w:rPr>
          <w:rFonts w:hint="eastAsia" w:ascii="宋体" w:eastAsia="宋体"/>
          <w:color w:val="000000" w:themeColor="text1"/>
          <w:szCs w:val="24"/>
          <w:highlight w:val="none"/>
          <w14:textFill>
            <w14:solidFill>
              <w14:schemeClr w14:val="tx1"/>
            </w14:solidFill>
          </w14:textFill>
        </w:rPr>
        <w:t>18.8 施工队伍的撤离</w:t>
      </w:r>
    </w:p>
    <w:p w14:paraId="441C46B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745E5BC5">
      <w:pPr>
        <w:pStyle w:val="78"/>
        <w:rPr>
          <w:rFonts w:ascii="宋体" w:hAnsi="宋体"/>
          <w:color w:val="000000" w:themeColor="text1"/>
          <w:sz w:val="24"/>
          <w:szCs w:val="24"/>
          <w:highlight w:val="none"/>
          <w14:textFill>
            <w14:solidFill>
              <w14:schemeClr w14:val="tx1"/>
            </w14:solidFill>
          </w14:textFill>
        </w:rPr>
      </w:pPr>
      <w:bookmarkStart w:id="941" w:name="_Toc393546398"/>
      <w:bookmarkEnd w:id="941"/>
      <w:bookmarkStart w:id="942" w:name="_Toc386467144"/>
      <w:bookmarkEnd w:id="942"/>
      <w:bookmarkStart w:id="943" w:name="_Toc43475872"/>
      <w:bookmarkEnd w:id="943"/>
      <w:r>
        <w:rPr>
          <w:rFonts w:hint="eastAsia" w:ascii="宋体" w:hAnsi="宋体"/>
          <w:color w:val="000000" w:themeColor="text1"/>
          <w:sz w:val="24"/>
          <w:szCs w:val="24"/>
          <w:highlight w:val="none"/>
          <w14:textFill>
            <w14:solidFill>
              <w14:schemeClr w14:val="tx1"/>
            </w14:solidFill>
          </w14:textFill>
        </w:rPr>
        <w:t>19. 缺陷责任与保修责任</w:t>
      </w:r>
    </w:p>
    <w:p w14:paraId="26A4FF4E">
      <w:pPr>
        <w:pStyle w:val="67"/>
        <w:ind w:firstLine="118"/>
        <w:rPr>
          <w:rFonts w:ascii="宋体" w:eastAsia="宋体"/>
          <w:color w:val="000000" w:themeColor="text1"/>
          <w:szCs w:val="24"/>
          <w:highlight w:val="none"/>
          <w14:textFill>
            <w14:solidFill>
              <w14:schemeClr w14:val="tx1"/>
            </w14:solidFill>
          </w14:textFill>
        </w:rPr>
      </w:pPr>
      <w:bookmarkStart w:id="944" w:name="_Toc393546399"/>
      <w:bookmarkEnd w:id="944"/>
      <w:bookmarkStart w:id="945" w:name="_Toc144974706"/>
      <w:bookmarkEnd w:id="945"/>
      <w:bookmarkStart w:id="946" w:name="_Toc179632753"/>
      <w:bookmarkEnd w:id="946"/>
      <w:bookmarkStart w:id="947" w:name="_Toc152045735"/>
      <w:bookmarkEnd w:id="947"/>
      <w:bookmarkStart w:id="948" w:name="_Toc330406340"/>
      <w:bookmarkEnd w:id="948"/>
      <w:bookmarkStart w:id="949" w:name="_Toc386467145"/>
      <w:bookmarkEnd w:id="949"/>
      <w:bookmarkStart w:id="950" w:name="_Toc43475873"/>
      <w:bookmarkEnd w:id="950"/>
      <w:bookmarkStart w:id="951" w:name="_Toc152042514"/>
      <w:bookmarkEnd w:id="951"/>
      <w:r>
        <w:rPr>
          <w:rFonts w:hint="eastAsia" w:ascii="宋体" w:eastAsia="宋体"/>
          <w:color w:val="000000" w:themeColor="text1"/>
          <w:szCs w:val="24"/>
          <w:highlight w:val="none"/>
          <w14:textFill>
            <w14:solidFill>
              <w14:schemeClr w14:val="tx1"/>
            </w14:solidFill>
          </w14:textFill>
        </w:rPr>
        <w:t>19.1 缺陷责任期的起算时间</w:t>
      </w:r>
    </w:p>
    <w:p w14:paraId="5BCA167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缺陷责任期自实际竣工日期起计算。在全部工程竣工验收前，已经发包人提前验收的单位工程，其缺陷责任期的起算日期相应提前。</w:t>
      </w:r>
    </w:p>
    <w:p w14:paraId="2185C855">
      <w:pPr>
        <w:pStyle w:val="67"/>
        <w:ind w:firstLine="118"/>
        <w:rPr>
          <w:rFonts w:ascii="宋体" w:eastAsia="宋体"/>
          <w:color w:val="000000" w:themeColor="text1"/>
          <w:szCs w:val="24"/>
          <w:highlight w:val="none"/>
          <w14:textFill>
            <w14:solidFill>
              <w14:schemeClr w14:val="tx1"/>
            </w14:solidFill>
          </w14:textFill>
        </w:rPr>
      </w:pPr>
      <w:bookmarkStart w:id="952" w:name="_Toc386467146"/>
      <w:bookmarkEnd w:id="952"/>
      <w:bookmarkStart w:id="953" w:name="_Toc43475874"/>
      <w:bookmarkEnd w:id="953"/>
      <w:bookmarkStart w:id="954" w:name="_Toc393546400"/>
      <w:bookmarkEnd w:id="954"/>
      <w:r>
        <w:rPr>
          <w:rFonts w:hint="eastAsia" w:ascii="宋体" w:eastAsia="宋体"/>
          <w:color w:val="000000" w:themeColor="text1"/>
          <w:szCs w:val="24"/>
          <w:highlight w:val="none"/>
          <w14:textFill>
            <w14:solidFill>
              <w14:schemeClr w14:val="tx1"/>
            </w14:solidFill>
          </w14:textFill>
        </w:rPr>
        <w:t>19.2 缺陷责任</w:t>
      </w:r>
    </w:p>
    <w:p w14:paraId="52D78DF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19.2.1 承包人应在缺陷责任期内对已交付使用的工程承担缺陷责任。</w:t>
      </w:r>
    </w:p>
    <w:p w14:paraId="3909ED6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3015442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F89D40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19.2.4 承包人不能在合理时间内修复缺陷的，发包人可自行修复或委托其他人修复，所需费用和利润的承担，按第19.2.3项约定办理。</w:t>
      </w:r>
    </w:p>
    <w:p w14:paraId="6C0FA879">
      <w:pPr>
        <w:pStyle w:val="67"/>
        <w:ind w:firstLine="118"/>
        <w:rPr>
          <w:rFonts w:ascii="宋体" w:eastAsia="宋体"/>
          <w:color w:val="000000" w:themeColor="text1"/>
          <w:szCs w:val="24"/>
          <w:highlight w:val="none"/>
          <w14:textFill>
            <w14:solidFill>
              <w14:schemeClr w14:val="tx1"/>
            </w14:solidFill>
          </w14:textFill>
        </w:rPr>
      </w:pPr>
      <w:bookmarkStart w:id="955" w:name="_Toc179632755"/>
      <w:bookmarkEnd w:id="955"/>
      <w:bookmarkStart w:id="956" w:name="_Toc144974708"/>
      <w:bookmarkEnd w:id="956"/>
      <w:bookmarkStart w:id="957" w:name="_Toc152045737"/>
      <w:bookmarkEnd w:id="957"/>
      <w:bookmarkStart w:id="958" w:name="_Toc330406342"/>
      <w:bookmarkEnd w:id="958"/>
      <w:bookmarkStart w:id="959" w:name="_Toc386467147"/>
      <w:bookmarkEnd w:id="959"/>
      <w:bookmarkStart w:id="960" w:name="_Toc152042516"/>
      <w:bookmarkEnd w:id="960"/>
      <w:bookmarkStart w:id="961" w:name="_Toc393546401"/>
      <w:bookmarkEnd w:id="961"/>
      <w:bookmarkStart w:id="962" w:name="_Toc43475875"/>
      <w:bookmarkEnd w:id="962"/>
      <w:r>
        <w:rPr>
          <w:rFonts w:hint="eastAsia" w:ascii="宋体" w:eastAsia="宋体"/>
          <w:color w:val="000000" w:themeColor="text1"/>
          <w:szCs w:val="24"/>
          <w:highlight w:val="none"/>
          <w14:textFill>
            <w14:solidFill>
              <w14:schemeClr w14:val="tx1"/>
            </w14:solidFill>
          </w14:textFill>
        </w:rPr>
        <w:t>19.3 缺陷责任期的延长</w:t>
      </w:r>
    </w:p>
    <w:p w14:paraId="1E3C4C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由于承包人原因造成某项缺陷或损坏使某项工程或工程设备不能按原定目标使用而需要再次检查、检验和修复的，发包人有权要求承包人相应延长缺陷责任期，但缺陷责任期最长不超过2年。</w:t>
      </w:r>
    </w:p>
    <w:p w14:paraId="0F1231DF">
      <w:pPr>
        <w:pStyle w:val="67"/>
        <w:ind w:firstLine="118"/>
        <w:rPr>
          <w:rFonts w:ascii="宋体" w:eastAsia="宋体"/>
          <w:color w:val="000000" w:themeColor="text1"/>
          <w:szCs w:val="24"/>
          <w:highlight w:val="none"/>
          <w14:textFill>
            <w14:solidFill>
              <w14:schemeClr w14:val="tx1"/>
            </w14:solidFill>
          </w14:textFill>
        </w:rPr>
      </w:pPr>
      <w:bookmarkStart w:id="963" w:name="_Toc152042517"/>
      <w:bookmarkEnd w:id="963"/>
      <w:bookmarkStart w:id="964" w:name="_Toc152045738"/>
      <w:bookmarkEnd w:id="964"/>
      <w:bookmarkStart w:id="965" w:name="_Toc386467148"/>
      <w:bookmarkEnd w:id="965"/>
      <w:bookmarkStart w:id="966" w:name="_Toc179632756"/>
      <w:bookmarkEnd w:id="966"/>
      <w:bookmarkStart w:id="967" w:name="_Toc43475876"/>
      <w:bookmarkEnd w:id="967"/>
      <w:bookmarkStart w:id="968" w:name="_Toc144974709"/>
      <w:bookmarkEnd w:id="968"/>
      <w:bookmarkStart w:id="969" w:name="_Toc330406343"/>
      <w:bookmarkEnd w:id="969"/>
      <w:bookmarkStart w:id="970" w:name="_Toc393546402"/>
      <w:bookmarkEnd w:id="970"/>
      <w:r>
        <w:rPr>
          <w:rFonts w:hint="eastAsia" w:ascii="宋体" w:eastAsia="宋体"/>
          <w:color w:val="000000" w:themeColor="text1"/>
          <w:szCs w:val="24"/>
          <w:highlight w:val="none"/>
          <w14:textFill>
            <w14:solidFill>
              <w14:schemeClr w14:val="tx1"/>
            </w14:solidFill>
          </w14:textFill>
        </w:rPr>
        <w:t>19.4 进一步试验和试运行</w:t>
      </w:r>
    </w:p>
    <w:p w14:paraId="60828AB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14:paraId="2F56B14B">
      <w:pPr>
        <w:pStyle w:val="67"/>
        <w:ind w:firstLine="118"/>
        <w:rPr>
          <w:rFonts w:ascii="宋体" w:eastAsia="宋体"/>
          <w:color w:val="000000" w:themeColor="text1"/>
          <w:szCs w:val="24"/>
          <w:highlight w:val="none"/>
          <w14:textFill>
            <w14:solidFill>
              <w14:schemeClr w14:val="tx1"/>
            </w14:solidFill>
          </w14:textFill>
        </w:rPr>
      </w:pPr>
      <w:bookmarkStart w:id="971" w:name="_Toc386467149"/>
      <w:bookmarkEnd w:id="971"/>
      <w:bookmarkStart w:id="972" w:name="_Toc393546403"/>
      <w:bookmarkEnd w:id="972"/>
      <w:bookmarkStart w:id="973" w:name="_Toc43475877"/>
      <w:bookmarkEnd w:id="973"/>
      <w:r>
        <w:rPr>
          <w:rFonts w:hint="eastAsia" w:ascii="宋体" w:eastAsia="宋体"/>
          <w:color w:val="000000" w:themeColor="text1"/>
          <w:szCs w:val="24"/>
          <w:highlight w:val="none"/>
          <w14:textFill>
            <w14:solidFill>
              <w14:schemeClr w14:val="tx1"/>
            </w14:solidFill>
          </w14:textFill>
        </w:rPr>
        <w:t>19.5 承包人的进入权</w:t>
      </w:r>
    </w:p>
    <w:p w14:paraId="292D6C2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缺陷责任期内承包人为缺陷修复工作需要，有权进入工程现场，但应遵守发包人的保安和保密规定。</w:t>
      </w:r>
    </w:p>
    <w:p w14:paraId="7ABA2161">
      <w:pPr>
        <w:pStyle w:val="67"/>
        <w:ind w:firstLine="118"/>
        <w:rPr>
          <w:rFonts w:ascii="宋体" w:eastAsia="宋体"/>
          <w:color w:val="000000" w:themeColor="text1"/>
          <w:szCs w:val="24"/>
          <w:highlight w:val="none"/>
          <w14:textFill>
            <w14:solidFill>
              <w14:schemeClr w14:val="tx1"/>
            </w14:solidFill>
          </w14:textFill>
        </w:rPr>
      </w:pPr>
      <w:bookmarkStart w:id="974" w:name="_Toc393546404"/>
      <w:bookmarkEnd w:id="974"/>
      <w:bookmarkStart w:id="975" w:name="_Toc386467150"/>
      <w:bookmarkEnd w:id="975"/>
      <w:bookmarkStart w:id="976" w:name="_Toc330406345"/>
      <w:bookmarkEnd w:id="976"/>
      <w:bookmarkStart w:id="977" w:name="_Toc144974711"/>
      <w:bookmarkEnd w:id="977"/>
      <w:bookmarkStart w:id="978" w:name="_Toc152042519"/>
      <w:bookmarkEnd w:id="978"/>
      <w:bookmarkStart w:id="979" w:name="_Toc152045740"/>
      <w:bookmarkEnd w:id="979"/>
      <w:bookmarkStart w:id="980" w:name="_Toc179632758"/>
      <w:bookmarkEnd w:id="980"/>
      <w:bookmarkStart w:id="981" w:name="_Toc43475878"/>
      <w:bookmarkEnd w:id="981"/>
      <w:r>
        <w:rPr>
          <w:rFonts w:hint="eastAsia" w:ascii="宋体" w:eastAsia="宋体"/>
          <w:color w:val="000000" w:themeColor="text1"/>
          <w:szCs w:val="24"/>
          <w:highlight w:val="none"/>
          <w14:textFill>
            <w14:solidFill>
              <w14:schemeClr w14:val="tx1"/>
            </w14:solidFill>
          </w14:textFill>
        </w:rPr>
        <w:t>19.6 缺陷责任期终止证书</w:t>
      </w:r>
    </w:p>
    <w:p w14:paraId="2CBF50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在第1.1.4.5目约定的缺陷责任期，包括根据第19.3款延长的期限终止后14天内，由监理人向承包人出具经发包人签认的缺陷责任期终止证书，并退还剩余的质量保证金。</w:t>
      </w:r>
    </w:p>
    <w:p w14:paraId="25759C4F">
      <w:pPr>
        <w:pStyle w:val="67"/>
        <w:ind w:firstLine="118"/>
        <w:rPr>
          <w:rFonts w:ascii="宋体" w:eastAsia="宋体"/>
          <w:color w:val="000000" w:themeColor="text1"/>
          <w:szCs w:val="24"/>
          <w:highlight w:val="none"/>
          <w14:textFill>
            <w14:solidFill>
              <w14:schemeClr w14:val="tx1"/>
            </w14:solidFill>
          </w14:textFill>
        </w:rPr>
      </w:pPr>
      <w:bookmarkStart w:id="982" w:name="_Toc386467151"/>
      <w:bookmarkEnd w:id="982"/>
      <w:bookmarkStart w:id="983" w:name="_Toc43475879"/>
      <w:bookmarkEnd w:id="983"/>
      <w:bookmarkStart w:id="984" w:name="_Toc393546405"/>
      <w:bookmarkEnd w:id="984"/>
      <w:r>
        <w:rPr>
          <w:rFonts w:hint="eastAsia" w:ascii="宋体" w:eastAsia="宋体"/>
          <w:color w:val="000000" w:themeColor="text1"/>
          <w:szCs w:val="24"/>
          <w:highlight w:val="none"/>
          <w14:textFill>
            <w14:solidFill>
              <w14:schemeClr w14:val="tx1"/>
            </w14:solidFill>
          </w14:textFill>
        </w:rPr>
        <w:t>19.7 保修责任</w:t>
      </w:r>
    </w:p>
    <w:p w14:paraId="12EFFA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7713D770">
      <w:pPr>
        <w:pStyle w:val="78"/>
        <w:rPr>
          <w:rFonts w:ascii="宋体" w:hAnsi="宋体"/>
          <w:color w:val="000000" w:themeColor="text1"/>
          <w:sz w:val="24"/>
          <w:szCs w:val="24"/>
          <w:highlight w:val="none"/>
          <w14:textFill>
            <w14:solidFill>
              <w14:schemeClr w14:val="tx1"/>
            </w14:solidFill>
          </w14:textFill>
        </w:rPr>
      </w:pPr>
      <w:bookmarkStart w:id="985" w:name="_Toc393546406"/>
      <w:bookmarkEnd w:id="985"/>
      <w:bookmarkStart w:id="986" w:name="_Toc386467152"/>
      <w:bookmarkEnd w:id="986"/>
      <w:bookmarkStart w:id="987" w:name="_Toc43475880"/>
      <w:bookmarkEnd w:id="987"/>
      <w:r>
        <w:rPr>
          <w:rFonts w:hint="eastAsia" w:ascii="宋体" w:hAnsi="宋体"/>
          <w:color w:val="000000" w:themeColor="text1"/>
          <w:sz w:val="24"/>
          <w:szCs w:val="24"/>
          <w:highlight w:val="none"/>
          <w14:textFill>
            <w14:solidFill>
              <w14:schemeClr w14:val="tx1"/>
            </w14:solidFill>
          </w14:textFill>
        </w:rPr>
        <w:t>20. 保险</w:t>
      </w:r>
    </w:p>
    <w:p w14:paraId="6211C04F">
      <w:pPr>
        <w:pStyle w:val="67"/>
        <w:ind w:firstLine="118"/>
        <w:rPr>
          <w:rFonts w:ascii="宋体" w:eastAsia="宋体"/>
          <w:color w:val="000000" w:themeColor="text1"/>
          <w:szCs w:val="24"/>
          <w:highlight w:val="none"/>
          <w14:textFill>
            <w14:solidFill>
              <w14:schemeClr w14:val="tx1"/>
            </w14:solidFill>
          </w14:textFill>
        </w:rPr>
      </w:pPr>
      <w:bookmarkStart w:id="988" w:name="_Toc43475881"/>
      <w:bookmarkEnd w:id="988"/>
      <w:bookmarkStart w:id="989" w:name="_Toc386467153"/>
      <w:bookmarkEnd w:id="989"/>
      <w:bookmarkStart w:id="990" w:name="_Toc393546407"/>
      <w:bookmarkEnd w:id="990"/>
      <w:r>
        <w:rPr>
          <w:rFonts w:hint="eastAsia" w:ascii="宋体" w:eastAsia="宋体"/>
          <w:color w:val="000000" w:themeColor="text1"/>
          <w:szCs w:val="24"/>
          <w:highlight w:val="none"/>
          <w14:textFill>
            <w14:solidFill>
              <w14:schemeClr w14:val="tx1"/>
            </w14:solidFill>
          </w14:textFill>
        </w:rPr>
        <w:t>20.1 工程保险</w:t>
      </w:r>
    </w:p>
    <w:p w14:paraId="5618BCB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3304C8">
      <w:pPr>
        <w:pStyle w:val="67"/>
        <w:ind w:firstLine="118"/>
        <w:rPr>
          <w:rFonts w:ascii="宋体" w:eastAsia="宋体"/>
          <w:color w:val="000000" w:themeColor="text1"/>
          <w:szCs w:val="24"/>
          <w:highlight w:val="none"/>
          <w14:textFill>
            <w14:solidFill>
              <w14:schemeClr w14:val="tx1"/>
            </w14:solidFill>
          </w14:textFill>
        </w:rPr>
      </w:pPr>
      <w:bookmarkStart w:id="991" w:name="_Toc386467154"/>
      <w:bookmarkEnd w:id="991"/>
      <w:bookmarkStart w:id="992" w:name="_Toc144974715"/>
      <w:bookmarkEnd w:id="992"/>
      <w:bookmarkStart w:id="993" w:name="_Toc330406349"/>
      <w:bookmarkEnd w:id="993"/>
      <w:bookmarkStart w:id="994" w:name="_Toc152042523"/>
      <w:bookmarkEnd w:id="994"/>
      <w:bookmarkStart w:id="995" w:name="_Toc152045744"/>
      <w:bookmarkEnd w:id="995"/>
      <w:bookmarkStart w:id="996" w:name="_Toc179632762"/>
      <w:bookmarkEnd w:id="996"/>
      <w:bookmarkStart w:id="997" w:name="_Toc43475882"/>
      <w:bookmarkEnd w:id="997"/>
      <w:bookmarkStart w:id="998" w:name="_Toc393546408"/>
      <w:bookmarkEnd w:id="998"/>
      <w:r>
        <w:rPr>
          <w:rFonts w:hint="eastAsia" w:ascii="宋体" w:eastAsia="宋体"/>
          <w:color w:val="000000" w:themeColor="text1"/>
          <w:szCs w:val="24"/>
          <w:highlight w:val="none"/>
          <w14:textFill>
            <w14:solidFill>
              <w14:schemeClr w14:val="tx1"/>
            </w14:solidFill>
          </w14:textFill>
        </w:rPr>
        <w:t>20.2 人员工伤事故的保险</w:t>
      </w:r>
    </w:p>
    <w:p w14:paraId="5829E2AD">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14:paraId="016A0414">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承包人应依照有关法律规定参加工伤保险，为其履行合同所雇佣的全部人员，缴纳工伤保险费，并要求其分包人也进行此项保险。</w:t>
      </w:r>
    </w:p>
    <w:p w14:paraId="081A8D4E">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 发包人员工伤事故的保险</w:t>
      </w:r>
    </w:p>
    <w:p w14:paraId="549EFF74">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发包人应依照有关法律规定参加工伤保险，为其现场机构雇佣的全部人员，缴纳工伤保险费，并要求其监理人也进行此项保险。</w:t>
      </w:r>
    </w:p>
    <w:p w14:paraId="50A83959">
      <w:pPr>
        <w:pStyle w:val="67"/>
        <w:ind w:firstLine="118"/>
        <w:rPr>
          <w:rFonts w:ascii="宋体" w:eastAsia="宋体"/>
          <w:color w:val="000000" w:themeColor="text1"/>
          <w:szCs w:val="24"/>
          <w:highlight w:val="none"/>
          <w14:textFill>
            <w14:solidFill>
              <w14:schemeClr w14:val="tx1"/>
            </w14:solidFill>
          </w14:textFill>
        </w:rPr>
      </w:pPr>
      <w:bookmarkStart w:id="999" w:name="_Toc152042524"/>
      <w:bookmarkEnd w:id="999"/>
      <w:bookmarkStart w:id="1000" w:name="_Toc152045745"/>
      <w:bookmarkEnd w:id="1000"/>
      <w:bookmarkStart w:id="1001" w:name="_Toc144974716"/>
      <w:bookmarkEnd w:id="1001"/>
      <w:bookmarkStart w:id="1002" w:name="_Toc43475883"/>
      <w:bookmarkEnd w:id="1002"/>
      <w:bookmarkStart w:id="1003" w:name="_Toc330406350"/>
      <w:bookmarkEnd w:id="1003"/>
      <w:bookmarkStart w:id="1004" w:name="_Toc179632763"/>
      <w:bookmarkEnd w:id="1004"/>
      <w:bookmarkStart w:id="1005" w:name="_Toc393546409"/>
      <w:bookmarkEnd w:id="1005"/>
      <w:bookmarkStart w:id="1006" w:name="_Toc386467155"/>
      <w:bookmarkEnd w:id="1006"/>
      <w:r>
        <w:rPr>
          <w:rFonts w:hint="eastAsia" w:ascii="宋体" w:eastAsia="宋体"/>
          <w:color w:val="000000" w:themeColor="text1"/>
          <w:szCs w:val="24"/>
          <w:highlight w:val="none"/>
          <w14:textFill>
            <w14:solidFill>
              <w14:schemeClr w14:val="tx1"/>
            </w14:solidFill>
          </w14:textFill>
        </w:rPr>
        <w:t>20.3 人身意外伤害险</w:t>
      </w:r>
    </w:p>
    <w:p w14:paraId="6088CE17">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发包人应在整个施工期间为其现场机构雇用的全部人员，投保人身意外伤害险，缴纳保险费，并要求其监理人也进行此项保险。</w:t>
      </w:r>
    </w:p>
    <w:p w14:paraId="339B3CC6">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承包人应在整个施工期间为其现场机构雇用的全部人员，投保人身意外伤害险，缴纳保险费，并要求其分包人也进行此项保险。</w:t>
      </w:r>
    </w:p>
    <w:p w14:paraId="0BD58E6C">
      <w:pPr>
        <w:pStyle w:val="67"/>
        <w:ind w:firstLine="118"/>
        <w:rPr>
          <w:rFonts w:ascii="宋体" w:eastAsia="宋体"/>
          <w:color w:val="000000" w:themeColor="text1"/>
          <w:szCs w:val="24"/>
          <w:highlight w:val="none"/>
          <w14:textFill>
            <w14:solidFill>
              <w14:schemeClr w14:val="tx1"/>
            </w14:solidFill>
          </w14:textFill>
        </w:rPr>
      </w:pPr>
      <w:bookmarkStart w:id="1007" w:name="_Toc393546410"/>
      <w:bookmarkEnd w:id="1007"/>
      <w:bookmarkStart w:id="1008" w:name="_Toc43475884"/>
      <w:bookmarkEnd w:id="1008"/>
      <w:bookmarkStart w:id="1009" w:name="_Toc386467156"/>
      <w:bookmarkEnd w:id="1009"/>
      <w:r>
        <w:rPr>
          <w:rFonts w:hint="eastAsia" w:ascii="宋体" w:eastAsia="宋体"/>
          <w:color w:val="000000" w:themeColor="text1"/>
          <w:szCs w:val="24"/>
          <w:highlight w:val="none"/>
          <w14:textFill>
            <w14:solidFill>
              <w14:schemeClr w14:val="tx1"/>
            </w14:solidFill>
          </w14:textFill>
        </w:rPr>
        <w:t>20.4 第三者责任险</w:t>
      </w:r>
    </w:p>
    <w:p w14:paraId="24E03F0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D403FE5">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20.4.2 在缺陷责任期终止证书颁发前，承包人应以承包人和发包人的共同名义，投保第20.4.1项约定的第三者责任险，其保险费率、保险金额等有关内容在专用合同条款中约定。</w:t>
      </w:r>
    </w:p>
    <w:p w14:paraId="06DE2F12">
      <w:pPr>
        <w:pStyle w:val="67"/>
        <w:ind w:firstLine="118"/>
        <w:rPr>
          <w:rFonts w:ascii="宋体" w:eastAsia="宋体"/>
          <w:color w:val="000000" w:themeColor="text1"/>
          <w:szCs w:val="24"/>
          <w:highlight w:val="none"/>
          <w14:textFill>
            <w14:solidFill>
              <w14:schemeClr w14:val="tx1"/>
            </w14:solidFill>
          </w14:textFill>
        </w:rPr>
      </w:pPr>
      <w:bookmarkStart w:id="1010" w:name="_Toc393546411"/>
      <w:bookmarkEnd w:id="1010"/>
      <w:bookmarkStart w:id="1011" w:name="_Toc386467157"/>
      <w:bookmarkEnd w:id="1011"/>
      <w:bookmarkStart w:id="1012" w:name="_Toc43475885"/>
      <w:bookmarkEnd w:id="1012"/>
      <w:r>
        <w:rPr>
          <w:rFonts w:hint="eastAsia" w:ascii="宋体" w:eastAsia="宋体"/>
          <w:color w:val="000000" w:themeColor="text1"/>
          <w:szCs w:val="24"/>
          <w:highlight w:val="none"/>
          <w14:textFill>
            <w14:solidFill>
              <w14:schemeClr w14:val="tx1"/>
            </w14:solidFill>
          </w14:textFill>
        </w:rPr>
        <w:t>20.5 其他保险</w:t>
      </w:r>
    </w:p>
    <w:p w14:paraId="009D9F18">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除专用合同条款另有约定外，承包人应为其施工设备、进场的材料和工程设备等办理保险。</w:t>
      </w:r>
    </w:p>
    <w:p w14:paraId="3ED79B11">
      <w:pPr>
        <w:pStyle w:val="67"/>
        <w:ind w:firstLine="118"/>
        <w:rPr>
          <w:rFonts w:ascii="宋体" w:eastAsia="宋体"/>
          <w:color w:val="000000" w:themeColor="text1"/>
          <w:szCs w:val="24"/>
          <w:highlight w:val="none"/>
          <w14:textFill>
            <w14:solidFill>
              <w14:schemeClr w14:val="tx1"/>
            </w14:solidFill>
          </w14:textFill>
        </w:rPr>
      </w:pPr>
      <w:bookmarkStart w:id="1013" w:name="_Toc393546412"/>
      <w:bookmarkEnd w:id="1013"/>
      <w:bookmarkStart w:id="1014" w:name="_Toc386467158"/>
      <w:bookmarkEnd w:id="1014"/>
      <w:bookmarkStart w:id="1015" w:name="_Toc43475886"/>
      <w:bookmarkEnd w:id="1015"/>
      <w:r>
        <w:rPr>
          <w:rFonts w:hint="eastAsia" w:ascii="宋体" w:eastAsia="宋体"/>
          <w:color w:val="000000" w:themeColor="text1"/>
          <w:szCs w:val="24"/>
          <w:highlight w:val="none"/>
          <w14:textFill>
            <w14:solidFill>
              <w14:schemeClr w14:val="tx1"/>
            </w14:solidFill>
          </w14:textFill>
        </w:rPr>
        <w:t>20.6 对各项保险的一般要求</w:t>
      </w:r>
    </w:p>
    <w:p w14:paraId="514E0DD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20.6.1 保险凭证</w:t>
      </w:r>
    </w:p>
    <w:p w14:paraId="3F929255">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承包人应在专用合同条款约定的期限内向发包人提交各项保险生效的证据和保险单副本，保险单必须与专用合同条款约定的条件保持一致。</w:t>
      </w:r>
    </w:p>
    <w:p w14:paraId="08704566">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20.6.2 保险合同条款的变动</w:t>
      </w:r>
    </w:p>
    <w:p w14:paraId="17868E0C">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14:paraId="244C08EF">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20.6.3 持续保险</w:t>
      </w:r>
    </w:p>
    <w:p w14:paraId="02108C48">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承包人应与保险人保持联系，使保险人能够随时了解工程实施中的变动，并确保按保险合同条款要求持续保险。</w:t>
      </w:r>
    </w:p>
    <w:p w14:paraId="69EC631C">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20.6.4 保险金不足的补偿</w:t>
      </w:r>
    </w:p>
    <w:p w14:paraId="4624493E">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保险金不足以补偿损失的，应由承包人和（或）发包人按合同约定负责补偿。</w:t>
      </w:r>
    </w:p>
    <w:p w14:paraId="79175F04">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20.6.5 未按约定投保的补救</w:t>
      </w:r>
    </w:p>
    <w:p w14:paraId="44E35AEC">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（1）由于负有投保义务的一方当事人未按合同约定办理保险，或未能使保险持续有效的，另一方当事人可代为办理，所需费用由对方当事人承担。</w:t>
      </w:r>
    </w:p>
    <w:p w14:paraId="5C0E80D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（2）由于负有投保义务的一方当事人未按合同约定办理某项保险，导致受益人未能得到保险人的赔偿，原应从该项保险得到的保险金应由负有投保义务的一方当事人支付。</w:t>
      </w:r>
    </w:p>
    <w:p w14:paraId="0F302B7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20.6.6 报告义务</w:t>
      </w:r>
    </w:p>
    <w:p w14:paraId="429F39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当保险事故发生时，投保人应按照保险单规定的条件和期限及时向保险人报告。</w:t>
      </w:r>
    </w:p>
    <w:p w14:paraId="33F54AFF">
      <w:pPr>
        <w:pStyle w:val="78"/>
        <w:rPr>
          <w:rFonts w:ascii="宋体" w:hAnsi="宋体"/>
          <w:color w:val="000000" w:themeColor="text1"/>
          <w:sz w:val="24"/>
          <w:szCs w:val="24"/>
          <w:highlight w:val="none"/>
          <w14:textFill>
            <w14:solidFill>
              <w14:schemeClr w14:val="tx1"/>
            </w14:solidFill>
          </w14:textFill>
        </w:rPr>
      </w:pPr>
      <w:bookmarkStart w:id="1016" w:name="_Toc393546413"/>
      <w:bookmarkEnd w:id="1016"/>
      <w:bookmarkStart w:id="1017" w:name="_Toc43475887"/>
      <w:bookmarkEnd w:id="1017"/>
      <w:bookmarkStart w:id="1018" w:name="_Toc386467159"/>
      <w:bookmarkEnd w:id="1018"/>
      <w:r>
        <w:rPr>
          <w:rFonts w:hint="eastAsia" w:ascii="宋体" w:hAnsi="宋体"/>
          <w:color w:val="000000" w:themeColor="text1"/>
          <w:sz w:val="24"/>
          <w:szCs w:val="24"/>
          <w:highlight w:val="none"/>
          <w14:textFill>
            <w14:solidFill>
              <w14:schemeClr w14:val="tx1"/>
            </w14:solidFill>
          </w14:textFill>
        </w:rPr>
        <w:t>21. 不可抗力</w:t>
      </w:r>
    </w:p>
    <w:p w14:paraId="258C800B">
      <w:pPr>
        <w:pStyle w:val="67"/>
        <w:ind w:firstLine="118"/>
        <w:rPr>
          <w:rFonts w:ascii="宋体" w:eastAsia="宋体"/>
          <w:color w:val="000000" w:themeColor="text1"/>
          <w:szCs w:val="24"/>
          <w:highlight w:val="none"/>
          <w14:textFill>
            <w14:solidFill>
              <w14:schemeClr w14:val="tx1"/>
            </w14:solidFill>
          </w14:textFill>
        </w:rPr>
      </w:pPr>
      <w:bookmarkStart w:id="1019" w:name="_Toc393546414"/>
      <w:bookmarkEnd w:id="1019"/>
      <w:bookmarkStart w:id="1020" w:name="_Toc386467160"/>
      <w:bookmarkEnd w:id="1020"/>
      <w:bookmarkStart w:id="1021" w:name="_Toc43475888"/>
      <w:bookmarkEnd w:id="1021"/>
      <w:r>
        <w:rPr>
          <w:rFonts w:hint="eastAsia" w:ascii="宋体" w:eastAsia="宋体"/>
          <w:color w:val="000000" w:themeColor="text1"/>
          <w:szCs w:val="24"/>
          <w:highlight w:val="none"/>
          <w14:textFill>
            <w14:solidFill>
              <w14:schemeClr w14:val="tx1"/>
            </w14:solidFill>
          </w14:textFill>
        </w:rPr>
        <w:t>21.1 不可抗力的确认</w:t>
      </w:r>
    </w:p>
    <w:p w14:paraId="2150AC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42CD45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36F7E7FE">
      <w:pPr>
        <w:pStyle w:val="67"/>
        <w:ind w:firstLine="118"/>
        <w:rPr>
          <w:rFonts w:ascii="宋体" w:eastAsia="宋体"/>
          <w:color w:val="000000" w:themeColor="text1"/>
          <w:szCs w:val="24"/>
          <w:highlight w:val="none"/>
          <w14:textFill>
            <w14:solidFill>
              <w14:schemeClr w14:val="tx1"/>
            </w14:solidFill>
          </w14:textFill>
        </w:rPr>
      </w:pPr>
      <w:bookmarkStart w:id="1022" w:name="_Toc144974722"/>
      <w:bookmarkEnd w:id="1022"/>
      <w:bookmarkStart w:id="1023" w:name="_Toc152042530"/>
      <w:bookmarkEnd w:id="1023"/>
      <w:bookmarkStart w:id="1024" w:name="_Toc152045751"/>
      <w:bookmarkEnd w:id="1024"/>
      <w:bookmarkStart w:id="1025" w:name="_Toc386467161"/>
      <w:bookmarkEnd w:id="1025"/>
      <w:bookmarkStart w:id="1026" w:name="_Toc393546415"/>
      <w:bookmarkEnd w:id="1026"/>
      <w:bookmarkStart w:id="1027" w:name="_Toc43475889"/>
      <w:bookmarkEnd w:id="1027"/>
      <w:bookmarkStart w:id="1028" w:name="_Toc330406356"/>
      <w:bookmarkEnd w:id="1028"/>
      <w:bookmarkStart w:id="1029" w:name="_Toc179632769"/>
      <w:bookmarkEnd w:id="1029"/>
      <w:r>
        <w:rPr>
          <w:rFonts w:hint="eastAsia" w:ascii="宋体" w:eastAsia="宋体"/>
          <w:color w:val="000000" w:themeColor="text1"/>
          <w:szCs w:val="24"/>
          <w:highlight w:val="none"/>
          <w14:textFill>
            <w14:solidFill>
              <w14:schemeClr w14:val="tx1"/>
            </w14:solidFill>
          </w14:textFill>
        </w:rPr>
        <w:t>21.2 不可抗力的通知</w:t>
      </w:r>
    </w:p>
    <w:p w14:paraId="2D8A71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 合同一方当事人遇到不可抗力事件，使其履行合同义务受到阻碍时，应立即通知合同另一方当事人和监理人，书面说明不可抗力和受阻碍的详细情况，并提供必要的证明。</w:t>
      </w:r>
    </w:p>
    <w:p w14:paraId="084DA24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如不可抗力持续发生，合同一方当事人应及时向合同另一方当事人和监理人提交中间报告，说明不可抗力和履行合同受阻的情况，并于不可抗力事件结束后28天内提交最终报告及有关资料。</w:t>
      </w:r>
    </w:p>
    <w:p w14:paraId="2E64C3D7">
      <w:pPr>
        <w:pStyle w:val="67"/>
        <w:ind w:firstLine="118"/>
        <w:rPr>
          <w:rFonts w:ascii="宋体" w:eastAsia="宋体"/>
          <w:color w:val="000000" w:themeColor="text1"/>
          <w:szCs w:val="24"/>
          <w:highlight w:val="none"/>
          <w14:textFill>
            <w14:solidFill>
              <w14:schemeClr w14:val="tx1"/>
            </w14:solidFill>
          </w14:textFill>
        </w:rPr>
      </w:pPr>
      <w:bookmarkStart w:id="1030" w:name="_Toc43475890"/>
      <w:bookmarkEnd w:id="1030"/>
      <w:bookmarkStart w:id="1031" w:name="_Toc386467162"/>
      <w:bookmarkEnd w:id="1031"/>
      <w:bookmarkStart w:id="1032" w:name="_Toc393546416"/>
      <w:bookmarkEnd w:id="1032"/>
      <w:r>
        <w:rPr>
          <w:rFonts w:hint="eastAsia" w:ascii="宋体" w:eastAsia="宋体"/>
          <w:color w:val="000000" w:themeColor="text1"/>
          <w:szCs w:val="24"/>
          <w:highlight w:val="none"/>
          <w14:textFill>
            <w14:solidFill>
              <w14:schemeClr w14:val="tx1"/>
            </w14:solidFill>
          </w14:textFill>
        </w:rPr>
        <w:t>21.3 不可抗力后果及其处理</w:t>
      </w:r>
    </w:p>
    <w:p w14:paraId="6179ADF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14:paraId="47BE03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除专用合同条款另有约定外，不可抗力导致的人员伤亡、财产损失、费用增加和（或）工期延误等后果，由合同双方按以下原则承担：</w:t>
      </w:r>
    </w:p>
    <w:p w14:paraId="36A2FB3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（1）永久工程，包括已运至施工场地的材料和工程设备的损害，以及因工程损害造成的第三者人员伤亡和财产损失由发包人承担；</w:t>
      </w:r>
    </w:p>
    <w:p w14:paraId="78E8A71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（2）承包人设备的损坏由承包人承担；</w:t>
      </w:r>
    </w:p>
    <w:p w14:paraId="5912B9F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（3）发包人和承包人各自承担其人员伤亡和其他财产损失及其相关费用；</w:t>
      </w:r>
    </w:p>
    <w:p w14:paraId="7E396C6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（4）承包人的停工损失由承包人承担，但停工期间应监理人要求照管工程和清理、修复工程的金额由发包人承担；</w:t>
      </w:r>
    </w:p>
    <w:p w14:paraId="080A218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（5）不能按期竣工的，应合理延长工期，承包人不需支付逾期竣工违约金。发包人要求赶工的，承包人应采取赶工措施，赶工费用由发包人承担。</w:t>
      </w:r>
    </w:p>
    <w:p w14:paraId="7939FE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 延迟履行期间发生的不可抗力</w:t>
      </w:r>
    </w:p>
    <w:p w14:paraId="6E1AFBD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合同一方当事人延迟履行，在延迟履行期间发生不可抗力的，不免除其责任。</w:t>
      </w:r>
    </w:p>
    <w:p w14:paraId="01AAD7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 避免和减少不可抗力损失</w:t>
      </w:r>
    </w:p>
    <w:p w14:paraId="7EB222B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14:paraId="39EBEFE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 因不可抗力解除合同</w:t>
      </w:r>
    </w:p>
    <w:p w14:paraId="55ABDA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62DF7578">
      <w:pPr>
        <w:pStyle w:val="78"/>
        <w:rPr>
          <w:rFonts w:ascii="宋体" w:hAnsi="宋体"/>
          <w:color w:val="000000" w:themeColor="text1"/>
          <w:sz w:val="24"/>
          <w:szCs w:val="24"/>
          <w:highlight w:val="none"/>
          <w14:textFill>
            <w14:solidFill>
              <w14:schemeClr w14:val="tx1"/>
            </w14:solidFill>
          </w14:textFill>
        </w:rPr>
      </w:pPr>
      <w:bookmarkStart w:id="1033" w:name="_Toc393546417"/>
      <w:bookmarkEnd w:id="1033"/>
      <w:bookmarkStart w:id="1034" w:name="_Toc43475891"/>
      <w:bookmarkEnd w:id="1034"/>
      <w:bookmarkStart w:id="1035" w:name="_Toc386467163"/>
      <w:bookmarkEnd w:id="1035"/>
      <w:r>
        <w:rPr>
          <w:rFonts w:hint="eastAsia" w:ascii="宋体" w:hAnsi="宋体"/>
          <w:color w:val="000000" w:themeColor="text1"/>
          <w:sz w:val="24"/>
          <w:szCs w:val="24"/>
          <w:highlight w:val="none"/>
          <w14:textFill>
            <w14:solidFill>
              <w14:schemeClr w14:val="tx1"/>
            </w14:solidFill>
          </w14:textFill>
        </w:rPr>
        <w:t>22. 违约</w:t>
      </w:r>
    </w:p>
    <w:p w14:paraId="2C433875">
      <w:pPr>
        <w:pStyle w:val="67"/>
        <w:ind w:firstLine="118"/>
        <w:rPr>
          <w:rFonts w:ascii="宋体" w:eastAsia="宋体"/>
          <w:color w:val="000000" w:themeColor="text1"/>
          <w:szCs w:val="24"/>
          <w:highlight w:val="none"/>
          <w14:textFill>
            <w14:solidFill>
              <w14:schemeClr w14:val="tx1"/>
            </w14:solidFill>
          </w14:textFill>
        </w:rPr>
      </w:pPr>
      <w:bookmarkStart w:id="1036" w:name="_Toc386467164"/>
      <w:bookmarkEnd w:id="1036"/>
      <w:bookmarkStart w:id="1037" w:name="_Toc43475892"/>
      <w:bookmarkEnd w:id="1037"/>
      <w:bookmarkStart w:id="1038" w:name="_Toc393546418"/>
      <w:bookmarkEnd w:id="1038"/>
      <w:r>
        <w:rPr>
          <w:rFonts w:hint="eastAsia" w:ascii="宋体" w:eastAsia="宋体"/>
          <w:color w:val="000000" w:themeColor="text1"/>
          <w:szCs w:val="24"/>
          <w:highlight w:val="none"/>
          <w14:textFill>
            <w14:solidFill>
              <w14:schemeClr w14:val="tx1"/>
            </w14:solidFill>
          </w14:textFill>
        </w:rPr>
        <w:t>22.1 承包人违约</w:t>
      </w:r>
    </w:p>
    <w:p w14:paraId="3094A3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22.1.1 承包人违约的情形</w:t>
      </w:r>
    </w:p>
    <w:p w14:paraId="1640646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在履行合同过程中发生的下列情况属承包人违约：</w:t>
      </w:r>
    </w:p>
    <w:p w14:paraId="7BEC94F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（1）承包人违反第1.8款或第4.3款的约定，私自将合同的全部或部分权利转让给其他人，或私自将合同的全部或部分义务转移给其他人；</w:t>
      </w:r>
    </w:p>
    <w:p w14:paraId="5F78CE7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（2）承包人违反第5.3款或第6.4款的约定，未经监理人批准，私自将已按合同约定进入施工场地的施工设备、临时设施或材料撤离施工场地；</w:t>
      </w:r>
    </w:p>
    <w:p w14:paraId="26E4C5F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（3）承包人违反第5.4款的约定使用了不合格材料或工程设备，工程质量达不到标准要求，又拒绝清除不合格工程；</w:t>
      </w:r>
    </w:p>
    <w:p w14:paraId="3205B45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（4）承包人未能按合同进度计划及时完成合同约定的工作，已造成或预期造成工期延误；</w:t>
      </w:r>
    </w:p>
    <w:p w14:paraId="61532F8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（5）承包人在缺陷责任期内，未能对工程接收证书所列的缺陷清单的内容或缺陷责任期内发生的缺陷进行修复，而又拒绝按监理人指示再进行修补；</w:t>
      </w:r>
    </w:p>
    <w:p w14:paraId="687F0F3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（6）承包人无法继续履行或明确表示不履行或实质上已停止履行合同；</w:t>
      </w:r>
    </w:p>
    <w:p w14:paraId="128630F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（7）承包人不按合同约定履行义务的其他情况。</w:t>
      </w:r>
    </w:p>
    <w:p w14:paraId="12286FC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14:paraId="00AFA07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（1）承包人发生第22.1.1（6）目约定的违约情况时，发包人可通知承包人立即解除合同，并按有关法律处理。</w:t>
      </w:r>
    </w:p>
    <w:p w14:paraId="561D0FA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（2）承包人发生除第22.1.1（6）目约定以外的其他违约情况时，监理人可向承包人发出整改通知，要求其在指定的期限内改正。承包人应承担其违约所引起的费用增加和（或）工期延误。</w:t>
      </w:r>
    </w:p>
    <w:p w14:paraId="69A34E4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（3）经检查证明承包人已采取了有效措施纠正违约行为，具备复工条件的，可由监理人签发复工通知复工。</w:t>
      </w:r>
    </w:p>
    <w:p w14:paraId="560D35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22.1.3 承包人违约解除合同</w:t>
      </w:r>
    </w:p>
    <w:p w14:paraId="089C79A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2A7ED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22.1.4 合同解除后的估价、付款和结清</w:t>
      </w:r>
    </w:p>
    <w:p w14:paraId="0125C20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（1）合同解除后，监理人按第3.5款商定或确定承包人实际完成工作的价值，以及承包人已提供的材料、施工设备、工程设备和临时工程等的价值。 </w:t>
      </w:r>
    </w:p>
    <w:p w14:paraId="1F2B49B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（2）合同解除后，发包人应暂停对承包人的一切付款，查清各项付款和已扣款金额，包括承包人应支付的违约金。 </w:t>
      </w:r>
    </w:p>
    <w:p w14:paraId="76BA310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（3）合同解除后，发包人应按第23.4款的约定向承包人索赔由于解除合同给发包人造成的损失。</w:t>
      </w:r>
    </w:p>
    <w:p w14:paraId="797B2F3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（4）合同双方确认上述往来款项后，出具最终结清付款证书，结清全部合同款项。</w:t>
      </w:r>
    </w:p>
    <w:p w14:paraId="3C9CCB7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（5）发包人和承包人未能就解除合同后的结清达成一致而形成争议的，按第24条的约定办理。</w:t>
      </w:r>
    </w:p>
    <w:p w14:paraId="3F35E4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22.1.5 协议利益的转让</w:t>
      </w:r>
    </w:p>
    <w:p w14:paraId="3010E64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因承包人违约解除合同的，发包人有权要求承包人将其为实施合同而签订的材料和设备的订货协议或任何服务协议利益转让给发包人，并在解除合同后的14天内，依法办理转让手续。 </w:t>
      </w:r>
    </w:p>
    <w:p w14:paraId="4D7C4D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22.1.6 紧急情况下无能力或不愿进行抢救</w:t>
      </w:r>
    </w:p>
    <w:p w14:paraId="55D26EA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733F95F">
      <w:pPr>
        <w:pStyle w:val="67"/>
        <w:ind w:firstLine="118"/>
        <w:rPr>
          <w:rFonts w:ascii="宋体" w:eastAsia="宋体"/>
          <w:color w:val="000000" w:themeColor="text1"/>
          <w:szCs w:val="24"/>
          <w:highlight w:val="none"/>
          <w14:textFill>
            <w14:solidFill>
              <w14:schemeClr w14:val="tx1"/>
            </w14:solidFill>
          </w14:textFill>
        </w:rPr>
      </w:pPr>
      <w:bookmarkStart w:id="1039" w:name="_Toc393546419"/>
      <w:bookmarkEnd w:id="1039"/>
      <w:bookmarkStart w:id="1040" w:name="_Toc43475893"/>
      <w:bookmarkEnd w:id="1040"/>
      <w:bookmarkStart w:id="1041" w:name="_Toc386467165"/>
      <w:bookmarkEnd w:id="1041"/>
      <w:r>
        <w:rPr>
          <w:rFonts w:hint="eastAsia" w:ascii="宋体" w:eastAsia="宋体"/>
          <w:color w:val="000000" w:themeColor="text1"/>
          <w:szCs w:val="24"/>
          <w:highlight w:val="none"/>
          <w14:textFill>
            <w14:solidFill>
              <w14:schemeClr w14:val="tx1"/>
            </w14:solidFill>
          </w14:textFill>
        </w:rPr>
        <w:t>22.2 发包人违约</w:t>
      </w:r>
    </w:p>
    <w:p w14:paraId="1E6F2B4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发包人违约的情形</w:t>
      </w:r>
    </w:p>
    <w:p w14:paraId="08695DF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在履行合同过程中发生的下列情形，属发包人违约：</w:t>
      </w:r>
    </w:p>
    <w:p w14:paraId="45B5691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（1）发包人未能按合同约定支付预付款或合同价款，或拖延、拒绝批准付款申请和支付凭证，导致付款延误的；</w:t>
      </w:r>
    </w:p>
    <w:p w14:paraId="183FE2F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（2）发包人原因造成停工的；</w:t>
      </w:r>
    </w:p>
    <w:p w14:paraId="1135019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（3）监理人无正当理由没有在约定期限内发出复工指示，导致承包人无法复工的；</w:t>
      </w:r>
    </w:p>
    <w:p w14:paraId="163AC7C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（4）发包人无法继续履行或明确表示不履行或实质上已停止履行合同的；</w:t>
      </w:r>
    </w:p>
    <w:p w14:paraId="03223D3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（5）发包人不履行合同约定其他义务的。</w:t>
      </w:r>
    </w:p>
    <w:p w14:paraId="29EB1C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承包人有权暂停施工</w:t>
      </w:r>
    </w:p>
    <w:p w14:paraId="50AECF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4AAC0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22.2.3 发包人违约解除合同 </w:t>
      </w:r>
    </w:p>
    <w:p w14:paraId="1AD7E48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（1）发生第22.2.1（4）目的违约情况时，承包人可书面通知发包人解除合同。   </w:t>
      </w:r>
    </w:p>
    <w:p w14:paraId="15C8FE7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（2）承包人按22.2.2项暂停施工28天后，发包人仍不纠正违约行为的，承包人可向发包人发出解除合同通知。但承包人的这一行动不免除发包人承担的违约责任，也不影响承包人根据合同约定享有的索赔权利。</w:t>
      </w:r>
    </w:p>
    <w:p w14:paraId="43B3707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解除合同后的付款</w:t>
      </w:r>
    </w:p>
    <w:p w14:paraId="45AA96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因发包人违约解除合同的，发包人应在解除合同后28天内向承包人支付下列金额，承包人应在此期限内及时向发包人提交要求支付下列金额的有关资料和凭证：</w:t>
      </w:r>
    </w:p>
    <w:p w14:paraId="62FA26E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（1）合同解除日以前所完成工作的价款；</w:t>
      </w:r>
    </w:p>
    <w:p w14:paraId="0E12F32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（2）承包人为该工程施工订购并已付款的材料、工程设备和其他物品的金额。发包人付还后，该材料、工程设备和其他物品归发包人所有；</w:t>
      </w:r>
    </w:p>
    <w:p w14:paraId="6A796E4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（3）承包人为完成工程所发生的，而发包人未支付的金额；</w:t>
      </w:r>
    </w:p>
    <w:p w14:paraId="7F5E2A4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（4）承包人撤离施工场地以及遣散承包人人员的金额；</w:t>
      </w:r>
    </w:p>
    <w:p w14:paraId="4C73EB2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（5）由于解除合同应赔偿的承包人损失；</w:t>
      </w:r>
    </w:p>
    <w:p w14:paraId="0F42C0F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（6）按合同约定在合同解除日前应支付给承包人的其他金额。</w:t>
      </w:r>
    </w:p>
    <w:p w14:paraId="1582E3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发包人应按本项约定支付上述金额并退还质量保证金和履约担保，但有权要求承包人支付应偿还给发包人的各项金额。</w:t>
      </w:r>
    </w:p>
    <w:p w14:paraId="1DCEC4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22.2.5 解除合同后的承包人撤离</w:t>
      </w:r>
    </w:p>
    <w:p w14:paraId="45411D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6AC15425">
      <w:pPr>
        <w:pStyle w:val="67"/>
        <w:ind w:firstLine="118"/>
        <w:rPr>
          <w:rFonts w:ascii="宋体" w:eastAsia="宋体"/>
          <w:color w:val="000000" w:themeColor="text1"/>
          <w:szCs w:val="24"/>
          <w:highlight w:val="none"/>
          <w14:textFill>
            <w14:solidFill>
              <w14:schemeClr w14:val="tx1"/>
            </w14:solidFill>
          </w14:textFill>
        </w:rPr>
      </w:pPr>
      <w:bookmarkStart w:id="1042" w:name="_Toc330406361"/>
      <w:bookmarkEnd w:id="1042"/>
      <w:bookmarkStart w:id="1043" w:name="_Toc179632774"/>
      <w:bookmarkEnd w:id="1043"/>
      <w:bookmarkStart w:id="1044" w:name="_Toc393546420"/>
      <w:bookmarkEnd w:id="1044"/>
      <w:bookmarkStart w:id="1045" w:name="_Toc386467166"/>
      <w:bookmarkEnd w:id="1045"/>
      <w:bookmarkStart w:id="1046" w:name="_Toc152045756"/>
      <w:bookmarkEnd w:id="1046"/>
      <w:bookmarkStart w:id="1047" w:name="_Toc43475894"/>
      <w:bookmarkEnd w:id="1047"/>
      <w:bookmarkStart w:id="1048" w:name="_Toc152042535"/>
      <w:bookmarkEnd w:id="1048"/>
      <w:r>
        <w:rPr>
          <w:rFonts w:hint="eastAsia" w:ascii="宋体" w:eastAsia="宋体"/>
          <w:color w:val="000000" w:themeColor="text1"/>
          <w:szCs w:val="24"/>
          <w:highlight w:val="none"/>
          <w14:textFill>
            <w14:solidFill>
              <w14:schemeClr w14:val="tx1"/>
            </w14:solidFill>
          </w14:textFill>
        </w:rPr>
        <w:t>22.3 第三人造成的违约</w:t>
      </w:r>
    </w:p>
    <w:p w14:paraId="213A5BC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070D891D">
      <w:pPr>
        <w:pStyle w:val="78"/>
        <w:rPr>
          <w:rFonts w:ascii="宋体" w:hAnsi="宋体"/>
          <w:color w:val="000000" w:themeColor="text1"/>
          <w:sz w:val="24"/>
          <w:szCs w:val="24"/>
          <w:highlight w:val="none"/>
          <w14:textFill>
            <w14:solidFill>
              <w14:schemeClr w14:val="tx1"/>
            </w14:solidFill>
          </w14:textFill>
        </w:rPr>
      </w:pPr>
      <w:bookmarkStart w:id="1049" w:name="_Toc393546421"/>
      <w:bookmarkEnd w:id="1049"/>
      <w:bookmarkStart w:id="1050" w:name="_Toc43475895"/>
      <w:bookmarkEnd w:id="1050"/>
      <w:bookmarkStart w:id="1051" w:name="_Toc386467167"/>
      <w:bookmarkEnd w:id="1051"/>
      <w:r>
        <w:rPr>
          <w:rFonts w:hint="eastAsia" w:ascii="宋体" w:hAnsi="宋体"/>
          <w:color w:val="000000" w:themeColor="text1"/>
          <w:sz w:val="24"/>
          <w:szCs w:val="24"/>
          <w:highlight w:val="none"/>
          <w14:textFill>
            <w14:solidFill>
              <w14:schemeClr w14:val="tx1"/>
            </w14:solidFill>
          </w14:textFill>
        </w:rPr>
        <w:t>23. 索赔</w:t>
      </w:r>
    </w:p>
    <w:p w14:paraId="4A3E0523">
      <w:pPr>
        <w:pStyle w:val="67"/>
        <w:ind w:firstLine="118"/>
        <w:rPr>
          <w:rFonts w:ascii="宋体" w:eastAsia="宋体"/>
          <w:color w:val="000000" w:themeColor="text1"/>
          <w:szCs w:val="24"/>
          <w:highlight w:val="none"/>
          <w14:textFill>
            <w14:solidFill>
              <w14:schemeClr w14:val="tx1"/>
            </w14:solidFill>
          </w14:textFill>
        </w:rPr>
      </w:pPr>
      <w:bookmarkStart w:id="1052" w:name="_Toc43475896"/>
      <w:bookmarkEnd w:id="1052"/>
      <w:bookmarkStart w:id="1053" w:name="_Toc393546422"/>
      <w:bookmarkEnd w:id="1053"/>
      <w:bookmarkStart w:id="1054" w:name="_Toc386467168"/>
      <w:bookmarkEnd w:id="1054"/>
      <w:r>
        <w:rPr>
          <w:rFonts w:hint="eastAsia" w:ascii="宋体" w:eastAsia="宋体"/>
          <w:color w:val="000000" w:themeColor="text1"/>
          <w:szCs w:val="24"/>
          <w:highlight w:val="none"/>
          <w14:textFill>
            <w14:solidFill>
              <w14:schemeClr w14:val="tx1"/>
            </w14:solidFill>
          </w14:textFill>
        </w:rPr>
        <w:t>23.1 承包人索赔的提出</w:t>
      </w:r>
    </w:p>
    <w:p w14:paraId="24638B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根据合同约定，承包人认为有权得到追加付款和（或）延长工期的，应按以下程序向发包人提出索赔：</w:t>
      </w:r>
    </w:p>
    <w:p w14:paraId="42A1FD4D">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E082DF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（2）承包人应在发出索赔意向通知书后28天内，向监理人正式递交索赔通知书。索赔通知书应详细说明索赔理由以及要求追加的付款金额和（或）延长的工期，并附必要的记录和证明材料；</w:t>
      </w:r>
    </w:p>
    <w:p w14:paraId="1AB11D1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（3）索赔事件具有连续影响的，承包人应按合理时间间隔继续递交延续索赔通知，说明连续影响的实际情况和记录，列出累计的追加付款金额和（或）工期延长天数；</w:t>
      </w:r>
    </w:p>
    <w:p w14:paraId="408A118C">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（4）在索赔事件影响结束后的28天内，承包人应向监理人递交最终索赔通知书，说明最终要求索赔的追加付款金额和延长的工期，并附必要的记录和证明材料。</w:t>
      </w:r>
    </w:p>
    <w:p w14:paraId="3DD5D0C7">
      <w:pPr>
        <w:pStyle w:val="67"/>
        <w:ind w:firstLine="118"/>
        <w:rPr>
          <w:rFonts w:ascii="宋体" w:eastAsia="宋体"/>
          <w:color w:val="000000" w:themeColor="text1"/>
          <w:szCs w:val="24"/>
          <w:highlight w:val="none"/>
          <w14:textFill>
            <w14:solidFill>
              <w14:schemeClr w14:val="tx1"/>
            </w14:solidFill>
          </w14:textFill>
        </w:rPr>
      </w:pPr>
      <w:bookmarkStart w:id="1055" w:name="_Toc393546423"/>
      <w:bookmarkEnd w:id="1055"/>
      <w:bookmarkStart w:id="1056" w:name="_Toc386467169"/>
      <w:bookmarkEnd w:id="1056"/>
      <w:bookmarkStart w:id="1057" w:name="_Toc43475897"/>
      <w:bookmarkEnd w:id="1057"/>
      <w:r>
        <w:rPr>
          <w:rFonts w:hint="eastAsia" w:ascii="宋体" w:eastAsia="宋体"/>
          <w:color w:val="000000" w:themeColor="text1"/>
          <w:szCs w:val="24"/>
          <w:highlight w:val="none"/>
          <w14:textFill>
            <w14:solidFill>
              <w14:schemeClr w14:val="tx1"/>
            </w14:solidFill>
          </w14:textFill>
        </w:rPr>
        <w:t>23.2 承包人索赔处理程序</w:t>
      </w:r>
    </w:p>
    <w:p w14:paraId="46D49F63">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（1）监理人收到承包人提交的索赔通知书后，应及时审查索赔通知书的内容、查验承包人的记录和证明材料，必要时监理人可要求承包人提交全部原始记录副本。</w:t>
      </w:r>
    </w:p>
    <w:p w14:paraId="78FC1FAA">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（2）监理人应按第3.5款商定或确定追加的付款和（或）延长的工期，并在收到上述索赔通知书或有关索赔的进一步证明材料后的42天内，将索赔处理结果答复承包人。</w:t>
      </w:r>
    </w:p>
    <w:p w14:paraId="614CB604">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（3）承包人接受索赔处理结果的，发包人应在作出索赔处理结果答复后28天内完成赔付。承包人不接受索赔处理结果的，按第24条的约定办理。</w:t>
      </w:r>
    </w:p>
    <w:p w14:paraId="10AEC40D">
      <w:pPr>
        <w:pStyle w:val="67"/>
        <w:ind w:firstLine="118"/>
        <w:rPr>
          <w:rFonts w:ascii="宋体" w:eastAsia="宋体"/>
          <w:color w:val="000000" w:themeColor="text1"/>
          <w:szCs w:val="24"/>
          <w:highlight w:val="none"/>
          <w14:textFill>
            <w14:solidFill>
              <w14:schemeClr w14:val="tx1"/>
            </w14:solidFill>
          </w14:textFill>
        </w:rPr>
      </w:pPr>
      <w:bookmarkStart w:id="1058" w:name="_Toc386467170"/>
      <w:bookmarkEnd w:id="1058"/>
      <w:bookmarkStart w:id="1059" w:name="_Toc144974730"/>
      <w:bookmarkEnd w:id="1059"/>
      <w:bookmarkStart w:id="1060" w:name="_Toc152042539"/>
      <w:bookmarkEnd w:id="1060"/>
      <w:bookmarkStart w:id="1061" w:name="_Toc152045760"/>
      <w:bookmarkEnd w:id="1061"/>
      <w:bookmarkStart w:id="1062" w:name="_Toc330406365"/>
      <w:bookmarkEnd w:id="1062"/>
      <w:bookmarkStart w:id="1063" w:name="_Toc179632778"/>
      <w:bookmarkEnd w:id="1063"/>
      <w:bookmarkStart w:id="1064" w:name="_Toc393546424"/>
      <w:bookmarkEnd w:id="1064"/>
      <w:bookmarkStart w:id="1065" w:name="_Toc43475898"/>
      <w:bookmarkEnd w:id="1065"/>
      <w:r>
        <w:rPr>
          <w:rFonts w:hint="eastAsia" w:ascii="宋体" w:eastAsia="宋体"/>
          <w:color w:val="000000" w:themeColor="text1"/>
          <w:szCs w:val="24"/>
          <w:highlight w:val="none"/>
          <w14:textFill>
            <w14:solidFill>
              <w14:schemeClr w14:val="tx1"/>
            </w14:solidFill>
          </w14:textFill>
        </w:rPr>
        <w:t>23.3 承包人提出索赔的期限</w:t>
      </w:r>
    </w:p>
    <w:p w14:paraId="6477B9A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23.3.1 承包人按第17.5款的约定接受了竣工付款证书后，应被认为已无权再提出在合同工程接收证书颁发前所发生的任何索赔。</w:t>
      </w:r>
    </w:p>
    <w:p w14:paraId="36FD4E00">
      <w:pPr>
        <w:spacing w:line="38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23.3.2 承包人按第17.6款的约定提交的最终结清申请单中，只限于提出工程接收证书颁发后发生的索赔。提出索赔的期限自接受最终结清证书时终止。 </w:t>
      </w:r>
    </w:p>
    <w:p w14:paraId="17386C69">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66" w:name="_Toc386467171"/>
      <w:bookmarkEnd w:id="1066"/>
      <w:bookmarkStart w:id="1067" w:name="_Toc152045761"/>
      <w:bookmarkEnd w:id="1067"/>
      <w:bookmarkStart w:id="1068" w:name="_Toc393546425"/>
      <w:bookmarkEnd w:id="1068"/>
      <w:bookmarkStart w:id="1069" w:name="_Toc330406366"/>
      <w:bookmarkEnd w:id="1069"/>
      <w:bookmarkStart w:id="1070" w:name="_Toc144974731"/>
      <w:bookmarkEnd w:id="1070"/>
      <w:bookmarkStart w:id="1071" w:name="_Toc179632779"/>
      <w:bookmarkEnd w:id="1071"/>
      <w:bookmarkStart w:id="1072" w:name="_Toc152042540"/>
      <w:bookmarkEnd w:id="1072"/>
      <w:bookmarkStart w:id="1073" w:name="_Toc43475899"/>
      <w:bookmarkEnd w:id="1073"/>
      <w:r>
        <w:rPr>
          <w:rFonts w:hint="eastAsia" w:ascii="宋体" w:eastAsia="宋体"/>
          <w:color w:val="000000" w:themeColor="text1"/>
          <w:szCs w:val="24"/>
          <w:highlight w:val="none"/>
          <w14:textFill>
            <w14:solidFill>
              <w14:schemeClr w14:val="tx1"/>
            </w14:solidFill>
          </w14:textFill>
        </w:rPr>
        <w:t>23.4 发包人的索赔</w:t>
      </w:r>
    </w:p>
    <w:p w14:paraId="0BB0D2E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285C81F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4FF83496">
      <w:pPr>
        <w:pStyle w:val="78"/>
        <w:spacing w:line="380" w:lineRule="exact"/>
        <w:rPr>
          <w:rFonts w:ascii="宋体" w:hAnsi="宋体"/>
          <w:color w:val="000000" w:themeColor="text1"/>
          <w:sz w:val="24"/>
          <w:szCs w:val="24"/>
          <w:highlight w:val="none"/>
          <w14:textFill>
            <w14:solidFill>
              <w14:schemeClr w14:val="tx1"/>
            </w14:solidFill>
          </w14:textFill>
        </w:rPr>
      </w:pPr>
      <w:bookmarkStart w:id="1074" w:name="_Toc386467172"/>
      <w:bookmarkEnd w:id="1074"/>
      <w:bookmarkStart w:id="1075" w:name="_Toc43475900"/>
      <w:bookmarkEnd w:id="1075"/>
      <w:bookmarkStart w:id="1076" w:name="_Toc393546426"/>
      <w:bookmarkEnd w:id="1076"/>
      <w:r>
        <w:rPr>
          <w:rFonts w:hint="eastAsia" w:ascii="宋体" w:hAnsi="宋体"/>
          <w:color w:val="000000" w:themeColor="text1"/>
          <w:sz w:val="24"/>
          <w:szCs w:val="24"/>
          <w:highlight w:val="none"/>
          <w14:textFill>
            <w14:solidFill>
              <w14:schemeClr w14:val="tx1"/>
            </w14:solidFill>
          </w14:textFill>
        </w:rPr>
        <w:t>24. 争议的解决</w:t>
      </w:r>
    </w:p>
    <w:p w14:paraId="1C57728E">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77" w:name="_Toc393546427"/>
      <w:bookmarkEnd w:id="1077"/>
      <w:bookmarkStart w:id="1078" w:name="_Toc179632781"/>
      <w:bookmarkEnd w:id="1078"/>
      <w:bookmarkStart w:id="1079" w:name="_Toc43475901"/>
      <w:bookmarkEnd w:id="1079"/>
      <w:bookmarkStart w:id="1080" w:name="_Toc144974733"/>
      <w:bookmarkEnd w:id="1080"/>
      <w:bookmarkStart w:id="1081" w:name="_Toc393546429"/>
      <w:bookmarkEnd w:id="1081"/>
      <w:bookmarkStart w:id="1082" w:name="_Toc330406368"/>
      <w:bookmarkEnd w:id="1082"/>
      <w:bookmarkStart w:id="1083" w:name="_Toc43475903"/>
      <w:bookmarkEnd w:id="1083"/>
      <w:bookmarkStart w:id="1084" w:name="_Toc152045763"/>
      <w:bookmarkEnd w:id="1084"/>
      <w:bookmarkStart w:id="1085" w:name="_Toc386467175"/>
      <w:bookmarkEnd w:id="1085"/>
      <w:bookmarkStart w:id="1086" w:name="_Toc152042542"/>
      <w:bookmarkEnd w:id="1086"/>
      <w:bookmarkStart w:id="1087" w:name="_Toc386467173"/>
      <w:bookmarkEnd w:id="1087"/>
      <w:r>
        <w:rPr>
          <w:rFonts w:hint="eastAsia" w:ascii="宋体" w:eastAsia="宋体"/>
          <w:color w:val="000000" w:themeColor="text1"/>
          <w:szCs w:val="24"/>
          <w:highlight w:val="none"/>
          <w14:textFill>
            <w14:solidFill>
              <w14:schemeClr w14:val="tx1"/>
            </w14:solidFill>
          </w14:textFill>
        </w:rPr>
        <w:t>24.324.1 争议的解决方式</w:t>
      </w:r>
    </w:p>
    <w:p w14:paraId="576714F5">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79AD2E89">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（1）向约定的仲裁委员会申请仲裁；</w:t>
      </w:r>
    </w:p>
    <w:p w14:paraId="0388F989">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（2）向有管辖权的人民法院提起诉讼。</w:t>
      </w:r>
    </w:p>
    <w:p w14:paraId="353D4FB2">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88" w:name="_Toc152045764"/>
      <w:bookmarkEnd w:id="1088"/>
      <w:bookmarkStart w:id="1089" w:name="_Toc43475902"/>
      <w:bookmarkEnd w:id="1089"/>
      <w:bookmarkStart w:id="1090" w:name="_Toc144974734"/>
      <w:bookmarkEnd w:id="1090"/>
      <w:bookmarkStart w:id="1091" w:name="_Toc152042543"/>
      <w:bookmarkEnd w:id="1091"/>
      <w:bookmarkStart w:id="1092" w:name="_Toc179632782"/>
      <w:bookmarkEnd w:id="1092"/>
      <w:bookmarkStart w:id="1093" w:name="_Toc393546428"/>
      <w:bookmarkEnd w:id="1093"/>
      <w:bookmarkStart w:id="1094" w:name="_Toc386467174"/>
      <w:bookmarkEnd w:id="1094"/>
      <w:bookmarkStart w:id="1095" w:name="_Toc330406369"/>
      <w:bookmarkEnd w:id="1095"/>
      <w:r>
        <w:rPr>
          <w:rFonts w:hint="eastAsia" w:ascii="宋体" w:eastAsia="宋体"/>
          <w:color w:val="000000" w:themeColor="text1"/>
          <w:szCs w:val="24"/>
          <w:highlight w:val="none"/>
          <w14:textFill>
            <w14:solidFill>
              <w14:schemeClr w14:val="tx1"/>
            </w14:solidFill>
          </w14:textFill>
        </w:rPr>
        <w:t>24.2 友好解决</w:t>
      </w:r>
    </w:p>
    <w:p w14:paraId="3CA6AD7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在提请争议评审、仲裁或者诉讼前，以及在争议评审、仲裁或诉讼过程中，发包人和承包人均可共同努力友好协商解决争议。</w:t>
      </w:r>
    </w:p>
    <w:p w14:paraId="13B49BA7">
      <w:pPr>
        <w:pStyle w:val="67"/>
        <w:spacing w:line="380" w:lineRule="exact"/>
        <w:ind w:firstLine="118"/>
        <w:rPr>
          <w:rFonts w:ascii="宋体" w:eastAsia="宋体"/>
          <w:color w:val="000000" w:themeColor="text1"/>
          <w:szCs w:val="24"/>
          <w:highlight w:val="none"/>
          <w14:textFill>
            <w14:solidFill>
              <w14:schemeClr w14:val="tx1"/>
            </w14:solidFill>
          </w14:textFill>
        </w:rPr>
      </w:pPr>
      <w:r>
        <w:rPr>
          <w:rFonts w:hint="eastAsia" w:ascii="宋体" w:eastAsia="宋体"/>
          <w:color w:val="000000" w:themeColor="text1"/>
          <w:szCs w:val="24"/>
          <w:highlight w:val="none"/>
          <w14:textFill>
            <w14:solidFill>
              <w14:schemeClr w14:val="tx1"/>
            </w14:solidFill>
          </w14:textFill>
        </w:rPr>
        <w:t>24.3 争议评审</w:t>
      </w:r>
    </w:p>
    <w:p w14:paraId="5046453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24.3.1 采用争议评审的，发包人和承包人应在开工日后的28天内或在争议发生后，协商成立争议评审组。争议评审组由有合同管理和工程实践经验的专家组成。</w:t>
      </w:r>
    </w:p>
    <w:p w14:paraId="3BC0187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24.3.2 合同双方的争议，应首先由申请人向争议评审组提交一份详细的评审申请报告，并附必要的文件、图纸和证明材料，申请人还应将上述报告的副本同时提交给被申请人和监理人。</w:t>
      </w:r>
    </w:p>
    <w:p w14:paraId="4B96C28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24.3.3 被申请人在收到申请人评审申请报告副本后的28天内，向争议评审组提交一份答辩报告，并附证明材料。被申请人应将答辩报告的副本同时提交给申请人和监理人。</w:t>
      </w:r>
    </w:p>
    <w:p w14:paraId="06D1CE63">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24.3.4 除专用合同条款另有约定外，争议评审组在收到合同双方报告后的14天内，邀请双方代表和有关人员举行调查会，向双方调查争议细节；必要时争议评审组可要求双方进一步提供补充材料。</w:t>
      </w:r>
    </w:p>
    <w:p w14:paraId="236C8D4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9F5DAD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24.3.6 发包人和承包人接受评审意见的，由监理人根据评审意见拟定执行协议，经争议双方签字后作为合同的补充文件，并遵照执行。</w:t>
      </w:r>
    </w:p>
    <w:p w14:paraId="1530F0C3">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23D573D9">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26693F5">
      <w:pPr>
        <w:pStyle w:val="5"/>
        <w:jc w:val="center"/>
        <w:rPr>
          <w:rFonts w:ascii="宋体" w:hAnsi="宋体" w:eastAsia="宋体" w:cs="宋体"/>
          <w:color w:val="000000" w:themeColor="text1"/>
          <w:highlight w:val="none"/>
          <w14:textFill>
            <w14:solidFill>
              <w14:schemeClr w14:val="tx1"/>
            </w14:solidFill>
          </w14:textFill>
        </w:rPr>
      </w:pPr>
      <w:bookmarkStart w:id="1096" w:name="_Toc184635122"/>
      <w:bookmarkStart w:id="1097" w:name="_Toc426012248"/>
      <w:bookmarkStart w:id="1098" w:name="_Toc11537"/>
      <w:bookmarkStart w:id="1099" w:name="_Toc247514197"/>
      <w:bookmarkStart w:id="1100" w:name="_Toc247527798"/>
    </w:p>
    <w:p w14:paraId="0865094F">
      <w:pPr>
        <w:pStyle w:val="5"/>
        <w:jc w:val="center"/>
        <w:rPr>
          <w:rFonts w:ascii="宋体" w:hAnsi="宋体" w:eastAsia="宋体" w:cs="宋体"/>
          <w:color w:val="000000" w:themeColor="text1"/>
          <w:highlight w:val="none"/>
          <w14:textFill>
            <w14:solidFill>
              <w14:schemeClr w14:val="tx1"/>
            </w14:solidFill>
          </w14:textFill>
        </w:rPr>
      </w:pPr>
    </w:p>
    <w:p w14:paraId="26440BA7">
      <w:pPr>
        <w:pStyle w:val="5"/>
        <w:jc w:val="center"/>
        <w:rPr>
          <w:rFonts w:ascii="宋体" w:hAnsi="宋体" w:eastAsia="宋体" w:cs="宋体"/>
          <w:color w:val="000000" w:themeColor="text1"/>
          <w:highlight w:val="none"/>
          <w14:textFill>
            <w14:solidFill>
              <w14:schemeClr w14:val="tx1"/>
            </w14:solidFill>
          </w14:textFill>
        </w:rPr>
      </w:pPr>
    </w:p>
    <w:p w14:paraId="36BFBC7D">
      <w:pPr>
        <w:pStyle w:val="5"/>
        <w:jc w:val="center"/>
        <w:rPr>
          <w:rFonts w:ascii="宋体" w:hAnsi="宋体" w:eastAsia="宋体" w:cs="宋体"/>
          <w:color w:val="000000" w:themeColor="text1"/>
          <w:highlight w:val="none"/>
          <w14:textFill>
            <w14:solidFill>
              <w14:schemeClr w14:val="tx1"/>
            </w14:solidFill>
          </w14:textFill>
        </w:rPr>
      </w:pPr>
    </w:p>
    <w:bookmarkEnd w:id="1096"/>
    <w:bookmarkEnd w:id="1097"/>
    <w:bookmarkEnd w:id="1098"/>
    <w:bookmarkEnd w:id="1099"/>
    <w:bookmarkEnd w:id="1100"/>
    <w:p w14:paraId="39A9C544">
      <w:pPr>
        <w:pStyle w:val="5"/>
        <w:jc w:val="center"/>
        <w:rPr>
          <w:rFonts w:ascii="宋体" w:hAnsi="宋体" w:eastAsia="宋体" w:cs="宋体"/>
          <w:color w:val="000000" w:themeColor="text1"/>
          <w:highlight w:val="none"/>
          <w14:textFill>
            <w14:solidFill>
              <w14:schemeClr w14:val="tx1"/>
            </w14:solidFill>
          </w14:textFill>
        </w:rPr>
      </w:pPr>
      <w:bookmarkStart w:id="1101" w:name="_Toc43475904"/>
      <w:bookmarkEnd w:id="1101"/>
      <w:r>
        <w:rPr>
          <w:rFonts w:hint="eastAsia" w:ascii="宋体" w:hAnsi="宋体" w:eastAsia="宋体" w:cs="宋体"/>
          <w:color w:val="000000" w:themeColor="text1"/>
          <w:highlight w:val="none"/>
          <w14:textFill>
            <w14:solidFill>
              <w14:schemeClr w14:val="tx1"/>
            </w14:solidFill>
          </w14:textFill>
        </w:rPr>
        <w:t>第二节 专用合同条款</w:t>
      </w:r>
    </w:p>
    <w:p w14:paraId="47FA0CAB">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包括：</w:t>
      </w:r>
    </w:p>
    <w:p w14:paraId="36BBDB45">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A  公路工程专用合同条款详见«公路工程标准施工招标文件»</w:t>
      </w:r>
    </w:p>
    <w:p w14:paraId="209DC11E">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（2018 版）的第四章第二节</w:t>
      </w:r>
    </w:p>
    <w:p w14:paraId="01D6345B">
      <w:pPr>
        <w:pStyle w:val="55"/>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B  项目专用合同条款     </w:t>
      </w:r>
    </w:p>
    <w:p w14:paraId="04F3A8D8">
      <w:pPr>
        <w:pStyle w:val="5"/>
        <w:spacing w:after="120" w:line="240" w:lineRule="auto"/>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br w:type="page"/>
      </w:r>
    </w:p>
    <w:p w14:paraId="4AF63D26">
      <w:pPr>
        <w:ind w:left="420"/>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A.公路工程专用合同条款</w:t>
      </w:r>
    </w:p>
    <w:p w14:paraId="2ACD37DD">
      <w:pPr>
        <w:rPr>
          <w:rFonts w:ascii="宋体" w:hAnsi="宋体" w:cs="宋体"/>
          <w:color w:val="000000" w:themeColor="text1"/>
          <w:highlight w:val="none"/>
          <w14:textFill>
            <w14:solidFill>
              <w14:schemeClr w14:val="tx1"/>
            </w14:solidFill>
          </w14:textFill>
        </w:rPr>
      </w:pPr>
    </w:p>
    <w:p w14:paraId="39E20CA6">
      <w:pPr>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14:paraId="512183BB">
      <w:pPr>
        <w:rPr>
          <w:rFonts w:ascii="宋体" w:hAnsi="宋体" w:cs="宋体"/>
          <w:color w:val="000000" w:themeColor="text1"/>
          <w:highlight w:val="none"/>
          <w14:textFill>
            <w14:solidFill>
              <w14:schemeClr w14:val="tx1"/>
            </w14:solidFill>
          </w14:textFill>
        </w:rPr>
      </w:pPr>
    </w:p>
    <w:p w14:paraId="7210FB45">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02" w:name="_Toc453057091"/>
      <w:bookmarkEnd w:id="1102"/>
      <w:bookmarkStart w:id="1103" w:name="_Toc330406372"/>
      <w:bookmarkEnd w:id="1103"/>
      <w:bookmarkStart w:id="1104" w:name="_Toc386467177"/>
      <w:bookmarkEnd w:id="1104"/>
      <w:bookmarkStart w:id="1105" w:name="_Toc451261281"/>
      <w:bookmarkEnd w:id="1105"/>
      <w:bookmarkStart w:id="1106" w:name="_Toc43475905"/>
      <w:bookmarkEnd w:id="1106"/>
      <w:bookmarkStart w:id="1107" w:name="_Toc393546431"/>
      <w:bookmarkEnd w:id="1107"/>
      <w:r>
        <w:rPr>
          <w:rFonts w:hint="eastAsia" w:ascii="宋体" w:hAnsi="宋体" w:cs="宋体"/>
          <w:color w:val="000000" w:themeColor="text1"/>
          <w:sz w:val="28"/>
          <w:szCs w:val="28"/>
          <w:highlight w:val="none"/>
          <w14:textFill>
            <w14:solidFill>
              <w14:schemeClr w14:val="tx1"/>
            </w14:solidFill>
          </w14:textFill>
        </w:rPr>
        <w:t>1.一般约定</w:t>
      </w:r>
    </w:p>
    <w:p w14:paraId="37DF580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08" w:name="_Toc451261282"/>
      <w:bookmarkEnd w:id="1108"/>
      <w:bookmarkStart w:id="1109" w:name="_Toc330406373"/>
      <w:bookmarkEnd w:id="1109"/>
      <w:bookmarkStart w:id="1110" w:name="_Toc393546432"/>
      <w:bookmarkEnd w:id="1110"/>
      <w:bookmarkStart w:id="1111" w:name="_Toc43475906"/>
      <w:bookmarkEnd w:id="1111"/>
      <w:bookmarkStart w:id="1112" w:name="_Toc453057092"/>
      <w:bookmarkEnd w:id="1112"/>
      <w:bookmarkStart w:id="1113" w:name="_Toc386467178"/>
      <w:bookmarkEnd w:id="1113"/>
      <w:r>
        <w:rPr>
          <w:rFonts w:hint="eastAsia" w:ascii="宋体" w:hAnsi="宋体" w:cs="宋体"/>
          <w:color w:val="000000" w:themeColor="text1"/>
          <w:sz w:val="24"/>
          <w:szCs w:val="24"/>
          <w:highlight w:val="none"/>
          <w14:textFill>
            <w14:solidFill>
              <w14:schemeClr w14:val="tx1"/>
            </w14:solidFill>
          </w14:textFill>
        </w:rPr>
        <w:t>1.1词语定义</w:t>
      </w:r>
    </w:p>
    <w:p w14:paraId="4FB68A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14:paraId="02EBA2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第1.1.1.6目细化为：</w:t>
      </w:r>
    </w:p>
    <w:p w14:paraId="715176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技术规范：指本合同所约定的技术标准和要求，是合同文件的组成部分。通用合同条款中“技术标准和要求”一词具有相同含义。</w:t>
      </w:r>
    </w:p>
    <w:p w14:paraId="7FCE4D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第1.1.1.8目细化为：</w:t>
      </w:r>
    </w:p>
    <w:p w14:paraId="33493D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己标价工程量清单：指构成合同文件组成部分的己标明价格、经算术性错误 修正及其他错误修正（如有）且承包人己确认的最终的工程量清单，包括工程量清单说明、投标报价说明、计日工说明、其他说明及工程量清单各项表格（工程量清 单表</w:t>
      </w: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zh-CN"/>
          <w14:textFill>
            <w14:solidFill>
              <w14:schemeClr w14:val="tx1"/>
            </w14:solidFill>
          </w14:textFill>
        </w:rPr>
        <w:t>〜表</w:t>
      </w:r>
      <w:r>
        <w:rPr>
          <w:rFonts w:hint="eastAsia" w:ascii="宋体" w:hAnsi="宋体" w:cs="宋体"/>
          <w:color w:val="000000" w:themeColor="text1"/>
          <w:sz w:val="24"/>
          <w:highlight w:val="none"/>
          <w14:textFill>
            <w14:solidFill>
              <w14:schemeClr w14:val="tx1"/>
            </w14:solidFill>
          </w14:textFill>
        </w:rPr>
        <w:t>5.5）。</w:t>
      </w:r>
    </w:p>
    <w:p w14:paraId="7F5EC22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本项补充第1.1.1.10目：</w:t>
      </w:r>
    </w:p>
    <w:p w14:paraId="5BBE74D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1.1.1.10补遗书：指发出招标文件之后由招标人向已取得招标文件的投标人发出的、编号的对招标文件所作的澄清、修改书。</w:t>
      </w:r>
    </w:p>
    <w:p w14:paraId="436AD6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1.1.2合同当事人和人员</w:t>
      </w:r>
    </w:p>
    <w:p w14:paraId="6BC7BC0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本项补充第1.1.2.8目：</w:t>
      </w:r>
    </w:p>
    <w:p w14:paraId="36BF77C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 承包人项目总工：指由承包人书面委派常驻现场负责管理本合同工程的总工程师或技术总负责人。</w:t>
      </w:r>
    </w:p>
    <w:p w14:paraId="24E05A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14:paraId="1FA664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第1.1.3.4目细化为：</w:t>
      </w:r>
    </w:p>
    <w:p w14:paraId="181035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单位工程：指在建设项目中，根据签订的合同，具有独立施工条件的工程。</w:t>
      </w:r>
    </w:p>
    <w:p w14:paraId="32A5468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1.1.3.10目细化为：</w:t>
      </w:r>
    </w:p>
    <w:p w14:paraId="0BA9B7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永久占地：指为实施本合同工程而需要的一切永久占用的土地，包括公路两侧路权范围内的用地。</w:t>
      </w:r>
    </w:p>
    <w:p w14:paraId="6A06E6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第1.1.3.11目细化为：</w:t>
      </w:r>
    </w:p>
    <w:p w14:paraId="7B57F1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14:paraId="5C4730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本项补充第1.1.3.12目、第1.1.3.13目：</w:t>
      </w:r>
    </w:p>
    <w:p w14:paraId="1B5E7B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1.1.3.12 分部工程：指在单位工程中，按结构部位、路段长度及施工特点或施工任务划分的若干个工程。</w:t>
      </w:r>
    </w:p>
    <w:p w14:paraId="26B172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1.1.3.13 分项工程：指在分部工程中，按不同的施工方法、材料、工序及路段长度等划分的若干个过程。</w:t>
      </w:r>
    </w:p>
    <w:p w14:paraId="25DAF985">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14:paraId="11C0E6DF">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本项补充第1.1.6.2目～1.1.6.9目：</w:t>
      </w:r>
    </w:p>
    <w:p w14:paraId="365D0D6E">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1.1.6.2 竣工验收：指《公路工程竣（交）工验收办法》中的竣工验收。通用合同条款中“国家验收”一词具有相同含义。</w:t>
      </w:r>
    </w:p>
    <w:p w14:paraId="1162EF11">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1.1.6.3 交工：指《公路工程竣（交）工验收办法》中的交工通用合同条款中“竣工”一词具有相同含义。</w:t>
      </w:r>
    </w:p>
    <w:p w14:paraId="7BAE8C11">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1.1.6.4 交工验收：指《公路工程竣（交）工验收办法》中的交工验收。通用合同条款中“竣工验收”一词具有相同含义。</w:t>
      </w:r>
    </w:p>
    <w:p w14:paraId="2B44C0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1.1.6.5 交工验收证书：指《公路工程竣（交）工验收办法》中的交工验收证书。通用合同条款中“工程接收证书”一词具有相同含义。</w:t>
      </w:r>
    </w:p>
    <w:p w14:paraId="76A269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1.1.6.6 转包：指承包人违反法律和不履行合同规定的责任和义务，将中标工程全部委托或以专业分包的名义将中标工程肢解后全部委托给其他施工企业施工的行为。</w:t>
      </w:r>
    </w:p>
    <w:p w14:paraId="1659CA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3B6335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1.1.6.8 劳务分包：指承包人与具有劳务分包资质的劳务企业签订劳务分包，由劳务企业提供劳务人员及机具，由承包人统一组织施工，统一控制工程质量、施工进度、材料采购、生产安全的施工行为。</w:t>
      </w:r>
    </w:p>
    <w:p w14:paraId="5263D0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1.1.6.9 雇佣民工：指承包人与具有相应劳动能力的自然人签订劳动合同，由承包人统一组织管理，从事分项工程施工或配套工程施工的行为。</w:t>
      </w:r>
    </w:p>
    <w:p w14:paraId="771075A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4" w:name="_Toc43475907"/>
      <w:bookmarkEnd w:id="1114"/>
      <w:bookmarkStart w:id="1115" w:name="_Toc386467179"/>
      <w:bookmarkEnd w:id="1115"/>
      <w:bookmarkStart w:id="1116" w:name="_Toc453057093"/>
      <w:bookmarkEnd w:id="1116"/>
      <w:bookmarkStart w:id="1117" w:name="_Toc451261283"/>
      <w:bookmarkEnd w:id="1117"/>
      <w:bookmarkStart w:id="1118" w:name="_Toc330406374"/>
      <w:bookmarkEnd w:id="1118"/>
      <w:bookmarkStart w:id="1119" w:name="_Toc393546433"/>
      <w:bookmarkEnd w:id="1119"/>
      <w:r>
        <w:rPr>
          <w:rFonts w:hint="eastAsia" w:ascii="宋体" w:hAnsi="宋体" w:cs="宋体"/>
          <w:color w:val="000000" w:themeColor="text1"/>
          <w:sz w:val="24"/>
          <w:szCs w:val="24"/>
          <w:highlight w:val="none"/>
          <w14:textFill>
            <w14:solidFill>
              <w14:schemeClr w14:val="tx1"/>
            </w14:solidFill>
          </w14:textFill>
        </w:rPr>
        <w:t>1.4合同文件的优先顺序</w:t>
      </w:r>
    </w:p>
    <w:p w14:paraId="661C42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6E3C1D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组成合同的各项文件应互相解释，互为说明。除项目专用合同条款另有约定外，解释合同文件的优先顺序如下：</w:t>
      </w:r>
    </w:p>
    <w:p w14:paraId="2F96A04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（1）合同协议书及各种合同附件（含评标期间和合同谈判过程中的澄清文件和补充资料）；</w:t>
      </w:r>
    </w:p>
    <w:p w14:paraId="13F0FD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14:paraId="195E55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14:paraId="0BCA21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（4）项目专用合同条款；</w:t>
      </w:r>
    </w:p>
    <w:p w14:paraId="3F88A6A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（5）公路工程专用合同条款；</w:t>
      </w:r>
    </w:p>
    <w:p w14:paraId="6B1693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14:paraId="134377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工程量清单计量规则</w:t>
      </w:r>
      <w:r>
        <w:rPr>
          <w:rFonts w:hint="eastAsia" w:ascii="宋体" w:hAnsi="宋体" w:cs="宋体"/>
          <w:color w:val="000000" w:themeColor="text1"/>
          <w:sz w:val="24"/>
          <w:highlight w:val="none"/>
          <w14:textFill>
            <w14:solidFill>
              <w14:schemeClr w14:val="tx1"/>
            </w14:solidFill>
          </w14:textFill>
        </w:rPr>
        <w:t>；</w:t>
      </w:r>
    </w:p>
    <w:p w14:paraId="76063DE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（8）技术规范；</w:t>
      </w:r>
    </w:p>
    <w:p w14:paraId="2565947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（9）图纸；</w:t>
      </w:r>
    </w:p>
    <w:p w14:paraId="1ABDE8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（10）已标价工程量清单；</w:t>
      </w:r>
    </w:p>
    <w:p w14:paraId="4B7736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（11）承包人有关人员、设备投入的承诺及投标文件中的施工组织设计；</w:t>
      </w:r>
    </w:p>
    <w:p w14:paraId="6FD4D6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（12）其他合同文件。</w:t>
      </w:r>
    </w:p>
    <w:p w14:paraId="157381A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20" w:name="_Toc386467180"/>
      <w:bookmarkEnd w:id="1120"/>
      <w:bookmarkStart w:id="1121" w:name="_Toc453057094"/>
      <w:bookmarkEnd w:id="1121"/>
      <w:bookmarkStart w:id="1122" w:name="_Toc330406375"/>
      <w:bookmarkEnd w:id="1122"/>
      <w:bookmarkStart w:id="1123" w:name="_Toc393546434"/>
      <w:bookmarkEnd w:id="1123"/>
      <w:bookmarkStart w:id="1124" w:name="_Toc451261284"/>
      <w:bookmarkEnd w:id="1124"/>
      <w:bookmarkStart w:id="1125" w:name="_Toc43475908"/>
      <w:bookmarkEnd w:id="1125"/>
      <w:r>
        <w:rPr>
          <w:rFonts w:hint="eastAsia" w:ascii="宋体" w:hAnsi="宋体" w:cs="宋体"/>
          <w:color w:val="000000" w:themeColor="text1"/>
          <w:sz w:val="24"/>
          <w:szCs w:val="24"/>
          <w:highlight w:val="none"/>
          <w14:textFill>
            <w14:solidFill>
              <w14:schemeClr w14:val="tx1"/>
            </w14:solidFill>
          </w14:textFill>
        </w:rPr>
        <w:t>1.5合同协议书</w:t>
      </w:r>
    </w:p>
    <w:p w14:paraId="5B1B878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03804B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制备本合同文件的费用由发包人承担。在合同协议书签订并生效之前，投标函和中标通知书将对双方具有约束力。</w:t>
      </w:r>
    </w:p>
    <w:p w14:paraId="7650C9A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26" w:name="_Toc43475909"/>
      <w:bookmarkEnd w:id="1126"/>
      <w:bookmarkStart w:id="1127" w:name="_Toc453057095"/>
      <w:bookmarkEnd w:id="1127"/>
      <w:bookmarkStart w:id="1128" w:name="_Toc386467181"/>
      <w:bookmarkEnd w:id="1128"/>
      <w:bookmarkStart w:id="1129" w:name="_Toc393546435"/>
      <w:bookmarkEnd w:id="1129"/>
      <w:bookmarkStart w:id="1130" w:name="_Toc451261285"/>
      <w:bookmarkEnd w:id="1130"/>
      <w:bookmarkStart w:id="1131" w:name="_Toc330406376"/>
      <w:bookmarkEnd w:id="1131"/>
      <w:r>
        <w:rPr>
          <w:rFonts w:hint="eastAsia" w:ascii="宋体" w:hAnsi="宋体" w:cs="宋体"/>
          <w:color w:val="000000" w:themeColor="text1"/>
          <w:sz w:val="24"/>
          <w:szCs w:val="24"/>
          <w:highlight w:val="none"/>
          <w14:textFill>
            <w14:solidFill>
              <w14:schemeClr w14:val="tx1"/>
            </w14:solidFill>
          </w14:textFill>
        </w:rPr>
        <w:t>1.6图纸和承包人文件</w:t>
      </w:r>
    </w:p>
    <w:p w14:paraId="7CCE9AE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0EDBC4A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34E0FBA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3712B94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1.6.2承包人提供的文件</w:t>
      </w:r>
    </w:p>
    <w:p w14:paraId="003D3D7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34256D6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14:paraId="644BE52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（1）为使第1.6.1项所述的施工图纸适合于经现场测量后的纵、横断面；</w:t>
      </w:r>
    </w:p>
    <w:p w14:paraId="49B74A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（2）为使第1.6.1项所述的施工图纸适合于现场具体地形；</w:t>
      </w:r>
    </w:p>
    <w:p w14:paraId="2257171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（3）为使第1.6.1项所述的施工图纸适合于因尺寸与位置变化而引起局部变更；</w:t>
      </w:r>
    </w:p>
    <w:p w14:paraId="589383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（4）由于合同要求与施工需要。</w:t>
      </w:r>
    </w:p>
    <w:p w14:paraId="079906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2467EC1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1.6.4图纸的错误</w:t>
      </w:r>
    </w:p>
    <w:p w14:paraId="795A7D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01A587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6B78AFA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32" w:name="_Toc453057096"/>
      <w:bookmarkEnd w:id="1132"/>
      <w:bookmarkStart w:id="1133" w:name="_Toc330406377"/>
      <w:bookmarkEnd w:id="1133"/>
      <w:bookmarkStart w:id="1134" w:name="_Toc393546436"/>
      <w:bookmarkEnd w:id="1134"/>
      <w:bookmarkStart w:id="1135" w:name="_Toc451261286"/>
      <w:bookmarkEnd w:id="1135"/>
      <w:bookmarkStart w:id="1136" w:name="_Toc386467182"/>
      <w:bookmarkEnd w:id="1136"/>
      <w:bookmarkStart w:id="1137" w:name="_Toc43475910"/>
      <w:bookmarkEnd w:id="1137"/>
      <w:r>
        <w:rPr>
          <w:rFonts w:hint="eastAsia" w:ascii="宋体" w:hAnsi="宋体" w:cs="宋体"/>
          <w:color w:val="000000" w:themeColor="text1"/>
          <w:sz w:val="24"/>
          <w:szCs w:val="24"/>
          <w:highlight w:val="none"/>
          <w14:textFill>
            <w14:solidFill>
              <w14:schemeClr w14:val="tx1"/>
            </w14:solidFill>
          </w14:textFill>
        </w:rPr>
        <w:t>1.9严禁贿赂</w:t>
      </w:r>
    </w:p>
    <w:p w14:paraId="40AD5F9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33168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37AA0E1F">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38" w:name="_Toc393546437"/>
      <w:bookmarkEnd w:id="1138"/>
      <w:bookmarkStart w:id="1139" w:name="_Toc43475911"/>
      <w:bookmarkEnd w:id="1139"/>
      <w:bookmarkStart w:id="1140" w:name="_Toc453057097"/>
      <w:bookmarkEnd w:id="1140"/>
      <w:bookmarkStart w:id="1141" w:name="_Toc330406378"/>
      <w:bookmarkEnd w:id="1141"/>
      <w:bookmarkStart w:id="1142" w:name="_Toc386467183"/>
      <w:bookmarkEnd w:id="1142"/>
      <w:bookmarkStart w:id="1143" w:name="_Toc451261287"/>
      <w:bookmarkEnd w:id="1143"/>
      <w:r>
        <w:rPr>
          <w:rFonts w:hint="eastAsia" w:ascii="宋体" w:hAnsi="宋体" w:cs="宋体"/>
          <w:color w:val="000000" w:themeColor="text1"/>
          <w:sz w:val="28"/>
          <w:szCs w:val="28"/>
          <w:highlight w:val="none"/>
          <w14:textFill>
            <w14:solidFill>
              <w14:schemeClr w14:val="tx1"/>
            </w14:solidFill>
          </w14:textFill>
        </w:rPr>
        <w:t>2.发包人义务</w:t>
      </w:r>
    </w:p>
    <w:p w14:paraId="03C0ACA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4" w:name="_Toc453057098"/>
      <w:bookmarkEnd w:id="1144"/>
      <w:bookmarkStart w:id="1145" w:name="_Toc330406379"/>
      <w:bookmarkEnd w:id="1145"/>
      <w:bookmarkStart w:id="1146" w:name="_Toc386467184"/>
      <w:bookmarkEnd w:id="1146"/>
      <w:bookmarkStart w:id="1147" w:name="_Toc43475912"/>
      <w:bookmarkEnd w:id="1147"/>
      <w:bookmarkStart w:id="1148" w:name="_Toc451261288"/>
      <w:bookmarkEnd w:id="1148"/>
      <w:bookmarkStart w:id="1149" w:name="_Toc393546438"/>
      <w:bookmarkEnd w:id="1149"/>
      <w:r>
        <w:rPr>
          <w:rFonts w:hint="eastAsia" w:ascii="宋体" w:hAnsi="宋体" w:cs="宋体"/>
          <w:color w:val="000000" w:themeColor="text1"/>
          <w:sz w:val="24"/>
          <w:szCs w:val="24"/>
          <w:highlight w:val="none"/>
          <w14:textFill>
            <w14:solidFill>
              <w14:schemeClr w14:val="tx1"/>
            </w14:solidFill>
          </w14:textFill>
        </w:rPr>
        <w:t>2.3提供施工场地</w:t>
      </w:r>
    </w:p>
    <w:p w14:paraId="3840FB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40D58EC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2A2BF6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6DA4EB67">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50" w:name="_Toc43475913"/>
      <w:bookmarkEnd w:id="1150"/>
      <w:bookmarkStart w:id="1151" w:name="_Toc453057099"/>
      <w:bookmarkEnd w:id="1151"/>
      <w:bookmarkStart w:id="1152" w:name="_Toc393546439"/>
      <w:bookmarkEnd w:id="1152"/>
      <w:bookmarkStart w:id="1153" w:name="_Toc386467185"/>
      <w:bookmarkEnd w:id="1153"/>
      <w:bookmarkStart w:id="1154" w:name="_Toc451261289"/>
      <w:bookmarkEnd w:id="1154"/>
      <w:bookmarkStart w:id="1155" w:name="_Toc330406380"/>
      <w:bookmarkEnd w:id="1155"/>
      <w:r>
        <w:rPr>
          <w:rFonts w:hint="eastAsia" w:ascii="宋体" w:hAnsi="宋体" w:cs="宋体"/>
          <w:color w:val="000000" w:themeColor="text1"/>
          <w:sz w:val="28"/>
          <w:szCs w:val="28"/>
          <w:highlight w:val="none"/>
          <w14:textFill>
            <w14:solidFill>
              <w14:schemeClr w14:val="tx1"/>
            </w14:solidFill>
          </w14:textFill>
        </w:rPr>
        <w:t>3.监理人</w:t>
      </w:r>
    </w:p>
    <w:p w14:paraId="5017C84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56" w:name="_Toc453057100"/>
      <w:bookmarkEnd w:id="1156"/>
      <w:bookmarkStart w:id="1157" w:name="_Toc451261290"/>
      <w:bookmarkEnd w:id="1157"/>
      <w:bookmarkStart w:id="1158" w:name="_Toc330406381"/>
      <w:bookmarkEnd w:id="1158"/>
      <w:bookmarkStart w:id="1159" w:name="_Toc386467186"/>
      <w:bookmarkEnd w:id="1159"/>
      <w:bookmarkStart w:id="1160" w:name="_Toc393546440"/>
      <w:bookmarkEnd w:id="1160"/>
      <w:bookmarkStart w:id="1161" w:name="_Toc43475914"/>
      <w:bookmarkEnd w:id="1161"/>
      <w:r>
        <w:rPr>
          <w:rFonts w:hint="eastAsia" w:ascii="宋体" w:hAnsi="宋体" w:cs="宋体"/>
          <w:color w:val="000000" w:themeColor="text1"/>
          <w:sz w:val="24"/>
          <w:szCs w:val="24"/>
          <w:highlight w:val="none"/>
          <w14:textFill>
            <w14:solidFill>
              <w14:schemeClr w14:val="tx1"/>
            </w14:solidFill>
          </w14:textFill>
        </w:rPr>
        <w:t>3.1监理人的职责和权力</w:t>
      </w:r>
    </w:p>
    <w:p w14:paraId="79795C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第3.1.1项补充：</w:t>
      </w:r>
    </w:p>
    <w:p w14:paraId="28FB6E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监理人在行使下列权力前需要经发包人事先批准：</w:t>
      </w:r>
    </w:p>
    <w:p w14:paraId="15CFDD6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（1）根据第4.3款，同意分包</w:t>
      </w:r>
      <w:r>
        <w:rPr>
          <w:rFonts w:hint="eastAsia" w:ascii="宋体" w:hAnsi="宋体" w:cs="宋体"/>
          <w:color w:val="000000" w:themeColor="text1"/>
          <w:highlight w:val="none"/>
          <w14:textFill>
            <w14:solidFill>
              <w14:schemeClr w14:val="tx1"/>
            </w14:solidFill>
          </w14:textFill>
        </w:rPr>
        <w:t>本工程的某些非关键性工作或者适合专业化队伍施工的专项工程</w:t>
      </w:r>
      <w:r>
        <w:rPr>
          <w:rFonts w:hint="eastAsia" w:ascii="宋体" w:hAnsi="宋体" w:cs="宋体"/>
          <w:color w:val="000000" w:themeColor="text1"/>
          <w:sz w:val="24"/>
          <w:highlight w:val="none"/>
          <w14:textFill>
            <w14:solidFill>
              <w14:schemeClr w14:val="tx1"/>
            </w14:solidFill>
          </w14:textFill>
        </w:rPr>
        <w:t>；</w:t>
      </w:r>
    </w:p>
    <w:p w14:paraId="547A9D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（2）确定第4.11款下产生的费用增加额；</w:t>
      </w:r>
    </w:p>
    <w:p w14:paraId="72218A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（3）根据第11.1款、第12.3款、第12.4款发布开工通知、暂停施工指示或复工通知；</w:t>
      </w:r>
    </w:p>
    <w:p w14:paraId="0FF622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（4）决定第11.3款、第11.4款下的工期延长；</w:t>
      </w:r>
    </w:p>
    <w:p w14:paraId="6C025A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（5）审查批准技术方案设计的变更；</w:t>
      </w:r>
    </w:p>
    <w:p w14:paraId="63C432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（6）根据第15.3款发出的变更指令，其单项工程变更或累计变更涉及的金额超过了项目专用合同条款数据表中规定的金额；</w:t>
      </w:r>
    </w:p>
    <w:p w14:paraId="58E5901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（7）确定第15.4款下变更工作的单价；</w:t>
      </w:r>
    </w:p>
    <w:p w14:paraId="0256E25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（8）按照第15.6款决定有关暂列金额的使用；</w:t>
      </w:r>
    </w:p>
    <w:p w14:paraId="3EC237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（9）确定第15.8款项下的暂估价金额；</w:t>
      </w:r>
    </w:p>
    <w:p w14:paraId="772817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（10）确定第23.1款项下的索赔额。</w:t>
      </w:r>
    </w:p>
    <w:p w14:paraId="02BBE98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58C2F7C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2" w:name="_Toc330406382"/>
      <w:bookmarkEnd w:id="1162"/>
      <w:bookmarkStart w:id="1163" w:name="_Toc43475915"/>
      <w:bookmarkEnd w:id="1163"/>
      <w:bookmarkStart w:id="1164" w:name="_Toc386467187"/>
      <w:bookmarkEnd w:id="1164"/>
      <w:bookmarkStart w:id="1165" w:name="_Toc393546441"/>
      <w:bookmarkEnd w:id="1165"/>
      <w:bookmarkStart w:id="1166" w:name="_Toc453057101"/>
      <w:bookmarkEnd w:id="1166"/>
      <w:bookmarkStart w:id="1167" w:name="_Toc451261291"/>
      <w:bookmarkEnd w:id="1167"/>
      <w:r>
        <w:rPr>
          <w:rFonts w:hint="eastAsia" w:ascii="宋体" w:hAnsi="宋体" w:cs="宋体"/>
          <w:color w:val="000000" w:themeColor="text1"/>
          <w:sz w:val="24"/>
          <w:szCs w:val="24"/>
          <w:highlight w:val="none"/>
          <w14:textFill>
            <w14:solidFill>
              <w14:schemeClr w14:val="tx1"/>
            </w14:solidFill>
          </w14:textFill>
        </w:rPr>
        <w:t>3.5商定或确定</w:t>
      </w:r>
    </w:p>
    <w:p w14:paraId="1E2BE3E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第3.5.1 项补充：</w:t>
      </w:r>
    </w:p>
    <w:p w14:paraId="212F9B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如果这项商定或确定导致费用增加和（或）工期延长，或者涉及确定变更工程的价格，则总监理工程师在发出通知前，应征得发包人的同意。</w:t>
      </w:r>
    </w:p>
    <w:p w14:paraId="3FC1581D">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68" w:name="_Toc386467188"/>
      <w:bookmarkEnd w:id="1168"/>
      <w:bookmarkStart w:id="1169" w:name="_Toc43475916"/>
      <w:bookmarkEnd w:id="1169"/>
      <w:bookmarkStart w:id="1170" w:name="_Toc453057102"/>
      <w:bookmarkEnd w:id="1170"/>
      <w:bookmarkStart w:id="1171" w:name="_Toc393546442"/>
      <w:bookmarkEnd w:id="1171"/>
      <w:bookmarkStart w:id="1172" w:name="_Toc330406383"/>
      <w:bookmarkEnd w:id="1172"/>
      <w:bookmarkStart w:id="1173" w:name="_Toc451261292"/>
      <w:bookmarkEnd w:id="1173"/>
      <w:r>
        <w:rPr>
          <w:rFonts w:hint="eastAsia" w:ascii="宋体" w:hAnsi="宋体" w:cs="宋体"/>
          <w:color w:val="000000" w:themeColor="text1"/>
          <w:sz w:val="28"/>
          <w:szCs w:val="28"/>
          <w:highlight w:val="none"/>
          <w14:textFill>
            <w14:solidFill>
              <w14:schemeClr w14:val="tx1"/>
            </w14:solidFill>
          </w14:textFill>
        </w:rPr>
        <w:t>4.承包人</w:t>
      </w:r>
    </w:p>
    <w:p w14:paraId="637FDA3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4" w:name="_Toc330406384"/>
      <w:bookmarkEnd w:id="1174"/>
      <w:bookmarkStart w:id="1175" w:name="_Toc393546443"/>
      <w:bookmarkEnd w:id="1175"/>
      <w:bookmarkStart w:id="1176" w:name="_Toc451261293"/>
      <w:bookmarkEnd w:id="1176"/>
      <w:bookmarkStart w:id="1177" w:name="_Toc453057103"/>
      <w:bookmarkEnd w:id="1177"/>
      <w:bookmarkStart w:id="1178" w:name="_Toc43475917"/>
      <w:bookmarkEnd w:id="1178"/>
      <w:bookmarkStart w:id="1179" w:name="_Toc386467189"/>
      <w:bookmarkEnd w:id="1179"/>
      <w:r>
        <w:rPr>
          <w:rFonts w:hint="eastAsia" w:ascii="宋体" w:hAnsi="宋体" w:cs="宋体"/>
          <w:color w:val="000000" w:themeColor="text1"/>
          <w:sz w:val="24"/>
          <w:szCs w:val="24"/>
          <w:highlight w:val="none"/>
          <w14:textFill>
            <w14:solidFill>
              <w14:schemeClr w14:val="tx1"/>
            </w14:solidFill>
          </w14:textFill>
        </w:rPr>
        <w:t>4.1承包工的一般义务</w:t>
      </w:r>
    </w:p>
    <w:p w14:paraId="6EE3DA2B">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4.1.9工程的维护和照管</w:t>
      </w:r>
    </w:p>
    <w:p w14:paraId="605795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22D521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B598C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72F054E">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4.1.10其他义务</w:t>
      </w:r>
    </w:p>
    <w:p w14:paraId="32F7BE1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778B876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（1）临时占地由承包人向当地政府土地管理部门申请，并办理租用手续，承包人按有关规定直接支付其费用，发包人对此将予以协调。</w:t>
      </w:r>
    </w:p>
    <w:p w14:paraId="15B6CD2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59DAE81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2D6069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3270B10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47A6D2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1F3A136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工资支付表应如实记录支付单位、支付时间、支付对象、支付数额、支付对象的身份证号和签字等信息。民工花名册和工资支付表应报监理人备查。</w:t>
      </w:r>
    </w:p>
    <w:p w14:paraId="4B602C3A">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14:paraId="1906D1E1">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14:paraId="70846B01">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承包人应履行项目专用合同条款约定的其他义务。</w:t>
      </w:r>
    </w:p>
    <w:p w14:paraId="063DD14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0" w:name="_Toc43475918"/>
      <w:bookmarkEnd w:id="1180"/>
      <w:r>
        <w:rPr>
          <w:rFonts w:hint="eastAsia"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lang w:val="zh-CN"/>
          <w14:textFill>
            <w14:solidFill>
              <w14:schemeClr w14:val="tx1"/>
            </w14:solidFill>
          </w14:textFill>
        </w:rPr>
        <w:t>履约保证金</w:t>
      </w:r>
    </w:p>
    <w:p w14:paraId="32681B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本款细化为：</w:t>
      </w:r>
    </w:p>
    <w:p w14:paraId="375FBD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承包人应保证其履约保证金在发包人签发交工验收证书且承包人按照合同约定 缴纳质量保证金前一直有效。发包人应在收到承包人缴纳的质量保证金后28天内把 履约保证金退还给承包人。</w:t>
      </w:r>
    </w:p>
    <w:p w14:paraId="3549575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承包人拒绝按照本合同约定缴纳质量保证金的，发包人有权从竣工付款证书中 扣留相应金额作为质量保证金，或者直接将履约保证金金额用于保证承包人在缺陷 责任期内履行缺陷修复义务。</w:t>
      </w:r>
    </w:p>
    <w:p w14:paraId="474A1B7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1" w:name="_Toc43475919"/>
      <w:bookmarkEnd w:id="1181"/>
      <w:bookmarkStart w:id="1182" w:name="_Toc451261294"/>
      <w:bookmarkEnd w:id="1182"/>
      <w:bookmarkStart w:id="1183" w:name="_Toc453057104"/>
      <w:bookmarkEnd w:id="1183"/>
      <w:bookmarkStart w:id="1184" w:name="_Toc386467190"/>
      <w:bookmarkEnd w:id="1184"/>
      <w:bookmarkStart w:id="1185" w:name="_Toc330406385"/>
      <w:bookmarkEnd w:id="1185"/>
      <w:bookmarkStart w:id="1186" w:name="_Toc393546444"/>
      <w:bookmarkEnd w:id="1186"/>
      <w:r>
        <w:rPr>
          <w:rFonts w:hint="eastAsia" w:ascii="宋体" w:hAnsi="宋体" w:cs="宋体"/>
          <w:color w:val="000000" w:themeColor="text1"/>
          <w:sz w:val="24"/>
          <w:szCs w:val="24"/>
          <w:highlight w:val="none"/>
          <w14:textFill>
            <w14:solidFill>
              <w14:schemeClr w14:val="tx1"/>
            </w14:solidFill>
          </w14:textFill>
        </w:rPr>
        <w:t>4.3 分包</w:t>
      </w:r>
    </w:p>
    <w:p w14:paraId="059B05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第4.3.2项～第4.3.4项细化为：</w:t>
      </w:r>
    </w:p>
    <w:p w14:paraId="5312D2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承包人不得将4关键性工作分包给第三人。经发包人同意，承包人可将工程的其他部分或工作分包给第三人。分包包括专业分包和劳务分包。</w:t>
      </w:r>
    </w:p>
    <w:p w14:paraId="0E0774CB">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4.3.3专业分包</w:t>
      </w:r>
    </w:p>
    <w:p w14:paraId="2D8354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在工程施工过程中，承包人进行专业分包必须遵守以下规定：</w:t>
      </w:r>
    </w:p>
    <w:p w14:paraId="31C6682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75190407">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专业分包人的资格能力(含安全生产能力)应与其分包工程的标准和规模 相适应，且应当具备如下条件：</w:t>
      </w:r>
    </w:p>
    <w:p w14:paraId="25B4DE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lang w:val="zh-CN"/>
          <w14:textFill>
            <w14:solidFill>
              <w14:schemeClr w14:val="tx1"/>
            </w14:solidFill>
          </w14:textFill>
        </w:rPr>
        <w:t>具有经工商登记的法人资格；</w:t>
      </w:r>
    </w:p>
    <w:p w14:paraId="60BB79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lang w:val="zh-CN"/>
          <w14:textFill>
            <w14:solidFill>
              <w14:schemeClr w14:val="tx1"/>
            </w14:solidFill>
          </w14:textFill>
        </w:rPr>
        <w:t>具有从事类似工程经验的管理与技术人员；</w:t>
      </w:r>
    </w:p>
    <w:p w14:paraId="240A38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lang w:val="zh-CN"/>
          <w14:textFill>
            <w14:solidFill>
              <w14:schemeClr w14:val="tx1"/>
            </w14:solidFill>
          </w14:textFill>
        </w:rPr>
        <w:t>具有(自有或租赁)分包工程所需的施工设备。</w:t>
      </w:r>
    </w:p>
    <w:p w14:paraId="2EDC10C6">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承包人应向监理人提交专业分包人的资格能力证明材料，经监理人审查并报发 包人批准后，可以将相应专业工程分包给该专业分包人。</w:t>
      </w:r>
    </w:p>
    <w:p w14:paraId="108918F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（3）专业分工程不得再次分包。</w:t>
      </w:r>
    </w:p>
    <w:p w14:paraId="2C7A39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1B5292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14:paraId="1106AF5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14:paraId="335B55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2D549E2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4F5528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违反上述规定之一者属违规分包。</w:t>
      </w:r>
    </w:p>
    <w:p w14:paraId="51F66AC4">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4.3.4劳务分包</w:t>
      </w:r>
    </w:p>
    <w:p w14:paraId="546D13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在工程施工过程中，承包人进行劳务分包必须遵守以下规定：</w:t>
      </w:r>
    </w:p>
    <w:p w14:paraId="4FA6DF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（1）劳务分包人应具有劳务分包资质。</w:t>
      </w:r>
    </w:p>
    <w:p w14:paraId="1B3AE2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6E271F0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14:paraId="3020965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（4）承包人应当对劳务分包人员进行安全培训和管理，劳务分包人不得将其分包的劳务作业再次分包。</w:t>
      </w:r>
    </w:p>
    <w:p w14:paraId="75C67F2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违反上述规定之一者属违规分包。</w:t>
      </w:r>
    </w:p>
    <w:p w14:paraId="6F0EA4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本款补充第4.3.6项：</w:t>
      </w:r>
    </w:p>
    <w:p w14:paraId="138435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4.3.6、发包人对承包人与分包人之间的法律与经济纠纷不承担任何责任和义务。</w:t>
      </w:r>
    </w:p>
    <w:p w14:paraId="70CD01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4.3.7、本项目的各项分包工作均应遵守《公路工程施工分包管理办法》的有关规定。</w:t>
      </w:r>
    </w:p>
    <w:p w14:paraId="5D9BEF9D">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7" w:name="_Toc43475920"/>
      <w:bookmarkEnd w:id="1187"/>
      <w:bookmarkStart w:id="1188" w:name="_Toc386467191"/>
      <w:bookmarkEnd w:id="1188"/>
      <w:bookmarkStart w:id="1189" w:name="_Toc393546445"/>
      <w:bookmarkEnd w:id="1189"/>
      <w:bookmarkStart w:id="1190" w:name="_Toc453057105"/>
      <w:bookmarkEnd w:id="1190"/>
      <w:bookmarkStart w:id="1191" w:name="_Toc330406386"/>
      <w:bookmarkEnd w:id="1191"/>
      <w:bookmarkStart w:id="1192" w:name="_Toc451261295"/>
      <w:bookmarkEnd w:id="1192"/>
      <w:r>
        <w:rPr>
          <w:rFonts w:hint="eastAsia" w:ascii="宋体" w:hAnsi="宋体" w:cs="宋体"/>
          <w:color w:val="000000" w:themeColor="text1"/>
          <w:sz w:val="24"/>
          <w:szCs w:val="24"/>
          <w:highlight w:val="none"/>
          <w14:textFill>
            <w14:solidFill>
              <w14:schemeClr w14:val="tx1"/>
            </w14:solidFill>
          </w14:textFill>
        </w:rPr>
        <w:t>4.4联合体</w:t>
      </w:r>
    </w:p>
    <w:p w14:paraId="43849C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本款增加第4.4.4项：</w:t>
      </w:r>
    </w:p>
    <w:p w14:paraId="3299D6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4.4.4未经发包人事先同意，联合体的组成与结构不得变动。</w:t>
      </w:r>
    </w:p>
    <w:p w14:paraId="2735DB5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3" w:name="_Toc386467192"/>
      <w:bookmarkEnd w:id="1193"/>
      <w:bookmarkStart w:id="1194" w:name="_Toc393546446"/>
      <w:bookmarkEnd w:id="1194"/>
      <w:bookmarkStart w:id="1195" w:name="_Toc451261296"/>
      <w:bookmarkEnd w:id="1195"/>
      <w:bookmarkStart w:id="1196" w:name="_Toc453057106"/>
      <w:bookmarkEnd w:id="1196"/>
      <w:bookmarkStart w:id="1197" w:name="_Toc43475921"/>
      <w:bookmarkEnd w:id="1197"/>
      <w:bookmarkStart w:id="1198" w:name="_Toc330406387"/>
      <w:bookmarkEnd w:id="1198"/>
      <w:r>
        <w:rPr>
          <w:rFonts w:hint="eastAsia" w:ascii="宋体" w:hAnsi="宋体" w:cs="宋体"/>
          <w:color w:val="000000" w:themeColor="text1"/>
          <w:sz w:val="24"/>
          <w:szCs w:val="24"/>
          <w:highlight w:val="none"/>
          <w14:textFill>
            <w14:solidFill>
              <w14:schemeClr w14:val="tx1"/>
            </w14:solidFill>
          </w14:textFill>
        </w:rPr>
        <w:t>4.6承包人人员的管理</w:t>
      </w:r>
    </w:p>
    <w:p w14:paraId="1BD05B2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第4.6.3项细化为：</w:t>
      </w:r>
    </w:p>
    <w:p w14:paraId="2023C96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0CD8B0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本款补充第4.6.5项：</w:t>
      </w:r>
    </w:p>
    <w:p w14:paraId="5D972FC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14:paraId="7D55C21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9" w:name="_Toc451261297"/>
      <w:bookmarkEnd w:id="1199"/>
      <w:bookmarkStart w:id="1200" w:name="_Toc330406388"/>
      <w:bookmarkEnd w:id="1200"/>
      <w:bookmarkStart w:id="1201" w:name="_Toc453057107"/>
      <w:bookmarkEnd w:id="1201"/>
      <w:bookmarkStart w:id="1202" w:name="_Toc386467193"/>
      <w:bookmarkEnd w:id="1202"/>
      <w:bookmarkStart w:id="1203" w:name="_Toc43475922"/>
      <w:bookmarkEnd w:id="1203"/>
      <w:bookmarkStart w:id="1204" w:name="_Toc393546447"/>
      <w:bookmarkEnd w:id="1204"/>
      <w:r>
        <w:rPr>
          <w:rFonts w:hint="eastAsia" w:ascii="宋体" w:hAnsi="宋体" w:cs="宋体"/>
          <w:color w:val="000000" w:themeColor="text1"/>
          <w:sz w:val="24"/>
          <w:szCs w:val="24"/>
          <w:highlight w:val="none"/>
          <w14:textFill>
            <w14:solidFill>
              <w14:schemeClr w14:val="tx1"/>
            </w14:solidFill>
          </w14:textFill>
        </w:rPr>
        <w:t>4.7撤换承包人项目经理和其他人员</w:t>
      </w:r>
    </w:p>
    <w:p w14:paraId="3CCDA1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413F1EE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4B374D5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5" w:name="_Toc453057108"/>
      <w:bookmarkEnd w:id="1205"/>
      <w:bookmarkStart w:id="1206" w:name="_Toc330406389"/>
      <w:bookmarkEnd w:id="1206"/>
      <w:bookmarkStart w:id="1207" w:name="_Toc386467194"/>
      <w:bookmarkEnd w:id="1207"/>
      <w:bookmarkStart w:id="1208" w:name="_Toc393546448"/>
      <w:bookmarkEnd w:id="1208"/>
      <w:bookmarkStart w:id="1209" w:name="_Toc451261298"/>
      <w:bookmarkEnd w:id="1209"/>
      <w:bookmarkStart w:id="1210" w:name="_Toc43475923"/>
      <w:bookmarkEnd w:id="1210"/>
      <w:r>
        <w:rPr>
          <w:rFonts w:hint="eastAsia" w:ascii="宋体" w:hAnsi="宋体" w:cs="宋体"/>
          <w:color w:val="000000" w:themeColor="text1"/>
          <w:sz w:val="24"/>
          <w:szCs w:val="24"/>
          <w:highlight w:val="none"/>
          <w14:textFill>
            <w14:solidFill>
              <w14:schemeClr w14:val="tx1"/>
            </w14:solidFill>
          </w14:textFill>
        </w:rPr>
        <w:t>4.9工程价款应专款专用</w:t>
      </w:r>
    </w:p>
    <w:p w14:paraId="03C012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18CF71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3492442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1" w:name="_Toc386467195"/>
      <w:bookmarkEnd w:id="1211"/>
      <w:bookmarkStart w:id="1212" w:name="_Toc451261299"/>
      <w:bookmarkEnd w:id="1212"/>
      <w:bookmarkStart w:id="1213" w:name="_Toc43475924"/>
      <w:bookmarkEnd w:id="1213"/>
      <w:bookmarkStart w:id="1214" w:name="_Toc453057109"/>
      <w:bookmarkEnd w:id="1214"/>
      <w:bookmarkStart w:id="1215" w:name="_Toc393546449"/>
      <w:bookmarkEnd w:id="1215"/>
      <w:bookmarkStart w:id="1216" w:name="_Toc330406390"/>
      <w:bookmarkEnd w:id="1216"/>
      <w:r>
        <w:rPr>
          <w:rFonts w:hint="eastAsia" w:ascii="宋体" w:hAnsi="宋体" w:cs="宋体"/>
          <w:color w:val="000000" w:themeColor="text1"/>
          <w:sz w:val="24"/>
          <w:szCs w:val="24"/>
          <w:highlight w:val="none"/>
          <w14:textFill>
            <w14:solidFill>
              <w14:schemeClr w14:val="tx1"/>
            </w14:solidFill>
          </w14:textFill>
        </w:rPr>
        <w:t>4.10承包人现场查勘</w:t>
      </w:r>
    </w:p>
    <w:p w14:paraId="31AF20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第4.10.1项细化为：</w:t>
      </w:r>
    </w:p>
    <w:p w14:paraId="7E6D61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53FB71A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7" w:name="_Toc451261300"/>
      <w:bookmarkEnd w:id="1217"/>
      <w:bookmarkStart w:id="1218" w:name="_Toc330406391"/>
      <w:bookmarkEnd w:id="1218"/>
      <w:bookmarkStart w:id="1219" w:name="_Toc393546450"/>
      <w:bookmarkEnd w:id="1219"/>
      <w:bookmarkStart w:id="1220" w:name="_Toc386467196"/>
      <w:bookmarkEnd w:id="1220"/>
      <w:bookmarkStart w:id="1221" w:name="_Toc453057110"/>
      <w:bookmarkEnd w:id="1221"/>
      <w:bookmarkStart w:id="1222" w:name="_Toc43475925"/>
      <w:bookmarkEnd w:id="1222"/>
      <w:r>
        <w:rPr>
          <w:rFonts w:hint="eastAsia" w:ascii="宋体" w:hAnsi="宋体" w:cs="宋体"/>
          <w:color w:val="000000" w:themeColor="text1"/>
          <w:sz w:val="24"/>
          <w:szCs w:val="24"/>
          <w:highlight w:val="none"/>
          <w14:textFill>
            <w14:solidFill>
              <w14:schemeClr w14:val="tx1"/>
            </w14:solidFill>
          </w14:textFill>
        </w:rPr>
        <w:t>4.11不利物质条件</w:t>
      </w:r>
    </w:p>
    <w:p w14:paraId="698E099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第4.11.2项细化为：</w:t>
      </w:r>
    </w:p>
    <w:p w14:paraId="054951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241F8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本款补充第4.11.3项：</w:t>
      </w:r>
    </w:p>
    <w:p w14:paraId="467382A5">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4.11.3 可预见的不利物质条件</w:t>
      </w:r>
    </w:p>
    <w:p w14:paraId="683F732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14:paraId="079D6E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14:paraId="40A7607C">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9236C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补充第4.12、</w:t>
      </w:r>
      <w:r>
        <w:rPr>
          <w:rFonts w:hint="eastAsia" w:ascii="宋体" w:hAnsi="宋体" w:cs="宋体"/>
          <w:color w:val="000000" w:themeColor="text1"/>
          <w:sz w:val="24"/>
          <w:highlight w:val="none"/>
          <w14:textFill>
            <w14:solidFill>
              <w14:schemeClr w14:val="tx1"/>
            </w14:solidFill>
          </w14:textFill>
        </w:rPr>
        <w:t>4.13</w:t>
      </w:r>
      <w:r>
        <w:rPr>
          <w:rFonts w:hint="eastAsia" w:ascii="宋体" w:hAnsi="宋体" w:cs="宋体"/>
          <w:color w:val="000000" w:themeColor="text1"/>
          <w:sz w:val="24"/>
          <w:highlight w:val="none"/>
          <w:lang w:val="zh-CN"/>
          <w14:textFill>
            <w14:solidFill>
              <w14:schemeClr w14:val="tx1"/>
            </w14:solidFill>
          </w14:textFill>
        </w:rPr>
        <w:t>款：</w:t>
      </w:r>
    </w:p>
    <w:p w14:paraId="5FB0820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23" w:name="_Toc451261301"/>
      <w:bookmarkEnd w:id="1223"/>
      <w:bookmarkStart w:id="1224" w:name="_Toc453057111"/>
      <w:bookmarkEnd w:id="1224"/>
      <w:bookmarkStart w:id="1225" w:name="_Toc43475926"/>
      <w:bookmarkEnd w:id="1225"/>
      <w:bookmarkStart w:id="1226" w:name="_Toc393546451"/>
      <w:bookmarkEnd w:id="1226"/>
      <w:bookmarkStart w:id="1227" w:name="_Toc330406392"/>
      <w:bookmarkEnd w:id="1227"/>
      <w:bookmarkStart w:id="1228" w:name="_Toc386467197"/>
      <w:bookmarkEnd w:id="1228"/>
      <w:r>
        <w:rPr>
          <w:rFonts w:hint="eastAsia" w:ascii="宋体" w:hAnsi="宋体" w:cs="宋体"/>
          <w:color w:val="000000" w:themeColor="text1"/>
          <w:sz w:val="24"/>
          <w:szCs w:val="24"/>
          <w:highlight w:val="none"/>
          <w14:textFill>
            <w14:solidFill>
              <w14:schemeClr w14:val="tx1"/>
            </w14:solidFill>
          </w14:textFill>
        </w:rPr>
        <w:t>4.12投标文件的完备性</w:t>
      </w:r>
    </w:p>
    <w:p w14:paraId="3BC6EE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200B7A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29" w:name="_Toc43475927"/>
      <w:bookmarkEnd w:id="1229"/>
      <w:bookmarkStart w:id="1230" w:name="bookmark15"/>
      <w:bookmarkEnd w:id="1230"/>
      <w:r>
        <w:rPr>
          <w:rFonts w:hint="eastAsia" w:ascii="宋体" w:hAnsi="宋体" w:cs="宋体"/>
          <w:color w:val="000000" w:themeColor="text1"/>
          <w:sz w:val="24"/>
          <w:szCs w:val="24"/>
          <w:highlight w:val="none"/>
          <w14:textFill>
            <w14:solidFill>
              <w14:schemeClr w14:val="tx1"/>
            </w14:solidFill>
          </w14:textFill>
        </w:rPr>
        <w:t>4.13</w:t>
      </w:r>
      <w:r>
        <w:rPr>
          <w:rFonts w:hint="eastAsia" w:ascii="宋体" w:hAnsi="宋体" w:cs="宋体"/>
          <w:color w:val="000000" w:themeColor="text1"/>
          <w:sz w:val="24"/>
          <w:szCs w:val="24"/>
          <w:highlight w:val="none"/>
          <w:lang w:val="zh-CN"/>
          <w14:textFill>
            <w14:solidFill>
              <w14:schemeClr w14:val="tx1"/>
            </w14:solidFill>
          </w14:textFill>
        </w:rPr>
        <w:t>开展党建工作要求</w:t>
      </w:r>
    </w:p>
    <w:p w14:paraId="64DE059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对于政府投资的国家高速公路项目，或承包人为国有控股或参股企业的，承包 人应按规定在项目现场设立基层党组织。不满足上述情形的，应创造条件使党员能够参加党组织生活并接受相应管理。</w:t>
      </w:r>
    </w:p>
    <w:p w14:paraId="7A91A63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14:paraId="593B0018">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31" w:name="_Toc453057112"/>
      <w:bookmarkEnd w:id="1231"/>
      <w:bookmarkStart w:id="1232" w:name="_Toc451261302"/>
      <w:bookmarkEnd w:id="1232"/>
      <w:bookmarkStart w:id="1233" w:name="_Toc386467198"/>
      <w:bookmarkEnd w:id="1233"/>
      <w:bookmarkStart w:id="1234" w:name="_Toc330406393"/>
      <w:bookmarkEnd w:id="1234"/>
      <w:bookmarkStart w:id="1235" w:name="_Toc43475928"/>
      <w:bookmarkEnd w:id="1235"/>
      <w:bookmarkStart w:id="1236" w:name="_Toc393546452"/>
      <w:bookmarkEnd w:id="1236"/>
      <w:r>
        <w:rPr>
          <w:rFonts w:hint="eastAsia" w:ascii="宋体" w:hAnsi="宋体" w:cs="宋体"/>
          <w:color w:val="000000" w:themeColor="text1"/>
          <w:sz w:val="28"/>
          <w:szCs w:val="28"/>
          <w:highlight w:val="none"/>
          <w14:textFill>
            <w14:solidFill>
              <w14:schemeClr w14:val="tx1"/>
            </w14:solidFill>
          </w14:textFill>
        </w:rPr>
        <w:t>5.材料和工程设备</w:t>
      </w:r>
    </w:p>
    <w:p w14:paraId="713D217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37" w:name="_Toc393546453"/>
      <w:bookmarkEnd w:id="1237"/>
      <w:bookmarkStart w:id="1238" w:name="_Toc330406394"/>
      <w:bookmarkEnd w:id="1238"/>
      <w:bookmarkStart w:id="1239" w:name="_Toc451261303"/>
      <w:bookmarkEnd w:id="1239"/>
      <w:bookmarkStart w:id="1240" w:name="_Toc43475929"/>
      <w:bookmarkEnd w:id="1240"/>
      <w:bookmarkStart w:id="1241" w:name="_Toc453057113"/>
      <w:bookmarkEnd w:id="1241"/>
      <w:bookmarkStart w:id="1242" w:name="_Toc386467199"/>
      <w:bookmarkEnd w:id="1242"/>
      <w:r>
        <w:rPr>
          <w:rFonts w:hint="eastAsia" w:ascii="宋体" w:hAnsi="宋体" w:cs="宋体"/>
          <w:color w:val="000000" w:themeColor="text1"/>
          <w:sz w:val="24"/>
          <w:szCs w:val="24"/>
          <w:highlight w:val="none"/>
          <w14:textFill>
            <w14:solidFill>
              <w14:schemeClr w14:val="tx1"/>
            </w14:solidFill>
          </w14:textFill>
        </w:rPr>
        <w:t>5.2发包人提供的材料和工程设备</w:t>
      </w:r>
    </w:p>
    <w:p w14:paraId="2B89D0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第5.2.3项补充：</w:t>
      </w:r>
    </w:p>
    <w:p w14:paraId="4E5A027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3CDA5C92">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43" w:name="_Toc43475930"/>
      <w:bookmarkEnd w:id="1243"/>
      <w:bookmarkStart w:id="1244" w:name="_Toc386467200"/>
      <w:bookmarkEnd w:id="1244"/>
      <w:bookmarkStart w:id="1245" w:name="_Toc330406395"/>
      <w:bookmarkEnd w:id="1245"/>
      <w:bookmarkStart w:id="1246" w:name="_Toc451261304"/>
      <w:bookmarkEnd w:id="1246"/>
      <w:bookmarkStart w:id="1247" w:name="_Toc393546454"/>
      <w:bookmarkEnd w:id="1247"/>
      <w:bookmarkStart w:id="1248" w:name="_Toc453057114"/>
      <w:bookmarkEnd w:id="1248"/>
      <w:r>
        <w:rPr>
          <w:rFonts w:hint="eastAsia" w:ascii="宋体" w:hAnsi="宋体" w:cs="宋体"/>
          <w:color w:val="000000" w:themeColor="text1"/>
          <w:sz w:val="28"/>
          <w:szCs w:val="28"/>
          <w:highlight w:val="none"/>
          <w14:textFill>
            <w14:solidFill>
              <w14:schemeClr w14:val="tx1"/>
            </w14:solidFill>
          </w14:textFill>
        </w:rPr>
        <w:t>6.施工设备和临时设施</w:t>
      </w:r>
    </w:p>
    <w:p w14:paraId="7723D8F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49" w:name="_Toc451261305"/>
      <w:bookmarkEnd w:id="1249"/>
      <w:bookmarkStart w:id="1250" w:name="_Toc393546455"/>
      <w:bookmarkEnd w:id="1250"/>
      <w:bookmarkStart w:id="1251" w:name="_Toc386467201"/>
      <w:bookmarkEnd w:id="1251"/>
      <w:bookmarkStart w:id="1252" w:name="_Toc453057115"/>
      <w:bookmarkEnd w:id="1252"/>
      <w:bookmarkStart w:id="1253" w:name="_Toc330406396"/>
      <w:bookmarkEnd w:id="1253"/>
      <w:bookmarkStart w:id="1254" w:name="_Toc43475931"/>
      <w:bookmarkEnd w:id="1254"/>
      <w:r>
        <w:rPr>
          <w:rFonts w:hint="eastAsia" w:ascii="宋体" w:hAnsi="宋体" w:cs="宋体"/>
          <w:color w:val="000000" w:themeColor="text1"/>
          <w:sz w:val="24"/>
          <w:szCs w:val="24"/>
          <w:highlight w:val="none"/>
          <w14:textFill>
            <w14:solidFill>
              <w14:schemeClr w14:val="tx1"/>
            </w14:solidFill>
          </w14:textFill>
        </w:rPr>
        <w:t>6.2承包人提供的施工设备和临时设施</w:t>
      </w:r>
    </w:p>
    <w:p w14:paraId="120CFE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第6.1.2项约定为：</w:t>
      </w:r>
    </w:p>
    <w:p w14:paraId="0CDF99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承包人应自行承担修建临时设施的费用，需要临时占地的，应由承包人按第4.1.10项（1）目的规定办理。</w:t>
      </w:r>
    </w:p>
    <w:p w14:paraId="020454D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55" w:name="_Toc43475932"/>
      <w:bookmarkEnd w:id="1255"/>
      <w:bookmarkStart w:id="1256" w:name="_Toc451261306"/>
      <w:bookmarkEnd w:id="1256"/>
      <w:bookmarkStart w:id="1257" w:name="_Toc386467202"/>
      <w:bookmarkEnd w:id="1257"/>
      <w:bookmarkStart w:id="1258" w:name="_Toc330406397"/>
      <w:bookmarkEnd w:id="1258"/>
      <w:bookmarkStart w:id="1259" w:name="_Toc453057116"/>
      <w:bookmarkEnd w:id="1259"/>
      <w:bookmarkStart w:id="1260" w:name="_Toc393546456"/>
      <w:bookmarkEnd w:id="1260"/>
      <w:r>
        <w:rPr>
          <w:rFonts w:hint="eastAsia" w:ascii="宋体" w:hAnsi="宋体" w:cs="宋体"/>
          <w:color w:val="000000" w:themeColor="text1"/>
          <w:sz w:val="24"/>
          <w:szCs w:val="24"/>
          <w:highlight w:val="none"/>
          <w14:textFill>
            <w14:solidFill>
              <w14:schemeClr w14:val="tx1"/>
            </w14:solidFill>
          </w14:textFill>
        </w:rPr>
        <w:t>6.3要求承包人增加或更换施工设备</w:t>
      </w:r>
    </w:p>
    <w:p w14:paraId="462370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6B5921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3127E5FA">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61" w:name="_Toc330406398"/>
      <w:bookmarkEnd w:id="1261"/>
      <w:bookmarkStart w:id="1262" w:name="_Toc453057117"/>
      <w:bookmarkEnd w:id="1262"/>
      <w:bookmarkStart w:id="1263" w:name="_Toc43475933"/>
      <w:bookmarkEnd w:id="1263"/>
      <w:bookmarkStart w:id="1264" w:name="_Toc386467203"/>
      <w:bookmarkEnd w:id="1264"/>
      <w:bookmarkStart w:id="1265" w:name="_Toc393546457"/>
      <w:bookmarkEnd w:id="1265"/>
      <w:bookmarkStart w:id="1266" w:name="_Toc451261307"/>
      <w:bookmarkEnd w:id="1266"/>
      <w:r>
        <w:rPr>
          <w:rFonts w:hint="eastAsia" w:ascii="宋体" w:hAnsi="宋体" w:cs="宋体"/>
          <w:color w:val="000000" w:themeColor="text1"/>
          <w:sz w:val="28"/>
          <w:szCs w:val="28"/>
          <w:highlight w:val="none"/>
          <w14:textFill>
            <w14:solidFill>
              <w14:schemeClr w14:val="tx1"/>
            </w14:solidFill>
          </w14:textFill>
        </w:rPr>
        <w:t>7.交通运输</w:t>
      </w:r>
    </w:p>
    <w:p w14:paraId="5463798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67" w:name="_Toc451261308"/>
      <w:bookmarkEnd w:id="1267"/>
      <w:bookmarkStart w:id="1268" w:name="_Toc386467204"/>
      <w:bookmarkEnd w:id="1268"/>
      <w:bookmarkStart w:id="1269" w:name="_Toc393546458"/>
      <w:bookmarkEnd w:id="1269"/>
      <w:bookmarkStart w:id="1270" w:name="_Toc453057118"/>
      <w:bookmarkEnd w:id="1270"/>
      <w:bookmarkStart w:id="1271" w:name="_Toc330406399"/>
      <w:bookmarkEnd w:id="1271"/>
      <w:bookmarkStart w:id="1272" w:name="_Toc43475934"/>
      <w:bookmarkEnd w:id="1272"/>
      <w:r>
        <w:rPr>
          <w:rFonts w:hint="eastAsia" w:ascii="宋体" w:hAnsi="宋体" w:cs="宋体"/>
          <w:color w:val="000000" w:themeColor="text1"/>
          <w:sz w:val="24"/>
          <w:szCs w:val="24"/>
          <w:highlight w:val="none"/>
          <w14:textFill>
            <w14:solidFill>
              <w14:schemeClr w14:val="tx1"/>
            </w14:solidFill>
          </w14:textFill>
        </w:rPr>
        <w:t>7.1道路通行权和场外设施</w:t>
      </w:r>
    </w:p>
    <w:p w14:paraId="190087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25C957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42BD4655">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73" w:name="_Toc451261309"/>
      <w:bookmarkEnd w:id="1273"/>
      <w:bookmarkStart w:id="1274" w:name="_Toc393546459"/>
      <w:bookmarkEnd w:id="1274"/>
      <w:bookmarkStart w:id="1275" w:name="_Toc386467205"/>
      <w:bookmarkEnd w:id="1275"/>
      <w:bookmarkStart w:id="1276" w:name="_Toc330406400"/>
      <w:bookmarkEnd w:id="1276"/>
      <w:bookmarkStart w:id="1277" w:name="_Toc43475935"/>
      <w:bookmarkEnd w:id="1277"/>
      <w:bookmarkStart w:id="1278" w:name="_Toc453057119"/>
      <w:bookmarkEnd w:id="1278"/>
      <w:r>
        <w:rPr>
          <w:rFonts w:hint="eastAsia" w:ascii="宋体" w:hAnsi="宋体" w:cs="宋体"/>
          <w:color w:val="000000" w:themeColor="text1"/>
          <w:sz w:val="28"/>
          <w:szCs w:val="28"/>
          <w:highlight w:val="none"/>
          <w14:textFill>
            <w14:solidFill>
              <w14:schemeClr w14:val="tx1"/>
            </w14:solidFill>
          </w14:textFill>
        </w:rPr>
        <w:t>8.测量放线</w:t>
      </w:r>
    </w:p>
    <w:p w14:paraId="781B629D">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79" w:name="_Toc453057120"/>
      <w:bookmarkEnd w:id="1279"/>
      <w:bookmarkStart w:id="1280" w:name="_Toc393546460"/>
      <w:bookmarkEnd w:id="1280"/>
      <w:bookmarkStart w:id="1281" w:name="_Toc43475936"/>
      <w:bookmarkEnd w:id="1281"/>
      <w:bookmarkStart w:id="1282" w:name="_Toc386467206"/>
      <w:bookmarkEnd w:id="1282"/>
      <w:bookmarkStart w:id="1283" w:name="_Toc451261310"/>
      <w:bookmarkEnd w:id="1283"/>
      <w:bookmarkStart w:id="1284" w:name="_Toc330406401"/>
      <w:bookmarkEnd w:id="1284"/>
      <w:r>
        <w:rPr>
          <w:rFonts w:hint="eastAsia" w:ascii="宋体" w:hAnsi="宋体" w:cs="宋体"/>
          <w:color w:val="000000" w:themeColor="text1"/>
          <w:sz w:val="24"/>
          <w:szCs w:val="24"/>
          <w:highlight w:val="none"/>
          <w14:textFill>
            <w14:solidFill>
              <w14:schemeClr w14:val="tx1"/>
            </w14:solidFill>
          </w14:textFill>
        </w:rPr>
        <w:t>8.4监理人使用施工控制网</w:t>
      </w:r>
    </w:p>
    <w:p w14:paraId="792A13B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15559C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经监理人批准，其他相关承包人也可免费使用施工控制网。</w:t>
      </w:r>
    </w:p>
    <w:p w14:paraId="5F006481">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85" w:name="_Toc451261311"/>
      <w:bookmarkEnd w:id="1285"/>
      <w:bookmarkStart w:id="1286" w:name="_Toc393546461"/>
      <w:bookmarkEnd w:id="1286"/>
      <w:bookmarkStart w:id="1287" w:name="_Toc386467207"/>
      <w:bookmarkEnd w:id="1287"/>
      <w:bookmarkStart w:id="1288" w:name="_Toc43475937"/>
      <w:bookmarkEnd w:id="1288"/>
      <w:bookmarkStart w:id="1289" w:name="_Toc330406402"/>
      <w:bookmarkEnd w:id="1289"/>
      <w:bookmarkStart w:id="1290" w:name="_Toc453057121"/>
      <w:bookmarkEnd w:id="1290"/>
      <w:r>
        <w:rPr>
          <w:rFonts w:hint="eastAsia" w:ascii="宋体" w:hAnsi="宋体" w:cs="宋体"/>
          <w:color w:val="000000" w:themeColor="text1"/>
          <w:sz w:val="28"/>
          <w:szCs w:val="28"/>
          <w:highlight w:val="none"/>
          <w14:textFill>
            <w14:solidFill>
              <w14:schemeClr w14:val="tx1"/>
            </w14:solidFill>
          </w14:textFill>
        </w:rPr>
        <w:t>9.施工安全、治安保卫和环境保护</w:t>
      </w:r>
    </w:p>
    <w:p w14:paraId="451BD96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1" w:name="_Toc393546462"/>
      <w:bookmarkEnd w:id="1291"/>
      <w:bookmarkStart w:id="1292" w:name="_Toc451261312"/>
      <w:bookmarkEnd w:id="1292"/>
      <w:bookmarkStart w:id="1293" w:name="_Toc330406403"/>
      <w:bookmarkEnd w:id="1293"/>
      <w:bookmarkStart w:id="1294" w:name="_Toc386467208"/>
      <w:bookmarkEnd w:id="1294"/>
      <w:bookmarkStart w:id="1295" w:name="_Toc43475938"/>
      <w:bookmarkEnd w:id="1295"/>
      <w:bookmarkStart w:id="1296" w:name="_Toc453057122"/>
      <w:bookmarkEnd w:id="1296"/>
      <w:r>
        <w:rPr>
          <w:rFonts w:hint="eastAsia" w:ascii="宋体" w:hAnsi="宋体" w:cs="宋体"/>
          <w:color w:val="000000" w:themeColor="text1"/>
          <w:sz w:val="24"/>
          <w:szCs w:val="24"/>
          <w:highlight w:val="none"/>
          <w14:textFill>
            <w14:solidFill>
              <w14:schemeClr w14:val="tx1"/>
            </w14:solidFill>
          </w14:textFill>
        </w:rPr>
        <w:t>9.2承包人的施工安全责任</w:t>
      </w:r>
    </w:p>
    <w:p w14:paraId="548FEF2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第9.2.1项细化为：</w:t>
      </w:r>
    </w:p>
    <w:p w14:paraId="6C0A2B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4F2048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2709FB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本项目需要编制专项施工方案的工程包括但不限于以下内容：</w:t>
      </w:r>
    </w:p>
    <w:p w14:paraId="65E77E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（1）不良地质条件下有潜在危险性的土方、石方开挖；</w:t>
      </w:r>
    </w:p>
    <w:p w14:paraId="08C9B3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（2）滑坡和高边坡处理；</w:t>
      </w:r>
    </w:p>
    <w:p w14:paraId="31D1B7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（3）桩基础、挡墙基础、深水基础及围堰工程；</w:t>
      </w:r>
    </w:p>
    <w:p w14:paraId="56B8CD4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（4）桥梁工程中的梁、拱、柱等构件施工等；</w:t>
      </w:r>
    </w:p>
    <w:p w14:paraId="32FD42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（5）隧道工程中的不良地质隧道、高瓦斯隧道等；</w:t>
      </w:r>
    </w:p>
    <w:p w14:paraId="39DE653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（6）水上工程中的打桩船作业、施工船作业、外海孤岛作业、边通航边施工作业等；</w:t>
      </w:r>
    </w:p>
    <w:p w14:paraId="3FE5C4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（7）水下工程中的水下焊接、混凝土浇筑、爆破工程等；</w:t>
      </w:r>
    </w:p>
    <w:p w14:paraId="272AFD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（8）爆破工程；</w:t>
      </w:r>
    </w:p>
    <w:p w14:paraId="772603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（9）大型临时工程中的大型支架、模板、便桥的架设与拆除；桥梁、码头的加固与拆除；</w:t>
      </w:r>
    </w:p>
    <w:p w14:paraId="4B248E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（10）其他危险性较大的工程。</w:t>
      </w:r>
    </w:p>
    <w:p w14:paraId="175AD81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监理人和发包人在检查中发现有安全问题或有违反安全管理规章制度的情况时，可视其为承包人违约，应按第22.1款的规定处理。</w:t>
      </w:r>
    </w:p>
    <w:p w14:paraId="4DC6B65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14:paraId="477ACDC1">
      <w:pPr>
        <w:pStyle w:val="1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r>
        <w:rPr>
          <w:rFonts w:hint="eastAsia" w:ascii="宋体" w:hAnsi="宋体" w:cs="宋体"/>
          <w:color w:val="000000" w:themeColor="text1"/>
          <w:sz w:val="24"/>
          <w:highlight w:val="none"/>
          <w14:textFill>
            <w14:solidFill>
              <w14:schemeClr w14:val="tx1"/>
            </w14:solidFill>
          </w14:textFill>
        </w:rPr>
        <w:t>。</w:t>
      </w:r>
    </w:p>
    <w:p w14:paraId="4CD858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本款补充第9.2.8项～9.2.11项：</w:t>
      </w:r>
    </w:p>
    <w:p w14:paraId="44E308B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9.2.8承包人应充分关注和保障所有在现场工作的人员的安全，采取以下有效措施，使现场和本合同工程的实施保持有条不紊，以免使让述人员的安全受到威胁。</w:t>
      </w:r>
    </w:p>
    <w:p w14:paraId="6B34C9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（1）按《公路水运工程安全生产临督管理办法》规定的最低数量和资质条件配备专职安全生产管理人员；</w:t>
      </w:r>
    </w:p>
    <w:p w14:paraId="0164B59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675E890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（3）所有施工机具设备和高空作业设备均应定期检查，并有安全员的签字记录。</w:t>
      </w:r>
    </w:p>
    <w:p w14:paraId="49BA48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（4）根据本合同各单位工程的特点，严格执行《公路水运工程安全生产监督管理办法》、《公路工程施工安全技术规程》与《公路筑养路机械操作规程》的具体规定。</w:t>
      </w:r>
    </w:p>
    <w:p w14:paraId="0036039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14:paraId="10F8DB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9.2.10在通航水域施工时，承包人应与当地主管部门取得联系，设置必要的导航标志，及时发布航行通告，确保施工水域安全。</w:t>
      </w:r>
    </w:p>
    <w:p w14:paraId="3F6E00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1644FD4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7" w:name="_Toc451261313"/>
      <w:bookmarkEnd w:id="1297"/>
      <w:bookmarkStart w:id="1298" w:name="_Toc386467209"/>
      <w:bookmarkEnd w:id="1298"/>
      <w:bookmarkStart w:id="1299" w:name="_Toc453057123"/>
      <w:bookmarkEnd w:id="1299"/>
      <w:bookmarkStart w:id="1300" w:name="_Toc330406404"/>
      <w:bookmarkEnd w:id="1300"/>
      <w:bookmarkStart w:id="1301" w:name="_Toc43475939"/>
      <w:bookmarkEnd w:id="1301"/>
      <w:bookmarkStart w:id="1302" w:name="_Toc393546463"/>
      <w:bookmarkEnd w:id="1302"/>
      <w:r>
        <w:rPr>
          <w:rFonts w:hint="eastAsia" w:ascii="宋体" w:hAnsi="宋体" w:cs="宋体"/>
          <w:color w:val="000000" w:themeColor="text1"/>
          <w:sz w:val="24"/>
          <w:szCs w:val="24"/>
          <w:highlight w:val="none"/>
          <w14:textFill>
            <w14:solidFill>
              <w14:schemeClr w14:val="tx1"/>
            </w14:solidFill>
          </w14:textFill>
        </w:rPr>
        <w:t>9.4环境保护</w:t>
      </w:r>
    </w:p>
    <w:p w14:paraId="6AC33C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本款补充第9.4.7～第9.4.11项：</w:t>
      </w:r>
    </w:p>
    <w:p w14:paraId="52F84D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9.4.7 承包人应切实执行技术规范中有关环境保护方面的条款和规定。</w:t>
      </w:r>
    </w:p>
    <w:p w14:paraId="1E8A732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183FEA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14:paraId="3F1B65B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a.拌和设备应有较好的密封，或有防尘设备。</w:t>
      </w:r>
    </w:p>
    <w:p w14:paraId="32B8E91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b.施工通道、沥青混凝土拌和站及灰土拌和站应经常进行洒水降尘。</w:t>
      </w:r>
    </w:p>
    <w:p w14:paraId="595979F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c.路面施工应注意保持水分，以免扬尘。</w:t>
      </w:r>
    </w:p>
    <w:p w14:paraId="70AE67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d.隧道出渣和桥梁钻孔灌注桩施工时排出的泥浆要进行妥善处理，严禁向河流或农田排放。</w:t>
      </w:r>
    </w:p>
    <w:p w14:paraId="693D951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（3）采取可靠措施保证原有交通的正常通行，维持沿线村镇的居民饮水、农田灌溉、生产生活用电及通讯等管线的正常使用。</w:t>
      </w:r>
    </w:p>
    <w:p w14:paraId="1067EA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0137EF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14:paraId="5C1112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BB28C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7C7CF765">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03" w:name="_Toc451261314"/>
      <w:bookmarkEnd w:id="1303"/>
      <w:bookmarkStart w:id="1304" w:name="_Toc330406405"/>
      <w:bookmarkEnd w:id="1304"/>
      <w:bookmarkStart w:id="1305" w:name="_Toc453057124"/>
      <w:bookmarkEnd w:id="1305"/>
      <w:bookmarkStart w:id="1306" w:name="_Toc386467210"/>
      <w:bookmarkEnd w:id="1306"/>
      <w:bookmarkStart w:id="1307" w:name="_Toc393546464"/>
      <w:bookmarkEnd w:id="1307"/>
      <w:bookmarkStart w:id="1308" w:name="_Toc43475940"/>
      <w:bookmarkEnd w:id="1308"/>
      <w:r>
        <w:rPr>
          <w:rFonts w:hint="eastAsia" w:ascii="宋体" w:hAnsi="宋体" w:cs="宋体"/>
          <w:color w:val="000000" w:themeColor="text1"/>
          <w:sz w:val="28"/>
          <w:szCs w:val="28"/>
          <w:highlight w:val="none"/>
          <w14:textFill>
            <w14:solidFill>
              <w14:schemeClr w14:val="tx1"/>
            </w14:solidFill>
          </w14:textFill>
        </w:rPr>
        <w:t>10.进度计划</w:t>
      </w:r>
    </w:p>
    <w:p w14:paraId="7DBA01E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9" w:name="_Toc386467211"/>
      <w:bookmarkEnd w:id="1309"/>
      <w:bookmarkStart w:id="1310" w:name="_Toc43475941"/>
      <w:bookmarkEnd w:id="1310"/>
      <w:bookmarkStart w:id="1311" w:name="_Toc453057125"/>
      <w:bookmarkEnd w:id="1311"/>
      <w:bookmarkStart w:id="1312" w:name="_Toc330406406"/>
      <w:bookmarkEnd w:id="1312"/>
      <w:bookmarkStart w:id="1313" w:name="_Toc393546465"/>
      <w:bookmarkEnd w:id="1313"/>
      <w:bookmarkStart w:id="1314" w:name="_Toc451261315"/>
      <w:bookmarkEnd w:id="1314"/>
      <w:r>
        <w:rPr>
          <w:rFonts w:hint="eastAsia" w:ascii="宋体" w:hAnsi="宋体" w:cs="宋体"/>
          <w:color w:val="000000" w:themeColor="text1"/>
          <w:sz w:val="24"/>
          <w:szCs w:val="24"/>
          <w:highlight w:val="none"/>
          <w14:textFill>
            <w14:solidFill>
              <w14:schemeClr w14:val="tx1"/>
            </w14:solidFill>
          </w14:textFill>
        </w:rPr>
        <w:t>10.1合同进度计划</w:t>
      </w:r>
    </w:p>
    <w:p w14:paraId="3496E74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E5F6E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承包人编制施工方案说明的内容见项目专用合同条款。</w:t>
      </w:r>
    </w:p>
    <w:p w14:paraId="6D5023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承包人向监理人报送施工进度计划和施工方案说明的期限：签订合同协议书后28天之内。</w:t>
      </w:r>
    </w:p>
    <w:p w14:paraId="441552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监理人应在14天内对承包人施工进度计划和施工方案说明予以批复或提出修改意见。</w:t>
      </w:r>
    </w:p>
    <w:p w14:paraId="69E58F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合同进度计划应按照关键线路网络图和主要工作横道图两种形式分别编绘，并应包括每月预计完成的工作量和形象进度。</w:t>
      </w:r>
    </w:p>
    <w:p w14:paraId="2D0F2E7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15" w:name="_Toc451261316"/>
      <w:bookmarkEnd w:id="1315"/>
      <w:bookmarkStart w:id="1316" w:name="_Toc330406407"/>
      <w:bookmarkEnd w:id="1316"/>
      <w:bookmarkStart w:id="1317" w:name="_Toc453057126"/>
      <w:bookmarkEnd w:id="1317"/>
      <w:bookmarkStart w:id="1318" w:name="_Toc43475942"/>
      <w:bookmarkEnd w:id="1318"/>
      <w:bookmarkStart w:id="1319" w:name="_Toc393546466"/>
      <w:bookmarkEnd w:id="1319"/>
      <w:bookmarkStart w:id="1320" w:name="_Toc386467212"/>
      <w:bookmarkEnd w:id="1320"/>
      <w:r>
        <w:rPr>
          <w:rFonts w:hint="eastAsia" w:ascii="宋体" w:hAnsi="宋体" w:cs="宋体"/>
          <w:color w:val="000000" w:themeColor="text1"/>
          <w:sz w:val="24"/>
          <w:szCs w:val="24"/>
          <w:highlight w:val="none"/>
          <w14:textFill>
            <w14:solidFill>
              <w14:schemeClr w14:val="tx1"/>
            </w14:solidFill>
          </w14:textFill>
        </w:rPr>
        <w:t>10.2合同进度计划的修订</w:t>
      </w:r>
    </w:p>
    <w:p w14:paraId="0B77A2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AF167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承包人提交合同进度计划修订申请报告，并附有关措施和相关资料的期限：实际进度发生滞后的当月25日前。</w:t>
      </w:r>
    </w:p>
    <w:p w14:paraId="2161C2B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监理人批复修订合同进度计划的期限：收到修订合同进度计划后14天内。</w:t>
      </w:r>
    </w:p>
    <w:p w14:paraId="133384D2">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2951489">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补充第10.3、10.4款：</w:t>
      </w:r>
    </w:p>
    <w:p w14:paraId="07A6483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21" w:name="_Toc43475943"/>
      <w:bookmarkEnd w:id="1321"/>
      <w:bookmarkStart w:id="1322" w:name="_Toc386467213"/>
      <w:bookmarkEnd w:id="1322"/>
      <w:bookmarkStart w:id="1323" w:name="_Toc393546467"/>
      <w:bookmarkEnd w:id="1323"/>
      <w:bookmarkStart w:id="1324" w:name="_Toc330406408"/>
      <w:bookmarkEnd w:id="1324"/>
      <w:bookmarkStart w:id="1325" w:name="_Toc453057127"/>
      <w:bookmarkEnd w:id="1325"/>
      <w:bookmarkStart w:id="1326" w:name="_Toc451261317"/>
      <w:bookmarkEnd w:id="1326"/>
      <w:r>
        <w:rPr>
          <w:rFonts w:hint="eastAsia" w:ascii="宋体" w:hAnsi="宋体" w:cs="宋体"/>
          <w:color w:val="000000" w:themeColor="text1"/>
          <w:sz w:val="24"/>
          <w:szCs w:val="24"/>
          <w:highlight w:val="none"/>
          <w14:textFill>
            <w14:solidFill>
              <w14:schemeClr w14:val="tx1"/>
            </w14:solidFill>
          </w14:textFill>
        </w:rPr>
        <w:t>10.3年度施工计划</w:t>
      </w:r>
    </w:p>
    <w:p w14:paraId="3575D28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6496A910">
      <w:pPr>
        <w:pStyle w:val="4"/>
        <w:spacing w:beforeLines="50" w:line="400" w:lineRule="exact"/>
        <w:rPr>
          <w:rFonts w:ascii="宋体" w:hAnsi="宋体" w:cs="宋体"/>
          <w:color w:val="000000" w:themeColor="text1"/>
          <w:sz w:val="24"/>
          <w:highlight w:val="none"/>
          <w14:textFill>
            <w14:solidFill>
              <w14:schemeClr w14:val="tx1"/>
            </w14:solidFill>
          </w14:textFill>
        </w:rPr>
      </w:pPr>
      <w:bookmarkStart w:id="1327" w:name="_Toc393546468"/>
      <w:bookmarkEnd w:id="1327"/>
      <w:bookmarkStart w:id="1328" w:name="_Toc451261318"/>
      <w:bookmarkEnd w:id="1328"/>
      <w:bookmarkStart w:id="1329" w:name="_Toc43475944"/>
      <w:bookmarkEnd w:id="1329"/>
      <w:bookmarkStart w:id="1330" w:name="_Toc453057128"/>
      <w:bookmarkEnd w:id="1330"/>
      <w:bookmarkStart w:id="1331" w:name="_Toc330406409"/>
      <w:bookmarkEnd w:id="1331"/>
      <w:bookmarkStart w:id="1332" w:name="_Toc386467214"/>
      <w:bookmarkEnd w:id="1332"/>
      <w:r>
        <w:rPr>
          <w:rFonts w:hint="eastAsia" w:ascii="宋体" w:hAnsi="宋体" w:cs="宋体"/>
          <w:color w:val="000000" w:themeColor="text1"/>
          <w:sz w:val="24"/>
          <w:szCs w:val="24"/>
          <w:highlight w:val="none"/>
          <w14:textFill>
            <w14:solidFill>
              <w14:schemeClr w14:val="tx1"/>
            </w14:solidFill>
          </w14:textFill>
        </w:rPr>
        <w:t>10.4合同用款计划</w:t>
      </w:r>
    </w:p>
    <w:p w14:paraId="75F8B8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3A6D55F">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33" w:name="_Toc453057129"/>
      <w:bookmarkEnd w:id="1333"/>
      <w:bookmarkStart w:id="1334" w:name="_Toc393546469"/>
      <w:bookmarkEnd w:id="1334"/>
      <w:bookmarkStart w:id="1335" w:name="_Toc451261319"/>
      <w:bookmarkEnd w:id="1335"/>
      <w:bookmarkStart w:id="1336" w:name="_Toc386467215"/>
      <w:bookmarkEnd w:id="1336"/>
      <w:bookmarkStart w:id="1337" w:name="_Toc43475945"/>
      <w:bookmarkEnd w:id="1337"/>
      <w:bookmarkStart w:id="1338" w:name="_Toc330406410"/>
      <w:bookmarkEnd w:id="1338"/>
      <w:r>
        <w:rPr>
          <w:rFonts w:hint="eastAsia" w:ascii="宋体" w:hAnsi="宋体" w:cs="宋体"/>
          <w:color w:val="000000" w:themeColor="text1"/>
          <w:sz w:val="28"/>
          <w:szCs w:val="28"/>
          <w:highlight w:val="none"/>
          <w14:textFill>
            <w14:solidFill>
              <w14:schemeClr w14:val="tx1"/>
            </w14:solidFill>
          </w14:textFill>
        </w:rPr>
        <w:t>11.开工和交工</w:t>
      </w:r>
    </w:p>
    <w:p w14:paraId="0FFA13E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9" w:name="_Toc386467216"/>
      <w:bookmarkEnd w:id="1339"/>
      <w:bookmarkStart w:id="1340" w:name="_Toc330406411"/>
      <w:bookmarkEnd w:id="1340"/>
      <w:bookmarkStart w:id="1341" w:name="_Toc393546470"/>
      <w:bookmarkEnd w:id="1341"/>
      <w:bookmarkStart w:id="1342" w:name="_Toc43475946"/>
      <w:bookmarkEnd w:id="1342"/>
      <w:bookmarkStart w:id="1343" w:name="_Toc451261320"/>
      <w:bookmarkEnd w:id="1343"/>
      <w:bookmarkStart w:id="1344" w:name="_Toc453057130"/>
      <w:bookmarkEnd w:id="1344"/>
      <w:r>
        <w:rPr>
          <w:rFonts w:hint="eastAsia" w:ascii="宋体" w:hAnsi="宋体" w:cs="宋体"/>
          <w:color w:val="000000" w:themeColor="text1"/>
          <w:sz w:val="24"/>
          <w:szCs w:val="24"/>
          <w:highlight w:val="none"/>
          <w14:textFill>
            <w14:solidFill>
              <w14:schemeClr w14:val="tx1"/>
            </w14:solidFill>
          </w14:textFill>
        </w:rPr>
        <w:t>11.1开工</w:t>
      </w:r>
    </w:p>
    <w:p w14:paraId="2E7A6D9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第11.1.2项补充：</w:t>
      </w:r>
    </w:p>
    <w:p w14:paraId="0C7E52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14:paraId="5B8A46A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45" w:name="_Toc453057131"/>
      <w:bookmarkEnd w:id="1345"/>
      <w:bookmarkStart w:id="1346" w:name="_Toc386467217"/>
      <w:bookmarkEnd w:id="1346"/>
      <w:bookmarkStart w:id="1347" w:name="_Toc393546471"/>
      <w:bookmarkEnd w:id="1347"/>
      <w:bookmarkStart w:id="1348" w:name="_Toc451261321"/>
      <w:bookmarkEnd w:id="1348"/>
      <w:bookmarkStart w:id="1349" w:name="_Toc43475947"/>
      <w:bookmarkEnd w:id="1349"/>
      <w:bookmarkStart w:id="1350" w:name="_Toc330406412"/>
      <w:bookmarkEnd w:id="1350"/>
      <w:r>
        <w:rPr>
          <w:rFonts w:hint="eastAsia" w:ascii="宋体" w:hAnsi="宋体" w:cs="宋体"/>
          <w:color w:val="000000" w:themeColor="text1"/>
          <w:sz w:val="24"/>
          <w:szCs w:val="24"/>
          <w:highlight w:val="none"/>
          <w14:textFill>
            <w14:solidFill>
              <w14:schemeClr w14:val="tx1"/>
            </w14:solidFill>
          </w14:textFill>
        </w:rPr>
        <w:t>11.3发包人的工期延误</w:t>
      </w:r>
    </w:p>
    <w:p w14:paraId="7285D43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8EC9FA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即使由于上述原因造成工期延误，如果受影响的工程并非处在工程施工进度网络计划的关键线路上，则承包人无权要求延长总工期。</w:t>
      </w:r>
    </w:p>
    <w:p w14:paraId="6FAEE92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51" w:name="_Toc451261322"/>
      <w:bookmarkEnd w:id="1351"/>
      <w:bookmarkStart w:id="1352" w:name="_Toc393546472"/>
      <w:bookmarkEnd w:id="1352"/>
      <w:bookmarkStart w:id="1353" w:name="_Toc453057132"/>
      <w:bookmarkEnd w:id="1353"/>
      <w:bookmarkStart w:id="1354" w:name="_Toc386467218"/>
      <w:bookmarkEnd w:id="1354"/>
      <w:bookmarkStart w:id="1355" w:name="_Toc43475948"/>
      <w:bookmarkEnd w:id="1355"/>
      <w:bookmarkStart w:id="1356" w:name="_Toc330406413"/>
      <w:bookmarkEnd w:id="1356"/>
      <w:r>
        <w:rPr>
          <w:rFonts w:hint="eastAsia" w:ascii="宋体" w:hAnsi="宋体" w:cs="宋体"/>
          <w:color w:val="000000" w:themeColor="text1"/>
          <w:sz w:val="24"/>
          <w:szCs w:val="24"/>
          <w:highlight w:val="none"/>
          <w14:textFill>
            <w14:solidFill>
              <w14:schemeClr w14:val="tx1"/>
            </w14:solidFill>
          </w14:textFill>
        </w:rPr>
        <w:t>11.4异常恶劣的气候条件</w:t>
      </w:r>
    </w:p>
    <w:p w14:paraId="6BDE47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4583E6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异常气候条件是指项目所在地30年一遇的罕见气候现象（包括温度、降水、降雪、风等）。异常恶劣的气候条件在项目专用合同条款中作具体规定。</w:t>
      </w:r>
    </w:p>
    <w:p w14:paraId="6FAA06F7">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57" w:name="_Toc43475949"/>
      <w:bookmarkEnd w:id="1357"/>
      <w:bookmarkStart w:id="1358" w:name="_Toc453057133"/>
      <w:bookmarkEnd w:id="1358"/>
      <w:bookmarkStart w:id="1359" w:name="_Toc451261323"/>
      <w:bookmarkEnd w:id="1359"/>
      <w:bookmarkStart w:id="1360" w:name="_Toc393546473"/>
      <w:bookmarkEnd w:id="1360"/>
      <w:bookmarkStart w:id="1361" w:name="_Toc330406414"/>
      <w:bookmarkEnd w:id="1361"/>
      <w:bookmarkStart w:id="1362" w:name="_Toc386467219"/>
      <w:bookmarkEnd w:id="1362"/>
      <w:r>
        <w:rPr>
          <w:rFonts w:hint="eastAsia" w:ascii="宋体" w:hAnsi="宋体" w:cs="宋体"/>
          <w:color w:val="000000" w:themeColor="text1"/>
          <w:sz w:val="24"/>
          <w:szCs w:val="24"/>
          <w:highlight w:val="none"/>
          <w14:textFill>
            <w14:solidFill>
              <w14:schemeClr w14:val="tx1"/>
            </w14:solidFill>
          </w14:textFill>
        </w:rPr>
        <w:t>11.5承包人的工期延误</w:t>
      </w:r>
    </w:p>
    <w:p w14:paraId="442916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0271FCF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6E8B4C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1098987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2BADB86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（4）承包人支付逾期竣工建约金，不免除承包人完成工程及修补缺陷的义务。</w:t>
      </w:r>
    </w:p>
    <w:p w14:paraId="699A7D6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3A687F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3" w:name="_Toc386467220"/>
      <w:bookmarkEnd w:id="1363"/>
      <w:bookmarkStart w:id="1364" w:name="_Toc453057134"/>
      <w:bookmarkEnd w:id="1364"/>
      <w:bookmarkStart w:id="1365" w:name="_Toc43475950"/>
      <w:bookmarkEnd w:id="1365"/>
      <w:bookmarkStart w:id="1366" w:name="_Toc451261324"/>
      <w:bookmarkEnd w:id="1366"/>
      <w:bookmarkStart w:id="1367" w:name="_Toc393546474"/>
      <w:bookmarkEnd w:id="1367"/>
      <w:bookmarkStart w:id="1368" w:name="_Toc330406415"/>
      <w:bookmarkEnd w:id="1368"/>
      <w:r>
        <w:rPr>
          <w:rFonts w:hint="eastAsia" w:ascii="宋体" w:hAnsi="宋体" w:cs="宋体"/>
          <w:color w:val="000000" w:themeColor="text1"/>
          <w:sz w:val="24"/>
          <w:szCs w:val="24"/>
          <w:highlight w:val="none"/>
          <w14:textFill>
            <w14:solidFill>
              <w14:schemeClr w14:val="tx1"/>
            </w14:solidFill>
          </w14:textFill>
        </w:rPr>
        <w:t>11.6工期提前</w:t>
      </w:r>
    </w:p>
    <w:p w14:paraId="3EBA35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41C908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14:paraId="3562E3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4422528D">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4E1037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本条补充11.7款：</w:t>
      </w:r>
    </w:p>
    <w:p w14:paraId="052CA87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9" w:name="_Toc393546475"/>
      <w:bookmarkEnd w:id="1369"/>
      <w:bookmarkStart w:id="1370" w:name="_Toc386467221"/>
      <w:bookmarkEnd w:id="1370"/>
      <w:bookmarkStart w:id="1371" w:name="_Toc453057135"/>
      <w:bookmarkEnd w:id="1371"/>
      <w:bookmarkStart w:id="1372" w:name="_Toc43475951"/>
      <w:bookmarkEnd w:id="1372"/>
      <w:bookmarkStart w:id="1373" w:name="_Toc451261325"/>
      <w:bookmarkEnd w:id="1373"/>
      <w:bookmarkStart w:id="1374" w:name="_Toc330406416"/>
      <w:bookmarkEnd w:id="1374"/>
      <w:r>
        <w:rPr>
          <w:rFonts w:hint="eastAsia" w:ascii="宋体" w:hAnsi="宋体" w:cs="宋体"/>
          <w:color w:val="000000" w:themeColor="text1"/>
          <w:sz w:val="24"/>
          <w:szCs w:val="24"/>
          <w:highlight w:val="none"/>
          <w14:textFill>
            <w14:solidFill>
              <w14:schemeClr w14:val="tx1"/>
            </w14:solidFill>
          </w14:textFill>
        </w:rPr>
        <w:t>11.7工作时间的限制</w:t>
      </w:r>
    </w:p>
    <w:p w14:paraId="02624AC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承包人在夜间或国家规定的节假日进行永久工程的施工，应向监理人报告，以便监理人履行监理人履行监理职责和义务。</w:t>
      </w:r>
    </w:p>
    <w:p w14:paraId="2AF4A9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但是，为了抢救生命或保护财产，或为了工程的安全、质量而不可避免地短暂作业，则不必事先向监理人报告。但承包人应在事后立即向监理人报告。</w:t>
      </w:r>
    </w:p>
    <w:p w14:paraId="68D70C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本款规定不适用于习惯上或施工本身要求实行连续生产的作业。</w:t>
      </w:r>
    </w:p>
    <w:p w14:paraId="6104FBD8">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75" w:name="_Toc453057136"/>
      <w:bookmarkEnd w:id="1375"/>
      <w:bookmarkStart w:id="1376" w:name="_Toc386467222"/>
      <w:bookmarkEnd w:id="1376"/>
      <w:bookmarkStart w:id="1377" w:name="_Toc451261326"/>
      <w:bookmarkEnd w:id="1377"/>
      <w:bookmarkStart w:id="1378" w:name="_Toc330406417"/>
      <w:bookmarkEnd w:id="1378"/>
      <w:bookmarkStart w:id="1379" w:name="_Toc393546476"/>
      <w:bookmarkEnd w:id="1379"/>
      <w:bookmarkStart w:id="1380" w:name="_Toc43475952"/>
      <w:bookmarkEnd w:id="1380"/>
      <w:r>
        <w:rPr>
          <w:rFonts w:hint="eastAsia" w:ascii="宋体" w:hAnsi="宋体" w:cs="宋体"/>
          <w:color w:val="000000" w:themeColor="text1"/>
          <w:sz w:val="28"/>
          <w:szCs w:val="28"/>
          <w:highlight w:val="none"/>
          <w14:textFill>
            <w14:solidFill>
              <w14:schemeClr w14:val="tx1"/>
            </w14:solidFill>
          </w14:textFill>
        </w:rPr>
        <w:t>12.暂停施工</w:t>
      </w:r>
    </w:p>
    <w:p w14:paraId="1DF27A8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81" w:name="_Toc43475953"/>
      <w:bookmarkEnd w:id="1381"/>
      <w:bookmarkStart w:id="1382" w:name="_Toc451261327"/>
      <w:bookmarkEnd w:id="1382"/>
      <w:bookmarkStart w:id="1383" w:name="_Toc330406418"/>
      <w:bookmarkEnd w:id="1383"/>
      <w:bookmarkStart w:id="1384" w:name="_Toc386467223"/>
      <w:bookmarkEnd w:id="1384"/>
      <w:bookmarkStart w:id="1385" w:name="_Toc393546477"/>
      <w:bookmarkEnd w:id="1385"/>
      <w:bookmarkStart w:id="1386" w:name="_Toc453057137"/>
      <w:bookmarkEnd w:id="1386"/>
      <w:r>
        <w:rPr>
          <w:rFonts w:hint="eastAsia" w:ascii="宋体" w:hAnsi="宋体" w:cs="宋体"/>
          <w:color w:val="000000" w:themeColor="text1"/>
          <w:sz w:val="24"/>
          <w:szCs w:val="24"/>
          <w:highlight w:val="none"/>
          <w14:textFill>
            <w14:solidFill>
              <w14:schemeClr w14:val="tx1"/>
            </w14:solidFill>
          </w14:textFill>
        </w:rPr>
        <w:t>12.1承包人暂停施工的责任</w:t>
      </w:r>
    </w:p>
    <w:p w14:paraId="637A0DC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本款第（5）项细化为：</w:t>
      </w:r>
    </w:p>
    <w:p w14:paraId="71975F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（5）现场气候条件导致的必要停工（第11.4款规定的异常恶劣的气候条件除外）；</w:t>
      </w:r>
    </w:p>
    <w:p w14:paraId="7B9B45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（6）项目专用合同条款约定的由承包人承担的其他暂停施工。</w:t>
      </w:r>
    </w:p>
    <w:p w14:paraId="2039CCAF">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387" w:name="_Toc330406419"/>
      <w:bookmarkEnd w:id="1387"/>
      <w:bookmarkStart w:id="1388" w:name="_Toc43475954"/>
      <w:bookmarkEnd w:id="1388"/>
      <w:bookmarkStart w:id="1389" w:name="_Toc386467224"/>
      <w:bookmarkEnd w:id="1389"/>
      <w:bookmarkStart w:id="1390" w:name="_Toc393546478"/>
      <w:bookmarkEnd w:id="1390"/>
      <w:bookmarkStart w:id="1391" w:name="_Toc451261328"/>
      <w:bookmarkEnd w:id="1391"/>
      <w:bookmarkStart w:id="1392" w:name="_Toc453057138"/>
      <w:bookmarkEnd w:id="1392"/>
      <w:r>
        <w:rPr>
          <w:rFonts w:hint="eastAsia" w:ascii="宋体" w:hAnsi="宋体" w:cs="宋体"/>
          <w:color w:val="000000" w:themeColor="text1"/>
          <w:sz w:val="28"/>
          <w:szCs w:val="28"/>
          <w:highlight w:val="none"/>
          <w14:textFill>
            <w14:solidFill>
              <w14:schemeClr w14:val="tx1"/>
            </w14:solidFill>
          </w14:textFill>
        </w:rPr>
        <w:t>13.工程质量</w:t>
      </w:r>
    </w:p>
    <w:p w14:paraId="6589B09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3" w:name="_Toc386467225"/>
      <w:bookmarkEnd w:id="1393"/>
      <w:bookmarkStart w:id="1394" w:name="_Toc393546479"/>
      <w:bookmarkEnd w:id="1394"/>
      <w:bookmarkStart w:id="1395" w:name="_Toc453057139"/>
      <w:bookmarkEnd w:id="1395"/>
      <w:bookmarkStart w:id="1396" w:name="_Toc451261329"/>
      <w:bookmarkEnd w:id="1396"/>
      <w:bookmarkStart w:id="1397" w:name="_Toc43475955"/>
      <w:bookmarkEnd w:id="1397"/>
      <w:bookmarkStart w:id="1398" w:name="_Toc330406420"/>
      <w:bookmarkEnd w:id="1398"/>
      <w:r>
        <w:rPr>
          <w:rFonts w:hint="eastAsia" w:ascii="宋体" w:hAnsi="宋体" w:cs="宋体"/>
          <w:color w:val="000000" w:themeColor="text1"/>
          <w:sz w:val="24"/>
          <w:szCs w:val="24"/>
          <w:highlight w:val="none"/>
          <w14:textFill>
            <w14:solidFill>
              <w14:schemeClr w14:val="tx1"/>
            </w14:solidFill>
          </w14:textFill>
        </w:rPr>
        <w:t>13.1工程质量要求</w:t>
      </w:r>
    </w:p>
    <w:p w14:paraId="5CD184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第13.1.1项约定为：</w:t>
      </w:r>
    </w:p>
    <w:p w14:paraId="389794B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工程质量验收按技术规范及《公路工程质量检验评定标准》执行。</w:t>
      </w:r>
    </w:p>
    <w:p w14:paraId="2D82BA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本款补充第13.1.4和13.1.5项：</w:t>
      </w:r>
    </w:p>
    <w:p w14:paraId="5AC708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13.1.4发包人和承包人应严格遵守《关于严格落实公路工程质量责任制的若干意见》的相关规定，认真执行工程质量责任登记制度并按要求填写工程质量责任登记表。</w:t>
      </w:r>
    </w:p>
    <w:p w14:paraId="593626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14:paraId="5682B42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9" w:name="_Toc43475956"/>
      <w:bookmarkEnd w:id="1399"/>
      <w:bookmarkStart w:id="1400" w:name="_Toc451261330"/>
      <w:bookmarkEnd w:id="1400"/>
      <w:bookmarkStart w:id="1401" w:name="_Toc393546480"/>
      <w:bookmarkEnd w:id="1401"/>
      <w:bookmarkStart w:id="1402" w:name="_Toc330406421"/>
      <w:bookmarkEnd w:id="1402"/>
      <w:bookmarkStart w:id="1403" w:name="_Toc386467226"/>
      <w:bookmarkEnd w:id="1403"/>
      <w:bookmarkStart w:id="1404" w:name="_Toc453057140"/>
      <w:bookmarkEnd w:id="1404"/>
      <w:r>
        <w:rPr>
          <w:rFonts w:hint="eastAsia" w:ascii="宋体" w:hAnsi="宋体" w:cs="宋体"/>
          <w:color w:val="000000" w:themeColor="text1"/>
          <w:sz w:val="24"/>
          <w:szCs w:val="24"/>
          <w:highlight w:val="none"/>
          <w14:textFill>
            <w14:solidFill>
              <w14:schemeClr w14:val="tx1"/>
            </w14:solidFill>
          </w14:textFill>
        </w:rPr>
        <w:t>13.2承包人的质量管理</w:t>
      </w:r>
    </w:p>
    <w:p w14:paraId="5212E4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第13.2.1项补充：</w:t>
      </w:r>
    </w:p>
    <w:p w14:paraId="409F07A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承包人提交工程质量保证措施文件的期限：签订合同协议书后28天之内。</w:t>
      </w:r>
    </w:p>
    <w:p w14:paraId="1C1F6A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项〜第</w:t>
      </w: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项：</w:t>
      </w:r>
    </w:p>
    <w:p w14:paraId="10DAE5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公路工程施行质量责任终身制。承包人应当书面明确相应的项目负责人 和质量负责人。承包人的相关人员按照国家法律法规和有关规定在工程合理使用年 限内承担相应的质量责任。</w:t>
      </w:r>
    </w:p>
    <w:p w14:paraId="747265E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13.2.4</w:t>
      </w:r>
      <w:r>
        <w:rPr>
          <w:rFonts w:hint="eastAsia" w:ascii="宋体" w:hAnsi="宋体" w:cs="宋体"/>
          <w:color w:val="000000" w:themeColor="text1"/>
          <w:sz w:val="24"/>
          <w:highlight w:val="none"/>
          <w:lang w:val="zh-CN"/>
          <w14:textFill>
            <w14:solidFill>
              <w14:schemeClr w14:val="tx1"/>
            </w14:solidFill>
          </w14:textFill>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14:paraId="3E2764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w:t>
      </w:r>
      <w:r>
        <w:rPr>
          <w:rFonts w:hint="eastAsia" w:ascii="宋体" w:hAnsi="宋体" w:cs="宋体"/>
          <w:color w:val="000000" w:themeColor="text1"/>
          <w:sz w:val="24"/>
          <w:highlight w:val="none"/>
          <w:lang w:val="zh-CN"/>
          <w14:textFill>
            <w14:solidFill>
              <w14:schemeClr w14:val="tx1"/>
            </w14:solidFill>
          </w14:textFill>
        </w:rPr>
        <w:t>承包人对工程施工质量负责，应当按合同约定设立现场质量管理机构、 配备工程技术人员和质量管理人员，落实工程施工质量责任制。</w:t>
      </w:r>
    </w:p>
    <w:p w14:paraId="37A9CC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13.2.6</w:t>
      </w:r>
      <w:r>
        <w:rPr>
          <w:rFonts w:hint="eastAsia" w:ascii="宋体" w:hAnsi="宋体" w:cs="宋体"/>
          <w:color w:val="000000" w:themeColor="text1"/>
          <w:sz w:val="24"/>
          <w:highlight w:val="none"/>
          <w:lang w:val="zh-CN"/>
          <w14:textFill>
            <w14:solidFill>
              <w14:schemeClr w14:val="tx1"/>
            </w14:solidFill>
          </w14:textFill>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14:paraId="4F325E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13.2.7</w:t>
      </w:r>
      <w:r>
        <w:rPr>
          <w:rFonts w:hint="eastAsia" w:ascii="宋体" w:hAnsi="宋体" w:cs="宋体"/>
          <w:color w:val="000000" w:themeColor="text1"/>
          <w:sz w:val="24"/>
          <w:highlight w:val="none"/>
          <w:lang w:val="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34922E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13.2.8</w:t>
      </w:r>
      <w:r>
        <w:rPr>
          <w:rFonts w:hint="eastAsia" w:ascii="宋体" w:hAnsi="宋体" w:cs="宋体"/>
          <w:color w:val="000000" w:themeColor="text1"/>
          <w:sz w:val="24"/>
          <w:highlight w:val="none"/>
          <w:lang w:val="zh-CN"/>
          <w14:textFill>
            <w14:solidFill>
              <w14:schemeClr w14:val="tx1"/>
            </w14:solidFill>
          </w14:textFill>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14B997B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13.2.9</w:t>
      </w:r>
      <w:r>
        <w:rPr>
          <w:rFonts w:hint="eastAsia" w:ascii="宋体" w:hAnsi="宋体" w:cs="宋体"/>
          <w:color w:val="000000" w:themeColor="text1"/>
          <w:sz w:val="24"/>
          <w:highlight w:val="none"/>
          <w:lang w:val="zh-CN"/>
          <w14:textFill>
            <w14:solidFill>
              <w14:schemeClr w14:val="tx1"/>
            </w14:solidFill>
          </w14:textFill>
        </w:rPr>
        <w:t>承包人应当依法规范分包行为，并对承担的工程质量负总责，分包单位 对分包合同范围内的工程质量负责。</w:t>
      </w:r>
    </w:p>
    <w:p w14:paraId="411AAD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承包人驻工程现场机构应在现场驻地和重要的分部、分项工程施工现场 设置明显的工程质量责任登记表公示牌</w:t>
      </w:r>
    </w:p>
    <w:p w14:paraId="29A3707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05" w:name="_Toc386467227"/>
      <w:bookmarkEnd w:id="1405"/>
      <w:bookmarkStart w:id="1406" w:name="_Toc330406422"/>
      <w:bookmarkEnd w:id="1406"/>
      <w:bookmarkStart w:id="1407" w:name="_Toc453057141"/>
      <w:bookmarkEnd w:id="1407"/>
      <w:bookmarkStart w:id="1408" w:name="_Toc451261331"/>
      <w:bookmarkEnd w:id="1408"/>
      <w:bookmarkStart w:id="1409" w:name="_Toc393546481"/>
      <w:bookmarkEnd w:id="1409"/>
      <w:bookmarkStart w:id="1410" w:name="_Toc43475957"/>
      <w:bookmarkEnd w:id="1410"/>
      <w:r>
        <w:rPr>
          <w:rFonts w:hint="eastAsia" w:ascii="宋体" w:hAnsi="宋体" w:cs="宋体"/>
          <w:color w:val="000000" w:themeColor="text1"/>
          <w:sz w:val="24"/>
          <w:szCs w:val="24"/>
          <w:highlight w:val="none"/>
          <w14:textFill>
            <w14:solidFill>
              <w14:schemeClr w14:val="tx1"/>
            </w14:solidFill>
          </w14:textFill>
        </w:rPr>
        <w:t>13.4监理人的质量检查</w:t>
      </w:r>
    </w:p>
    <w:p w14:paraId="5289D4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4E954D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14:paraId="0C87E85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监理人可以将材料或工程设备的检查委托给一家独立的有质量检验认证资格的检验单位。该独立检验单位的检验结果应视为监理人完成的。监理人应将这种委托的通知书不少于7天交给承包人。</w:t>
      </w:r>
    </w:p>
    <w:p w14:paraId="3A74A17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1" w:name="_Toc453057142"/>
      <w:bookmarkEnd w:id="1411"/>
      <w:bookmarkStart w:id="1412" w:name="_Toc330406423"/>
      <w:bookmarkEnd w:id="1412"/>
      <w:bookmarkStart w:id="1413" w:name="_Toc393546482"/>
      <w:bookmarkEnd w:id="1413"/>
      <w:bookmarkStart w:id="1414" w:name="_Toc386467228"/>
      <w:bookmarkEnd w:id="1414"/>
      <w:bookmarkStart w:id="1415" w:name="_Toc451261332"/>
      <w:bookmarkEnd w:id="1415"/>
      <w:bookmarkStart w:id="1416" w:name="_Toc43475958"/>
      <w:bookmarkEnd w:id="1416"/>
      <w:r>
        <w:rPr>
          <w:rFonts w:hint="eastAsia" w:ascii="宋体" w:hAnsi="宋体" w:cs="宋体"/>
          <w:color w:val="000000" w:themeColor="text1"/>
          <w:sz w:val="24"/>
          <w:szCs w:val="24"/>
          <w:highlight w:val="none"/>
          <w14:textFill>
            <w14:solidFill>
              <w14:schemeClr w14:val="tx1"/>
            </w14:solidFill>
          </w14:textFill>
        </w:rPr>
        <w:t>13.5工程隐蔽部位覆盖前的检查</w:t>
      </w:r>
    </w:p>
    <w:p w14:paraId="3AD86D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第13.5.1项补充：</w:t>
      </w:r>
    </w:p>
    <w:p w14:paraId="14FA7F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04CC381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7" w:name="_Toc43475959"/>
      <w:bookmarkEnd w:id="1417"/>
      <w:bookmarkStart w:id="1418" w:name="_Toc453057143"/>
      <w:bookmarkEnd w:id="1418"/>
      <w:bookmarkStart w:id="1419" w:name="_Toc386467229"/>
      <w:bookmarkEnd w:id="1419"/>
      <w:bookmarkStart w:id="1420" w:name="_Toc451261333"/>
      <w:bookmarkEnd w:id="1420"/>
      <w:bookmarkStart w:id="1421" w:name="_Toc393546483"/>
      <w:bookmarkEnd w:id="1421"/>
      <w:bookmarkStart w:id="1422" w:name="_Toc330406424"/>
      <w:bookmarkEnd w:id="1422"/>
      <w:r>
        <w:rPr>
          <w:rFonts w:hint="eastAsia" w:ascii="宋体" w:hAnsi="宋体" w:cs="宋体"/>
          <w:color w:val="000000" w:themeColor="text1"/>
          <w:sz w:val="24"/>
          <w:szCs w:val="24"/>
          <w:highlight w:val="none"/>
          <w14:textFill>
            <w14:solidFill>
              <w14:schemeClr w14:val="tx1"/>
            </w14:solidFill>
          </w14:textFill>
        </w:rPr>
        <w:t>13.6清除不合格工程</w:t>
      </w:r>
    </w:p>
    <w:p w14:paraId="5EDE65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第13.6.1项细化为：</w:t>
      </w:r>
    </w:p>
    <w:p w14:paraId="674E60A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516745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（2）如果承包人未在规定时间内执行监理人的指示，发包人有权雇用他人执行，由此增加的费用和（或）工期延误由承包人承担。</w:t>
      </w:r>
    </w:p>
    <w:p w14:paraId="24F1C28A">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23" w:name="_Toc43475960"/>
      <w:bookmarkEnd w:id="1423"/>
      <w:bookmarkStart w:id="1424" w:name="_Toc393546484"/>
      <w:bookmarkEnd w:id="1424"/>
      <w:bookmarkStart w:id="1425" w:name="_Toc330406425"/>
      <w:bookmarkEnd w:id="1425"/>
      <w:bookmarkStart w:id="1426" w:name="_Toc453057144"/>
      <w:bookmarkEnd w:id="1426"/>
      <w:bookmarkStart w:id="1427" w:name="_Toc386467230"/>
      <w:bookmarkEnd w:id="1427"/>
      <w:bookmarkStart w:id="1428" w:name="_Toc451261334"/>
      <w:bookmarkEnd w:id="1428"/>
      <w:r>
        <w:rPr>
          <w:rFonts w:hint="eastAsia" w:ascii="宋体" w:hAnsi="宋体" w:cs="宋体"/>
          <w:color w:val="000000" w:themeColor="text1"/>
          <w:sz w:val="28"/>
          <w:szCs w:val="28"/>
          <w:highlight w:val="none"/>
          <w14:textFill>
            <w14:solidFill>
              <w14:schemeClr w14:val="tx1"/>
            </w14:solidFill>
          </w14:textFill>
        </w:rPr>
        <w:t>14.试验和检验</w:t>
      </w:r>
    </w:p>
    <w:p w14:paraId="13FFD73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补充第14.4款：</w:t>
      </w:r>
    </w:p>
    <w:p w14:paraId="69D6943C">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29" w:name="_Toc453057145"/>
      <w:bookmarkEnd w:id="1429"/>
      <w:bookmarkStart w:id="1430" w:name="_Toc386467231"/>
      <w:bookmarkEnd w:id="1430"/>
      <w:bookmarkStart w:id="1431" w:name="_Toc451261335"/>
      <w:bookmarkEnd w:id="1431"/>
      <w:bookmarkStart w:id="1432" w:name="_Toc393546485"/>
      <w:bookmarkEnd w:id="1432"/>
      <w:bookmarkStart w:id="1433" w:name="_Toc43475961"/>
      <w:bookmarkEnd w:id="1433"/>
      <w:bookmarkStart w:id="1434" w:name="_Toc330406426"/>
      <w:bookmarkEnd w:id="1434"/>
      <w:r>
        <w:rPr>
          <w:rFonts w:hint="eastAsia" w:ascii="宋体" w:hAnsi="宋体" w:cs="宋体"/>
          <w:color w:val="000000" w:themeColor="text1"/>
          <w:sz w:val="24"/>
          <w:szCs w:val="24"/>
          <w:highlight w:val="none"/>
          <w14:textFill>
            <w14:solidFill>
              <w14:schemeClr w14:val="tx1"/>
            </w14:solidFill>
          </w14:textFill>
        </w:rPr>
        <w:t>14.4试验和检验费用</w:t>
      </w:r>
    </w:p>
    <w:p w14:paraId="0BB4AF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（1）承包人应负责提供合同和技术规范规定的试验和检验所需的全部样品，并承担其费用。</w:t>
      </w:r>
    </w:p>
    <w:p w14:paraId="44F63F8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14:paraId="64C0815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0FB6313B">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35" w:name="_Toc453057146"/>
      <w:bookmarkEnd w:id="1435"/>
      <w:bookmarkStart w:id="1436" w:name="_Toc43475962"/>
      <w:bookmarkEnd w:id="1436"/>
      <w:bookmarkStart w:id="1437" w:name="_Toc393546486"/>
      <w:bookmarkEnd w:id="1437"/>
      <w:bookmarkStart w:id="1438" w:name="_Toc451261336"/>
      <w:bookmarkEnd w:id="1438"/>
      <w:bookmarkStart w:id="1439" w:name="_Toc386467232"/>
      <w:bookmarkEnd w:id="1439"/>
      <w:bookmarkStart w:id="1440" w:name="_Toc330406427"/>
      <w:bookmarkEnd w:id="1440"/>
      <w:r>
        <w:rPr>
          <w:rFonts w:hint="eastAsia" w:ascii="宋体" w:hAnsi="宋体" w:cs="宋体"/>
          <w:color w:val="000000" w:themeColor="text1"/>
          <w:sz w:val="28"/>
          <w:szCs w:val="28"/>
          <w:highlight w:val="none"/>
          <w14:textFill>
            <w14:solidFill>
              <w14:schemeClr w14:val="tx1"/>
            </w14:solidFill>
          </w14:textFill>
        </w:rPr>
        <w:t>15.变更</w:t>
      </w:r>
    </w:p>
    <w:p w14:paraId="735E2E1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1" w:name="_Toc451261337"/>
      <w:bookmarkEnd w:id="1441"/>
      <w:bookmarkStart w:id="1442" w:name="_Toc386467233"/>
      <w:bookmarkEnd w:id="1442"/>
      <w:bookmarkStart w:id="1443" w:name="_Toc393546487"/>
      <w:bookmarkEnd w:id="1443"/>
      <w:bookmarkStart w:id="1444" w:name="_Toc43475963"/>
      <w:bookmarkEnd w:id="1444"/>
      <w:bookmarkStart w:id="1445" w:name="_Toc330406428"/>
      <w:bookmarkEnd w:id="1445"/>
      <w:bookmarkStart w:id="1446" w:name="_Toc453057147"/>
      <w:bookmarkEnd w:id="1446"/>
      <w:r>
        <w:rPr>
          <w:rFonts w:hint="eastAsia" w:ascii="宋体" w:hAnsi="宋体" w:cs="宋体"/>
          <w:color w:val="000000" w:themeColor="text1"/>
          <w:sz w:val="24"/>
          <w:szCs w:val="24"/>
          <w:highlight w:val="none"/>
          <w14:textFill>
            <w14:solidFill>
              <w14:schemeClr w14:val="tx1"/>
            </w14:solidFill>
          </w14:textFill>
        </w:rPr>
        <w:t>15.1变更的范围和内容</w:t>
      </w:r>
    </w:p>
    <w:p w14:paraId="386EE5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本款第（1）项细化为：</w:t>
      </w:r>
    </w:p>
    <w:p w14:paraId="2435699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（1）取消合同中任何一项工作，但被取消的工作不能转由发包人或其他人实施，由于承包人违约造成的情况除外；</w:t>
      </w:r>
    </w:p>
    <w:p w14:paraId="773BB29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7" w:name="_Toc386467234"/>
      <w:bookmarkEnd w:id="1447"/>
      <w:bookmarkStart w:id="1448" w:name="_Toc43475964"/>
      <w:bookmarkEnd w:id="1448"/>
      <w:bookmarkStart w:id="1449" w:name="_Toc393546488"/>
      <w:bookmarkEnd w:id="1449"/>
      <w:bookmarkStart w:id="1450" w:name="_Toc453057148"/>
      <w:bookmarkEnd w:id="1450"/>
      <w:bookmarkStart w:id="1451" w:name="_Toc451261338"/>
      <w:bookmarkEnd w:id="1451"/>
      <w:bookmarkStart w:id="1452" w:name="_Toc330406429"/>
      <w:bookmarkEnd w:id="1452"/>
      <w:r>
        <w:rPr>
          <w:rFonts w:hint="eastAsia" w:ascii="宋体" w:hAnsi="宋体" w:cs="宋体"/>
          <w:color w:val="000000" w:themeColor="text1"/>
          <w:sz w:val="24"/>
          <w:szCs w:val="24"/>
          <w:highlight w:val="none"/>
          <w14:textFill>
            <w14:solidFill>
              <w14:schemeClr w14:val="tx1"/>
            </w14:solidFill>
          </w14:textFill>
        </w:rPr>
        <w:t>15.3变更程序</w:t>
      </w:r>
    </w:p>
    <w:p w14:paraId="0207BAD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本款补充第15.3.4项：</w:t>
      </w:r>
    </w:p>
    <w:p w14:paraId="7DAB38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15.3.4设计变更程序应执行《公路工程设计变更管理办法》的相关规定。</w:t>
      </w:r>
    </w:p>
    <w:p w14:paraId="32A3ABFD">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53" w:name="_Toc453057149"/>
      <w:bookmarkEnd w:id="1453"/>
      <w:bookmarkStart w:id="1454" w:name="_Toc393546489"/>
      <w:bookmarkEnd w:id="1454"/>
      <w:bookmarkStart w:id="1455" w:name="_Toc386467235"/>
      <w:bookmarkEnd w:id="1455"/>
      <w:bookmarkStart w:id="1456" w:name="_Toc330406430"/>
      <w:bookmarkEnd w:id="1456"/>
      <w:bookmarkStart w:id="1457" w:name="_Toc451261339"/>
      <w:bookmarkEnd w:id="1457"/>
      <w:bookmarkStart w:id="1458" w:name="_Toc43475965"/>
      <w:bookmarkEnd w:id="1458"/>
      <w:r>
        <w:rPr>
          <w:rFonts w:hint="eastAsia" w:ascii="宋体" w:hAnsi="宋体" w:cs="宋体"/>
          <w:color w:val="000000" w:themeColor="text1"/>
          <w:sz w:val="24"/>
          <w:szCs w:val="24"/>
          <w:highlight w:val="none"/>
          <w14:textFill>
            <w14:solidFill>
              <w14:schemeClr w14:val="tx1"/>
            </w14:solidFill>
          </w14:textFill>
        </w:rPr>
        <w:t>15.4变更的估价原则</w:t>
      </w:r>
    </w:p>
    <w:p w14:paraId="64B5B7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55A2DD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除项目专用合同条款另有约定外，因变更引起的价格调整按照本款约定处理。</w:t>
      </w:r>
    </w:p>
    <w:p w14:paraId="6AA959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15.4.1如果取消某项工作，则该项工作的总额价不予以支付；</w:t>
      </w:r>
    </w:p>
    <w:p w14:paraId="4DA2D4D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15.4.2已标价工程量清单中有适用于变更工作的子目的，采用该子目的单价。</w:t>
      </w:r>
    </w:p>
    <w:p w14:paraId="60C219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14:paraId="1043D1D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14:paraId="3211A0A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15.4.5如果本工程的变更指示是因承包人过错、承包人违反合同或承包人责任造成的，则这种违约引起的任何额外费用应由承包人承担。</w:t>
      </w:r>
    </w:p>
    <w:p w14:paraId="679D9BD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59" w:name="_Toc393546490"/>
      <w:bookmarkEnd w:id="1459"/>
      <w:bookmarkStart w:id="1460" w:name="_Toc43475966"/>
      <w:bookmarkEnd w:id="1460"/>
      <w:bookmarkStart w:id="1461" w:name="_Toc453057150"/>
      <w:bookmarkEnd w:id="1461"/>
      <w:bookmarkStart w:id="1462" w:name="_Toc330406431"/>
      <w:bookmarkEnd w:id="1462"/>
      <w:bookmarkStart w:id="1463" w:name="_Toc386467236"/>
      <w:bookmarkEnd w:id="1463"/>
      <w:bookmarkStart w:id="1464" w:name="_Toc451261340"/>
      <w:bookmarkEnd w:id="1464"/>
      <w:r>
        <w:rPr>
          <w:rFonts w:hint="eastAsia" w:ascii="宋体" w:hAnsi="宋体" w:cs="宋体"/>
          <w:color w:val="000000" w:themeColor="text1"/>
          <w:sz w:val="24"/>
          <w:szCs w:val="24"/>
          <w:highlight w:val="none"/>
          <w14:textFill>
            <w14:solidFill>
              <w14:schemeClr w14:val="tx1"/>
            </w14:solidFill>
          </w14:textFill>
        </w:rPr>
        <w:t>15.5承包人的合理化建议</w:t>
      </w:r>
    </w:p>
    <w:p w14:paraId="30E79C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第15.5.2项约定为：</w:t>
      </w:r>
    </w:p>
    <w:p w14:paraId="25F8BC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承包人提出的合理化建议缩短了工期，发包人按第11.6款的规定给予奖励。</w:t>
      </w:r>
    </w:p>
    <w:p w14:paraId="4288994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承包人提出的合理化建议降低了合同价格或者提高了工程经济效益的，发包人按项目专用合同条款数据表中规定的金额给予奖励。</w:t>
      </w:r>
    </w:p>
    <w:p w14:paraId="17AF452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65" w:name="_Toc393546491"/>
      <w:bookmarkEnd w:id="1465"/>
      <w:bookmarkStart w:id="1466" w:name="_Toc330406432"/>
      <w:bookmarkEnd w:id="1466"/>
      <w:bookmarkStart w:id="1467" w:name="_Toc451261341"/>
      <w:bookmarkEnd w:id="1467"/>
      <w:bookmarkStart w:id="1468" w:name="_Toc43475967"/>
      <w:bookmarkEnd w:id="1468"/>
      <w:bookmarkStart w:id="1469" w:name="_Toc453057151"/>
      <w:bookmarkEnd w:id="1469"/>
      <w:bookmarkStart w:id="1470" w:name="_Toc386467237"/>
      <w:bookmarkEnd w:id="1470"/>
      <w:r>
        <w:rPr>
          <w:rFonts w:hint="eastAsia" w:ascii="宋体" w:hAnsi="宋体" w:cs="宋体"/>
          <w:color w:val="000000" w:themeColor="text1"/>
          <w:sz w:val="24"/>
          <w:szCs w:val="24"/>
          <w:highlight w:val="none"/>
          <w14:textFill>
            <w14:solidFill>
              <w14:schemeClr w14:val="tx1"/>
            </w14:solidFill>
          </w14:textFill>
        </w:rPr>
        <w:t>15.6暂列金额</w:t>
      </w:r>
    </w:p>
    <w:p w14:paraId="75C311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78DA88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15.6.l暂列金额应由监理人报发包人批准后指令全部或部分地使用，或者根本不予动用。</w:t>
      </w:r>
    </w:p>
    <w:p w14:paraId="18B9C9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5C99A0B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14:paraId="615B5854">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71" w:name="_Toc393546492"/>
      <w:bookmarkEnd w:id="1471"/>
      <w:bookmarkStart w:id="1472" w:name="_Toc43475968"/>
      <w:bookmarkEnd w:id="1472"/>
      <w:bookmarkStart w:id="1473" w:name="_Toc386467238"/>
      <w:bookmarkEnd w:id="1473"/>
      <w:bookmarkStart w:id="1474" w:name="_Toc453057152"/>
      <w:bookmarkEnd w:id="1474"/>
      <w:bookmarkStart w:id="1475" w:name="_Toc330406433"/>
      <w:bookmarkEnd w:id="1475"/>
      <w:bookmarkStart w:id="1476" w:name="_Toc451261342"/>
      <w:bookmarkEnd w:id="1476"/>
      <w:r>
        <w:rPr>
          <w:rFonts w:hint="eastAsia" w:ascii="宋体" w:hAnsi="宋体" w:cs="宋体"/>
          <w:color w:val="000000" w:themeColor="text1"/>
          <w:sz w:val="28"/>
          <w:szCs w:val="28"/>
          <w:highlight w:val="none"/>
          <w14:textFill>
            <w14:solidFill>
              <w14:schemeClr w14:val="tx1"/>
            </w14:solidFill>
          </w14:textFill>
        </w:rPr>
        <w:t>16.价格调整</w:t>
      </w:r>
    </w:p>
    <w:p w14:paraId="66E4855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77" w:name="_Toc330406434"/>
      <w:bookmarkEnd w:id="1477"/>
      <w:bookmarkStart w:id="1478" w:name="_Toc386467239"/>
      <w:bookmarkEnd w:id="1478"/>
      <w:bookmarkStart w:id="1479" w:name="_Toc453057153"/>
      <w:bookmarkEnd w:id="1479"/>
      <w:bookmarkStart w:id="1480" w:name="_Toc393546493"/>
      <w:bookmarkEnd w:id="1480"/>
      <w:bookmarkStart w:id="1481" w:name="_Toc43475969"/>
      <w:bookmarkEnd w:id="1481"/>
      <w:bookmarkStart w:id="1482" w:name="_Toc451261343"/>
      <w:bookmarkEnd w:id="1482"/>
      <w:r>
        <w:rPr>
          <w:rFonts w:hint="eastAsia" w:ascii="宋体" w:hAnsi="宋体" w:cs="宋体"/>
          <w:color w:val="000000" w:themeColor="text1"/>
          <w:sz w:val="24"/>
          <w:szCs w:val="24"/>
          <w:highlight w:val="none"/>
          <w14:textFill>
            <w14:solidFill>
              <w14:schemeClr w14:val="tx1"/>
            </w14:solidFill>
          </w14:textFill>
        </w:rPr>
        <w:t>16.1物价波动引起的价格调整</w:t>
      </w:r>
    </w:p>
    <w:p w14:paraId="3BE04E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7878AE5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（1）除项目专用合同条款另有约定外，因物价波动引起的价格调整应按项目专用合同条款数据表的规定，按照第16.1.1项或第16.1.2项约定的原则处理；或者</w:t>
      </w:r>
    </w:p>
    <w:p w14:paraId="0BEBD8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14:paraId="61EFE6B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16.1.1采用价格指数调整价格差额</w:t>
      </w:r>
    </w:p>
    <w:p w14:paraId="41F73B9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16.1.1价格调整公式</w:t>
      </w:r>
    </w:p>
    <w:p w14:paraId="21F6EE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价格调整公式后增加备注如下：</w:t>
      </w:r>
    </w:p>
    <w:p w14:paraId="32CC55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r>
        <w:rPr>
          <w:rFonts w:hint="eastAsia" w:ascii="宋体" w:hAnsi="宋体" w:cs="宋体"/>
          <w:i/>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 ＝ 1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 xml:space="preserve">＋ ...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n </w:t>
      </w:r>
      <w:r>
        <w:rPr>
          <w:rFonts w:hint="eastAsia" w:ascii="宋体" w:hAnsi="宋体" w:cs="宋体"/>
          <w:color w:val="000000" w:themeColor="text1"/>
          <w:sz w:val="24"/>
          <w:highlight w:val="none"/>
          <w14:textFill>
            <w14:solidFill>
              <w14:schemeClr w14:val="tx1"/>
            </w14:solidFill>
          </w14:textFill>
        </w:rPr>
        <w:t>）</w:t>
      </w:r>
    </w:p>
    <w:p w14:paraId="0A78465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本目最后一段文字细化为：</w:t>
      </w:r>
    </w:p>
    <w:p w14:paraId="139297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在采用价格调整公式进行调价时，还应遵守以下规定：</w:t>
      </w:r>
    </w:p>
    <w:p w14:paraId="747BCFB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7D7A12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631DBD1C">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83" w:name="_Toc43475970"/>
      <w:bookmarkEnd w:id="1483"/>
      <w:bookmarkStart w:id="1484" w:name="_Toc451261344"/>
      <w:bookmarkEnd w:id="1484"/>
      <w:bookmarkStart w:id="1485" w:name="_Toc386467240"/>
      <w:bookmarkEnd w:id="1485"/>
      <w:bookmarkStart w:id="1486" w:name="_Toc393546494"/>
      <w:bookmarkEnd w:id="1486"/>
      <w:bookmarkStart w:id="1487" w:name="_Toc453057154"/>
      <w:bookmarkEnd w:id="1487"/>
      <w:bookmarkStart w:id="1488" w:name="_Toc330406435"/>
      <w:bookmarkEnd w:id="1488"/>
      <w:r>
        <w:rPr>
          <w:rFonts w:hint="eastAsia" w:ascii="宋体" w:hAnsi="宋体" w:cs="宋体"/>
          <w:color w:val="000000" w:themeColor="text1"/>
          <w:sz w:val="28"/>
          <w:szCs w:val="28"/>
          <w:highlight w:val="none"/>
          <w14:textFill>
            <w14:solidFill>
              <w14:schemeClr w14:val="tx1"/>
            </w14:solidFill>
          </w14:textFill>
        </w:rPr>
        <w:t>17.计量与支付</w:t>
      </w:r>
    </w:p>
    <w:p w14:paraId="39C878A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9" w:name="_Toc330406436"/>
      <w:bookmarkEnd w:id="1489"/>
      <w:bookmarkStart w:id="1490" w:name="_Toc43475971"/>
      <w:bookmarkEnd w:id="1490"/>
      <w:bookmarkStart w:id="1491" w:name="_Toc386467241"/>
      <w:bookmarkEnd w:id="1491"/>
      <w:bookmarkStart w:id="1492" w:name="_Toc393546495"/>
      <w:bookmarkEnd w:id="1492"/>
      <w:bookmarkStart w:id="1493" w:name="_Toc451261345"/>
      <w:bookmarkEnd w:id="1493"/>
      <w:bookmarkStart w:id="1494" w:name="_Toc453057155"/>
      <w:bookmarkEnd w:id="1494"/>
      <w:r>
        <w:rPr>
          <w:rFonts w:hint="eastAsia" w:ascii="宋体" w:hAnsi="宋体" w:cs="宋体"/>
          <w:color w:val="000000" w:themeColor="text1"/>
          <w:sz w:val="24"/>
          <w:szCs w:val="24"/>
          <w:highlight w:val="none"/>
          <w14:textFill>
            <w14:solidFill>
              <w14:schemeClr w14:val="tx1"/>
            </w14:solidFill>
          </w14:textFill>
        </w:rPr>
        <w:t>17.1计量</w:t>
      </w:r>
    </w:p>
    <w:p w14:paraId="71FEE8CC">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17.1.2计量方法</w:t>
      </w:r>
    </w:p>
    <w:p w14:paraId="6523B1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618030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工程的计量应以净值为准，除非项目专用合同条款另有约定。工程量清单中各个子目的具体计量方法按本合同文件技术标准中的规定执行。</w:t>
      </w:r>
    </w:p>
    <w:p w14:paraId="1FA0D4A5">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17.1.4单价子目的计量</w:t>
      </w:r>
    </w:p>
    <w:p w14:paraId="75B86DF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39E06DE3">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承包人未在已标价工程量清单中填入单价或总额价的工程子目，将被认为其已包含在本合同的其他子目的单价和总额价中，发包人将不另行支付。</w:t>
      </w:r>
    </w:p>
    <w:p w14:paraId="00FFB4B9">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17.1.5总价子目的计量</w:t>
      </w:r>
    </w:p>
    <w:p w14:paraId="02E98CE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26CC97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本项目工程量清单中要求承包人以“总额”方式报价的子目，各子目的支付原则和支付进度按项目专用合同条款的规定执行。</w:t>
      </w:r>
    </w:p>
    <w:p w14:paraId="4BF2344D">
      <w:pPr>
        <w:spacing w:line="400" w:lineRule="exact"/>
        <w:ind w:left="420" w:leftChars="200"/>
        <w:rPr>
          <w:rFonts w:ascii="宋体" w:hAnsi="宋体" w:cs="宋体"/>
          <w:color w:val="000000" w:themeColor="text1"/>
          <w:sz w:val="24"/>
          <w:highlight w:val="none"/>
          <w14:textFill>
            <w14:solidFill>
              <w14:schemeClr w14:val="tx1"/>
            </w14:solidFill>
          </w14:textFill>
        </w:rPr>
      </w:pPr>
    </w:p>
    <w:p w14:paraId="7C7539D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95" w:name="_Toc451261346"/>
      <w:bookmarkEnd w:id="1495"/>
      <w:bookmarkStart w:id="1496" w:name="_Toc393546496"/>
      <w:bookmarkEnd w:id="1496"/>
      <w:bookmarkStart w:id="1497" w:name="_Toc386467242"/>
      <w:bookmarkEnd w:id="1497"/>
      <w:bookmarkStart w:id="1498" w:name="_Toc43475972"/>
      <w:bookmarkEnd w:id="1498"/>
      <w:bookmarkStart w:id="1499" w:name="_Toc330406437"/>
      <w:bookmarkEnd w:id="1499"/>
      <w:bookmarkStart w:id="1500" w:name="_Toc453057156"/>
      <w:bookmarkEnd w:id="1500"/>
      <w:r>
        <w:rPr>
          <w:rFonts w:hint="eastAsia" w:ascii="宋体" w:hAnsi="宋体" w:cs="宋体"/>
          <w:color w:val="000000" w:themeColor="text1"/>
          <w:sz w:val="24"/>
          <w:szCs w:val="24"/>
          <w:highlight w:val="none"/>
          <w14:textFill>
            <w14:solidFill>
              <w14:schemeClr w14:val="tx1"/>
            </w14:solidFill>
          </w14:textFill>
        </w:rPr>
        <w:t>17.2预付款</w:t>
      </w:r>
    </w:p>
    <w:p w14:paraId="5A55EC32">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17.2.1预付款</w:t>
      </w:r>
    </w:p>
    <w:p w14:paraId="32FF1E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60E5AAF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预付款包括开工预付款和材料、设备预付款。具体额度和预付办法如下：</w:t>
      </w:r>
    </w:p>
    <w:p w14:paraId="379AA2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（1）开工预付款的金额在项目专用条款数据表中约定。在承包人签订了合同协议书且承包人承诺的主要设备进场后，监理人应在当期进度付款证书中向承包人支付开工预付款。</w:t>
      </w:r>
    </w:p>
    <w:p w14:paraId="4874D8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承包人不得将该预付款用于与本工程无关的支出，监理人有权监督承包人对该项费用的使用，如经查实承包人滥用开工预付款，发包人有权立即向银行索赔履约保证金，并解除合同。</w:t>
      </w:r>
    </w:p>
    <w:p w14:paraId="6C9A10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（2）材料、设备预付款按项目专用合同条款数据表中所列主要材料、设备单据费用（进口的材料、设备为到岸价，国内采购的为出厂价或销售价，地方材料为堆场价）的百分比支付。其预付条件为：</w:t>
      </w:r>
    </w:p>
    <w:p w14:paraId="5E0094D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a.材料、设备符合规范要求并经监理人认可；</w:t>
      </w:r>
    </w:p>
    <w:p w14:paraId="20CEF01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b.承包人已出具材料、设备费用凭证或支付单据；</w:t>
      </w:r>
    </w:p>
    <w:p w14:paraId="14CFBD5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c.材料、设备已在现场交货，且存储良好，监理人认为材料、设备的存储方法符合要求。</w:t>
      </w:r>
    </w:p>
    <w:p w14:paraId="027367B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则监理人应将此项金额作为材料、设备预付款计入下一次的进度付款证书中。在预计交工前3个月，将不再支付材料、设备预付款。</w:t>
      </w:r>
    </w:p>
    <w:p w14:paraId="07B77454">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17.2.2预付款保函</w:t>
      </w:r>
    </w:p>
    <w:p w14:paraId="66676BF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13F85E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承包人无须向发包人提交预付款保函。发包人向承包人支付的预付款，应按照本合同第17.2.1项规定使用，承包人提交的履约保证金对预付款的正常使用承担保证责任。</w:t>
      </w:r>
    </w:p>
    <w:p w14:paraId="6E702C76">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17.2.3预付款的扣回与还清</w:t>
      </w:r>
    </w:p>
    <w:p w14:paraId="6B42215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45AD83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3F244E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（2）当材料、设备已用于或安装在永久工程之中时，材料、设备预付款应从进度付款证书中扣回，扣回期不超过3个月。已经支付材料、设备预付款的材料、设备的所有权应属于发包人。</w:t>
      </w:r>
    </w:p>
    <w:p w14:paraId="70730E7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1" w:name="_Toc453057157"/>
      <w:bookmarkEnd w:id="1501"/>
      <w:bookmarkStart w:id="1502" w:name="_Toc330406438"/>
      <w:bookmarkEnd w:id="1502"/>
      <w:bookmarkStart w:id="1503" w:name="_Toc393546497"/>
      <w:bookmarkEnd w:id="1503"/>
      <w:bookmarkStart w:id="1504" w:name="_Toc451261347"/>
      <w:bookmarkEnd w:id="1504"/>
      <w:bookmarkStart w:id="1505" w:name="_Toc386467243"/>
      <w:bookmarkEnd w:id="1505"/>
      <w:bookmarkStart w:id="1506" w:name="_Toc43475973"/>
      <w:bookmarkEnd w:id="1506"/>
      <w:r>
        <w:rPr>
          <w:rFonts w:hint="eastAsia" w:ascii="宋体" w:hAnsi="宋体" w:cs="宋体"/>
          <w:color w:val="000000" w:themeColor="text1"/>
          <w:sz w:val="24"/>
          <w:szCs w:val="24"/>
          <w:highlight w:val="none"/>
          <w14:textFill>
            <w14:solidFill>
              <w14:schemeClr w14:val="tx1"/>
            </w14:solidFill>
          </w14:textFill>
        </w:rPr>
        <w:t>17.3工程进度付款</w:t>
      </w:r>
    </w:p>
    <w:p w14:paraId="11D46C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17.3.3进度付款证书和支付时间</w:t>
      </w:r>
    </w:p>
    <w:p w14:paraId="36740AA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本项（1）目补充：</w:t>
      </w:r>
    </w:p>
    <w:p w14:paraId="3B2A4A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7A9C7AD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14:paraId="003834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发包人应在监理人收到进度付款申请单且承包人提交了合格的增值税专用发票 后的28天内，将进度应付款支付给承包人。</w:t>
      </w:r>
    </w:p>
    <w:p w14:paraId="47F0D4E6">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发包人不按期支付的，按项目专用合同条款数据表中约定的利率向承包人支付 逾期付款违约金。违约金计算基数为发包人的全部未付款额，时间从应付而未付该 款额之日算起（不计复利）。</w:t>
      </w:r>
    </w:p>
    <w:p w14:paraId="330EC92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项：</w:t>
      </w:r>
    </w:p>
    <w:p w14:paraId="51E95E1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农民工工资保证金</w:t>
      </w:r>
    </w:p>
    <w:p w14:paraId="36D194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为确保施工过程中农民工工资实时、足额发放到位，承包人应按照项目专 用合同条款约定的时间和金额缴存农民工工资保证金。</w:t>
      </w:r>
    </w:p>
    <w:p w14:paraId="518DCD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农民工工资保证金可采用银行保函或现金、支票形式。采用银行保函时，出具保函的银行须具有相应担保能力，且按照发包人批准的格式出具，所需费用由承包人承担。</w:t>
      </w:r>
    </w:p>
    <w:p w14:paraId="1F34814D">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农民工工资保证金的扣留条件、返还时间按照项目专用合同条款的约定执 行。</w:t>
      </w:r>
    </w:p>
    <w:p w14:paraId="274E7FD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7" w:name="_Toc393546498"/>
      <w:bookmarkEnd w:id="1507"/>
      <w:bookmarkStart w:id="1508" w:name="_Toc330406439"/>
      <w:bookmarkEnd w:id="1508"/>
      <w:bookmarkStart w:id="1509" w:name="_Toc453057158"/>
      <w:bookmarkEnd w:id="1509"/>
      <w:bookmarkStart w:id="1510" w:name="_Toc43475974"/>
      <w:bookmarkEnd w:id="1510"/>
      <w:bookmarkStart w:id="1511" w:name="_Toc386467244"/>
      <w:bookmarkEnd w:id="1511"/>
      <w:bookmarkStart w:id="1512" w:name="_Toc451261348"/>
      <w:bookmarkEnd w:id="1512"/>
      <w:r>
        <w:rPr>
          <w:rFonts w:hint="eastAsia" w:ascii="宋体" w:hAnsi="宋体" w:cs="宋体"/>
          <w:color w:val="000000" w:themeColor="text1"/>
          <w:sz w:val="24"/>
          <w:szCs w:val="24"/>
          <w:highlight w:val="none"/>
          <w14:textFill>
            <w14:solidFill>
              <w14:schemeClr w14:val="tx1"/>
            </w14:solidFill>
          </w14:textFill>
        </w:rPr>
        <w:t>17.4质量保证金</w:t>
      </w:r>
    </w:p>
    <w:p w14:paraId="2CB7D9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第17.4.1、</w:t>
      </w: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项细化为：</w:t>
      </w:r>
    </w:p>
    <w:p w14:paraId="059E579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r>
        <w:rPr>
          <w:rFonts w:hint="eastAsia" w:ascii="宋体" w:hAnsi="宋体" w:cs="宋体"/>
          <w:color w:val="000000" w:themeColor="text1"/>
          <w:sz w:val="24"/>
          <w:highlight w:val="none"/>
          <w:lang w:val="zh-CN"/>
          <w14:textFill>
            <w14:solidFill>
              <w14:schemeClr w14:val="tx1"/>
            </w14:solidFill>
          </w14:textFill>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14:paraId="48C9AFD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质量保证金采用现金、支票形式提交的，发包人应在项目专用合同条款数据表中明确是否计付利息以及利息的计算方式。</w:t>
      </w:r>
    </w:p>
    <w:p w14:paraId="33D076D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在第</w:t>
      </w:r>
      <w:r>
        <w:rPr>
          <w:rFonts w:hint="eastAsia" w:ascii="宋体" w:hAnsi="宋体" w:cs="宋体"/>
          <w:color w:val="000000" w:themeColor="text1"/>
          <w:sz w:val="24"/>
          <w:highlight w:val="none"/>
          <w14:textFill>
            <w14:solidFill>
              <w14:schemeClr w14:val="tx1"/>
            </w14:solidFill>
          </w14:textFill>
        </w:rPr>
        <w:t>1.1.4.5</w:t>
      </w:r>
      <w:r>
        <w:rPr>
          <w:rFonts w:hint="eastAsia" w:ascii="宋体" w:hAnsi="宋体" w:cs="宋体"/>
          <w:color w:val="000000" w:themeColor="text1"/>
          <w:sz w:val="24"/>
          <w:highlight w:val="none"/>
          <w:lang w:val="zh-CN"/>
          <w14:textFill>
            <w14:solidFill>
              <w14:schemeClr w14:val="tx1"/>
            </w14:solidFill>
          </w14:textFill>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14:paraId="6859075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3" w:name="_Toc386467245"/>
      <w:bookmarkEnd w:id="1513"/>
      <w:bookmarkStart w:id="1514" w:name="_Toc393546499"/>
      <w:bookmarkEnd w:id="1514"/>
      <w:bookmarkStart w:id="1515" w:name="_Toc330406440"/>
      <w:bookmarkEnd w:id="1515"/>
      <w:bookmarkStart w:id="1516" w:name="_Toc453057159"/>
      <w:bookmarkEnd w:id="1516"/>
      <w:bookmarkStart w:id="1517" w:name="_Toc43475975"/>
      <w:bookmarkEnd w:id="1517"/>
      <w:bookmarkStart w:id="1518" w:name="_Toc451261349"/>
      <w:bookmarkEnd w:id="1518"/>
      <w:r>
        <w:rPr>
          <w:rFonts w:hint="eastAsia" w:ascii="宋体" w:hAnsi="宋体" w:cs="宋体"/>
          <w:color w:val="000000" w:themeColor="text1"/>
          <w:sz w:val="24"/>
          <w:szCs w:val="24"/>
          <w:highlight w:val="none"/>
          <w14:textFill>
            <w14:solidFill>
              <w14:schemeClr w14:val="tx1"/>
            </w14:solidFill>
          </w14:textFill>
        </w:rPr>
        <w:t>17.5交工结算</w:t>
      </w:r>
    </w:p>
    <w:p w14:paraId="2238D3F9">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17.5.l交工付款申请单</w:t>
      </w:r>
    </w:p>
    <w:p w14:paraId="55D8C9C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本项（l）目约定为：</w:t>
      </w:r>
    </w:p>
    <w:p w14:paraId="64E7162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承包人向监理人提交交工付款申请单（包括相关证明材料）的份数在项目专用合同条款数据表中约定；期限：交工验收证书签发后42天内。</w:t>
      </w:r>
    </w:p>
    <w:p w14:paraId="01C896DB">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17.5.2</w:t>
      </w:r>
      <w:r>
        <w:rPr>
          <w:rFonts w:hint="eastAsia" w:ascii="宋体" w:hAnsi="宋体" w:cs="宋体"/>
          <w:b/>
          <w:bCs/>
          <w:color w:val="000000" w:themeColor="text1"/>
          <w:sz w:val="24"/>
          <w:highlight w:val="none"/>
          <w:lang w:val="zh-CN"/>
          <w14:textFill>
            <w14:solidFill>
              <w14:schemeClr w14:val="tx1"/>
            </w14:solidFill>
          </w14:textFill>
        </w:rPr>
        <w:t>交工付款证书及支付时间</w:t>
      </w:r>
    </w:p>
    <w:p w14:paraId="0C4140E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14:paraId="4E9F210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发包人应在监理人出具交工付款证书且承包人提交了合格的增值税专用发票后 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17.3.3 （2）</w:t>
      </w:r>
      <w:r>
        <w:rPr>
          <w:rFonts w:hint="eastAsia" w:ascii="宋体" w:hAnsi="宋体" w:cs="宋体"/>
          <w:color w:val="000000" w:themeColor="text1"/>
          <w:sz w:val="24"/>
          <w:highlight w:val="none"/>
          <w:lang w:val="zh-CN"/>
          <w14:textFill>
            <w14:solidFill>
              <w14:schemeClr w14:val="tx1"/>
            </w14:solidFill>
          </w14:textFill>
        </w:rPr>
        <w:t>目 的约定，将逾期付款违约金支付给承包人。</w:t>
      </w:r>
    </w:p>
    <w:p w14:paraId="0CBFE70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9" w:name="_Toc393546500"/>
      <w:bookmarkEnd w:id="1519"/>
      <w:bookmarkStart w:id="1520" w:name="_Toc43475976"/>
      <w:bookmarkEnd w:id="1520"/>
      <w:bookmarkStart w:id="1521" w:name="_Toc453057160"/>
      <w:bookmarkEnd w:id="1521"/>
      <w:bookmarkStart w:id="1522" w:name="_Toc386467246"/>
      <w:bookmarkEnd w:id="1522"/>
      <w:bookmarkStart w:id="1523" w:name="_Toc330406441"/>
      <w:bookmarkEnd w:id="1523"/>
      <w:bookmarkStart w:id="1524" w:name="_Toc451261350"/>
      <w:bookmarkEnd w:id="1524"/>
      <w:r>
        <w:rPr>
          <w:rFonts w:hint="eastAsia" w:ascii="宋体" w:hAnsi="宋体" w:cs="宋体"/>
          <w:color w:val="000000" w:themeColor="text1"/>
          <w:sz w:val="24"/>
          <w:szCs w:val="24"/>
          <w:highlight w:val="none"/>
          <w14:textFill>
            <w14:solidFill>
              <w14:schemeClr w14:val="tx1"/>
            </w14:solidFill>
          </w14:textFill>
        </w:rPr>
        <w:t>17.6最终结清</w:t>
      </w:r>
    </w:p>
    <w:p w14:paraId="6258E088">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17.6.1最终结清申请单</w:t>
      </w:r>
    </w:p>
    <w:p w14:paraId="276164A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14:paraId="7BFCAF6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承包人向监理人提交最终结清申请单（包括相关证明材料）的份数在项目专用合同条款数据表中约定；期限：缺陷责任期终止证书签发后28天内。</w:t>
      </w:r>
    </w:p>
    <w:p w14:paraId="5353DDF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14:paraId="2D942514">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17.6.2</w:t>
      </w:r>
      <w:r>
        <w:rPr>
          <w:rFonts w:hint="eastAsia" w:ascii="宋体" w:hAnsi="宋体" w:cs="宋体"/>
          <w:b/>
          <w:bCs/>
          <w:color w:val="000000" w:themeColor="text1"/>
          <w:sz w:val="24"/>
          <w:highlight w:val="none"/>
          <w:lang w:val="zh-CN"/>
          <w14:textFill>
            <w14:solidFill>
              <w14:schemeClr w14:val="tx1"/>
            </w14:solidFill>
          </w14:textFill>
        </w:rPr>
        <w:t>最终结清证书和支付时间</w:t>
      </w:r>
    </w:p>
    <w:p w14:paraId="02BF160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14:paraId="6141A41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 xml:space="preserve">17.3.3 （2） </w:t>
      </w:r>
      <w:r>
        <w:rPr>
          <w:rFonts w:hint="eastAsia" w:ascii="宋体" w:hAnsi="宋体" w:cs="宋体"/>
          <w:color w:val="000000" w:themeColor="text1"/>
          <w:sz w:val="24"/>
          <w:highlight w:val="none"/>
          <w:lang w:val="zh-CN"/>
          <w14:textFill>
            <w14:solidFill>
              <w14:schemeClr w14:val="tx1"/>
            </w14:solidFill>
          </w14:textFill>
        </w:rPr>
        <w:t>目的约定，将逾期付款违约金支付给承包人。</w:t>
      </w:r>
    </w:p>
    <w:p w14:paraId="179488D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61C15505">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25" w:name="_Toc393546501"/>
      <w:bookmarkEnd w:id="1525"/>
      <w:bookmarkStart w:id="1526" w:name="_Toc330406442"/>
      <w:bookmarkEnd w:id="1526"/>
      <w:bookmarkStart w:id="1527" w:name="_Toc451261351"/>
      <w:bookmarkEnd w:id="1527"/>
      <w:bookmarkStart w:id="1528" w:name="_Toc386467247"/>
      <w:bookmarkEnd w:id="1528"/>
      <w:bookmarkStart w:id="1529" w:name="_Toc43475977"/>
      <w:bookmarkEnd w:id="1529"/>
      <w:bookmarkStart w:id="1530" w:name="_Toc453057161"/>
      <w:bookmarkEnd w:id="1530"/>
      <w:r>
        <w:rPr>
          <w:rFonts w:hint="eastAsia" w:ascii="宋体" w:hAnsi="宋体" w:cs="宋体"/>
          <w:color w:val="000000" w:themeColor="text1"/>
          <w:sz w:val="28"/>
          <w:szCs w:val="28"/>
          <w:highlight w:val="none"/>
          <w14:textFill>
            <w14:solidFill>
              <w14:schemeClr w14:val="tx1"/>
            </w14:solidFill>
          </w14:textFill>
        </w:rPr>
        <w:t>18.交工验收</w:t>
      </w:r>
    </w:p>
    <w:p w14:paraId="0D0F915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31" w:name="_Toc43475978"/>
      <w:bookmarkEnd w:id="1531"/>
      <w:bookmarkStart w:id="1532" w:name="_Toc393546502"/>
      <w:bookmarkEnd w:id="1532"/>
      <w:bookmarkStart w:id="1533" w:name="_Toc453057162"/>
      <w:bookmarkEnd w:id="1533"/>
      <w:bookmarkStart w:id="1534" w:name="_Toc386467248"/>
      <w:bookmarkEnd w:id="1534"/>
      <w:bookmarkStart w:id="1535" w:name="_Toc330406443"/>
      <w:bookmarkEnd w:id="1535"/>
      <w:bookmarkStart w:id="1536" w:name="_Toc451261352"/>
      <w:bookmarkEnd w:id="1536"/>
      <w:r>
        <w:rPr>
          <w:rFonts w:hint="eastAsia" w:ascii="宋体" w:hAnsi="宋体" w:cs="宋体"/>
          <w:color w:val="000000" w:themeColor="text1"/>
          <w:sz w:val="24"/>
          <w:szCs w:val="24"/>
          <w:highlight w:val="none"/>
          <w14:textFill>
            <w14:solidFill>
              <w14:schemeClr w14:val="tx1"/>
            </w14:solidFill>
          </w14:textFill>
        </w:rPr>
        <w:t>18.2交工验收申请报告</w:t>
      </w:r>
    </w:p>
    <w:p w14:paraId="3CEB87D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本款第（2）项约定为：</w:t>
      </w:r>
    </w:p>
    <w:p w14:paraId="3C9D255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竣工资料的内容：承包人应按照《公路工程竣（交）工验收办法》和相关规定编制竣工资料。</w:t>
      </w:r>
    </w:p>
    <w:p w14:paraId="68A1B3E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竣工资料的份数在项目专用合同条款数据表中约定。</w:t>
      </w:r>
    </w:p>
    <w:p w14:paraId="7AFBDE7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37" w:name="_Toc330406444"/>
      <w:bookmarkEnd w:id="1537"/>
      <w:bookmarkStart w:id="1538" w:name="_Toc453057163"/>
      <w:bookmarkEnd w:id="1538"/>
      <w:bookmarkStart w:id="1539" w:name="_Toc393546503"/>
      <w:bookmarkEnd w:id="1539"/>
      <w:bookmarkStart w:id="1540" w:name="_Toc43475979"/>
      <w:bookmarkEnd w:id="1540"/>
      <w:bookmarkStart w:id="1541" w:name="_Toc451261353"/>
      <w:bookmarkEnd w:id="1541"/>
      <w:bookmarkStart w:id="1542" w:name="_Toc386467249"/>
      <w:bookmarkEnd w:id="1542"/>
      <w:r>
        <w:rPr>
          <w:rFonts w:hint="eastAsia" w:ascii="宋体" w:hAnsi="宋体" w:cs="宋体"/>
          <w:color w:val="000000" w:themeColor="text1"/>
          <w:sz w:val="24"/>
          <w:szCs w:val="24"/>
          <w:highlight w:val="none"/>
          <w14:textFill>
            <w14:solidFill>
              <w14:schemeClr w14:val="tx1"/>
            </w14:solidFill>
          </w14:textFill>
        </w:rPr>
        <w:t>18.3 验收</w:t>
      </w:r>
    </w:p>
    <w:p w14:paraId="53D4546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第18.3.2项补充：</w:t>
      </w:r>
    </w:p>
    <w:p w14:paraId="49B217E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62A9DE4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第18.3.5项约定为：</w:t>
      </w:r>
    </w:p>
    <w:p w14:paraId="6CB3616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经验收合格工程的实际交工日期，以最终提交交工验收申请报告的日期为准，并在交工验收证书中写明。</w:t>
      </w:r>
    </w:p>
    <w:p w14:paraId="4C05FF18">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本款补充第18.3.7项：</w:t>
      </w:r>
    </w:p>
    <w:p w14:paraId="1C7848B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组织办理交工验收和签发交工验收证书的费用由发包人承担。但按照第18.3.4项规定达不到合格标准的交工验收费用由承包人承担。</w:t>
      </w:r>
    </w:p>
    <w:p w14:paraId="04A5AA1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087FDD5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本条补充第18.9款：</w:t>
      </w:r>
    </w:p>
    <w:p w14:paraId="4BD7AC5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3" w:name="_Toc393546504"/>
      <w:bookmarkEnd w:id="1543"/>
      <w:bookmarkStart w:id="1544" w:name="_Toc453057164"/>
      <w:bookmarkEnd w:id="1544"/>
      <w:bookmarkStart w:id="1545" w:name="_Toc330406445"/>
      <w:bookmarkEnd w:id="1545"/>
      <w:bookmarkStart w:id="1546" w:name="_Toc43475980"/>
      <w:bookmarkEnd w:id="1546"/>
      <w:bookmarkStart w:id="1547" w:name="_Toc386467250"/>
      <w:bookmarkEnd w:id="1547"/>
      <w:bookmarkStart w:id="1548" w:name="_Toc451261354"/>
      <w:bookmarkEnd w:id="1548"/>
      <w:r>
        <w:rPr>
          <w:rFonts w:hint="eastAsia" w:ascii="宋体" w:hAnsi="宋体" w:cs="宋体"/>
          <w:color w:val="000000" w:themeColor="text1"/>
          <w:sz w:val="24"/>
          <w:szCs w:val="24"/>
          <w:highlight w:val="none"/>
          <w14:textFill>
            <w14:solidFill>
              <w14:schemeClr w14:val="tx1"/>
            </w14:solidFill>
          </w14:textFill>
        </w:rPr>
        <w:t>18.9竣工文件</w:t>
      </w:r>
    </w:p>
    <w:p w14:paraId="10C47A7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承包人应按照《公路工程竣（交）工验收办法》中的相关规定，在缺陷责任期内为竣工验收补充竣工资料，并在签发缺陷责任期终止证书之前提交。</w:t>
      </w:r>
    </w:p>
    <w:p w14:paraId="57158158">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49" w:name="_Toc386467251"/>
      <w:bookmarkEnd w:id="1549"/>
      <w:bookmarkStart w:id="1550" w:name="_Toc451261355"/>
      <w:bookmarkEnd w:id="1550"/>
      <w:bookmarkStart w:id="1551" w:name="_Toc453057165"/>
      <w:bookmarkEnd w:id="1551"/>
      <w:bookmarkStart w:id="1552" w:name="_Toc393546505"/>
      <w:bookmarkEnd w:id="1552"/>
      <w:bookmarkStart w:id="1553" w:name="_Toc43475981"/>
      <w:bookmarkEnd w:id="1553"/>
      <w:bookmarkStart w:id="1554" w:name="_Toc330406446"/>
      <w:bookmarkEnd w:id="1554"/>
      <w:r>
        <w:rPr>
          <w:rFonts w:hint="eastAsia" w:ascii="宋体" w:hAnsi="宋体" w:cs="宋体"/>
          <w:color w:val="000000" w:themeColor="text1"/>
          <w:sz w:val="28"/>
          <w:szCs w:val="28"/>
          <w:highlight w:val="none"/>
          <w14:textFill>
            <w14:solidFill>
              <w14:schemeClr w14:val="tx1"/>
            </w14:solidFill>
          </w14:textFill>
        </w:rPr>
        <w:t>19.缺陷责任与保修责任</w:t>
      </w:r>
    </w:p>
    <w:p w14:paraId="023D000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55" w:name="_Toc330406447"/>
      <w:bookmarkEnd w:id="1555"/>
      <w:bookmarkStart w:id="1556" w:name="_Toc451261356"/>
      <w:bookmarkEnd w:id="1556"/>
      <w:bookmarkStart w:id="1557" w:name="_Toc393546506"/>
      <w:bookmarkEnd w:id="1557"/>
      <w:bookmarkStart w:id="1558" w:name="_Toc453057166"/>
      <w:bookmarkEnd w:id="1558"/>
      <w:bookmarkStart w:id="1559" w:name="_Toc386467252"/>
      <w:bookmarkEnd w:id="1559"/>
      <w:bookmarkStart w:id="1560" w:name="_Toc43475982"/>
      <w:bookmarkEnd w:id="1560"/>
      <w:r>
        <w:rPr>
          <w:rFonts w:hint="eastAsia" w:ascii="宋体" w:hAnsi="宋体" w:cs="宋体"/>
          <w:color w:val="000000" w:themeColor="text1"/>
          <w:sz w:val="24"/>
          <w:szCs w:val="24"/>
          <w:highlight w:val="none"/>
          <w14:textFill>
            <w14:solidFill>
              <w14:schemeClr w14:val="tx1"/>
            </w14:solidFill>
          </w14:textFill>
        </w:rPr>
        <w:t>19.2缺陷责任</w:t>
      </w:r>
    </w:p>
    <w:p w14:paraId="687E62E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第19.2.2项补充：</w:t>
      </w:r>
    </w:p>
    <w:p w14:paraId="3F07900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在缺陷责任期内，承包人应尽快完成在交工验收证书中写明的未完成工作，并完成对本工程缺陷的修复或监理人指令的修补工作。</w:t>
      </w:r>
    </w:p>
    <w:p w14:paraId="24F58E3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1" w:name="_Toc453057167"/>
      <w:bookmarkEnd w:id="1561"/>
      <w:bookmarkStart w:id="1562" w:name="_Toc451261357"/>
      <w:bookmarkEnd w:id="1562"/>
      <w:bookmarkStart w:id="1563" w:name="_Toc43475983"/>
      <w:bookmarkEnd w:id="1563"/>
      <w:bookmarkStart w:id="1564" w:name="_Toc330406448"/>
      <w:bookmarkEnd w:id="1564"/>
      <w:bookmarkStart w:id="1565" w:name="_Toc386467253"/>
      <w:bookmarkEnd w:id="1565"/>
      <w:bookmarkStart w:id="1566" w:name="_Toc393546507"/>
      <w:bookmarkEnd w:id="1566"/>
      <w:r>
        <w:rPr>
          <w:rFonts w:hint="eastAsia" w:ascii="宋体" w:hAnsi="宋体" w:cs="宋体"/>
          <w:color w:val="000000" w:themeColor="text1"/>
          <w:sz w:val="24"/>
          <w:szCs w:val="24"/>
          <w:highlight w:val="none"/>
          <w14:textFill>
            <w14:solidFill>
              <w14:schemeClr w14:val="tx1"/>
            </w14:solidFill>
          </w14:textFill>
        </w:rPr>
        <w:t>19.5承包人的进入权</w:t>
      </w:r>
    </w:p>
    <w:p w14:paraId="39CE83F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6AF0407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14:paraId="2C28B25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7" w:name="_Toc451261358"/>
      <w:bookmarkEnd w:id="1567"/>
      <w:bookmarkStart w:id="1568" w:name="_Toc386467254"/>
      <w:bookmarkEnd w:id="1568"/>
      <w:bookmarkStart w:id="1569" w:name="_Toc393546508"/>
      <w:bookmarkEnd w:id="1569"/>
      <w:bookmarkStart w:id="1570" w:name="_Toc330406449"/>
      <w:bookmarkEnd w:id="1570"/>
      <w:bookmarkStart w:id="1571" w:name="_Toc43475984"/>
      <w:bookmarkEnd w:id="1571"/>
      <w:bookmarkStart w:id="1572" w:name="_Toc453057168"/>
      <w:bookmarkEnd w:id="1572"/>
      <w:r>
        <w:rPr>
          <w:rFonts w:hint="eastAsia" w:ascii="宋体" w:hAnsi="宋体" w:cs="宋体"/>
          <w:color w:val="000000" w:themeColor="text1"/>
          <w:sz w:val="24"/>
          <w:szCs w:val="24"/>
          <w:highlight w:val="none"/>
          <w14:textFill>
            <w14:solidFill>
              <w14:schemeClr w14:val="tx1"/>
            </w14:solidFill>
          </w14:textFill>
        </w:rPr>
        <w:t>19.7保修责任</w:t>
      </w:r>
    </w:p>
    <w:p w14:paraId="55AE182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52070C3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7BFFAA9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（2）在全部工程交工验收前，已经发包人提前验收的单位工程，其保修期的起算日期相应提前。</w:t>
      </w:r>
    </w:p>
    <w:p w14:paraId="5E75B79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（3）工程保修期终止后28天内，监理人签发保修期终止证书。</w:t>
      </w:r>
    </w:p>
    <w:p w14:paraId="06B8D22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（4）若承包人不履行保修义务和责任，则承包人应承担由于违约造成的法律后果，并由发包人将其违约行为上报省级交通主管部门，作为不良记录纳入公路建设市场信用信息管理系统。</w:t>
      </w:r>
    </w:p>
    <w:p w14:paraId="2586D3C3">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73" w:name="_Toc393546509"/>
      <w:bookmarkEnd w:id="1573"/>
      <w:bookmarkStart w:id="1574" w:name="_Toc386467255"/>
      <w:bookmarkEnd w:id="1574"/>
      <w:bookmarkStart w:id="1575" w:name="_Toc451261359"/>
      <w:bookmarkEnd w:id="1575"/>
      <w:bookmarkStart w:id="1576" w:name="_Toc330406450"/>
      <w:bookmarkEnd w:id="1576"/>
      <w:bookmarkStart w:id="1577" w:name="_Toc43475985"/>
      <w:bookmarkEnd w:id="1577"/>
      <w:bookmarkStart w:id="1578" w:name="_Toc453057169"/>
      <w:bookmarkEnd w:id="1578"/>
      <w:r>
        <w:rPr>
          <w:rFonts w:hint="eastAsia" w:ascii="宋体" w:hAnsi="宋体" w:cs="宋体"/>
          <w:color w:val="000000" w:themeColor="text1"/>
          <w:sz w:val="28"/>
          <w:szCs w:val="28"/>
          <w:highlight w:val="none"/>
          <w14:textFill>
            <w14:solidFill>
              <w14:schemeClr w14:val="tx1"/>
            </w14:solidFill>
          </w14:textFill>
        </w:rPr>
        <w:t>20.保险</w:t>
      </w:r>
    </w:p>
    <w:p w14:paraId="2F5EDFC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9" w:name="_Toc393546510"/>
      <w:bookmarkEnd w:id="1579"/>
      <w:bookmarkStart w:id="1580" w:name="_Toc330406451"/>
      <w:bookmarkEnd w:id="1580"/>
      <w:bookmarkStart w:id="1581" w:name="_Toc43475986"/>
      <w:bookmarkEnd w:id="1581"/>
      <w:bookmarkStart w:id="1582" w:name="_Toc386467256"/>
      <w:bookmarkEnd w:id="1582"/>
      <w:bookmarkStart w:id="1583" w:name="_Toc453057170"/>
      <w:bookmarkEnd w:id="1583"/>
      <w:bookmarkStart w:id="1584" w:name="_Toc451261360"/>
      <w:bookmarkEnd w:id="1584"/>
      <w:r>
        <w:rPr>
          <w:rFonts w:hint="eastAsia" w:ascii="宋体" w:hAnsi="宋体" w:cs="宋体"/>
          <w:color w:val="000000" w:themeColor="text1"/>
          <w:sz w:val="24"/>
          <w:szCs w:val="24"/>
          <w:highlight w:val="none"/>
          <w14:textFill>
            <w14:solidFill>
              <w14:schemeClr w14:val="tx1"/>
            </w14:solidFill>
          </w14:textFill>
        </w:rPr>
        <w:t>20.1工程保险</w:t>
      </w:r>
    </w:p>
    <w:p w14:paraId="7DDCA59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06E6489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建筑工程—切险的投保内容：为本合同工程的永久工程、临时工程和设备及已运至施工工地用于永久工程的材料和设备所投的保险。</w:t>
      </w:r>
    </w:p>
    <w:p w14:paraId="2F6F877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保险金额：工程量清单第100章（不含建筑工程一切险及第三者责任险的保险费）至700章的合计金额。</w:t>
      </w:r>
    </w:p>
    <w:p w14:paraId="00104FE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14:paraId="1F8C2BB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14:paraId="5A4C664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14:paraId="0813048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85" w:name="_Toc393546511"/>
      <w:bookmarkEnd w:id="1585"/>
      <w:bookmarkStart w:id="1586" w:name="_Toc43475987"/>
      <w:bookmarkEnd w:id="1586"/>
      <w:bookmarkStart w:id="1587" w:name="_Toc451261361"/>
      <w:bookmarkEnd w:id="1587"/>
      <w:bookmarkStart w:id="1588" w:name="_Toc453057171"/>
      <w:bookmarkEnd w:id="1588"/>
      <w:bookmarkStart w:id="1589" w:name="_Toc330406452"/>
      <w:bookmarkEnd w:id="1589"/>
      <w:bookmarkStart w:id="1590" w:name="_Toc386467257"/>
      <w:bookmarkEnd w:id="1590"/>
      <w:r>
        <w:rPr>
          <w:rFonts w:hint="eastAsia" w:ascii="宋体" w:hAnsi="宋体" w:cs="宋体"/>
          <w:color w:val="000000" w:themeColor="text1"/>
          <w:sz w:val="24"/>
          <w:szCs w:val="24"/>
          <w:highlight w:val="none"/>
          <w14:textFill>
            <w14:solidFill>
              <w14:schemeClr w14:val="tx1"/>
            </w14:solidFill>
          </w14:textFill>
        </w:rPr>
        <w:t>20.4第三者责任险</w:t>
      </w:r>
    </w:p>
    <w:p w14:paraId="52F0951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第20.4.2项补充：</w:t>
      </w:r>
    </w:p>
    <w:p w14:paraId="2145074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第三者责任险的保险费由承包人报价时列入工程量清单100章内。发包人在接到保险单后，将按照保险单的费用直接向承包人支付。</w:t>
      </w:r>
    </w:p>
    <w:p w14:paraId="0D75EE6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1" w:name="_Toc451261362"/>
      <w:bookmarkEnd w:id="1591"/>
      <w:bookmarkStart w:id="1592" w:name="_Toc386467258"/>
      <w:bookmarkEnd w:id="1592"/>
      <w:bookmarkStart w:id="1593" w:name="_Toc393546512"/>
      <w:bookmarkEnd w:id="1593"/>
      <w:bookmarkStart w:id="1594" w:name="_Toc43475988"/>
      <w:bookmarkEnd w:id="1594"/>
      <w:bookmarkStart w:id="1595" w:name="_Toc453057172"/>
      <w:bookmarkEnd w:id="1595"/>
      <w:bookmarkStart w:id="1596" w:name="_Toc330406453"/>
      <w:bookmarkEnd w:id="1596"/>
      <w:r>
        <w:rPr>
          <w:rFonts w:hint="eastAsia" w:ascii="宋体" w:hAnsi="宋体" w:cs="宋体"/>
          <w:color w:val="000000" w:themeColor="text1"/>
          <w:sz w:val="24"/>
          <w:szCs w:val="24"/>
          <w:highlight w:val="none"/>
          <w14:textFill>
            <w14:solidFill>
              <w14:schemeClr w14:val="tx1"/>
            </w14:solidFill>
          </w14:textFill>
        </w:rPr>
        <w:t>20.5其他保险</w:t>
      </w:r>
    </w:p>
    <w:p w14:paraId="26BB9D0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6760FA1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14:paraId="65437E6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7" w:name="_Toc330406454"/>
      <w:bookmarkEnd w:id="1597"/>
      <w:bookmarkStart w:id="1598" w:name="_Toc453057173"/>
      <w:bookmarkEnd w:id="1598"/>
      <w:bookmarkStart w:id="1599" w:name="_Toc43475989"/>
      <w:bookmarkEnd w:id="1599"/>
      <w:bookmarkStart w:id="1600" w:name="_Toc393546513"/>
      <w:bookmarkEnd w:id="1600"/>
      <w:bookmarkStart w:id="1601" w:name="_Toc386467259"/>
      <w:bookmarkEnd w:id="1601"/>
      <w:bookmarkStart w:id="1602" w:name="_Toc451261363"/>
      <w:bookmarkEnd w:id="1602"/>
      <w:r>
        <w:rPr>
          <w:rFonts w:hint="eastAsia" w:ascii="宋体" w:hAnsi="宋体" w:cs="宋体"/>
          <w:color w:val="000000" w:themeColor="text1"/>
          <w:sz w:val="24"/>
          <w:szCs w:val="24"/>
          <w:highlight w:val="none"/>
          <w14:textFill>
            <w14:solidFill>
              <w14:schemeClr w14:val="tx1"/>
            </w14:solidFill>
          </w14:textFill>
        </w:rPr>
        <w:t>20.6对各项保险的一般要求</w:t>
      </w:r>
    </w:p>
    <w:p w14:paraId="3EC1B4C2">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20.6.1保险凭证</w:t>
      </w:r>
    </w:p>
    <w:p w14:paraId="526A009C">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5BDAABF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承包人向发包人提交各项保险生效的证据和保险单副本的期限：开工后56天内。</w:t>
      </w:r>
    </w:p>
    <w:p w14:paraId="626A8A25">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20.6.3 持续保险</w:t>
      </w:r>
    </w:p>
    <w:p w14:paraId="089FCEB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0740FAE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在整个合同期内，承包人应按合同条款保证足够的保险额。</w:t>
      </w:r>
    </w:p>
    <w:p w14:paraId="48674D74">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20.6.4保险金不足的补偿</w:t>
      </w:r>
    </w:p>
    <w:p w14:paraId="492EA7C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4B609F0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保险金不足以补偿损失的（包括免赔额和超过赔偿限额的部分），应由承包人和（或）发包人按合同约定负责补偿。</w:t>
      </w:r>
    </w:p>
    <w:p w14:paraId="589A45EB">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20.6.5未按约定投保的补救</w:t>
      </w:r>
    </w:p>
    <w:p w14:paraId="68FEED4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14:paraId="1B3FD5C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0BBA71E3">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03" w:name="_Toc451261364"/>
      <w:bookmarkEnd w:id="1603"/>
      <w:bookmarkStart w:id="1604" w:name="_Toc43475990"/>
      <w:bookmarkEnd w:id="1604"/>
      <w:bookmarkStart w:id="1605" w:name="_Toc330406455"/>
      <w:bookmarkEnd w:id="1605"/>
      <w:bookmarkStart w:id="1606" w:name="_Toc393546514"/>
      <w:bookmarkEnd w:id="1606"/>
      <w:bookmarkStart w:id="1607" w:name="_Toc386467260"/>
      <w:bookmarkEnd w:id="1607"/>
      <w:bookmarkStart w:id="1608" w:name="_Toc453057174"/>
      <w:bookmarkEnd w:id="1608"/>
      <w:r>
        <w:rPr>
          <w:rFonts w:hint="eastAsia" w:ascii="宋体" w:hAnsi="宋体" w:cs="宋体"/>
          <w:color w:val="000000" w:themeColor="text1"/>
          <w:sz w:val="28"/>
          <w:szCs w:val="28"/>
          <w:highlight w:val="none"/>
          <w14:textFill>
            <w14:solidFill>
              <w14:schemeClr w14:val="tx1"/>
            </w14:solidFill>
          </w14:textFill>
        </w:rPr>
        <w:t>21.不可抗力</w:t>
      </w:r>
    </w:p>
    <w:p w14:paraId="4A883D8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09" w:name="_Toc451261365"/>
      <w:bookmarkEnd w:id="1609"/>
      <w:bookmarkStart w:id="1610" w:name="_Toc386467261"/>
      <w:bookmarkEnd w:id="1610"/>
      <w:bookmarkStart w:id="1611" w:name="_Toc393546515"/>
      <w:bookmarkEnd w:id="1611"/>
      <w:bookmarkStart w:id="1612" w:name="_Toc453057175"/>
      <w:bookmarkEnd w:id="1612"/>
      <w:bookmarkStart w:id="1613" w:name="_Toc43475991"/>
      <w:bookmarkEnd w:id="1613"/>
      <w:bookmarkStart w:id="1614" w:name="_Toc330406456"/>
      <w:bookmarkEnd w:id="1614"/>
      <w:r>
        <w:rPr>
          <w:rFonts w:hint="eastAsia" w:ascii="宋体" w:hAnsi="宋体" w:cs="宋体"/>
          <w:color w:val="000000" w:themeColor="text1"/>
          <w:sz w:val="24"/>
          <w:szCs w:val="24"/>
          <w:highlight w:val="none"/>
          <w14:textFill>
            <w14:solidFill>
              <w14:schemeClr w14:val="tx1"/>
            </w14:solidFill>
          </w14:textFill>
        </w:rPr>
        <w:t>21.1不可抗力的确认</w:t>
      </w:r>
    </w:p>
    <w:p w14:paraId="696969F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21.1.1项细化为：</w:t>
      </w:r>
    </w:p>
    <w:p w14:paraId="3FD05F2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不可抗力是指承包人和发包人在订立合同时不可预见，在工程施工过程中不可避免发生并不能克服的自然灾害和社会性突发事件。包括但不限于：</w:t>
      </w:r>
    </w:p>
    <w:p w14:paraId="08063C7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（1）地震、海啸、火山爆发、泥石流、暴雨（雪）、台风、龙卷风、水灾等自然灾害；</w:t>
      </w:r>
    </w:p>
    <w:p w14:paraId="5716FC1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（2）战争、骚乱、暴动，但纯属承包人或其分包人派遣与雇用的人员由于本合同工程施工原因引起者除外；</w:t>
      </w:r>
    </w:p>
    <w:p w14:paraId="3A7F310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（3）核反应、辐射或放射性污染；</w:t>
      </w:r>
    </w:p>
    <w:p w14:paraId="5DB5182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（4）空中飞行物体附落或非发包人或承包人责任造成的爆炸、火灾；</w:t>
      </w:r>
    </w:p>
    <w:p w14:paraId="51F9708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（5）瘟疫；</w:t>
      </w:r>
    </w:p>
    <w:p w14:paraId="2C18BB8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（6）项目专用合同条款约定的其他情形。</w:t>
      </w:r>
    </w:p>
    <w:p w14:paraId="63D905CC">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5" w:name="_Toc393546516"/>
      <w:bookmarkEnd w:id="1615"/>
      <w:bookmarkStart w:id="1616" w:name="_Toc451261366"/>
      <w:bookmarkEnd w:id="1616"/>
      <w:bookmarkStart w:id="1617" w:name="_Toc330406457"/>
      <w:bookmarkEnd w:id="1617"/>
      <w:bookmarkStart w:id="1618" w:name="_Toc43475992"/>
      <w:bookmarkEnd w:id="1618"/>
      <w:bookmarkStart w:id="1619" w:name="_Toc386467262"/>
      <w:bookmarkEnd w:id="1619"/>
      <w:bookmarkStart w:id="1620" w:name="_Toc453057176"/>
      <w:bookmarkEnd w:id="1620"/>
      <w:r>
        <w:rPr>
          <w:rFonts w:hint="eastAsia" w:ascii="宋体" w:hAnsi="宋体" w:cs="宋体"/>
          <w:color w:val="000000" w:themeColor="text1"/>
          <w:sz w:val="24"/>
          <w:szCs w:val="24"/>
          <w:highlight w:val="none"/>
          <w14:textFill>
            <w14:solidFill>
              <w14:schemeClr w14:val="tx1"/>
            </w14:solidFill>
          </w14:textFill>
        </w:rPr>
        <w:t>21.3不可抗力后果及其处理</w:t>
      </w:r>
    </w:p>
    <w:p w14:paraId="115DBD7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21.3.4因不可抗力解除合同</w:t>
      </w:r>
    </w:p>
    <w:p w14:paraId="4BE0913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3ECF19C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6B2258D3">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21" w:name="_Toc453057177"/>
      <w:bookmarkEnd w:id="1621"/>
      <w:bookmarkStart w:id="1622" w:name="_Toc393546517"/>
      <w:bookmarkEnd w:id="1622"/>
      <w:bookmarkStart w:id="1623" w:name="_Toc386467263"/>
      <w:bookmarkEnd w:id="1623"/>
      <w:bookmarkStart w:id="1624" w:name="_Toc43475993"/>
      <w:bookmarkEnd w:id="1624"/>
      <w:bookmarkStart w:id="1625" w:name="_Toc330406458"/>
      <w:bookmarkEnd w:id="1625"/>
      <w:bookmarkStart w:id="1626" w:name="_Toc451261367"/>
      <w:bookmarkEnd w:id="1626"/>
      <w:r>
        <w:rPr>
          <w:rFonts w:hint="eastAsia" w:ascii="宋体" w:hAnsi="宋体" w:cs="宋体"/>
          <w:color w:val="000000" w:themeColor="text1"/>
          <w:sz w:val="28"/>
          <w:szCs w:val="28"/>
          <w:highlight w:val="none"/>
          <w14:textFill>
            <w14:solidFill>
              <w14:schemeClr w14:val="tx1"/>
            </w14:solidFill>
          </w14:textFill>
        </w:rPr>
        <w:t>22.违约</w:t>
      </w:r>
    </w:p>
    <w:p w14:paraId="1804A3B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27" w:name="_Toc330406459"/>
      <w:bookmarkEnd w:id="1627"/>
      <w:bookmarkStart w:id="1628" w:name="_Toc43475994"/>
      <w:bookmarkEnd w:id="1628"/>
      <w:bookmarkStart w:id="1629" w:name="_Toc453057178"/>
      <w:bookmarkEnd w:id="1629"/>
      <w:bookmarkStart w:id="1630" w:name="_Toc386467264"/>
      <w:bookmarkEnd w:id="1630"/>
      <w:bookmarkStart w:id="1631" w:name="_Toc451261368"/>
      <w:bookmarkEnd w:id="1631"/>
      <w:bookmarkStart w:id="1632" w:name="_Toc393546518"/>
      <w:bookmarkEnd w:id="1632"/>
      <w:r>
        <w:rPr>
          <w:rFonts w:hint="eastAsia" w:ascii="宋体" w:hAnsi="宋体" w:cs="宋体"/>
          <w:color w:val="000000" w:themeColor="text1"/>
          <w:sz w:val="24"/>
          <w:szCs w:val="24"/>
          <w:highlight w:val="none"/>
          <w14:textFill>
            <w14:solidFill>
              <w14:schemeClr w14:val="tx1"/>
            </w14:solidFill>
          </w14:textFill>
        </w:rPr>
        <w:t>22.1承包人违约</w:t>
      </w:r>
    </w:p>
    <w:p w14:paraId="19EEB069">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22.1.1承包人违约的情形</w:t>
      </w:r>
    </w:p>
    <w:p w14:paraId="3063D0D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14:paraId="202D136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（2）承包人违反第5.3款或第6.4款的约定，未经监理人批准，私自将已按合同约定进入施工场地的施工设备、临时设施、材料或工程设备撤离施工场地；</w:t>
      </w:r>
    </w:p>
    <w:p w14:paraId="1E83CAA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本项（7）目细化为：</w:t>
      </w:r>
    </w:p>
    <w:p w14:paraId="4A4F342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（7）承包人未能按期开工；</w:t>
      </w:r>
    </w:p>
    <w:p w14:paraId="64FE3C4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（8）承包人违反第4.6款或6.3款的规定，未按承诺或未按监理人的要求及时配备称职的主要管理人员、技术骨干或关键施工设备；</w:t>
      </w:r>
    </w:p>
    <w:p w14:paraId="4657224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（9）经监理人和发包人检查，发现承包人有安全问题或有违反安全管理规章制度的情况；</w:t>
      </w:r>
    </w:p>
    <w:p w14:paraId="112BFA9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（10）承包人不按合同约定履行义务的其他情况。</w:t>
      </w:r>
    </w:p>
    <w:p w14:paraId="62B9CCF3">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22.1.2对承包人违约的处理</w:t>
      </w:r>
    </w:p>
    <w:p w14:paraId="56B26F2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71FF4E3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549F6F3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3" w:name="_Toc386467265"/>
      <w:bookmarkEnd w:id="1633"/>
      <w:bookmarkStart w:id="1634" w:name="_Toc451261369"/>
      <w:bookmarkEnd w:id="1634"/>
      <w:bookmarkStart w:id="1635" w:name="_Toc43475995"/>
      <w:bookmarkEnd w:id="1635"/>
      <w:bookmarkStart w:id="1636" w:name="_Toc453057179"/>
      <w:bookmarkEnd w:id="1636"/>
      <w:bookmarkStart w:id="1637" w:name="_Toc393546519"/>
      <w:bookmarkEnd w:id="1637"/>
      <w:bookmarkStart w:id="1638" w:name="_Toc330406460"/>
      <w:bookmarkEnd w:id="1638"/>
      <w:r>
        <w:rPr>
          <w:rFonts w:hint="eastAsia" w:ascii="宋体" w:hAnsi="宋体" w:cs="宋体"/>
          <w:color w:val="000000" w:themeColor="text1"/>
          <w:sz w:val="24"/>
          <w:szCs w:val="24"/>
          <w:highlight w:val="none"/>
          <w14:textFill>
            <w14:solidFill>
              <w14:schemeClr w14:val="tx1"/>
            </w14:solidFill>
          </w14:textFill>
        </w:rPr>
        <w:t>22.2发包人违约</w:t>
      </w:r>
    </w:p>
    <w:p w14:paraId="27B01B60">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22.2.1</w:t>
      </w:r>
      <w:r>
        <w:rPr>
          <w:rFonts w:hint="eastAsia" w:ascii="宋体" w:hAnsi="宋体" w:cs="宋体"/>
          <w:b/>
          <w:bCs/>
          <w:color w:val="000000" w:themeColor="text1"/>
          <w:sz w:val="24"/>
          <w:highlight w:val="none"/>
          <w:lang w:val="zh-CN"/>
          <w14:textFill>
            <w14:solidFill>
              <w14:schemeClr w14:val="tx1"/>
            </w14:solidFill>
          </w14:textFill>
        </w:rPr>
        <w:t>发包人违约的情形</w:t>
      </w:r>
    </w:p>
    <w:p w14:paraId="000947A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目细化为：</w:t>
      </w:r>
    </w:p>
    <w:p w14:paraId="6BDDB40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发包人无正当理由不按时返还履约保证金、质量保证金或农民工工资保证金的；</w:t>
      </w:r>
    </w:p>
    <w:p w14:paraId="785840D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发包人不履行合同约定其他义务的。</w:t>
      </w:r>
    </w:p>
    <w:p w14:paraId="1E27C614">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22.2.2</w:t>
      </w:r>
      <w:r>
        <w:rPr>
          <w:rFonts w:hint="eastAsia" w:ascii="宋体" w:hAnsi="宋体" w:cs="宋体"/>
          <w:b/>
          <w:bCs/>
          <w:color w:val="000000" w:themeColor="text1"/>
          <w:sz w:val="24"/>
          <w:highlight w:val="none"/>
          <w:lang w:val="zh-CN"/>
          <w14:textFill>
            <w14:solidFill>
              <w14:schemeClr w14:val="tx1"/>
            </w14:solidFill>
          </w14:textFill>
        </w:rPr>
        <w:t>承包人有权暂停施工</w:t>
      </w:r>
    </w:p>
    <w:p w14:paraId="624FB385">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本项细化为：</w:t>
      </w:r>
    </w:p>
    <w:p w14:paraId="61201409">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发包人发生除第</w:t>
      </w:r>
      <w:r>
        <w:rPr>
          <w:rFonts w:hint="eastAsia" w:ascii="宋体" w:hAnsi="宋体" w:cs="宋体"/>
          <w:color w:val="000000" w:themeColor="text1"/>
          <w:sz w:val="24"/>
          <w:highlight w:val="none"/>
          <w14:textFill>
            <w14:solidFill>
              <w14:schemeClr w14:val="tx1"/>
            </w14:solidFill>
          </w14:textFill>
        </w:rPr>
        <w:t xml:space="preserve">22.2.1 </w:t>
      </w:r>
      <w:r>
        <w:rPr>
          <w:rFonts w:hint="eastAsia" w:ascii="宋体" w:hAnsi="宋体" w:cs="宋体"/>
          <w:color w:val="000000" w:themeColor="text1"/>
          <w:sz w:val="24"/>
          <w:highlight w:val="none"/>
          <w:lang w:val="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目以外的违约情况时，承包人可向发包人发</w:t>
      </w:r>
    </w:p>
    <w:p w14:paraId="61B8EB8A">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14:paraId="7DC1C4E8">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发包人发生第</w:t>
      </w:r>
      <w:r>
        <w:rPr>
          <w:rFonts w:hint="eastAsia" w:ascii="宋体" w:hAnsi="宋体" w:cs="宋体"/>
          <w:color w:val="000000" w:themeColor="text1"/>
          <w:sz w:val="24"/>
          <w:highlight w:val="none"/>
          <w14:textFill>
            <w14:solidFill>
              <w14:schemeClr w14:val="tx1"/>
            </w14:solidFill>
          </w14:textFill>
        </w:rPr>
        <w:t>22.2.1 （5）</w:t>
      </w:r>
      <w:r>
        <w:rPr>
          <w:rFonts w:hint="eastAsia" w:ascii="宋体" w:hAnsi="宋体" w:cs="宋体"/>
          <w:color w:val="000000" w:themeColor="text1"/>
          <w:sz w:val="24"/>
          <w:highlight w:val="none"/>
          <w:lang w:val="zh-CN"/>
          <w14:textFill>
            <w14:solidFill>
              <w14:schemeClr w14:val="tx1"/>
            </w14:solidFill>
          </w14:textFill>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14:paraId="35944D74">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22.2.4 解除合同后的付款</w:t>
      </w:r>
    </w:p>
    <w:p w14:paraId="1DC0F11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14:paraId="4E47926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（2）承包人为该工程施工订购并已付款的材料、工程设备和其他物品的金额，发包人付款后，该材料、工程设备和其他物品归发包人所有；</w:t>
      </w:r>
    </w:p>
    <w:p w14:paraId="11050E7A">
      <w:pPr>
        <w:pStyle w:val="4"/>
        <w:spacing w:before="120" w:line="400" w:lineRule="exact"/>
        <w:rPr>
          <w:rFonts w:ascii="宋体" w:hAnsi="宋体" w:cs="宋体"/>
          <w:color w:val="000000" w:themeColor="text1"/>
          <w:sz w:val="28"/>
          <w:szCs w:val="28"/>
          <w:highlight w:val="none"/>
          <w14:textFill>
            <w14:solidFill>
              <w14:schemeClr w14:val="tx1"/>
            </w14:solidFill>
          </w14:textFill>
        </w:rPr>
      </w:pPr>
      <w:bookmarkStart w:id="1639" w:name="_Toc393546520"/>
      <w:bookmarkEnd w:id="1639"/>
      <w:bookmarkStart w:id="1640" w:name="_Toc451261370"/>
      <w:bookmarkEnd w:id="1640"/>
      <w:bookmarkStart w:id="1641" w:name="_Toc43475996"/>
      <w:bookmarkEnd w:id="1641"/>
      <w:bookmarkStart w:id="1642" w:name="_Toc453057180"/>
      <w:bookmarkEnd w:id="1642"/>
      <w:bookmarkStart w:id="1643" w:name="_Toc330406461"/>
      <w:bookmarkEnd w:id="1643"/>
      <w:bookmarkStart w:id="1644" w:name="_Toc386467266"/>
      <w:bookmarkEnd w:id="1644"/>
      <w:r>
        <w:rPr>
          <w:rFonts w:hint="eastAsia" w:ascii="宋体" w:hAnsi="宋体" w:cs="宋体"/>
          <w:color w:val="000000" w:themeColor="text1"/>
          <w:sz w:val="28"/>
          <w:szCs w:val="28"/>
          <w:highlight w:val="none"/>
          <w14:textFill>
            <w14:solidFill>
              <w14:schemeClr w14:val="tx1"/>
            </w14:solidFill>
          </w14:textFill>
        </w:rPr>
        <w:t>23.索赔</w:t>
      </w:r>
    </w:p>
    <w:p w14:paraId="0263B0B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45" w:name="_Toc393546521"/>
      <w:bookmarkEnd w:id="1645"/>
      <w:bookmarkStart w:id="1646" w:name="_Toc453057181"/>
      <w:bookmarkEnd w:id="1646"/>
      <w:bookmarkStart w:id="1647" w:name="_Toc330406462"/>
      <w:bookmarkEnd w:id="1647"/>
      <w:bookmarkStart w:id="1648" w:name="_Toc386467267"/>
      <w:bookmarkEnd w:id="1648"/>
      <w:bookmarkStart w:id="1649" w:name="_Toc43475997"/>
      <w:bookmarkEnd w:id="1649"/>
      <w:bookmarkStart w:id="1650" w:name="_Toc451261371"/>
      <w:bookmarkEnd w:id="1650"/>
      <w:r>
        <w:rPr>
          <w:rFonts w:hint="eastAsia" w:ascii="宋体" w:hAnsi="宋体" w:cs="宋体"/>
          <w:color w:val="000000" w:themeColor="text1"/>
          <w:sz w:val="24"/>
          <w:szCs w:val="24"/>
          <w:highlight w:val="none"/>
          <w14:textFill>
            <w14:solidFill>
              <w14:schemeClr w14:val="tx1"/>
            </w14:solidFill>
          </w14:textFill>
        </w:rPr>
        <w:t>23.1承包人索赔的提出</w:t>
      </w:r>
    </w:p>
    <w:p w14:paraId="6A5426E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本款第（4）项细化为：</w:t>
      </w:r>
    </w:p>
    <w:p w14:paraId="3D7E136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14:paraId="484A68F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51" w:name="_Toc43475998"/>
      <w:bookmarkEnd w:id="1651"/>
      <w:bookmarkStart w:id="1652" w:name="_Toc330406463"/>
      <w:bookmarkEnd w:id="1652"/>
      <w:bookmarkStart w:id="1653" w:name="_Toc453057182"/>
      <w:bookmarkEnd w:id="1653"/>
      <w:bookmarkStart w:id="1654" w:name="_Toc393546522"/>
      <w:bookmarkEnd w:id="1654"/>
      <w:bookmarkStart w:id="1655" w:name="_Toc386467268"/>
      <w:bookmarkEnd w:id="1655"/>
      <w:bookmarkStart w:id="1656" w:name="_Toc451261372"/>
      <w:bookmarkEnd w:id="1656"/>
      <w:r>
        <w:rPr>
          <w:rFonts w:hint="eastAsia" w:ascii="宋体" w:hAnsi="宋体" w:cs="宋体"/>
          <w:color w:val="000000" w:themeColor="text1"/>
          <w:sz w:val="24"/>
          <w:szCs w:val="24"/>
          <w:highlight w:val="none"/>
          <w14:textFill>
            <w14:solidFill>
              <w14:schemeClr w14:val="tx1"/>
            </w14:solidFill>
          </w14:textFill>
        </w:rPr>
        <w:t>23.2承包人索赔处理程序</w:t>
      </w:r>
    </w:p>
    <w:p w14:paraId="5AB75CF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本款第（2）项细化为：</w:t>
      </w:r>
    </w:p>
    <w:p w14:paraId="0095F59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15DEC02E">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57" w:name="_Toc43475999"/>
      <w:bookmarkEnd w:id="1657"/>
      <w:bookmarkStart w:id="1658" w:name="_Toc330406464"/>
      <w:bookmarkEnd w:id="1658"/>
      <w:bookmarkStart w:id="1659" w:name="_Toc386467269"/>
      <w:bookmarkEnd w:id="1659"/>
      <w:bookmarkStart w:id="1660" w:name="_Toc453057183"/>
      <w:bookmarkEnd w:id="1660"/>
      <w:bookmarkStart w:id="1661" w:name="_Toc451261373"/>
      <w:bookmarkEnd w:id="1661"/>
      <w:bookmarkStart w:id="1662" w:name="_Toc393546523"/>
      <w:bookmarkEnd w:id="1662"/>
      <w:r>
        <w:rPr>
          <w:rFonts w:hint="eastAsia" w:ascii="宋体" w:hAnsi="宋体" w:cs="宋体"/>
          <w:color w:val="000000" w:themeColor="text1"/>
          <w:sz w:val="28"/>
          <w:szCs w:val="28"/>
          <w:highlight w:val="none"/>
          <w14:textFill>
            <w14:solidFill>
              <w14:schemeClr w14:val="tx1"/>
            </w14:solidFill>
          </w14:textFill>
        </w:rPr>
        <w:t>24.争议的解决</w:t>
      </w:r>
    </w:p>
    <w:p w14:paraId="71EF4E4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63" w:name="_Toc453057184"/>
      <w:bookmarkEnd w:id="1663"/>
      <w:bookmarkStart w:id="1664" w:name="_Toc451261374"/>
      <w:bookmarkEnd w:id="1664"/>
      <w:bookmarkStart w:id="1665" w:name="_Toc393546524"/>
      <w:bookmarkEnd w:id="1665"/>
      <w:bookmarkStart w:id="1666" w:name="_Toc386467270"/>
      <w:bookmarkEnd w:id="1666"/>
      <w:bookmarkStart w:id="1667" w:name="_Toc43476000"/>
      <w:bookmarkEnd w:id="1667"/>
      <w:bookmarkStart w:id="1668" w:name="_Toc330406465"/>
      <w:bookmarkEnd w:id="1668"/>
      <w:r>
        <w:rPr>
          <w:rFonts w:hint="eastAsia" w:ascii="宋体" w:hAnsi="宋体" w:cs="宋体"/>
          <w:color w:val="000000" w:themeColor="text1"/>
          <w:sz w:val="24"/>
          <w:szCs w:val="24"/>
          <w:highlight w:val="none"/>
          <w14:textFill>
            <w14:solidFill>
              <w14:schemeClr w14:val="tx1"/>
            </w14:solidFill>
          </w14:textFill>
        </w:rPr>
        <w:t>24.3争议评审</w:t>
      </w:r>
    </w:p>
    <w:p w14:paraId="60C2173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第24.3.1项补充：</w:t>
      </w:r>
    </w:p>
    <w:p w14:paraId="0B62606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52D32E2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本条补充第24.4、第24.5款（适用于采用仲裁方式最终解决争议的项目）：</w:t>
      </w:r>
    </w:p>
    <w:p w14:paraId="09E51FF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69" w:name="_Toc330406466"/>
      <w:bookmarkEnd w:id="1669"/>
      <w:bookmarkStart w:id="1670" w:name="_Toc453057185"/>
      <w:bookmarkEnd w:id="1670"/>
      <w:bookmarkStart w:id="1671" w:name="_Toc43476001"/>
      <w:bookmarkEnd w:id="1671"/>
      <w:bookmarkStart w:id="1672" w:name="_Toc393546525"/>
      <w:bookmarkEnd w:id="1672"/>
      <w:bookmarkStart w:id="1673" w:name="_Toc386467271"/>
      <w:bookmarkEnd w:id="1673"/>
      <w:bookmarkStart w:id="1674" w:name="_Toc451261375"/>
      <w:bookmarkEnd w:id="1674"/>
      <w:r>
        <w:rPr>
          <w:rFonts w:hint="eastAsia" w:ascii="宋体" w:hAnsi="宋体" w:cs="宋体"/>
          <w:color w:val="000000" w:themeColor="text1"/>
          <w:sz w:val="24"/>
          <w:szCs w:val="24"/>
          <w:highlight w:val="none"/>
          <w14:textFill>
            <w14:solidFill>
              <w14:schemeClr w14:val="tx1"/>
            </w14:solidFill>
          </w14:textFill>
        </w:rPr>
        <w:t>24.4仲裁</w:t>
      </w:r>
    </w:p>
    <w:p w14:paraId="6ECD7DB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（1）对于未能友好解决或通过争议评审解决的争议，发包人或承包人任一方均有权提交给第24.1款约定的仲裁委员会仲裁。</w:t>
      </w:r>
    </w:p>
    <w:p w14:paraId="53EDB24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3E509AF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（3）仲裁裁决是终局性的并对发包人和承包人双方具有约束力。</w:t>
      </w:r>
    </w:p>
    <w:p w14:paraId="570D6E0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（4）全部仲裁费用应由败诉方承担；或按仲裁员会裁决的比例分担。</w:t>
      </w:r>
    </w:p>
    <w:p w14:paraId="6636CB6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75" w:name="_Toc393546526"/>
      <w:bookmarkEnd w:id="1675"/>
      <w:bookmarkStart w:id="1676" w:name="_Toc453057186"/>
      <w:bookmarkEnd w:id="1676"/>
      <w:bookmarkStart w:id="1677" w:name="_Toc386467272"/>
      <w:bookmarkEnd w:id="1677"/>
      <w:bookmarkStart w:id="1678" w:name="_Toc451261376"/>
      <w:bookmarkEnd w:id="1678"/>
      <w:bookmarkStart w:id="1679" w:name="_Toc330406467"/>
      <w:bookmarkEnd w:id="1679"/>
      <w:bookmarkStart w:id="1680" w:name="_Toc43476002"/>
      <w:bookmarkEnd w:id="1680"/>
      <w:r>
        <w:rPr>
          <w:rFonts w:hint="eastAsia" w:ascii="宋体" w:hAnsi="宋体" w:cs="宋体"/>
          <w:color w:val="000000" w:themeColor="text1"/>
          <w:sz w:val="24"/>
          <w:szCs w:val="24"/>
          <w:highlight w:val="none"/>
          <w14:textFill>
            <w14:solidFill>
              <w14:schemeClr w14:val="tx1"/>
            </w14:solidFill>
          </w14:textFill>
        </w:rPr>
        <w:t>24.5仲裁的执行</w:t>
      </w:r>
    </w:p>
    <w:p w14:paraId="1DF7F8D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（1）任何一方不履行仲裁机构的裁决的，对方可以向有管辖权的人民法院申请执行。</w:t>
      </w:r>
    </w:p>
    <w:p w14:paraId="1612654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776DB908">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0F73FD7E">
      <w:pPr>
        <w:pStyle w:val="5"/>
        <w:jc w:val="center"/>
        <w:rPr>
          <w:rFonts w:ascii="宋体" w:hAnsi="宋体"/>
          <w:color w:val="000000" w:themeColor="text1"/>
          <w:szCs w:val="36"/>
          <w:highlight w:val="none"/>
          <w14:textFill>
            <w14:solidFill>
              <w14:schemeClr w14:val="tx1"/>
            </w14:solidFill>
          </w14:textFill>
        </w:rPr>
      </w:pPr>
      <w:bookmarkStart w:id="1681" w:name="_Toc43476003"/>
      <w:bookmarkEnd w:id="1681"/>
      <w:r>
        <w:rPr>
          <w:rFonts w:hint="eastAsia"/>
          <w:color w:val="000000" w:themeColor="text1"/>
          <w:highlight w:val="none"/>
          <w14:textFill>
            <w14:solidFill>
              <w14:schemeClr w14:val="tx1"/>
            </w14:solidFill>
          </w14:textFill>
        </w:rPr>
        <w:t>B.项目专用合同条款</w:t>
      </w:r>
    </w:p>
    <w:p w14:paraId="13284179">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说明：</w:t>
      </w:r>
    </w:p>
    <w:p w14:paraId="513935B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招标人在根据本范本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0C3913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项目专用合同条款的编号应与通用合同条款和公路工程专用合同条款一致。</w:t>
      </w:r>
    </w:p>
    <w:p w14:paraId="214AF61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项目专用合同条款可对下列内容进行补充和细化：</w:t>
      </w:r>
    </w:p>
    <w:p w14:paraId="22036AD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7C5B170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61BF9D9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(3)其他需要补充、细化的内容。</w:t>
      </w:r>
    </w:p>
    <w:p w14:paraId="2D71F7FE">
      <w:pPr>
        <w:pStyle w:val="6"/>
        <w:jc w:val="center"/>
        <w:rPr>
          <w:color w:val="000000" w:themeColor="text1"/>
          <w:highlight w:val="none"/>
          <w14:textFill>
            <w14:solidFill>
              <w14:schemeClr w14:val="tx1"/>
            </w14:solidFill>
          </w14:textFill>
        </w:rPr>
      </w:pPr>
      <w:bookmarkStart w:id="1682" w:name="_Toc43476004"/>
      <w:bookmarkEnd w:id="1682"/>
      <w:bookmarkStart w:id="1683" w:name="_Toc505844493"/>
      <w:bookmarkEnd w:id="1683"/>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项目专用条款数据表</w:t>
      </w:r>
    </w:p>
    <w:p w14:paraId="12421DD4">
      <w:pPr>
        <w:rPr>
          <w:color w:val="000000" w:themeColor="text1"/>
          <w:highlight w:val="none"/>
          <w14:textFill>
            <w14:solidFill>
              <w14:schemeClr w14:val="tx1"/>
            </w14:solidFill>
          </w14:textFill>
        </w:rPr>
      </w:pPr>
    </w:p>
    <w:p w14:paraId="6FDBCC5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 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45"/>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0"/>
        <w:gridCol w:w="1464"/>
        <w:gridCol w:w="7426"/>
      </w:tblGrid>
      <w:tr w14:paraId="202FF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6" w:type="dxa"/>
            <w:vAlign w:val="center"/>
          </w:tcPr>
          <w:p w14:paraId="53EE6DBC">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484" w:type="dxa"/>
            <w:gridSpan w:val="2"/>
            <w:vAlign w:val="center"/>
          </w:tcPr>
          <w:p w14:paraId="098E8330">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426" w:type="dxa"/>
            <w:vAlign w:val="center"/>
          </w:tcPr>
          <w:p w14:paraId="01701DCD">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信息或数据</w:t>
            </w:r>
          </w:p>
        </w:tc>
      </w:tr>
      <w:tr w14:paraId="52E11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8765DA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84" w:type="dxa"/>
            <w:gridSpan w:val="2"/>
            <w:vAlign w:val="center"/>
          </w:tcPr>
          <w:p w14:paraId="694EB69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1.1.2.2</w:t>
            </w:r>
          </w:p>
        </w:tc>
        <w:tc>
          <w:tcPr>
            <w:tcW w:w="7426" w:type="dxa"/>
            <w:vAlign w:val="center"/>
          </w:tcPr>
          <w:p w14:paraId="02EA72BB">
            <w:pPr>
              <w:pStyle w:val="73"/>
              <w:widowControl/>
              <w:snapToGrid w:val="0"/>
              <w:spacing w:line="400" w:lineRule="exact"/>
              <w:jc w:val="left"/>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单位名称：</w:t>
            </w:r>
            <w:r>
              <w:rPr>
                <w:rFonts w:hint="eastAsia" w:hAnsi="宋体" w:cs="宋体"/>
                <w:color w:val="000000" w:themeColor="text1"/>
                <w:sz w:val="21"/>
                <w:szCs w:val="21"/>
                <w:highlight w:val="none"/>
                <w:lang w:eastAsia="zh-CN"/>
                <w14:textFill>
                  <w14:solidFill>
                    <w14:schemeClr w14:val="tx1"/>
                  </w14:solidFill>
                </w14:textFill>
              </w:rPr>
              <w:t>乐昌市五山镇人民政府</w:t>
            </w:r>
          </w:p>
          <w:p w14:paraId="71951B5F">
            <w:pPr>
              <w:pStyle w:val="73"/>
              <w:widowControl/>
              <w:snapToGrid w:val="0"/>
              <w:spacing w:line="400" w:lineRule="exact"/>
              <w:jc w:val="left"/>
              <w:rPr>
                <w:rFonts w:hint="default"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地址：韶关市乐昌市麻坑街</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邮政编码：512242</w:t>
            </w:r>
          </w:p>
        </w:tc>
      </w:tr>
      <w:tr w14:paraId="778F8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3A30B2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484" w:type="dxa"/>
            <w:gridSpan w:val="2"/>
            <w:vAlign w:val="center"/>
          </w:tcPr>
          <w:p w14:paraId="43C3CED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1.1.2.6</w:t>
            </w:r>
          </w:p>
        </w:tc>
        <w:tc>
          <w:tcPr>
            <w:tcW w:w="7426" w:type="dxa"/>
            <w:vAlign w:val="center"/>
          </w:tcPr>
          <w:p w14:paraId="55E2269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 理 人：/</w:t>
            </w:r>
          </w:p>
          <w:p w14:paraId="5F22B5B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                       邮政编码：/</w:t>
            </w:r>
          </w:p>
        </w:tc>
      </w:tr>
      <w:tr w14:paraId="6EC4F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227BD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484" w:type="dxa"/>
            <w:gridSpan w:val="2"/>
            <w:vAlign w:val="center"/>
          </w:tcPr>
          <w:p w14:paraId="6C1186C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1.1.2.10</w:t>
            </w:r>
          </w:p>
        </w:tc>
        <w:tc>
          <w:tcPr>
            <w:tcW w:w="7426" w:type="dxa"/>
            <w:vAlign w:val="center"/>
          </w:tcPr>
          <w:p w14:paraId="578A4BC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试验人</w:t>
            </w:r>
            <w:r>
              <w:rPr>
                <w:rFonts w:hint="eastAsia" w:ascii="宋体" w:hAnsi="宋体" w:cs="宋体"/>
                <w:color w:val="000000" w:themeColor="text1"/>
                <w:szCs w:val="21"/>
                <w:highlight w:val="none"/>
                <w14:textFill>
                  <w14:solidFill>
                    <w14:schemeClr w14:val="tx1"/>
                  </w14:solidFill>
                </w14:textFill>
              </w:rPr>
              <w:t>：/</w:t>
            </w:r>
          </w:p>
          <w:p w14:paraId="06CA240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pacing w:val="-1"/>
                <w:szCs w:val="21"/>
                <w:highlight w:val="none"/>
                <w14:textFill>
                  <w14:solidFill>
                    <w14:schemeClr w14:val="tx1"/>
                  </w14:solidFill>
                </w14:textFill>
              </w:rPr>
              <w:t>邮政</w:t>
            </w:r>
            <w:r>
              <w:rPr>
                <w:rFonts w:hint="eastAsia" w:ascii="宋体" w:hAnsi="宋体" w:cs="宋体"/>
                <w:color w:val="000000" w:themeColor="text1"/>
                <w:szCs w:val="21"/>
                <w:highlight w:val="none"/>
                <w14:textFill>
                  <w14:solidFill>
                    <w14:schemeClr w14:val="tx1"/>
                  </w14:solidFill>
                </w14:textFill>
              </w:rPr>
              <w:t>编码：/</w:t>
            </w:r>
          </w:p>
        </w:tc>
      </w:tr>
      <w:tr w14:paraId="09123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9B6D85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484" w:type="dxa"/>
            <w:gridSpan w:val="2"/>
            <w:vAlign w:val="center"/>
          </w:tcPr>
          <w:p w14:paraId="68FBD92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1.1.4.5</w:t>
            </w:r>
          </w:p>
        </w:tc>
        <w:tc>
          <w:tcPr>
            <w:tcW w:w="7426" w:type="dxa"/>
            <w:vAlign w:val="center"/>
          </w:tcPr>
          <w:p w14:paraId="15ED336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缺陷责任期：自实际交工日期起计算</w:t>
            </w:r>
            <w:r>
              <w:rPr>
                <w:rFonts w:hint="eastAsia" w:ascii="宋体" w:hAnsi="宋体" w:cs="宋体"/>
                <w:color w:val="000000" w:themeColor="text1"/>
                <w:szCs w:val="21"/>
                <w:highlight w:val="none"/>
                <w:u w:val="singl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个月，其中绿化工程自实际交工日期起计算</w:t>
            </w:r>
            <w:r>
              <w:rPr>
                <w:rFonts w:hint="eastAsia" w:ascii="宋体" w:hAnsi="宋体" w:cs="宋体"/>
                <w:color w:val="000000" w:themeColor="text1"/>
                <w:szCs w:val="21"/>
                <w:highlight w:val="none"/>
                <w:u w:val="single"/>
                <w14:textFill>
                  <w14:solidFill>
                    <w14:schemeClr w14:val="tx1"/>
                  </w14:solidFill>
                </w14:textFill>
              </w:rPr>
              <w:t xml:space="preserve"> / 个</w:t>
            </w:r>
            <w:r>
              <w:rPr>
                <w:rFonts w:hint="eastAsia" w:ascii="宋体" w:hAnsi="宋体" w:cs="宋体"/>
                <w:color w:val="000000" w:themeColor="text1"/>
                <w:szCs w:val="21"/>
                <w:highlight w:val="none"/>
                <w14:textFill>
                  <w14:solidFill>
                    <w14:schemeClr w14:val="tx1"/>
                  </w14:solidFill>
                </w14:textFill>
              </w:rPr>
              <w:t>月。</w:t>
            </w:r>
          </w:p>
        </w:tc>
      </w:tr>
      <w:tr w14:paraId="63416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94584A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484" w:type="dxa"/>
            <w:gridSpan w:val="2"/>
            <w:vAlign w:val="center"/>
          </w:tcPr>
          <w:p w14:paraId="57A079E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w:t>
            </w:r>
          </w:p>
        </w:tc>
        <w:tc>
          <w:tcPr>
            <w:tcW w:w="7426" w:type="dxa"/>
            <w:vAlign w:val="center"/>
          </w:tcPr>
          <w:p w14:paraId="6A22B29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图纸需要修改和补充的，应由监理人取得发包人同意后，在该项工程或工程相应部位施工前</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天签发图纸修改图给承包人。</w:t>
            </w:r>
          </w:p>
        </w:tc>
      </w:tr>
      <w:tr w14:paraId="2DBAE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80B20C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484" w:type="dxa"/>
            <w:gridSpan w:val="2"/>
            <w:vAlign w:val="center"/>
          </w:tcPr>
          <w:p w14:paraId="632EF09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7426" w:type="dxa"/>
            <w:vAlign w:val="center"/>
          </w:tcPr>
          <w:p w14:paraId="4AB22CE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监理人在行使下列权力前需要经发包人事先批准：</w:t>
            </w:r>
          </w:p>
          <w:p w14:paraId="22C2998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（6）根据第15.3款发出的变更指示，均需要经发包人事先批准。</w:t>
            </w:r>
          </w:p>
        </w:tc>
      </w:tr>
      <w:tr w14:paraId="7FA9F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26AA17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484" w:type="dxa"/>
            <w:gridSpan w:val="2"/>
            <w:vAlign w:val="center"/>
          </w:tcPr>
          <w:p w14:paraId="716A872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4.6.3(1)</w:t>
            </w:r>
          </w:p>
        </w:tc>
        <w:tc>
          <w:tcPr>
            <w:tcW w:w="7426" w:type="dxa"/>
            <w:vAlign w:val="center"/>
          </w:tcPr>
          <w:p w14:paraId="7DA5A5C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需缴纳违约金金额：项目经理</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万元/人次，总工程师</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万元/人次，其他主要管理人员</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万元/人次。</w:t>
            </w:r>
          </w:p>
        </w:tc>
      </w:tr>
      <w:tr w14:paraId="187FB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FD2278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484" w:type="dxa"/>
            <w:gridSpan w:val="2"/>
            <w:vAlign w:val="center"/>
          </w:tcPr>
          <w:p w14:paraId="74603A0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7426" w:type="dxa"/>
            <w:vAlign w:val="center"/>
          </w:tcPr>
          <w:p w14:paraId="1F9332CF">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发包人是否提供材料或工程设备：</w:t>
            </w:r>
            <w:r>
              <w:rPr>
                <w:rFonts w:hint="eastAsia" w:ascii="宋体" w:hAnsi="宋体" w:cs="宋体"/>
                <w:color w:val="000000" w:themeColor="text1"/>
                <w:szCs w:val="21"/>
                <w:highlight w:val="none"/>
                <w:u w:val="single"/>
                <w14:textFill>
                  <w14:solidFill>
                    <w14:schemeClr w14:val="tx1"/>
                  </w14:solidFill>
                </w14:textFill>
              </w:rPr>
              <w:t>否</w:t>
            </w:r>
          </w:p>
          <w:p w14:paraId="1CB26B1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如发包人负责提供部分材料或工程设备，相关规定如下：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5B76B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B38AB3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484" w:type="dxa"/>
            <w:gridSpan w:val="2"/>
            <w:vAlign w:val="center"/>
          </w:tcPr>
          <w:p w14:paraId="450FD29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426" w:type="dxa"/>
            <w:vAlign w:val="center"/>
          </w:tcPr>
          <w:p w14:paraId="3EC0921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发包人是否提供施工设备和临时设施：</w:t>
            </w:r>
            <w:r>
              <w:rPr>
                <w:rFonts w:hint="eastAsia" w:ascii="宋体" w:hAnsi="宋体" w:cs="宋体"/>
                <w:color w:val="000000" w:themeColor="text1"/>
                <w:szCs w:val="21"/>
                <w:highlight w:val="none"/>
                <w:u w:val="single"/>
                <w14:textFill>
                  <w14:solidFill>
                    <w14:schemeClr w14:val="tx1"/>
                  </w14:solidFill>
                </w14:textFill>
              </w:rPr>
              <w:t>否</w:t>
            </w:r>
          </w:p>
          <w:p w14:paraId="437F128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如发包人负责提供部分施工设备和临时设施，相关规定如下：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69AD5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F6913B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484" w:type="dxa"/>
            <w:gridSpan w:val="2"/>
            <w:vAlign w:val="center"/>
          </w:tcPr>
          <w:p w14:paraId="76EA139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8.1.1</w:t>
            </w:r>
          </w:p>
        </w:tc>
        <w:tc>
          <w:tcPr>
            <w:tcW w:w="7426" w:type="dxa"/>
            <w:vAlign w:val="center"/>
          </w:tcPr>
          <w:p w14:paraId="3A46F5C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发包人提供测量基准点、基准线和水准点及其书面资料的期限：</w:t>
            </w:r>
            <w:r>
              <w:rPr>
                <w:rFonts w:hint="eastAsia" w:ascii="宋体" w:hAnsi="宋体" w:cs="宋体"/>
                <w:color w:val="000000" w:themeColor="text1"/>
                <w:szCs w:val="21"/>
                <w:highlight w:val="none"/>
                <w:u w:val="single"/>
                <w14:textFill>
                  <w14:solidFill>
                    <w14:schemeClr w14:val="tx1"/>
                  </w14:solidFill>
                </w14:textFill>
              </w:rPr>
              <w:t>在签订施工承包合同后一个月内。</w:t>
            </w:r>
          </w:p>
          <w:p w14:paraId="2A47529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承包人将施工控制网资料报送监理人审批的期限：</w:t>
            </w:r>
            <w:r>
              <w:rPr>
                <w:rFonts w:hint="eastAsia" w:ascii="宋体" w:hAnsi="宋体" w:cs="宋体"/>
                <w:color w:val="000000" w:themeColor="text1"/>
                <w:szCs w:val="21"/>
                <w:highlight w:val="none"/>
                <w:u w:val="single"/>
                <w14:textFill>
                  <w14:solidFill>
                    <w14:schemeClr w14:val="tx1"/>
                  </w14:solidFill>
                </w14:textFill>
              </w:rPr>
              <w:t>在收到发包人提供的上述资料一个月内。</w:t>
            </w:r>
          </w:p>
        </w:tc>
      </w:tr>
      <w:tr w14:paraId="082FC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0B94BF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484" w:type="dxa"/>
            <w:gridSpan w:val="2"/>
            <w:vAlign w:val="center"/>
          </w:tcPr>
          <w:p w14:paraId="28F8DCD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11.3（2）</w:t>
            </w:r>
          </w:p>
        </w:tc>
        <w:tc>
          <w:tcPr>
            <w:tcW w:w="7426" w:type="dxa"/>
            <w:vAlign w:val="center"/>
          </w:tcPr>
          <w:p w14:paraId="4909EE3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如顺延合同工期在</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及以内的，发包人将不予增加费用；</w:t>
            </w:r>
          </w:p>
          <w:p w14:paraId="1CCADBF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如顺延合同工期在</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以上的，发包人将按如下原则给予补偿：</w:t>
            </w:r>
            <w:r>
              <w:rPr>
                <w:rFonts w:hint="eastAsia" w:ascii="宋体" w:hAnsi="宋体" w:cs="宋体"/>
                <w:color w:val="000000" w:themeColor="text1"/>
                <w:szCs w:val="21"/>
                <w:highlight w:val="none"/>
                <w:u w:val="single"/>
                <w14:textFill>
                  <w14:solidFill>
                    <w14:schemeClr w14:val="tx1"/>
                  </w14:solidFill>
                </w14:textFill>
              </w:rPr>
              <w:t>详见专用合同条款。</w:t>
            </w:r>
          </w:p>
        </w:tc>
      </w:tr>
      <w:tr w14:paraId="6A354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5B14AD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484" w:type="dxa"/>
            <w:gridSpan w:val="2"/>
            <w:vAlign w:val="center"/>
          </w:tcPr>
          <w:p w14:paraId="26DEB5A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w:t>
            </w:r>
          </w:p>
        </w:tc>
        <w:tc>
          <w:tcPr>
            <w:tcW w:w="7426" w:type="dxa"/>
            <w:vAlign w:val="center"/>
          </w:tcPr>
          <w:p w14:paraId="2FCE87F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仅对超出</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以上部分进行补偿。</w:t>
            </w:r>
          </w:p>
        </w:tc>
      </w:tr>
      <w:tr w14:paraId="03F26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C4573F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484" w:type="dxa"/>
            <w:gridSpan w:val="2"/>
            <w:vAlign w:val="center"/>
          </w:tcPr>
          <w:p w14:paraId="7DD5A48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11.5（3）</w:t>
            </w:r>
          </w:p>
        </w:tc>
        <w:tc>
          <w:tcPr>
            <w:tcW w:w="7426" w:type="dxa"/>
            <w:vAlign w:val="center"/>
          </w:tcPr>
          <w:p w14:paraId="7BFB780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逾期交工违约金：</w:t>
            </w:r>
            <w:r>
              <w:rPr>
                <w:rFonts w:hint="eastAsia" w:ascii="宋体" w:hAnsi="宋体" w:cs="宋体"/>
                <w:color w:val="000000" w:themeColor="text1"/>
                <w:szCs w:val="21"/>
                <w:highlight w:val="none"/>
                <w:u w:val="single"/>
                <w14:textFill>
                  <w14:solidFill>
                    <w14:schemeClr w14:val="tx1"/>
                  </w14:solidFill>
                </w14:textFill>
              </w:rPr>
              <w:t>1000元/天。</w:t>
            </w:r>
          </w:p>
        </w:tc>
      </w:tr>
      <w:tr w14:paraId="313F1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B31925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484" w:type="dxa"/>
            <w:gridSpan w:val="2"/>
            <w:vAlign w:val="center"/>
          </w:tcPr>
          <w:p w14:paraId="5736A4C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11.5（3）</w:t>
            </w:r>
          </w:p>
        </w:tc>
        <w:tc>
          <w:tcPr>
            <w:tcW w:w="7426" w:type="dxa"/>
            <w:vAlign w:val="center"/>
          </w:tcPr>
          <w:p w14:paraId="4A48228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逾期交工违约金限额：</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%签约合同价。</w:t>
            </w:r>
          </w:p>
        </w:tc>
      </w:tr>
      <w:tr w14:paraId="7DD06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E96163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484" w:type="dxa"/>
            <w:gridSpan w:val="2"/>
            <w:vAlign w:val="center"/>
          </w:tcPr>
          <w:p w14:paraId="4A36E0F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11.6</w:t>
            </w:r>
          </w:p>
        </w:tc>
        <w:tc>
          <w:tcPr>
            <w:tcW w:w="7426" w:type="dxa"/>
            <w:vAlign w:val="center"/>
          </w:tcPr>
          <w:p w14:paraId="1A9EEE5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提前交工的奖金：</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元/天。</w:t>
            </w:r>
          </w:p>
        </w:tc>
      </w:tr>
      <w:tr w14:paraId="65A18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CAAE7F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484" w:type="dxa"/>
            <w:gridSpan w:val="2"/>
            <w:vAlign w:val="center"/>
          </w:tcPr>
          <w:p w14:paraId="7E75F4F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11.6</w:t>
            </w:r>
          </w:p>
        </w:tc>
        <w:tc>
          <w:tcPr>
            <w:tcW w:w="7426" w:type="dxa"/>
            <w:vAlign w:val="center"/>
          </w:tcPr>
          <w:p w14:paraId="0358C07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提前交工的奖金限额：</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%签约合同价。</w:t>
            </w:r>
          </w:p>
        </w:tc>
      </w:tr>
      <w:tr w14:paraId="3DC39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F7A6A8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1484" w:type="dxa"/>
            <w:gridSpan w:val="2"/>
            <w:vAlign w:val="center"/>
          </w:tcPr>
          <w:p w14:paraId="6E95D1A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7426" w:type="dxa"/>
            <w:vAlign w:val="center"/>
          </w:tcPr>
          <w:p w14:paraId="395E2E00">
            <w:pPr>
              <w:pStyle w:val="55"/>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优质优价价款：合同工程量清单第200章～900章合计金额的 / %（含税金）</w:t>
            </w:r>
          </w:p>
        </w:tc>
      </w:tr>
      <w:tr w14:paraId="07DBE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D2BC52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484" w:type="dxa"/>
            <w:gridSpan w:val="2"/>
            <w:vAlign w:val="center"/>
          </w:tcPr>
          <w:p w14:paraId="7D296CF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15.4.4.2</w:t>
            </w:r>
          </w:p>
        </w:tc>
        <w:tc>
          <w:tcPr>
            <w:tcW w:w="7426" w:type="dxa"/>
            <w:vAlign w:val="center"/>
          </w:tcPr>
          <w:p w14:paraId="1DCBF34A">
            <w:pPr>
              <w:pStyle w:val="55"/>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应急抢险工程变更金额确定原则：</w:t>
            </w:r>
          </w:p>
          <w:p w14:paraId="647FCF95">
            <w:pPr>
              <w:pStyle w:val="55"/>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□变更金额=审批的变更预算</w:t>
            </w:r>
          </w:p>
          <w:p w14:paraId="30418CD3">
            <w:pPr>
              <w:pStyle w:val="55"/>
              <w:spacing w:line="240" w:lineRule="auto"/>
              <w:ind w:firstLine="0"/>
              <w:rPr>
                <w:rFonts w:ascii="宋体" w:hAnsi="宋体" w:cs="宋体"/>
                <w:i/>
                <w:i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fldChar w:fldCharType="begin"/>
            </w:r>
            <w:r>
              <w:rPr>
                <w:rFonts w:hint="eastAsia" w:ascii="宋体" w:hAnsi="宋体" w:cs="宋体"/>
                <w:color w:val="000000" w:themeColor="text1"/>
                <w:sz w:val="2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 w:val="21"/>
                <w:szCs w:val="21"/>
                <w:highlight w:val="none"/>
                <w14:textFill>
                  <w14:solidFill>
                    <w14:schemeClr w14:val="tx1"/>
                  </w14:solidFill>
                </w14:textFill>
              </w:rPr>
              <w:instrText xml:space="preserve">,√)</w:instrText>
            </w:r>
            <w:r>
              <w:rPr>
                <w:rFonts w:hint="eastAsia" w:ascii="宋体" w:hAnsi="宋体" w:cs="宋体"/>
                <w:color w:val="000000" w:themeColor="text1"/>
                <w:sz w:val="21"/>
                <w:szCs w:val="21"/>
                <w:highlight w:val="none"/>
                <w14:textFill>
                  <w14:solidFill>
                    <w14:schemeClr w14:val="tx1"/>
                  </w14:solidFill>
                </w14:textFill>
              </w:rPr>
              <w:fldChar w:fldCharType="end"/>
            </w:r>
            <w:r>
              <w:rPr>
                <w:rFonts w:hint="eastAsia" w:ascii="宋体" w:hAnsi="宋体" w:cs="宋体"/>
                <w:color w:val="000000" w:themeColor="text1"/>
                <w:sz w:val="21"/>
                <w:szCs w:val="21"/>
                <w:highlight w:val="none"/>
                <w14:textFill>
                  <w14:solidFill>
                    <w14:schemeClr w14:val="tx1"/>
                  </w14:solidFill>
                </w14:textFill>
              </w:rPr>
              <w:t>变更金额=审批的变更预算×（1-中标下浮率）</w:t>
            </w:r>
          </w:p>
        </w:tc>
      </w:tr>
      <w:tr w14:paraId="71526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BFAF2D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484" w:type="dxa"/>
            <w:gridSpan w:val="2"/>
            <w:vAlign w:val="center"/>
          </w:tcPr>
          <w:p w14:paraId="4320531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15.5.2</w:t>
            </w:r>
          </w:p>
        </w:tc>
        <w:tc>
          <w:tcPr>
            <w:tcW w:w="7426" w:type="dxa"/>
            <w:vAlign w:val="center"/>
          </w:tcPr>
          <w:p w14:paraId="1D4E4A7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承包人提出的合理化建议降低了合同价格或者提高了工程经济效益的，发包人按所节约成本的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%或增加收益的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%给予奖励。</w:t>
            </w:r>
          </w:p>
        </w:tc>
      </w:tr>
      <w:tr w14:paraId="74579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057AD8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484" w:type="dxa"/>
            <w:gridSpan w:val="2"/>
            <w:vAlign w:val="center"/>
          </w:tcPr>
          <w:p w14:paraId="27CB238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w:t>
            </w:r>
          </w:p>
        </w:tc>
        <w:tc>
          <w:tcPr>
            <w:tcW w:w="7426" w:type="dxa"/>
            <w:vAlign w:val="center"/>
          </w:tcPr>
          <w:p w14:paraId="368F5CD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□因物价波动引起的价格调整按照第16.1项约定的原则处理</w:t>
            </w:r>
          </w:p>
          <w:p w14:paraId="057630A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合同期内不调价</w:t>
            </w:r>
          </w:p>
        </w:tc>
      </w:tr>
      <w:tr w14:paraId="29957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EB325A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484" w:type="dxa"/>
            <w:gridSpan w:val="2"/>
            <w:vAlign w:val="center"/>
          </w:tcPr>
          <w:p w14:paraId="1F6FF66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17.1.7</w:t>
            </w:r>
          </w:p>
        </w:tc>
        <w:tc>
          <w:tcPr>
            <w:tcW w:w="7426" w:type="dxa"/>
            <w:vAlign w:val="center"/>
          </w:tcPr>
          <w:p w14:paraId="076A103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路面备料款的暂定计量和支付：</w:t>
            </w:r>
          </w:p>
          <w:p w14:paraId="42D9A48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计量数量：以承包人实际进场并经监理人和发包人代表验收确认数量的</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%计。</w:t>
            </w:r>
          </w:p>
        </w:tc>
      </w:tr>
      <w:tr w14:paraId="34B71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B085D3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84" w:type="dxa"/>
            <w:gridSpan w:val="2"/>
            <w:vAlign w:val="center"/>
          </w:tcPr>
          <w:p w14:paraId="0553788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17.2.1（1）</w:t>
            </w:r>
          </w:p>
        </w:tc>
        <w:tc>
          <w:tcPr>
            <w:tcW w:w="7426" w:type="dxa"/>
            <w:vAlign w:val="center"/>
          </w:tcPr>
          <w:p w14:paraId="494EC6E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开工预付款金额：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%签约合同价</w:t>
            </w:r>
          </w:p>
        </w:tc>
      </w:tr>
      <w:tr w14:paraId="3A009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B45E10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1484" w:type="dxa"/>
            <w:gridSpan w:val="2"/>
            <w:vAlign w:val="center"/>
          </w:tcPr>
          <w:p w14:paraId="4445F14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17.2.1（2）</w:t>
            </w:r>
          </w:p>
        </w:tc>
        <w:tc>
          <w:tcPr>
            <w:tcW w:w="7426" w:type="dxa"/>
            <w:vAlign w:val="center"/>
          </w:tcPr>
          <w:p w14:paraId="1302318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材料、设备预付款比例：</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等主要材料、设备单据所列费用的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tc>
      </w:tr>
      <w:tr w14:paraId="5364D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584A4A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1484" w:type="dxa"/>
            <w:gridSpan w:val="2"/>
            <w:vAlign w:val="center"/>
          </w:tcPr>
          <w:p w14:paraId="139F889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17.3.2</w:t>
            </w:r>
          </w:p>
        </w:tc>
        <w:tc>
          <w:tcPr>
            <w:tcW w:w="7426" w:type="dxa"/>
            <w:vAlign w:val="center"/>
          </w:tcPr>
          <w:p w14:paraId="6E62802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承包人在每个付款周期末向监理人提交进度付款申请单的份数：</w:t>
            </w:r>
            <w:r>
              <w:rPr>
                <w:rFonts w:hint="eastAsia" w:ascii="宋体" w:hAnsi="宋体" w:cs="宋体"/>
                <w:color w:val="000000" w:themeColor="text1"/>
                <w:szCs w:val="21"/>
                <w:highlight w:val="none"/>
                <w:u w:val="single"/>
                <w14:textFill>
                  <w14:solidFill>
                    <w14:schemeClr w14:val="tx1"/>
                  </w14:solidFill>
                </w14:textFill>
              </w:rPr>
              <w:t xml:space="preserve"> 6 </w:t>
            </w:r>
            <w:r>
              <w:rPr>
                <w:rFonts w:hint="eastAsia" w:ascii="宋体" w:hAnsi="宋体" w:cs="宋体"/>
                <w:color w:val="000000" w:themeColor="text1"/>
                <w:szCs w:val="21"/>
                <w:highlight w:val="none"/>
                <w14:textFill>
                  <w14:solidFill>
                    <w14:schemeClr w14:val="tx1"/>
                  </w14:solidFill>
                </w14:textFill>
              </w:rPr>
              <w:t>份</w:t>
            </w:r>
          </w:p>
        </w:tc>
      </w:tr>
      <w:tr w14:paraId="36BA5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C42E80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1484" w:type="dxa"/>
            <w:gridSpan w:val="2"/>
            <w:vAlign w:val="center"/>
          </w:tcPr>
          <w:p w14:paraId="6A2EFC1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17.3.3（1）</w:t>
            </w:r>
          </w:p>
        </w:tc>
        <w:tc>
          <w:tcPr>
            <w:tcW w:w="7426" w:type="dxa"/>
            <w:vAlign w:val="center"/>
          </w:tcPr>
          <w:p w14:paraId="0C300CF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进度付款证书最低限额：</w:t>
            </w:r>
            <w:r>
              <w:rPr>
                <w:rFonts w:hint="eastAsia" w:ascii="宋体" w:hAnsi="宋体" w:cs="宋体"/>
                <w:color w:val="000000" w:themeColor="text1"/>
                <w:szCs w:val="21"/>
                <w:highlight w:val="none"/>
                <w:u w:val="single"/>
                <w14:textFill>
                  <w14:solidFill>
                    <w14:schemeClr w14:val="tx1"/>
                  </w14:solidFill>
                </w14:textFill>
              </w:rPr>
              <w:t>50</w:t>
            </w:r>
            <w:r>
              <w:rPr>
                <w:rFonts w:hint="eastAsia" w:ascii="宋体" w:hAnsi="宋体" w:cs="宋体"/>
                <w:color w:val="000000" w:themeColor="text1"/>
                <w:szCs w:val="21"/>
                <w:highlight w:val="none"/>
                <w14:textFill>
                  <w14:solidFill>
                    <w14:schemeClr w14:val="tx1"/>
                  </w14:solidFill>
                </w14:textFill>
              </w:rPr>
              <w:t>万元</w:t>
            </w:r>
          </w:p>
        </w:tc>
      </w:tr>
      <w:tr w14:paraId="7FAF6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52AC4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484" w:type="dxa"/>
            <w:gridSpan w:val="2"/>
            <w:vAlign w:val="center"/>
          </w:tcPr>
          <w:p w14:paraId="154992B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17.3.3（2）</w:t>
            </w:r>
          </w:p>
        </w:tc>
        <w:tc>
          <w:tcPr>
            <w:tcW w:w="7426" w:type="dxa"/>
            <w:vAlign w:val="center"/>
          </w:tcPr>
          <w:p w14:paraId="2343535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逾期付款违约金的利率：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‰/天</w:t>
            </w:r>
          </w:p>
        </w:tc>
      </w:tr>
      <w:tr w14:paraId="11D02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FB4A23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1484" w:type="dxa"/>
            <w:gridSpan w:val="2"/>
            <w:vAlign w:val="center"/>
          </w:tcPr>
          <w:p w14:paraId="483EB0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17.4.1</w:t>
            </w:r>
          </w:p>
        </w:tc>
        <w:tc>
          <w:tcPr>
            <w:tcW w:w="7426" w:type="dxa"/>
            <w:vAlign w:val="center"/>
          </w:tcPr>
          <w:p w14:paraId="4458426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质量保证金限额：</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%合同价格质量保证金的优惠。</w:t>
            </w:r>
          </w:p>
          <w:p w14:paraId="4E18CE5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质量保证金是否计付利息：</w:t>
            </w:r>
          </w:p>
          <w:p w14:paraId="46F70F95">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□是，利息的计算方式：</w:t>
            </w:r>
          </w:p>
          <w:p w14:paraId="22578E8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14:paraId="20D07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14:paraId="77C195D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1484" w:type="dxa"/>
            <w:gridSpan w:val="2"/>
            <w:vAlign w:val="center"/>
          </w:tcPr>
          <w:p w14:paraId="04B0FEB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17.5.1（1）</w:t>
            </w:r>
          </w:p>
        </w:tc>
        <w:tc>
          <w:tcPr>
            <w:tcW w:w="7426" w:type="dxa"/>
            <w:vAlign w:val="center"/>
          </w:tcPr>
          <w:p w14:paraId="526F1D4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承包人向监理人提交交工付款申请单（包括相关证明材料）的份数：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tc>
      </w:tr>
      <w:tr w14:paraId="22BD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56" w:type="dxa"/>
            <w:vAlign w:val="center"/>
          </w:tcPr>
          <w:p w14:paraId="5CA8C4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1484" w:type="dxa"/>
            <w:gridSpan w:val="2"/>
            <w:vAlign w:val="center"/>
          </w:tcPr>
          <w:p w14:paraId="306CE19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17.6.1（1）</w:t>
            </w:r>
          </w:p>
        </w:tc>
        <w:tc>
          <w:tcPr>
            <w:tcW w:w="7426" w:type="dxa"/>
            <w:vAlign w:val="center"/>
          </w:tcPr>
          <w:p w14:paraId="74C8354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承包人向监理人提交最终结清申请单（包括相关证明材料）的份数：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tc>
      </w:tr>
      <w:tr w14:paraId="067EC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837D80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1484" w:type="dxa"/>
            <w:gridSpan w:val="2"/>
            <w:vAlign w:val="center"/>
          </w:tcPr>
          <w:p w14:paraId="6EB8251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18.2（2）</w:t>
            </w:r>
          </w:p>
        </w:tc>
        <w:tc>
          <w:tcPr>
            <w:tcW w:w="7426" w:type="dxa"/>
            <w:vAlign w:val="center"/>
          </w:tcPr>
          <w:p w14:paraId="4280E5A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竣工资料的份数：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tc>
      </w:tr>
      <w:tr w14:paraId="2A773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367A7D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1484" w:type="dxa"/>
            <w:gridSpan w:val="2"/>
            <w:vAlign w:val="center"/>
          </w:tcPr>
          <w:p w14:paraId="643CDAA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18.5.1</w:t>
            </w:r>
          </w:p>
        </w:tc>
        <w:tc>
          <w:tcPr>
            <w:tcW w:w="7426" w:type="dxa"/>
            <w:vAlign w:val="center"/>
          </w:tcPr>
          <w:p w14:paraId="1FEE797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单位工程或工程设备是否需投入施工期运行： </w:t>
            </w:r>
            <w:r>
              <w:rPr>
                <w:rFonts w:hint="eastAsia" w:ascii="宋体" w:hAnsi="宋体" w:cs="宋体"/>
                <w:color w:val="000000" w:themeColor="text1"/>
                <w:szCs w:val="21"/>
                <w:highlight w:val="none"/>
                <w:u w:val="single"/>
                <w14:textFill>
                  <w14:solidFill>
                    <w14:schemeClr w14:val="tx1"/>
                  </w14:solidFill>
                </w14:textFill>
              </w:rPr>
              <w:t>是</w:t>
            </w:r>
          </w:p>
          <w:p w14:paraId="0BD629D1">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如单位工程或工程设备需要进行施工期运行，需要施工期运行的单位工程或工程设备规定如下：</w:t>
            </w:r>
            <w:r>
              <w:rPr>
                <w:rFonts w:hint="eastAsia" w:ascii="宋体" w:hAnsi="宋体" w:cs="宋体"/>
                <w:color w:val="000000" w:themeColor="text1"/>
                <w:szCs w:val="21"/>
                <w:highlight w:val="none"/>
                <w:u w:val="single"/>
                <w14:textFill>
                  <w14:solidFill>
                    <w14:schemeClr w14:val="tx1"/>
                  </w14:solidFill>
                </w14:textFill>
              </w:rPr>
              <w:t>沥青砼路面铺筑好温度降至可通车的规范值后须开放交通。</w:t>
            </w:r>
          </w:p>
        </w:tc>
      </w:tr>
      <w:tr w14:paraId="3121A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780370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1484" w:type="dxa"/>
            <w:gridSpan w:val="2"/>
            <w:vAlign w:val="center"/>
          </w:tcPr>
          <w:p w14:paraId="30AEE4C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18.6.1</w:t>
            </w:r>
          </w:p>
        </w:tc>
        <w:tc>
          <w:tcPr>
            <w:tcW w:w="7426" w:type="dxa"/>
            <w:vAlign w:val="center"/>
          </w:tcPr>
          <w:p w14:paraId="5B299E35">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本工程及工程设备是否进行试运行：</w:t>
            </w:r>
            <w:r>
              <w:rPr>
                <w:rFonts w:hint="eastAsia" w:ascii="宋体" w:hAnsi="宋体" w:cs="宋体"/>
                <w:color w:val="000000" w:themeColor="text1"/>
                <w:szCs w:val="21"/>
                <w:highlight w:val="none"/>
                <w:u w:val="single"/>
                <w14:textFill>
                  <w14:solidFill>
                    <w14:schemeClr w14:val="tx1"/>
                  </w14:solidFill>
                </w14:textFill>
              </w:rPr>
              <w:t>否</w:t>
            </w:r>
          </w:p>
          <w:p w14:paraId="161DACC8">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如本工程及工程设备需要进行试运行，试运行的具体规定如下：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13005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56" w:type="dxa"/>
            <w:vAlign w:val="center"/>
          </w:tcPr>
          <w:p w14:paraId="6E485FA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1484" w:type="dxa"/>
            <w:gridSpan w:val="2"/>
            <w:vAlign w:val="center"/>
          </w:tcPr>
          <w:p w14:paraId="505F5D4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19.7（1）</w:t>
            </w:r>
          </w:p>
        </w:tc>
        <w:tc>
          <w:tcPr>
            <w:tcW w:w="7426" w:type="dxa"/>
            <w:vAlign w:val="center"/>
          </w:tcPr>
          <w:p w14:paraId="258F1C7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保修期：</w:t>
            </w:r>
          </w:p>
          <w:p w14:paraId="3298F13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自本项目实际交工日期之日起计算</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年（绿化工程、房建工程除外）；</w:t>
            </w:r>
          </w:p>
          <w:p w14:paraId="4156B17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绿化工程：自本项目实际交工日期之日起计算</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个月后，移交发包人或发包人委托的养护单位进行后续的管理养护工作；</w:t>
            </w:r>
          </w:p>
          <w:p w14:paraId="1B767DE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房建工程：自该房建工程竣工验收合格之日起计算，其中：</w:t>
            </w:r>
          </w:p>
          <w:p w14:paraId="61C7110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（1）地基基础工程和主体结构工程，为设计文件规定的该工程的合理使用年限；</w:t>
            </w:r>
          </w:p>
          <w:p w14:paraId="1CF2C26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（2）屋面防水工程、有防水要求的卫生间、房间和外墙面的防渗漏，为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0A299B0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（3）装修工程为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47F51A0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（4）电气管线、给排水管道、设备安装工程为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72CAD5B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（5）供热与供冷系统，为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个采暖期、供冷期；</w:t>
            </w:r>
          </w:p>
          <w:p w14:paraId="0E8B8F2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（6）住宅小区内的给排水设施、道路、电力等配套工程为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4663720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（7）其他约定如下：</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tc>
      </w:tr>
      <w:tr w14:paraId="4583C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2C66B10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1484" w:type="dxa"/>
            <w:gridSpan w:val="2"/>
            <w:vAlign w:val="center"/>
          </w:tcPr>
          <w:p w14:paraId="6B68E3C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426" w:type="dxa"/>
            <w:vAlign w:val="center"/>
          </w:tcPr>
          <w:p w14:paraId="730CF82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建筑工程一切险及第三者责任险的保险费率：</w:t>
            </w:r>
            <w:r>
              <w:rPr>
                <w:rFonts w:hint="eastAsia" w:ascii="宋体" w:hAnsi="宋体" w:cs="宋体"/>
                <w:color w:val="000000" w:themeColor="text1"/>
                <w:szCs w:val="21"/>
                <w:highlight w:val="none"/>
                <w:u w:val="single"/>
                <w14:textFill>
                  <w14:solidFill>
                    <w14:schemeClr w14:val="tx1"/>
                  </w14:solidFill>
                </w14:textFill>
              </w:rPr>
              <w:t>4‰ 。</w:t>
            </w:r>
          </w:p>
        </w:tc>
      </w:tr>
      <w:tr w14:paraId="393AC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666B3AE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1484" w:type="dxa"/>
            <w:gridSpan w:val="2"/>
            <w:vAlign w:val="center"/>
          </w:tcPr>
          <w:p w14:paraId="53528E6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20.4.2</w:t>
            </w:r>
          </w:p>
        </w:tc>
        <w:tc>
          <w:tcPr>
            <w:tcW w:w="7426" w:type="dxa"/>
            <w:vAlign w:val="center"/>
          </w:tcPr>
          <w:p w14:paraId="24282FD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第三者责任险的最低投保金额：</w:t>
            </w:r>
            <w:r>
              <w:rPr>
                <w:rFonts w:hint="eastAsia" w:ascii="宋体" w:hAnsi="宋体" w:cs="宋体"/>
                <w:color w:val="000000" w:themeColor="text1"/>
                <w:szCs w:val="21"/>
                <w:highlight w:val="none"/>
                <w:u w:val="single"/>
                <w14:textFill>
                  <w14:solidFill>
                    <w14:schemeClr w14:val="tx1"/>
                  </w14:solidFill>
                </w14:textFill>
              </w:rPr>
              <w:t xml:space="preserve"> 500 </w:t>
            </w:r>
            <w:r>
              <w:rPr>
                <w:rFonts w:hint="eastAsia" w:ascii="宋体" w:hAnsi="宋体" w:cs="宋体"/>
                <w:color w:val="000000" w:themeColor="text1"/>
                <w:szCs w:val="21"/>
                <w:highlight w:val="none"/>
                <w14:textFill>
                  <w14:solidFill>
                    <w14:schemeClr w14:val="tx1"/>
                  </w14:solidFill>
                </w14:textFill>
              </w:rPr>
              <w:t>万元，事故次数不限(不计免赔额)</w:t>
            </w:r>
          </w:p>
        </w:tc>
      </w:tr>
      <w:tr w14:paraId="329E7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0E08336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1484" w:type="dxa"/>
            <w:gridSpan w:val="2"/>
            <w:vAlign w:val="center"/>
          </w:tcPr>
          <w:p w14:paraId="06117FB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21.1.1 </w:t>
            </w:r>
          </w:p>
        </w:tc>
        <w:tc>
          <w:tcPr>
            <w:tcW w:w="7426" w:type="dxa"/>
            <w:vAlign w:val="center"/>
          </w:tcPr>
          <w:p w14:paraId="2D6B7F0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21.1.1 (6)不可抗力的其他情形：</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55EE9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2FE32EA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1484" w:type="dxa"/>
            <w:gridSpan w:val="2"/>
            <w:vAlign w:val="center"/>
          </w:tcPr>
          <w:p w14:paraId="4BE979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426" w:type="dxa"/>
            <w:vAlign w:val="center"/>
          </w:tcPr>
          <w:p w14:paraId="3550DEF1">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争议的最终解决方式：</w:t>
            </w:r>
            <w:r>
              <w:rPr>
                <w:rFonts w:hint="eastAsia" w:ascii="宋体" w:hAnsi="宋体" w:cs="宋体"/>
                <w:color w:val="000000" w:themeColor="text1"/>
                <w:szCs w:val="21"/>
                <w:highlight w:val="none"/>
                <w:u w:val="single"/>
                <w14:textFill>
                  <w14:solidFill>
                    <w14:schemeClr w14:val="tx1"/>
                  </w14:solidFill>
                </w14:textFill>
              </w:rPr>
              <w:t>向项目所在地的人民法院提起诉讼。</w:t>
            </w:r>
          </w:p>
        </w:tc>
      </w:tr>
      <w:tr w14:paraId="05AA5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1" w:hRule="atLeast"/>
          <w:jc w:val="center"/>
        </w:trPr>
        <w:tc>
          <w:tcPr>
            <w:tcW w:w="856" w:type="dxa"/>
            <w:vAlign w:val="center"/>
          </w:tcPr>
          <w:p w14:paraId="771D8B3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w:t>
            </w:r>
          </w:p>
        </w:tc>
        <w:tc>
          <w:tcPr>
            <w:tcW w:w="1484" w:type="dxa"/>
            <w:gridSpan w:val="2"/>
            <w:vAlign w:val="center"/>
          </w:tcPr>
          <w:p w14:paraId="0946E96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25.4</w:t>
            </w:r>
          </w:p>
        </w:tc>
        <w:tc>
          <w:tcPr>
            <w:tcW w:w="7426" w:type="dxa"/>
            <w:vAlign w:val="center"/>
          </w:tcPr>
          <w:p w14:paraId="5FFC0F2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结算单元按合同约定完成并通过质量中间验收，原则上</w:t>
            </w:r>
            <w:r>
              <w:rPr>
                <w:rFonts w:hint="eastAsia" w:ascii="宋体" w:hAnsi="宋体" w:cs="宋体"/>
                <w:color w:val="000000" w:themeColor="text1"/>
                <w:szCs w:val="21"/>
                <w:highlight w:val="none"/>
                <w:u w:val="single"/>
                <w14:textFill>
                  <w14:solidFill>
                    <w14:schemeClr w14:val="tx1"/>
                  </w14:solidFill>
                </w14:textFill>
              </w:rPr>
              <w:t>3个月</w:t>
            </w:r>
            <w:r>
              <w:rPr>
                <w:rFonts w:hint="eastAsia" w:ascii="宋体" w:hAnsi="宋体" w:cs="宋体"/>
                <w:color w:val="000000" w:themeColor="text1"/>
                <w:szCs w:val="21"/>
                <w:highlight w:val="none"/>
                <w14:textFill>
                  <w14:solidFill>
                    <w14:schemeClr w14:val="tx1"/>
                  </w14:solidFill>
                </w14:textFill>
              </w:rPr>
              <w:t>内完成过程结算文件的编制、审核、签认工作。</w:t>
            </w:r>
          </w:p>
          <w:p w14:paraId="4CF3613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未按要求完成过程结算的费用项, 最高支付金额不宜超过发包人审核确认的</w:t>
            </w:r>
            <w:r>
              <w:rPr>
                <w:rFonts w:hint="eastAsia" w:ascii="宋体" w:hAnsi="宋体" w:cs="宋体"/>
                <w:color w:val="000000" w:themeColor="text1"/>
                <w:szCs w:val="21"/>
                <w:highlight w:val="none"/>
                <w:u w:val="single"/>
                <w14:textFill>
                  <w14:solidFill>
                    <w14:schemeClr w14:val="tx1"/>
                  </w14:solidFill>
                </w14:textFill>
              </w:rPr>
              <w:t xml:space="preserve"> 97 %</w:t>
            </w:r>
            <w:r>
              <w:rPr>
                <w:rFonts w:hint="eastAsia" w:ascii="宋体" w:hAnsi="宋体" w:cs="宋体"/>
                <w:color w:val="000000" w:themeColor="text1"/>
                <w:szCs w:val="21"/>
                <w:highlight w:val="none"/>
                <w14:textFill>
                  <w14:solidFill>
                    <w14:schemeClr w14:val="tx1"/>
                  </w14:solidFill>
                </w14:textFill>
              </w:rPr>
              <w:t>, 过程结算后方可支付剩余金额。完工结算率低于30%的合同段, 在后续计量支付中可暂扣</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的工程进度款。</w:t>
            </w:r>
          </w:p>
        </w:tc>
      </w:tr>
      <w:tr w14:paraId="3467D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66" w:type="dxa"/>
            <w:gridSpan w:val="4"/>
            <w:vAlign w:val="center"/>
          </w:tcPr>
          <w:p w14:paraId="50EA0D76">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14:paraId="4F75B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14:paraId="303639D5">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w:t>
            </w:r>
          </w:p>
        </w:tc>
        <w:tc>
          <w:tcPr>
            <w:tcW w:w="8890" w:type="dxa"/>
            <w:gridSpan w:val="2"/>
            <w:vAlign w:val="center"/>
          </w:tcPr>
          <w:p w14:paraId="77C71A44">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删除“6.5.1计算机系统配置”条款。</w:t>
            </w:r>
          </w:p>
        </w:tc>
      </w:tr>
      <w:tr w14:paraId="20152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14:paraId="24056885">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8890" w:type="dxa"/>
            <w:gridSpan w:val="2"/>
            <w:vAlign w:val="center"/>
          </w:tcPr>
          <w:p w14:paraId="37740751">
            <w:pPr>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删除“13.11优质优价价款”条款</w:t>
            </w:r>
          </w:p>
        </w:tc>
      </w:tr>
      <w:tr w14:paraId="4FA28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 w:type="dxa"/>
            <w:gridSpan w:val="2"/>
            <w:vAlign w:val="center"/>
          </w:tcPr>
          <w:p w14:paraId="22523BE1">
            <w:pPr>
              <w:jc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25.1</w:t>
            </w:r>
          </w:p>
        </w:tc>
        <w:tc>
          <w:tcPr>
            <w:tcW w:w="8890" w:type="dxa"/>
            <w:gridSpan w:val="2"/>
            <w:vAlign w:val="center"/>
          </w:tcPr>
          <w:p w14:paraId="7241CF8B">
            <w:pPr>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删除“25.1 质量、进度奖励”条款</w:t>
            </w:r>
          </w:p>
        </w:tc>
      </w:tr>
    </w:tbl>
    <w:p w14:paraId="1B3A71F4">
      <w:pPr>
        <w:spacing w:before="240" w:after="240"/>
        <w:jc w:val="center"/>
        <w:rPr>
          <w:rFonts w:ascii="宋体" w:hAnsi="宋体" w:cs="宋体"/>
          <w:b/>
          <w:color w:val="000000" w:themeColor="text1"/>
          <w:sz w:val="32"/>
          <w:szCs w:val="32"/>
          <w:highlight w:val="none"/>
          <w14:textFill>
            <w14:solidFill>
              <w14:schemeClr w14:val="tx1"/>
            </w14:solidFill>
          </w14:textFill>
        </w:rPr>
      </w:pPr>
      <w:bookmarkStart w:id="1684" w:name="_Toc505844494"/>
      <w:bookmarkEnd w:id="1684"/>
      <w:bookmarkStart w:id="1685" w:name="_Toc505844504"/>
      <w:bookmarkStart w:id="1686" w:name="_Toc16186"/>
      <w:r>
        <w:rPr>
          <w:rFonts w:hint="eastAsia"/>
          <w:color w:val="000000" w:themeColor="text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项目专用合同条款</w:t>
      </w:r>
    </w:p>
    <w:p w14:paraId="3F56F28C">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14:paraId="1752C49E">
      <w:pPr>
        <w:ind w:firstLine="480" w:firstLineChars="200"/>
        <w:rPr>
          <w:rFonts w:ascii="宋体" w:hAnsi="宋体" w:cs="宋体"/>
          <w:color w:val="000000" w:themeColor="text1"/>
          <w:sz w:val="24"/>
          <w:highlight w:val="none"/>
          <w14:textFill>
            <w14:solidFill>
              <w14:schemeClr w14:val="tx1"/>
            </w14:solidFill>
          </w14:textFill>
        </w:rPr>
      </w:pPr>
    </w:p>
    <w:p w14:paraId="0729CC09">
      <w:pPr>
        <w:ind w:firstLine="480" w:firstLineChars="200"/>
        <w:rPr>
          <w:rFonts w:ascii="宋体" w:hAnsi="宋体" w:cs="宋体"/>
          <w:color w:val="000000" w:themeColor="text1"/>
          <w:sz w:val="24"/>
          <w:highlight w:val="none"/>
          <w14:textFill>
            <w14:solidFill>
              <w14:schemeClr w14:val="tx1"/>
            </w14:solidFill>
          </w14:textFill>
        </w:rPr>
      </w:pPr>
    </w:p>
    <w:p w14:paraId="6CCFC7ED">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1、一般约定</w:t>
      </w:r>
    </w:p>
    <w:p w14:paraId="54E641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14:paraId="563E0B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1.1.2 款细化为：</w:t>
      </w:r>
    </w:p>
    <w:p w14:paraId="178DB3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合同当事人和人员</w:t>
      </w:r>
    </w:p>
    <w:p w14:paraId="7C1541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1.1.2.9 目～第 1.1.2.11 目：</w:t>
      </w:r>
    </w:p>
    <w:p w14:paraId="5CA1E3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1.1.2.9 发包人代表：</w:t>
      </w:r>
    </w:p>
    <w:p w14:paraId="121664A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发包人代表（或称发包人驻地代表）是发包人派出到合同段执行发包人授予的一定权力及职责的现场管理人员。</w:t>
      </w:r>
    </w:p>
    <w:p w14:paraId="0F91FBD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1.1.2.10 试验检测中心承包人（试验人）：</w:t>
      </w:r>
    </w:p>
    <w:p w14:paraId="1C7FFA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受发包人委托实施本合同工程试验检测工作管理的法人或其他组织，代表发包人对本合同工程进行抽检，以及对承包人的试验检测工作进行现场管理。</w:t>
      </w:r>
    </w:p>
    <w:p w14:paraId="42C342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1.1.2.11 第三方监测、风险管理及科研单位：</w:t>
      </w:r>
    </w:p>
    <w:p w14:paraId="49B626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受发包人委托实施本合同工程监测、风险管理及科研任务的法人或其他组织。</w:t>
      </w:r>
    </w:p>
    <w:p w14:paraId="716A43C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14:paraId="5865CDB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1.1.6.10 目：</w:t>
      </w:r>
    </w:p>
    <w:p w14:paraId="0243ABF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1.1.6.10 首件工程认可制：</w:t>
      </w:r>
    </w:p>
    <w:p w14:paraId="3EE3AF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14:paraId="39BEF5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14:paraId="2DB13B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4007C3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7E6E7F6B">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0B80D6E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14:paraId="74E95B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14:paraId="09155E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07472C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承包人不得对施工图的任何部分进行修改，所有设计修改必须经设计单位认可及发包人同意，否则视为承包人违约并按 22.1 款处理。</w:t>
      </w:r>
    </w:p>
    <w:p w14:paraId="37BC6B0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14:paraId="37A991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387E50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14:paraId="590C34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针对图纸与工程量清单的差、错、漏等问题，承包人应在合同签订后 3 个月内提出，合同签订后 6 个月内完成设计工程量核查，统一作为一次变更处理。</w:t>
      </w:r>
    </w:p>
    <w:p w14:paraId="7DE7021C">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718D659">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发包人义务</w:t>
      </w:r>
    </w:p>
    <w:p w14:paraId="710F01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提供施工场地</w:t>
      </w:r>
    </w:p>
    <w:p w14:paraId="4B121B5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19E070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14:paraId="52B8D8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但如果由于承包人未能按照本款规定提交占地计划，因而影响发包人办理永久工程占地征用手续而导致延误工期或增加费用，则由承包人自行负责。</w:t>
      </w:r>
    </w:p>
    <w:p w14:paraId="3BA842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 其他义务</w:t>
      </w:r>
    </w:p>
    <w:p w14:paraId="37C5D28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55FDF5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不提供进出施工现场的水、陆交通通道，不提供水、电、通讯的接入点及施工船舶临时停泊水域及停靠码头，由承包人自行落实解决，相关费用已包含在合同价格中，发包人不另行支付（除合同另有约定外）。</w:t>
      </w:r>
    </w:p>
    <w:p w14:paraId="0172321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14:paraId="71EEDE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（3）发包人应在合同签订前向承包人提供工程款支付担保。</w:t>
      </w:r>
    </w:p>
    <w:p w14:paraId="2DC6F0CE">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48C6D5C9">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3.监理人</w:t>
      </w:r>
    </w:p>
    <w:p w14:paraId="357CBF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监理人的职责和权力</w:t>
      </w:r>
    </w:p>
    <w:p w14:paraId="28E569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3.1.1 项补充：</w:t>
      </w:r>
    </w:p>
    <w:p w14:paraId="7FBC823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3.1.1（6）本项细化为：</w:t>
      </w:r>
    </w:p>
    <w:p w14:paraId="745F83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 15.3 款发出的变更指示，均需要经发包人事先批准。</w:t>
      </w:r>
    </w:p>
    <w:p w14:paraId="619F8B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14:paraId="7B65F32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3.1.2 项补充：</w:t>
      </w:r>
    </w:p>
    <w:p w14:paraId="28FE6C4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14:paraId="644BC4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本条增加第 3.6 款和第 3.7 款：</w:t>
      </w:r>
    </w:p>
    <w:p w14:paraId="3D22D0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发包人、监理人、试验人、承包人、风险管理等单位的关系</w:t>
      </w:r>
    </w:p>
    <w:p w14:paraId="2C54C90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14:paraId="38442C8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14:paraId="6D5D75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发包人代表（或称发包人驻地代表）</w:t>
      </w:r>
    </w:p>
    <w:p w14:paraId="4CD2B6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发包人代表根据发包人的授权，代表发包人履行项目管理和控制职责，具体职责和权限由发包人另行明确。</w:t>
      </w:r>
    </w:p>
    <w:p w14:paraId="59D03A0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发包人代表对承包人的现场工程质量、进度、安全、文明环保等进行检查和督导，并有权要求承包人对存在问题进行整改。</w:t>
      </w:r>
    </w:p>
    <w:p w14:paraId="54C86F17">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0EBF717D">
      <w:pPr>
        <w:pStyle w:val="61"/>
        <w:spacing w:line="360" w:lineRule="auto"/>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szCs w:val="21"/>
          <w:highlight w:val="none"/>
          <w14:textFill>
            <w14:solidFill>
              <w14:schemeClr w14:val="tx1"/>
            </w14:solidFill>
          </w14:textFill>
        </w:rPr>
        <w:t>4、承包人</w:t>
      </w:r>
    </w:p>
    <w:p w14:paraId="6E8D5C96">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4.1承包人的一般义务</w:t>
      </w:r>
    </w:p>
    <w:p w14:paraId="5E479763">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4.1.2 依法纳税</w:t>
      </w:r>
    </w:p>
    <w:p w14:paraId="2C344FA8">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14:paraId="1D087BB4">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14:paraId="73EDF263">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4.1.4 对施工作业和施工方法的完备性负责</w:t>
      </w:r>
    </w:p>
    <w:p w14:paraId="08938054">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本项细化为：</w:t>
      </w:r>
    </w:p>
    <w:p w14:paraId="2AB85C05">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14:paraId="292080AA">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4.1.5 保证工程施工和人员的安全</w:t>
      </w:r>
    </w:p>
    <w:p w14:paraId="6B68139B">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14:paraId="51272F10">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承包人在施工中必须按相关规定和标准设置安全标志、标牌等必要的安全设施，否则发包人将委托其他单位制作或设置，发生的费用从安全生产费中扣除，不足部分从工程款中扣除。</w:t>
      </w:r>
    </w:p>
    <w:p w14:paraId="67A216E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4.1.7 避免施工对公众与他人的利益造成损害</w:t>
      </w:r>
    </w:p>
    <w:p w14:paraId="207CDE6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14:paraId="01D0032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3C3EB0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14:paraId="615C5F4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14:paraId="094CB3E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（4）承包人未经河道管理部门许可，不得擅自改变河岸现水边线、采用推填方式占用河道解决施工作业面不足或施工便道问题，否则引起的一切后果由承包人承担。</w:t>
      </w:r>
    </w:p>
    <w:p w14:paraId="1246799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（5）如桥梁桩基位于水域等地基软弱地段，承包人应采取相应的施工辅助措施，发生费用已包含在合同总价中。</w:t>
      </w:r>
    </w:p>
    <w:p w14:paraId="4CAE190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（6）承包人应按交警、交通、铁路、航道、海事、国土、市政园林、水务、管道等管理部门的规定办理施工方案报批等相关手续，相关费用已包含在合同总价中（除合同另有约定外）。</w:t>
      </w:r>
    </w:p>
    <w:p w14:paraId="258CA28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承包人利用现有道路作为施工便道的，需对道路采取一定的保护措施，施工完成后应以不低于现有标准对施工损坏的道路进行修复（具体标准须满足权属单位的要求），由此产生的一切费用均由承包人承担。</w:t>
      </w:r>
    </w:p>
    <w:p w14:paraId="0A33660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14:paraId="541828A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14:paraId="4E9414F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（9）承包人由于未切实履行以上条款的约定，导致发生工程阻工、停工，造成项目工期延误，视为承包人违约，按 22.1 条处理。</w:t>
      </w:r>
    </w:p>
    <w:p w14:paraId="14B31D7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4.1.8 为他人提供方便</w:t>
      </w:r>
    </w:p>
    <w:p w14:paraId="65DA622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本款细化为：</w:t>
      </w:r>
    </w:p>
    <w:p w14:paraId="2BAA7A8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14:paraId="00ED982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14:paraId="3A10418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（3）承包人应按照监理人或发包人的要求负责安装其他工程所需的预埋件。由于承包人未按相关设计图纸施工预埋件，造成的损失（包括拆除、重新预埋所需费用）由承包人承担。</w:t>
      </w:r>
    </w:p>
    <w:p w14:paraId="2BA2750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（4）承包人应配合试验、检测单位完成相应的试验或检测工作，包括桩基检测、地质钻孔等，所需配合费用已包含在合同总价中（桩基静载、梁板荷载试验除外）。</w:t>
      </w:r>
    </w:p>
    <w:p w14:paraId="1DF6CE9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4.1.10其他义务</w:t>
      </w:r>
    </w:p>
    <w:p w14:paraId="708D786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4.1.10（1）目补充：</w:t>
      </w:r>
    </w:p>
    <w:p w14:paraId="6E42635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14:paraId="62ED98E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4.1.10(2)目细化为：</w:t>
      </w:r>
    </w:p>
    <w:p w14:paraId="040C6A0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14:paraId="4FC82F3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4.1.10(3)目细化为：</w:t>
      </w:r>
    </w:p>
    <w:p w14:paraId="4C8B216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0926567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14:paraId="079BDBE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14:paraId="419275D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4.1.10(4)目细化为：</w:t>
      </w:r>
    </w:p>
    <w:p w14:paraId="54CA0D0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5D655AE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4.1.10(6)目细化为：</w:t>
      </w:r>
    </w:p>
    <w:p w14:paraId="707AE02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承包人应履行的其他义务：</w:t>
      </w:r>
    </w:p>
    <w:p w14:paraId="0E1EBCD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①工序衔接与协调</w:t>
      </w:r>
    </w:p>
    <w:p w14:paraId="2638B96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多个承包人在同一区域施工时，发包人和监理人有权协调工程的实施并对工程的衔接发出指示，承包人应在发包人和监理人的统一协调下工作，承包人由此增加的费用已包含在合同总价中。</w:t>
      </w:r>
    </w:p>
    <w:p w14:paraId="40CF03F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14:paraId="22A84A1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交工验收前，承包人应将测量控制点、高边坡、软基、桥梁等观测点的资料移交给养护单位使用。</w:t>
      </w:r>
    </w:p>
    <w:p w14:paraId="5C23429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②施工工艺要求</w:t>
      </w:r>
    </w:p>
    <w:p w14:paraId="3D339C1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14:paraId="68617D0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③卫生与供水</w:t>
      </w:r>
    </w:p>
    <w:p w14:paraId="51BFCBA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14:paraId="745D959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14:paraId="3E23D63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14:paraId="08A23ED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14:paraId="421BFA0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④项目审计、稽查和检查等的配合</w:t>
      </w:r>
    </w:p>
    <w:p w14:paraId="311A614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A、与本工程项目相关的审计和稽查，承包人应高度重视并委派专人积极予以配合，对审计和稽查的有关意见承包人应无条件地及时整改。</w:t>
      </w:r>
    </w:p>
    <w:p w14:paraId="46F8BE2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B、有关单位对本项目的各种检查和视察等活动，承包人和监理人有义务积极配合开展各项工作。</w:t>
      </w:r>
    </w:p>
    <w:p w14:paraId="339250C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C、本工程项目有关的各类统计报表和汇报材料包括项目后评价报告，承包人和监理人有义务配合发包人做好编制工作并提供相应的资料。</w:t>
      </w:r>
    </w:p>
    <w:p w14:paraId="58BC955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14:paraId="70047EE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⑤双标管理（标杆管理、标准化管理）</w:t>
      </w:r>
    </w:p>
    <w:p w14:paraId="70AADF0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14:paraId="0C46514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⑥工程质量和施工档案</w:t>
      </w:r>
    </w:p>
    <w:p w14:paraId="5DA8A9B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在施工过程中，如果工程质量不符合设计和规范要求以及优质工程有关管理规定，监理人或发包人要求停工和返工的，承包人必须立即执行，由此产生的各种费用由承包人承担，工期不予顺延。</w:t>
      </w:r>
    </w:p>
    <w:p w14:paraId="1C6CA8A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14:paraId="5AC0AFA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14:paraId="1C8A3FD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⑦施工补勘</w:t>
      </w:r>
    </w:p>
    <w:p w14:paraId="5BF28F9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在工程施工期间，如果监理人要求承包人进行补钻孔或勘探性的开挖工作，须事先征得发包人同意。如果此项费用未包含在工程量清单项目中，则按变更处理。</w:t>
      </w:r>
    </w:p>
    <w:p w14:paraId="4313356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⑧遗留问题的处理</w:t>
      </w:r>
    </w:p>
    <w:p w14:paraId="31FA791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14:paraId="3CF3BB4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14:paraId="09347DB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⑨验收及其他</w:t>
      </w:r>
    </w:p>
    <w:p w14:paraId="700B8BC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14:paraId="47CA59B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⑩应履行的其他义务</w:t>
      </w:r>
    </w:p>
    <w:p w14:paraId="3C9F803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14:paraId="2272577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B、承包人应根据发包人的要求和施工现场实际情况开展施工作业，必须按发包人的指令开展施工，必要时必须借助地方道路或收费公路作为运输通道。</w:t>
      </w:r>
    </w:p>
    <w:p w14:paraId="66D7418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C、海事、海洋、航道、环保、边防、公安、渔政、港口、交通维护、治安协调等有关事宜费用。</w:t>
      </w:r>
    </w:p>
    <w:p w14:paraId="6433610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14:paraId="5F2E8A1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14:paraId="34E2717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14:paraId="0564AAF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D、承担因违反有关部门规定造成的损失和违约金</w:t>
      </w:r>
    </w:p>
    <w:p w14:paraId="44976B8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14:paraId="04E698F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E、承包人应根据工程施工情况及监理人的指令，及时向监理人提交开工报告、测量报告、试验检验报告、隐蔽工程验收通知、工程质量自检报告、交工验收申请报告及工程事故报告等。</w:t>
      </w:r>
    </w:p>
    <w:p w14:paraId="2365F28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F、承包人在进场后 1 个月内对用地红线进行全面复核，如有误，必须立即书面通知发包人。</w:t>
      </w:r>
    </w:p>
    <w:p w14:paraId="0C0CB07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14:paraId="42DF037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4.2 履约担保</w:t>
      </w:r>
    </w:p>
    <w:p w14:paraId="0E94E35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14:paraId="271C6C0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承包人在收到中标通知书后 28 天之内并在签订合同协议书之前，应按投标人须知第 7.7.1 款规定的金额和形式提交履约担保，由此所发生的费用由承包人承担。承包人应保证其履约担保在发包人开始扣留质量保证金前一直有效。发包人开始扣留质量保证金时同步一次性向承包人退还全部履约担保。</w:t>
      </w:r>
    </w:p>
    <w:p w14:paraId="2498193D">
      <w:pPr>
        <w:pStyle w:val="61"/>
        <w:spacing w:line="360" w:lineRule="auto"/>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    4.3 分包</w:t>
      </w:r>
    </w:p>
    <w:p w14:paraId="09A30EC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4.3.2 项补充：</w:t>
      </w:r>
    </w:p>
    <w:p w14:paraId="0A17C4F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承包人如有分包计划，所有的分包必须符合交通运输部现行《公路工程施工分包管理办法》及《广东省交通运输厅关于公路工程施工分包管理实施细则》关于施工分包和劳务合作的有关规定。</w:t>
      </w:r>
    </w:p>
    <w:p w14:paraId="56559EA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如实际的分包单价（或总额价）超出承包人与发包人签定的承包合同对应的清单单价（或总额价），视为承包人的风险，承包人应从合同总价中进行调配，发包人不因此向承包人增加支付任何费用。</w:t>
      </w:r>
    </w:p>
    <w:p w14:paraId="0AEE10A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承包人应无条件提供本合同段的临时工程和设施（包括但不限于便道、便桥、电力线路等）供分包人使用，不得向分包人收取临时工程和设施费用。</w:t>
      </w:r>
    </w:p>
    <w:p w14:paraId="17B8C2B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7D6BE51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14:paraId="2992B5F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本款补充第 4.3.8、4.3.9 项：</w:t>
      </w:r>
    </w:p>
    <w:p w14:paraId="446A691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4.3.8 特殊的分包人或供货人</w:t>
      </w:r>
    </w:p>
    <w:p w14:paraId="65FD01E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14:paraId="2829581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14:paraId="5935D21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特殊分包人（或供货人）承担部分的计量由承包人负责统一上报，承包人应将属特殊分包人（或供货人）的计量支付款项，及时向特殊分包人（或供货人）支付。</w:t>
      </w:r>
    </w:p>
    <w:p w14:paraId="4958A85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特殊分包人（或供货人）承担部分的原始资料存档和竣工资料编制等工作，由所在合同段的承包人负责。</w:t>
      </w:r>
    </w:p>
    <w:p w14:paraId="6BD1DAA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14:paraId="3BFACF3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如发生第 11.5 款约定的承包人工程进度严重滞后，发包人有权对承包人部分工程进行特殊分包，承包人应无条件接受，并按第 11.5 款约定处理。</w:t>
      </w:r>
    </w:p>
    <w:p w14:paraId="6F3D6CD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4.3.9 发包人的强制分包</w:t>
      </w:r>
    </w:p>
    <w:p w14:paraId="19964B5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因承包人违约或发生重大的质量、安全事故以及出现进度严重滞后的情况和工程专业化施工等的需要，发包人有权对承包人部分工程进行切割，做分包处理，因此而增加的一切费用由承包人承担。</w:t>
      </w:r>
    </w:p>
    <w:p w14:paraId="292BAD6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14:paraId="6DC0CB3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w:t>
      </w:r>
      <w:r>
        <w:rPr>
          <w:rFonts w:hint="eastAsia" w:ascii="宋体" w:hAnsi="宋体" w:cs="宋体"/>
          <w:color w:val="000000" w:themeColor="text1"/>
          <w:sz w:val="24"/>
          <w:szCs w:val="21"/>
          <w:highlight w:val="none"/>
          <w:u w:val="single"/>
          <w14:textFill>
            <w14:solidFill>
              <w14:schemeClr w14:val="tx1"/>
            </w14:solidFill>
          </w14:textFill>
        </w:rPr>
        <w:t xml:space="preserve"> 分包部分的造价计算原则由发包人按项目特点，根据分包的内容约定相应费用的扣除方式 </w:t>
      </w:r>
      <w:r>
        <w:rPr>
          <w:rFonts w:hint="eastAsia" w:ascii="宋体" w:hAnsi="宋体" w:cs="宋体"/>
          <w:color w:val="000000" w:themeColor="text1"/>
          <w:sz w:val="24"/>
          <w:szCs w:val="21"/>
          <w:highlight w:val="none"/>
          <w14:textFill>
            <w14:solidFill>
              <w14:schemeClr w14:val="tx1"/>
            </w14:solidFill>
          </w14:textFill>
        </w:rPr>
        <w:t>；</w:t>
      </w:r>
    </w:p>
    <w:p w14:paraId="12E66D0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B、发包人委托政府主管部门或发包人选取的第三方机构按 15.4.4 款约定的原则重新编制切割工程的预算，并按预算金额（不下浮）从承包人的合同总价中扣除。</w:t>
      </w:r>
    </w:p>
    <w:p w14:paraId="42C6EBA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发包人有权从以上两种方式中进行选择，承包人必须无条件服从。</w:t>
      </w:r>
    </w:p>
    <w:p w14:paraId="72BCB19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0F9F1B4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14:paraId="3F487B4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4.6 承包人人员的管理</w:t>
      </w:r>
    </w:p>
    <w:p w14:paraId="06D2825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4.6.1 项补充：</w:t>
      </w:r>
    </w:p>
    <w:p w14:paraId="5FAAA26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承包人应按监理人批准的人员安排报告及时安排相关人员进场，如果承包人在接到监理人要求人员进场的通知 5 天后仍未安排相关人员进场，视为承包人违约。</w:t>
      </w:r>
    </w:p>
    <w:p w14:paraId="54E004D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4.6.3 项细化为：</w:t>
      </w:r>
    </w:p>
    <w:p w14:paraId="4C46DC1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14:paraId="294698B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14:paraId="1EB36D2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（2）为保证承包人的档案资料整理工作具有连续性、稳定性，要求承包人的档案资料整理负责人在本项目连续工作 1 年及以上，否则视为承包人违约。</w:t>
      </w:r>
    </w:p>
    <w:p w14:paraId="156C759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14:paraId="05C5CAA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（4）承包人应按《公路水运工程安全生产监督管理办法》和《广东省高速公路工程施工安全标准化指南》等相关规定，设置独立的安全管理机构，配置专职安全生产管理人员：</w:t>
      </w:r>
    </w:p>
    <w:p w14:paraId="7E61C64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14:paraId="11D8CAE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14:paraId="55B8228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（5）项目经理和项目总工必须按要求出席发包人组织的各种会议，包括监理人主持的重要会议。特殊情况无法出席的，必须取得发包人或监理人批准，任何迟到或早退按缺席处理。</w:t>
      </w:r>
    </w:p>
    <w:p w14:paraId="7C21398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（6）承包人应严格按照环境保护的有关规定，明确环境保护的主要负责人，并按监理人的要求做好防御措施以及实施记录。</w:t>
      </w:r>
    </w:p>
    <w:p w14:paraId="6DCA231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（7）承包人应严格按照水土保持的有关规定，明确水土保持的主要负责人，并按监理人的要求做好防御措施以及实施记录。</w:t>
      </w:r>
    </w:p>
    <w:p w14:paraId="0614CC0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（8）承包人应配合发包人采用信息化管理手段对主要施工管理人员进行考核的措施。</w:t>
      </w:r>
    </w:p>
    <w:p w14:paraId="47C3B71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在本款后增加 4.6.6～4.6.7 项如下：</w:t>
      </w:r>
    </w:p>
    <w:p w14:paraId="35ABE6A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4.6.6 劳务聘用</w:t>
      </w:r>
    </w:p>
    <w:p w14:paraId="0EBD878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14:paraId="61B9E0E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14:paraId="5306BD9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（3）承包人应为农民工办理工伤保险。</w:t>
      </w:r>
    </w:p>
    <w:p w14:paraId="485E308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（4）发包人制定的农民工工资监管办法及有关规定，承包人须积极配合并无条件的接受。</w:t>
      </w:r>
    </w:p>
    <w:p w14:paraId="53B71A9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劳务合作须符合《广东省交通运输厅关于公路工程施工分包管理的实施细则》的通知有关规定；劳务合作单位须按照《广东省高速公路工程施工安全标准化指南》相关要求配备安全生产管理人员：施工作业人员在 30 人及以下时，应配备 1 名兼职安全生产管理人员；施工作业人员在 31～50 人时，应配备 1 名专职安全生产管理人员；施工作业人员在 51 人～200 人时，应配备 2 名专职安全生产管理人员；施工作业人员在201 人及以上时，每增加 100 人，应增加 1 名专职安全生产管理人员，并根据所承担工程的施工危险程度予以增加。</w:t>
      </w:r>
    </w:p>
    <w:p w14:paraId="3758FD0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（6）推广以工代赈方式促进沿线群众就业。</w:t>
      </w:r>
    </w:p>
    <w:p w14:paraId="1FA5566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4.6.7 施工班组及施工员登记制度</w:t>
      </w:r>
    </w:p>
    <w:p w14:paraId="7AF7CA1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14:paraId="618A590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14:paraId="5E0732C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在施工过程中，监理人只要有充分的理由，可以随时取消不能令其满意的施工员的资格，收回项目施工员证。</w:t>
      </w:r>
    </w:p>
    <w:p w14:paraId="44DBABD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4.7 撤换承包人项目经理和其他人员</w:t>
      </w:r>
    </w:p>
    <w:p w14:paraId="255D348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本款细化为：</w:t>
      </w:r>
    </w:p>
    <w:p w14:paraId="4F9D03F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14:paraId="165C70E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 不利物质条件</w:t>
      </w:r>
    </w:p>
    <w:p w14:paraId="73B09F9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第4.11.2项细化为：</w:t>
      </w:r>
    </w:p>
    <w:p w14:paraId="2C131B5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14:paraId="63A2E2C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4.11.3可预见的不利物质条件</w:t>
      </w:r>
    </w:p>
    <w:p w14:paraId="22AF209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第4.11.3（1）目补充：</w:t>
      </w:r>
    </w:p>
    <w:p w14:paraId="1981EFC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14:paraId="00AF7D4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5.材料和工程设备</w:t>
      </w:r>
    </w:p>
    <w:p w14:paraId="6C7632A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 5.1.2 项补充：</w:t>
      </w:r>
    </w:p>
    <w:p w14:paraId="427F1A5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14:paraId="201B747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（2）统一供应材料的采购</w:t>
      </w:r>
    </w:p>
    <w:p w14:paraId="428467E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统一供应材料的品种详见附件十《统一采购供应材料一览表》，具体采购必须严格执行发包人的管理要求。</w:t>
      </w:r>
    </w:p>
    <w:p w14:paraId="03F83DD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14:paraId="57138B1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对于此类材料的供货，还应满足以下规定：</w:t>
      </w:r>
    </w:p>
    <w:p w14:paraId="36E01B3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14:paraId="222370E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②为恰当和正确地使用、安装和实施这些材料和工程设备所必需的但一览表中未列明的其他任何辅助性材料以及人工费均已经包含在承包人的合同价款中。</w:t>
      </w:r>
    </w:p>
    <w:p w14:paraId="12A5EB3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14:paraId="5A269B0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④承包人承担工程全部完工后，如统一供应材料实际用量与按设计图纸（包括变更）计算的理论用量（含合理损耗）偏差超过 5%（石油沥青、改性沥青为 2%）而无法提供合理解释的，发包人有权对承包人处以偏差部分 100％价值的违约金。</w:t>
      </w:r>
    </w:p>
    <w:p w14:paraId="3AA9932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（3）其他主材的采购</w:t>
      </w:r>
    </w:p>
    <w:p w14:paraId="0D584FC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除统一供应材料以外的主材，承包人可自行决定采购方式。在开始采购前至少 28天，承包人应将采购方案报监理人审批，并严格执行发包人有关材料管理的各项要求。</w:t>
      </w:r>
    </w:p>
    <w:p w14:paraId="31F0F94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（4）工程地材的采购</w:t>
      </w:r>
    </w:p>
    <w:p w14:paraId="47EF4A3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14:paraId="1DDE048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承包人必须通过合法的方式获取石源和砂源，应确保材料的合法来源及品质要求，对材料的运输方式、供应强度及运距等自行测算并承担风险。</w:t>
      </w:r>
    </w:p>
    <w:p w14:paraId="76DA33D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（5）其他材料和工程设备的采购</w:t>
      </w:r>
    </w:p>
    <w:p w14:paraId="201CA84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除以上（1）～（5）条之外的其他材料和工程设备，承包人应将选定的各项材料和工程设备的供应商及品种、规格、质量证明文件、数量和供货计划等报送监理人和发包人核备。</w:t>
      </w:r>
    </w:p>
    <w:p w14:paraId="49206AE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（6）监理人和发包人对承包人采购材料和工程设备的审批、核备、监督等并不免除承包人的责任。</w:t>
      </w:r>
    </w:p>
    <w:p w14:paraId="0A31385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14:paraId="0D00521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14:paraId="02C9ADC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增加 5.1.3 项</w:t>
      </w:r>
    </w:p>
    <w:p w14:paraId="52EB2F9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承包人采购的材料应得到发包人和监理人的同意，经检验合格后方可使用。</w:t>
      </w:r>
    </w:p>
    <w:p w14:paraId="7241868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14:paraId="769EBD7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本款补充第 5.1.4 项、第 5.1.5 项：</w:t>
      </w:r>
    </w:p>
    <w:p w14:paraId="28E97BA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5.1.4 项目的部分材料或设备如采用甲控乙购方式管理的，承包人应按照发包人明确的甲控乙购材料或设备品种（详见《甲控乙购材料一览表》）、技术指标及质量要求、采购方式和管理要求进行采购。</w:t>
      </w:r>
    </w:p>
    <w:p w14:paraId="7EA641C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5.1.5 材料的防护、标识和可追溯性</w:t>
      </w:r>
    </w:p>
    <w:p w14:paraId="72143B1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根据材料特性对材料的运输、储存和保管的方法予以规定和执行，防止材料发生损坏、混淆、变质和受到污染。各种原材料、半成品的储存方式及所用的仓库、储罐、场地等应提前得到监理人的同意和确认。</w:t>
      </w:r>
    </w:p>
    <w:p w14:paraId="37D9C75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承包人应对材料的种类、特性和检验状态进行标识，确保每批材料保持良好状态并能追溯到采购日期、供应商和相关的质量证明文件。</w:t>
      </w:r>
    </w:p>
    <w:p w14:paraId="04124B5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14:paraId="76A5A9E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 发包人提供的材料和工程设备</w:t>
      </w:r>
    </w:p>
    <w:p w14:paraId="68632F9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5.2.1 项细化为：</w:t>
      </w:r>
    </w:p>
    <w:p w14:paraId="46253F9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14:paraId="173B8D3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 发包人按一览表约定的内容提供材料设备，并负责向承包人提供产品合格证明，对其真实性负责。但此项规定并不表明免除承包人检验材料设备质量的责任。</w:t>
      </w:r>
    </w:p>
    <w:p w14:paraId="015E9A9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 工程开工后，承包人应根据进度计划向发包人提出本款规定的材料设备使用计划，由发包人按计划提供材料。</w:t>
      </w:r>
    </w:p>
    <w:p w14:paraId="12E5E78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 发包人在所供材料设备到货前 24 小时，以书面形式通知承包人；到货时，由承包人派人清点，必要时，发包人可派人参加。</w:t>
      </w:r>
    </w:p>
    <w:p w14:paraId="53D9655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 材料设备办理清点交接手续后，承包人承担产品的储存、保管责任。(5) 一览表约定的数量为暂定数量，发包人按承包人实际接收材料设备数量进行结算。</w:t>
      </w:r>
    </w:p>
    <w:p w14:paraId="3A280C4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 一览表约定的到货地点不一致时，发包人负责运达一览表指定地点；发包人采购单价与一览表材料设备单价不符，发包人仅承担价差（含税）。</w:t>
      </w:r>
    </w:p>
    <w:p w14:paraId="0670462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14:paraId="0EB18CE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(8) 为恰当和正确地使用、安装和实施这些材料和工程设备所必需的但一览表中未列明的其他任何辅助性材料以及人工费应已经包含在承包人的合同总价中。</w:t>
      </w:r>
    </w:p>
    <w:p w14:paraId="3B3BED1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(9) 发包人供应的材料设备款，发包人将在供应后一个至两个月内从承包人工程进度款中扣回。但为保证材料设备款在交工验收时得到全额扣回，发包人有权调整扣回时间及比例。</w:t>
      </w:r>
    </w:p>
    <w:p w14:paraId="5C9960A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14:paraId="18426F0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14:paraId="25B445B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5.4 禁止使用不合格的材料和工程设备</w:t>
      </w:r>
    </w:p>
    <w:p w14:paraId="290D0C7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在 5.4.2 项末尾增加：承包人还应承担由此带来的一切损失。</w:t>
      </w:r>
    </w:p>
    <w:p w14:paraId="1E921B1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本条补充第 5.5 款、第 5.6 款、第 5.7 款、第 5.8 款：</w:t>
      </w:r>
    </w:p>
    <w:p w14:paraId="0182FE4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 代用材料的使用</w:t>
      </w:r>
    </w:p>
    <w:p w14:paraId="736308D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5.5.1 承包人需要使用代用材料时，应经监理人认可并由发包人同意后才能使用，由此增减的合同价款双方以书面形式议定。承包人申请使用代用材料，仅限于出现下列情况时：</w:t>
      </w:r>
    </w:p>
    <w:p w14:paraId="594C24E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(1)市场上无供应或在一定时间内突然供应短缺；</w:t>
      </w:r>
    </w:p>
    <w:p w14:paraId="6DD0E6C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(2)政府或有关管理机构的后继规章、规定禁止使用；</w:t>
      </w:r>
    </w:p>
    <w:p w14:paraId="7A57A34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(3)发包人或监理人要求使用其他替代品；或者承包人提出，发包人和监理人批准使用其他替代品；</w:t>
      </w:r>
    </w:p>
    <w:p w14:paraId="51CE1B6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(4)其他原因导致使用替代品成为必要的。</w:t>
      </w:r>
    </w:p>
    <w:p w14:paraId="0D10E31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如果使用代用材料，承包人应在使用前至少 14 天，以书面形式通知监理人并提交下列文件：</w:t>
      </w:r>
    </w:p>
    <w:p w14:paraId="2AC5658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(1)拟采用的替代品的名称、数量、规格、型号、品牌、性能、价格及其他必要的详细资料；</w:t>
      </w:r>
    </w:p>
    <w:p w14:paraId="16FAF91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(2)替代品使用的工程部位；</w:t>
      </w:r>
    </w:p>
    <w:p w14:paraId="67BBC66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(3)采用替代品的理由和原因申述；</w:t>
      </w:r>
    </w:p>
    <w:p w14:paraId="7BF37CB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(4)替代品与合同中约定的产品之间的差异以及使用替代品后可能对工程产生任何方面的影响；</w:t>
      </w:r>
    </w:p>
    <w:p w14:paraId="2B2285E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(5)价格上的差异；</w:t>
      </w:r>
    </w:p>
    <w:p w14:paraId="610A217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(6)监理人为作出适当的决定而随时要求承包人提供的任何其他文件。</w:t>
      </w:r>
    </w:p>
    <w:p w14:paraId="2DF67B4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14:paraId="35136EF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5.5.2 机制砂的使用</w:t>
      </w:r>
    </w:p>
    <w:p w14:paraId="696C586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机制砂应满足设计文件和技术规范的要求，并按照国家、省有关文件的规定使用。</w:t>
      </w:r>
    </w:p>
    <w:p w14:paraId="15425FF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 材料、工程设备和工程的试验和检验</w:t>
      </w:r>
    </w:p>
    <w:p w14:paraId="355C785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14:paraId="7ACE6F3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5.6.2承包人应于工程开工前完成工地试验室建设和资质认证工作，工地试验室建设、相关配置及管理应满足标准化要求，并按发包人发布的项目管理制度执行。</w:t>
      </w:r>
    </w:p>
    <w:p w14:paraId="64709A1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5.6.3承包人工地试验室资质范围以外的试验和检验项目，经监理人和发包人同意可对外委托具有相应资质的检测试验机构进行试验，但承包人应将检测试验机构有关资料报备监理人和试验人。</w:t>
      </w:r>
    </w:p>
    <w:p w14:paraId="1A3BDB6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5.6.4 承包人根据合同约定或监理人指示进行的现场材料试验，应由承包人提供试验场所、试验人员、试验设备器材以及其他必要的试验条件。</w:t>
      </w:r>
    </w:p>
    <w:p w14:paraId="0038ECC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5.6.5 如有必要，发包人、监理人、试验人可以免费使用承包人的试验场所、试验设备器材以及其他试验条件，进行以工程质量检查为目的的复核性材料试验，承包人应予以协助。</w:t>
      </w:r>
    </w:p>
    <w:p w14:paraId="7EECF83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5.6.6 承包人的试验和检验和外委试验应严格执行专用项目管理制度的相关规定和要求。 由承包人、监理人、试验人三方共同委外的检查项目的检测费用由承包人承担。</w:t>
      </w:r>
    </w:p>
    <w:p w14:paraId="28B8444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5.6.7 承包人应根据材料、工程设备进场计划和工程施工计划，制订相应试验和检验计划，按计划开展试验检测工作，并将上述计划报送监理人和和试验人。</w:t>
      </w:r>
    </w:p>
    <w:p w14:paraId="1E648D0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5.6.8 承包人的试验和检验过程须接受监理人的旁站监督；承包人应接受试验检测中心的监督指导，并按试验检测中心制定的管理制度开展试验检测工作。</w:t>
      </w:r>
    </w:p>
    <w:p w14:paraId="44219F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14:paraId="7E2C5B2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5.6.10</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14:paraId="2080476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发包人、监理人、试验人和发包人认可的相关政府部门或其他第三方机构的检查和检验，不免除承包人合同约定的责任。 </w:t>
      </w:r>
    </w:p>
    <w:p w14:paraId="4DD25AD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5.7标准试验</w:t>
      </w:r>
    </w:p>
    <w:p w14:paraId="5440A9D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14:paraId="449CF8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5.7.2 当用于工程施工的原材料发生变化时，承包人应重新进行上述标准试验，并履行平行试验和审批程序。 </w:t>
      </w:r>
    </w:p>
    <w:p w14:paraId="066E63A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5.8 工艺试验 </w:t>
      </w:r>
    </w:p>
    <w:p w14:paraId="50775C9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5.8.1 承包人应按合同约定或监理人指示进行现场工艺试验。对大型的现场工艺试验，应编制工艺试验方案和计划，报送监理人审批后实施。 </w:t>
      </w:r>
    </w:p>
    <w:p w14:paraId="210757E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5.8.2 对于特殊工艺质量检验，承包人应制定相应的检验方案和工艺，经评委评审和发包人审核确认后应用于现场工程质量控制和检验。</w:t>
      </w:r>
    </w:p>
    <w:p w14:paraId="3AA571F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施工设备和临时设施</w:t>
      </w:r>
    </w:p>
    <w:p w14:paraId="02EE0D7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承包人提供的施工设备和临时设施</w:t>
      </w:r>
    </w:p>
    <w:p w14:paraId="60CD575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6.1.1 项补充：</w:t>
      </w:r>
    </w:p>
    <w:p w14:paraId="445CE64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14:paraId="28D3E00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6.1.3 项：</w:t>
      </w:r>
    </w:p>
    <w:p w14:paraId="4789440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14:paraId="3C8D53D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要求承包人增加或更换施工设备</w:t>
      </w:r>
    </w:p>
    <w:p w14:paraId="70568C1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在本款后补充：</w:t>
      </w:r>
    </w:p>
    <w:p w14:paraId="71C08A4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承包人在接到上述指令 14 天内未按要求执行，将按第 22.1 款视为承包人违约。</w:t>
      </w:r>
    </w:p>
    <w:p w14:paraId="6412E47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6.5 款：</w:t>
      </w:r>
    </w:p>
    <w:p w14:paraId="3E459F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 信息化管理</w:t>
      </w:r>
    </w:p>
    <w:p w14:paraId="64DA36F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6.5.1 计算机系统配置</w:t>
      </w:r>
    </w:p>
    <w:p w14:paraId="4C72D48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发包人采用信息化手段对本项目进行管理。承包人的计算机及网络配置应满足项目信息化管理和发包人的有关要求。</w:t>
      </w:r>
    </w:p>
    <w:p w14:paraId="7B468AC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承包人应确保有专用计算机和一条专用网络连接线，同时应充分考虑可视化管理的手段，网络速度不小于 100Mbps。</w:t>
      </w:r>
    </w:p>
    <w:p w14:paraId="30DD316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项目管理系统专用计算机的管理要求：</w:t>
      </w:r>
    </w:p>
    <w:p w14:paraId="0FE6CE9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(1)项目管理系统专用的计算机应由熟悉计算机操作的管理人员专人管理，管理人员必须参加发包人举办的培训班。</w:t>
      </w:r>
    </w:p>
    <w:p w14:paraId="063035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(2)严禁在专用的计算机上安装软驱、光驱或进行登录 Internet 网及其局域网的操作。</w:t>
      </w:r>
    </w:p>
    <w:p w14:paraId="443D6B6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(3)严禁在专用计算机上安装或卸载软件。</w:t>
      </w:r>
    </w:p>
    <w:p w14:paraId="054CBCF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(4)本网络系统对操作者进行了权限设置，任何操作员的违规操作将按照有关规定处理。</w:t>
      </w:r>
    </w:p>
    <w:p w14:paraId="537B76C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14:paraId="27A9E6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(6)承包人应安排专人配合发包人将项目信息管理系统与广东省交通运输厅建设管养平台进行对接，保证网络畅通。</w:t>
      </w:r>
    </w:p>
    <w:p w14:paraId="42836ED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7.交通运输</w:t>
      </w:r>
    </w:p>
    <w:p w14:paraId="21F4209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场内施工道路</w:t>
      </w:r>
    </w:p>
    <w:p w14:paraId="35B93EB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7.2.3 项：</w:t>
      </w:r>
    </w:p>
    <w:p w14:paraId="75DB45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14:paraId="717540E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7.2.4 项：</w:t>
      </w:r>
    </w:p>
    <w:p w14:paraId="5D7484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7.2.4 施工便道要求：</w:t>
      </w:r>
    </w:p>
    <w:p w14:paraId="4173844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14:paraId="2F9ADD5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场外交通</w:t>
      </w:r>
    </w:p>
    <w:p w14:paraId="0086B77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7.3.3 项：</w:t>
      </w:r>
    </w:p>
    <w:p w14:paraId="631D092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为保证道路交通安全及运输畅通，承包人应采取以下措施：</w:t>
      </w:r>
    </w:p>
    <w:p w14:paraId="320111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（a）承包人必须在与市政、交通和交警等部门的协商下采取足够的交通引导措施，以防止施工期间出现道路堵塞；</w:t>
      </w:r>
    </w:p>
    <w:p w14:paraId="0B4DDA7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（b）承包人制定施工材料运输计划时，应尽量避开现有道路交通高峰时的运输活动。</w:t>
      </w:r>
    </w:p>
    <w:p w14:paraId="4A49F01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（c）承包人须编制交通组织方案，报相关部门审查批复，必要时组织评审，费用由承包人负责（合同另有约定除外）。</w:t>
      </w:r>
    </w:p>
    <w:p w14:paraId="195E981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8．测量放线</w:t>
      </w:r>
    </w:p>
    <w:p w14:paraId="04DC8DF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 施工测量</w:t>
      </w:r>
    </w:p>
    <w:p w14:paraId="5E0073D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8.2.3 项：</w:t>
      </w:r>
    </w:p>
    <w:p w14:paraId="488E180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地面线定测误差引起土石方数量变化原则上不予调整。</w:t>
      </w:r>
    </w:p>
    <w:p w14:paraId="041E403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施工安全、治安保卫和环境保护</w:t>
      </w:r>
    </w:p>
    <w:p w14:paraId="58D342A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 承包人的施工安全责任</w:t>
      </w:r>
    </w:p>
    <w:p w14:paraId="57072E7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9.2.1 项补充：</w:t>
      </w:r>
    </w:p>
    <w:p w14:paraId="2C404C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承包人应按《广东省高速公路工程施工安全标准化指南》的规定履行安全职责。本项目需要编制专项施工方案的工程包括但不限于以下内容补充第（11）~（14）目：</w:t>
      </w:r>
    </w:p>
    <w:p w14:paraId="052B00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（11）旧桥涵（含分离立交、匝道桥、现浇、连续梁）的拆除与加固；</w:t>
      </w:r>
    </w:p>
    <w:p w14:paraId="16ECAC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（12）纵断面调整路段的路基路面施工；</w:t>
      </w:r>
    </w:p>
    <w:p w14:paraId="0750BF6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（13）旧收费雨棚及收费岛拆除，旧门架式监控或标志设施拆除；</w:t>
      </w:r>
    </w:p>
    <w:p w14:paraId="7AF1833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（14）其他危险性较大的工程。</w:t>
      </w:r>
    </w:p>
    <w:p w14:paraId="4B57DF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9.2.2 项补充：</w:t>
      </w:r>
    </w:p>
    <w:p w14:paraId="6D6827A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14:paraId="4E0E497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9.2.3 项补充：</w:t>
      </w:r>
    </w:p>
    <w:p w14:paraId="3E9F5B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14:paraId="1B0D750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9.2.3.2 项目的安全生产、职业健康和环境保护管理，应接受政府主管部门及其授权委托机构、发包人及其所委托的监理机构的监督、检查、协调与指导。</w:t>
      </w:r>
    </w:p>
    <w:p w14:paraId="77E5EE1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9.2.3.3 承包人应建立健全并落实安全生产“一岗双责”责任制和全员安全生产责任制，确保管生产同时管安全，实现全员全过程安全管理。</w:t>
      </w:r>
    </w:p>
    <w:p w14:paraId="63FDDA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14:paraId="2B1852D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9.2.4 项补充：</w:t>
      </w:r>
    </w:p>
    <w:p w14:paraId="5EADEE1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承包人必须重视应急管理，在应急管理方面要做好但不限于以下工作：</w:t>
      </w:r>
    </w:p>
    <w:p w14:paraId="50E32C5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（1）建立和完善应急组织体系。</w:t>
      </w:r>
    </w:p>
    <w:p w14:paraId="45A5A8A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14:paraId="592F2FD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（3）承包人应经常组织应急预案演练，不断完善应急预案，提升应急管理水平。发生突发事件时，迅速启动应急预案，开展各项应急处置工作。</w:t>
      </w:r>
    </w:p>
    <w:p w14:paraId="43DBBE7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14:paraId="33F8590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14:paraId="4C247F4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国家、省和广东省交通运输厅关于印发《广东省交通运输厅关于公路水运建设工程安全生产费用的管理办法》的通知等相关规定要求，本合同设立安全生产费。安全生产费按计费基数（工程量清单第100章至第900章费用之和，并扣除安全生产费本身和机电工程设备购置费）的1.5%（不含新建、改建、扩建以及拆除、加固等建设工程专项交通安全维护费）（房建工程按</w:t>
      </w:r>
      <w:r>
        <w:rPr>
          <w:rFonts w:hint="eastAsia" w:ascii="宋体" w:hAnsi="宋体" w:cs="宋体"/>
          <w:color w:val="000000" w:themeColor="text1"/>
          <w:sz w:val="24"/>
          <w:highlight w:val="none"/>
          <w:u w:val="singl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%）以固定金额的形式计入工程量清单支付子目102-3中。</w:t>
      </w:r>
    </w:p>
    <w:p w14:paraId="3D84D5F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（1）安全生产费用预付款比例及扣回方式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i/>
          <w:i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p>
    <w:p w14:paraId="2FC91E1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14:paraId="4F13366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14:paraId="079E91F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（4）安全生产费用应专门用于完善和改进工程项目安全作业环境、安全施工措施和条件，严禁挪用。</w:t>
      </w:r>
    </w:p>
    <w:p w14:paraId="264F63F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（5）承包人应根据实际需要使用安全生产费用，因设计变更造成承包人安全生产费用实际投入总额与合同约定不一致的，差额部分的安全生产费用按照批复变更金额和规定提取比例同时调整。</w:t>
      </w:r>
    </w:p>
    <w:p w14:paraId="4E2CB4E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（6）非因设计变更造成承包人安全生产费用实际投入总额与合同约定不一致的，承包人安全生产费用实际支出超过合同约定安全生产费用总额的，发包人不再另行支付，超出部分由承包人自行承担。</w:t>
      </w:r>
    </w:p>
    <w:p w14:paraId="7B47965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14:paraId="10E240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（8）工程交工验收后，安全生产费用实际投入总额少于工程量清单中安全生产费用总额的，经监理人核实后，未计量部分（除变更费用外）原则上不再支付。</w:t>
      </w:r>
    </w:p>
    <w:p w14:paraId="2A881BE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9.2.6 项细化为:</w:t>
      </w:r>
    </w:p>
    <w:p w14:paraId="02D795B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14:paraId="2FB288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9.2.8（4）目细化为：</w:t>
      </w:r>
    </w:p>
    <w:p w14:paraId="3368343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14:paraId="72EAC9B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在本款补充第 9.2.12 项～第 9.2.16 项：</w:t>
      </w:r>
    </w:p>
    <w:p w14:paraId="55220E2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9.2.12 涉水及船舶安全管理</w:t>
      </w:r>
    </w:p>
    <w:p w14:paraId="3465384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14:paraId="55573F1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14:paraId="4E918F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①船舶必须持有效的船舶检验证书（包括但不限于船舶国籍证书、船舶登记证书等）；</w:t>
      </w:r>
    </w:p>
    <w:p w14:paraId="2798DD8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②船舶配备的有关航行安全设施设备必须具有船舶检验部门签发的有效技术证书，并在有效期内；</w:t>
      </w:r>
    </w:p>
    <w:p w14:paraId="4C73F2B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③船舶应配备不低于船舶证书上要求的最低配员数量的合格船员；</w:t>
      </w:r>
    </w:p>
    <w:p w14:paraId="0B8DEDE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④交通船应具有载客证书或临时载客证书；</w:t>
      </w:r>
    </w:p>
    <w:p w14:paraId="6D9FAD4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⑤所有船舶必须配备 AIS、VHF 等设备；</w:t>
      </w:r>
    </w:p>
    <w:p w14:paraId="6658E6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⑥承包人应采取有效措施维护施工现场通航安全及现有航道的航行安全；</w:t>
      </w:r>
    </w:p>
    <w:p w14:paraId="1D050AF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⑦为钢结构及大型预制构件运输而设置的临时航道的设计必须取得有关行业主管部门的批准，并在完善相关许可手续后，方可实施；</w:t>
      </w:r>
    </w:p>
    <w:p w14:paraId="049AF3D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⑧承包人须与船舶所有人签订安全协议；</w:t>
      </w:r>
    </w:p>
    <w:p w14:paraId="7E06E5E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承包人应承担因此产生的一切费用，并保障发包人免于承担相关责任。</w:t>
      </w:r>
    </w:p>
    <w:p w14:paraId="2E8AC9C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9.2.13 施工安全风险评估</w:t>
      </w:r>
    </w:p>
    <w:p w14:paraId="500C6F5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14:paraId="6AD4475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14:paraId="78BD5C8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14:paraId="376A211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9.2.14 施工作业人员的安全教育培训</w:t>
      </w:r>
    </w:p>
    <w:p w14:paraId="3F30173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4C50B2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9.2.15施工防护标准化</w:t>
      </w:r>
    </w:p>
    <w:p w14:paraId="56A4C21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14:paraId="3F071D2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9.2.16 加强路堑边坡管理</w:t>
      </w:r>
    </w:p>
    <w:p w14:paraId="22382E2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14:paraId="43FE94B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14:paraId="5C43B55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14:paraId="6452A69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（4）加强边坡施工过程管理及其他具体要求按《广东省交通运输厅关于切实加强我省高速公路路堑边坡管理的通知》执行。</w:t>
      </w:r>
    </w:p>
    <w:p w14:paraId="2F6AA26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 环境保护</w:t>
      </w:r>
    </w:p>
    <w:p w14:paraId="62850D2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9.4.7（1）目补充：</w:t>
      </w:r>
    </w:p>
    <w:p w14:paraId="17186AA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施工噪声和施工时间应满足国家及地方环境保护法律法规的规定和要求，不得影响周边单位和居民正常的生产生活。施工单位应使用经环保主管部门信息编码登记且符合排放标准的非道路移动机械。</w:t>
      </w:r>
    </w:p>
    <w:p w14:paraId="6B8D772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9.4.7（2）目补充：</w:t>
      </w:r>
    </w:p>
    <w:p w14:paraId="5EEF913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e.隧道出渣、钻孔灌注桩施工时排出的泥浆等施工废弃物要妥善处理，弃置形式及地点须经相关主管部门的批准，严禁向海洋、河流、荒地或市政管道等排放。</w:t>
      </w:r>
    </w:p>
    <w:p w14:paraId="5D241B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f.承包人必须依照《广东省交通运输厅关于加强公路水运建设项目施工现场扬尘管理的通知》，加强施工现场管理，防止工程周边扬尘污染，运输车辆经冲洗干净后方可驶出建设工地。</w:t>
      </w:r>
    </w:p>
    <w:p w14:paraId="13A8A4E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14:paraId="7AAE1C1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9.4.10 项末补充：</w:t>
      </w:r>
    </w:p>
    <w:p w14:paraId="3F3DFD2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14:paraId="7F44E53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9.4 款下增加 9.4.12～9.4.17 项：</w:t>
      </w:r>
    </w:p>
    <w:p w14:paraId="02DACFD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14:paraId="309FDF3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14:paraId="7A4C030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14:paraId="7AAC11A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14:paraId="0E7034B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9.4.16 承包人应严格执行《广东省公路工程施工标准化指南》关于环境保护的相关要求。</w:t>
      </w:r>
    </w:p>
    <w:p w14:paraId="698E615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9.4.17 文明环保施工价款</w:t>
      </w:r>
    </w:p>
    <w:p w14:paraId="71A8CB5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14:paraId="62AE19C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进度计划</w:t>
      </w:r>
    </w:p>
    <w:p w14:paraId="4BF8E9A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 合同进度计划</w:t>
      </w:r>
    </w:p>
    <w:p w14:paraId="26595C2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14:paraId="44BE890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10.3 年度施工计划</w:t>
      </w:r>
    </w:p>
    <w:p w14:paraId="24F2672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在本款末增加以下内容：</w:t>
      </w:r>
    </w:p>
    <w:p w14:paraId="7F23AE9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在年度施工计划的基础上，承包人应根据发包人及监理人的具体安排编制和落实其他阶段性施工计划。</w:t>
      </w:r>
    </w:p>
    <w:p w14:paraId="1CE1174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10.5 款、第 10.6 款、第 10.7 款：</w:t>
      </w:r>
    </w:p>
    <w:p w14:paraId="4702B3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 工程进度记录</w:t>
      </w:r>
    </w:p>
    <w:p w14:paraId="01532A2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承包人应保持每日、每月和其他定期的工程进度记录和报告，这些记录和报告包括下列有关资料：</w:t>
      </w:r>
    </w:p>
    <w:p w14:paraId="231CB24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(a)气象条件；</w:t>
      </w:r>
    </w:p>
    <w:p w14:paraId="0F17527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(b)施工记录；</w:t>
      </w:r>
    </w:p>
    <w:p w14:paraId="36766EC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(c)施工设施和设备状况；</w:t>
      </w:r>
    </w:p>
    <w:p w14:paraId="355195F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(d)承包人人员统计；</w:t>
      </w:r>
    </w:p>
    <w:p w14:paraId="36468EC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(e)现场材料，材料搬移记录、交货期、发票及有关资料；</w:t>
      </w:r>
    </w:p>
    <w:p w14:paraId="19C773F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(f)环境保护、水土保持实施记录；</w:t>
      </w:r>
    </w:p>
    <w:p w14:paraId="574F1D2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(g)安全生产实施记录；</w:t>
      </w:r>
    </w:p>
    <w:p w14:paraId="6B21F72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(h)所有在施工过程中发生的其他事项。</w:t>
      </w:r>
    </w:p>
    <w:p w14:paraId="64B0FC7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10.6 工程的进度奖罚</w:t>
      </w:r>
    </w:p>
    <w:p w14:paraId="6A1DCE7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14:paraId="57BEE59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11.开工和竣工</w:t>
      </w:r>
    </w:p>
    <w:p w14:paraId="2F40AA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发包人的工期延误</w:t>
      </w:r>
    </w:p>
    <w:p w14:paraId="351823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518B8F2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在履行合同过程中，由于发包人的下列原因造成工期延误的，承包人在满足发包人的项目总体工期目标前提下，有权要求发包人顺延工期，需要修订合同进度计划的，按照第 10.2 款的约定办理。</w:t>
      </w:r>
    </w:p>
    <w:p w14:paraId="0BC85C1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由于征地拆迁的原因造成关键线路上的工程暂停施工；</w:t>
      </w:r>
    </w:p>
    <w:p w14:paraId="4DCF8FE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未按合同约定及时支付预付款、进度款；</w:t>
      </w:r>
    </w:p>
    <w:p w14:paraId="5AE7752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如顺延合同工期在项目专用合同条款数据表的时间以内的，发包人将不予增加费用；</w:t>
      </w:r>
    </w:p>
    <w:p w14:paraId="2B08650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如顺延合同工期在项目专用合同条款数据表的时间以上的，发包人将按如下原则给予补偿：</w:t>
      </w:r>
    </w:p>
    <w:p w14:paraId="4AB0456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①驻地建设场地租金；</w:t>
      </w:r>
    </w:p>
    <w:p w14:paraId="0AFA4C7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②合同承诺投入且已进场的机械设备停置费，停置费按以下两种情况计算：</w:t>
      </w:r>
    </w:p>
    <w:p w14:paraId="598D7B5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a.《公路工程机械台班费用定额》包含的机械设备停置费按如下公式计算：</w:t>
      </w:r>
    </w:p>
    <w:p w14:paraId="6C2A500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停置费=（折旧费+检修费+维护费）*50%+人工费+机上人员管理费+养路费及车船使用税</w:t>
      </w:r>
    </w:p>
    <w:p w14:paraId="738EED9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其中：机上人员管理费按人工费的 10%计算；车船使用税按规定的广东省车船使用税标准计算。</w:t>
      </w:r>
    </w:p>
    <w:p w14:paraId="26900F5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 《公路工程机械台班费用定额》未包含的机械设备停置费按如下公式计算：</w:t>
      </w:r>
    </w:p>
    <w:p w14:paraId="7370547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按照年限平均法直线计提折旧，折旧年限为 10 年，年折旧额=固定资产原值×（1-残值率）/折旧年限，残值率为 4%；月折旧额=年折旧额/12，末月的天数≥16 时，按 1个月计算，否则末月不计。</w:t>
      </w:r>
    </w:p>
    <w:p w14:paraId="24CC37A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14:paraId="44407B0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④仅对超出</w:t>
      </w:r>
      <w:r>
        <w:rPr>
          <w:rFonts w:hint="eastAsia" w:ascii="宋体" w:hAnsi="宋体" w:cs="宋体"/>
          <w:color w:val="000000" w:themeColor="text1"/>
          <w:sz w:val="24"/>
          <w:highlight w:val="none"/>
          <w:u w:val="single"/>
          <w14:textFill>
            <w14:solidFill>
              <w14:schemeClr w14:val="tx1"/>
            </w14:solidFill>
          </w14:textFill>
        </w:rPr>
        <w:t>6个月</w:t>
      </w:r>
      <w:r>
        <w:rPr>
          <w:rFonts w:hint="eastAsia" w:ascii="宋体" w:hAnsi="宋体" w:cs="宋体"/>
          <w:color w:val="000000" w:themeColor="text1"/>
          <w:sz w:val="24"/>
          <w:highlight w:val="none"/>
          <w14:textFill>
            <w14:solidFill>
              <w14:schemeClr w14:val="tx1"/>
            </w14:solidFill>
          </w14:textFill>
        </w:rPr>
        <w:t>以上部分进行补偿；</w:t>
      </w:r>
    </w:p>
    <w:p w14:paraId="21F5758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⑤除上述规定的补偿项目之外，其余由于工期顺延增加的费用由承包人承担。</w:t>
      </w:r>
    </w:p>
    <w:p w14:paraId="4828983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（3）由于重大设计方案调整造成关键线路上的工程暂停施工；</w:t>
      </w:r>
    </w:p>
    <w:p w14:paraId="74BF276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（4）甲供材料断供或供应不及时。</w:t>
      </w:r>
    </w:p>
    <w:p w14:paraId="6301BD6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异常恶劣的气候条件</w:t>
      </w:r>
    </w:p>
    <w:p w14:paraId="4739420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异常恶劣的气候条件是指十级以上强风暴、龙卷风或五十年一遇以上洪水造成重大破坏等情况无法施工持续 30 天以上者。</w:t>
      </w:r>
    </w:p>
    <w:p w14:paraId="78EF177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承包人的工期延误</w:t>
      </w:r>
    </w:p>
    <w:p w14:paraId="4D9F28E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在本款后增加第(6)项：</w:t>
      </w:r>
    </w:p>
    <w:p w14:paraId="26ABC44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14:paraId="2A5B326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暂停施工</w:t>
      </w:r>
    </w:p>
    <w:p w14:paraId="46E006E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承包人暂停施工的责任</w:t>
      </w:r>
    </w:p>
    <w:p w14:paraId="69ABA9D5">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(6)由承包人承担的其他暂停施工：</w:t>
      </w:r>
      <w:r>
        <w:rPr>
          <w:rFonts w:hint="eastAsia" w:ascii="宋体" w:hAnsi="宋体" w:cs="宋体"/>
          <w:color w:val="000000" w:themeColor="text1"/>
          <w:sz w:val="24"/>
          <w:highlight w:val="none"/>
          <w:u w:val="single"/>
          <w14:textFill>
            <w14:solidFill>
              <w14:schemeClr w14:val="tx1"/>
            </w14:solidFill>
          </w14:textFill>
        </w:rPr>
        <w:t xml:space="preserve"> 无</w:t>
      </w:r>
    </w:p>
    <w:p w14:paraId="38ED795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发包人暂停施工的责任</w:t>
      </w:r>
    </w:p>
    <w:p w14:paraId="40E956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0DD2FFE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由于发包人原因引起的暂停施工造成工期延误的，按第 11.3 款的约定执行。</w:t>
      </w:r>
    </w:p>
    <w:p w14:paraId="759F7B5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工程质量</w:t>
      </w:r>
    </w:p>
    <w:p w14:paraId="4A0298E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工程质量要求</w:t>
      </w:r>
    </w:p>
    <w:p w14:paraId="0502CEA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在本款第 13.1.2 项后增加以下内容：</w:t>
      </w:r>
    </w:p>
    <w:p w14:paraId="0CE3F5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14:paraId="4E3BC0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增加第 13.7～13.12 款：</w:t>
      </w:r>
    </w:p>
    <w:p w14:paraId="55D8CD5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 承包人偷工减料</w:t>
      </w:r>
    </w:p>
    <w:p w14:paraId="6E79EEA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14:paraId="7A67F9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 承包人质量自检</w:t>
      </w:r>
    </w:p>
    <w:p w14:paraId="238602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14:paraId="0FDCF3D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 不定期现场检查</w:t>
      </w:r>
    </w:p>
    <w:p w14:paraId="4FC4A7E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发包人和监理人将不定期进行现场检查，对检查结果按本合同《工程质量、安全及文明施工违约项目一览表》进行处理，承包人必须接受。</w:t>
      </w:r>
    </w:p>
    <w:p w14:paraId="39805EB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13.10 施工误差</w:t>
      </w:r>
    </w:p>
    <w:p w14:paraId="7D0CEBE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施工质量不满足要求的，承包人须承担一切返工费用。其中：</w:t>
      </w:r>
    </w:p>
    <w:p w14:paraId="59E79C3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14:paraId="585D2DE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14:paraId="5AE98A1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优质优价价款</w:t>
      </w:r>
    </w:p>
    <w:p w14:paraId="603D570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14:paraId="0703706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发包人将根据工程实际开展各项工程的质量评比和奖罚，项目（如项目采用分段管理，则按项目段计列）用于奖励的金额比例详见项目专用合同条款数据表的约定，由项目统筹使用。</w:t>
      </w:r>
    </w:p>
    <w:p w14:paraId="01FC941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未解除承包人的义务和责任</w:t>
      </w:r>
    </w:p>
    <w:p w14:paraId="4D88EB9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14:paraId="54C74F3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变更</w:t>
      </w:r>
    </w:p>
    <w:p w14:paraId="1434085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变更程序</w:t>
      </w:r>
    </w:p>
    <w:p w14:paraId="54E222A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在本款第 15.3.4 项后增加以下内容：</w:t>
      </w:r>
    </w:p>
    <w:p w14:paraId="034BF99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同时工程变更还应执行广东省交通运输厅及发包人颁布的相关变更管理办法规定。</w:t>
      </w:r>
    </w:p>
    <w:p w14:paraId="00DA7E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 变更的估价原则</w:t>
      </w:r>
    </w:p>
    <w:p w14:paraId="0B7DD91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 15.4.1～15.4.5 项删除，并用以下内容代替：</w:t>
      </w:r>
    </w:p>
    <w:p w14:paraId="36F8AC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因变更引起的价格调整，应按以下优先顺序所列原则进行处理：</w:t>
      </w:r>
    </w:p>
    <w:p w14:paraId="3B8B8A9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如果取消某项工作，则该项工作的总额价不予支付；</w:t>
      </w:r>
    </w:p>
    <w:p w14:paraId="2EAD3A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14:paraId="2188494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14:paraId="4AFC7A4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 如上述价格调整原则不适用或按上述原则计算的单价不合理，经发包人同意，按以下原则执行。</w:t>
      </w:r>
    </w:p>
    <w:p w14:paraId="09CEC16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15.4.4.1 参照招标人公布的最高投标限价编制时选用的有关定额及补充的定额，人工、材料、机械单价按最高投标限价采用的月份（**年**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14:paraId="6F99B34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下浮率=（本合同段最高投标限价-中标总价）/本合同段最高投标限价*100%</w:t>
      </w:r>
    </w:p>
    <w:p w14:paraId="553AA86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15.4.4.2 按变更程序办理的应急抢险工程，经变更预算对应审批权限单位同意后，可根据实际情况编制预算，变更金额确定原则在项目专用合同条款数据表中约定。</w:t>
      </w:r>
    </w:p>
    <w:p w14:paraId="28CB453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15.4.4.3 新增机电设备的变更作价，按以下优先顺序所列原则进行处理：</w:t>
      </w:r>
    </w:p>
    <w:p w14:paraId="7B90231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（1）参考省内近 1 年内通车的高速公路项目合同单价（或总额价）进行确定；</w:t>
      </w:r>
    </w:p>
    <w:p w14:paraId="3338BB6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（2）变更预算按发包人核定的市场价格加上采保费、税金及合理利润进行计算，变更单价或费用=变更预算×（1-中标下浮率）</w:t>
      </w:r>
    </w:p>
    <w:p w14:paraId="50339B6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14:paraId="117F719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发包人与承包人如按上述原则协商未果，发包人有权根据实际情况按上述某一原则进行处理，承包人必须无条件接受。</w:t>
      </w:r>
    </w:p>
    <w:p w14:paraId="39D5DBE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所有的变更设计都必须按发包人及其上级主管部门颁布的变更设计管理办法进行审批。</w:t>
      </w:r>
    </w:p>
    <w:p w14:paraId="04A9808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价格调整</w:t>
      </w:r>
    </w:p>
    <w:p w14:paraId="062C76A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物价波动引起的价格调整</w:t>
      </w:r>
    </w:p>
    <w:p w14:paraId="38C2309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14:paraId="5BCD0EB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78D6894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14:paraId="5622AB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16.1.2.1 统一采购供应材料、甲控乙购材料价差调整</w:t>
      </w:r>
    </w:p>
    <w:p w14:paraId="52F5B5C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发包人招标文件规定的统一采购供应材料、甲控乙购材料按以下办法进行价差调整：</w:t>
      </w:r>
    </w:p>
    <w:p w14:paraId="1743F23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（1）材料范围：详见招标文件中《统一采购供应材料一览表》、《甲控乙购材料一览表》；</w:t>
      </w:r>
    </w:p>
    <w:p w14:paraId="70D868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（2）材料价差计算方法：</w:t>
      </w:r>
    </w:p>
    <w:p w14:paraId="6AC703F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按月调整材料价差，具体如下：</w:t>
      </w:r>
    </w:p>
    <w:p w14:paraId="736A47C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以广东省交通运输工程造价事务中心每月公布的广东省交通建设工程主要外购材料信息价为依据，每个月 15 日（不含当天）后供应的货物纳入下个月进行价格调整。</w:t>
      </w:r>
    </w:p>
    <w:p w14:paraId="7C4375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A=(B-C)(1+D)</w:t>
      </w:r>
    </w:p>
    <w:p w14:paraId="47E0E7B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A:实际调整价差，A 为正值时，由发包人补给承包人该价差，A 为负值时，由发包人从承包人承包价中扣回该价差。</w:t>
      </w:r>
    </w:p>
    <w:p w14:paraId="56384AF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B:实际采购供应价，该价格为实际支付给供应商（卖方）的价格，该价格按与供应商签定的采购供应合同（含补充合同/协议）确定。</w:t>
      </w:r>
    </w:p>
    <w:p w14:paraId="0417B3B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C:材料基准价格，由招标人在招标文件（或补遗书）中统一规定。</w:t>
      </w:r>
    </w:p>
    <w:p w14:paraId="1ED1C85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D:销售货物增值税税率。增值税税率应采用材料发票开具的税率。材料供应商根据结算价格提交增值税发票给承包人。</w:t>
      </w:r>
    </w:p>
    <w:p w14:paraId="135DA6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 承包人自行采购材料价差调整</w:t>
      </w:r>
    </w:p>
    <w:p w14:paraId="146AB9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16.1.2.2.1 工程范围</w:t>
      </w:r>
    </w:p>
    <w:p w14:paraId="00A07AA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14:paraId="779744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16.1.2.1.2 材料范围</w:t>
      </w:r>
    </w:p>
    <w:p w14:paraId="7F5B1E3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可调差主要材料范围如下：</w:t>
      </w:r>
    </w:p>
    <w:p w14:paraId="795975BC">
      <w:pPr>
        <w:pStyle w:val="61"/>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可调差材料一览表</w:t>
      </w:r>
    </w:p>
    <w:tbl>
      <w:tblPr>
        <w:tblStyle w:val="46"/>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14:paraId="1D5D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14:paraId="1C39714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22" w:type="dxa"/>
          </w:tcPr>
          <w:p w14:paraId="636B9FF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w:t>
            </w:r>
          </w:p>
        </w:tc>
        <w:tc>
          <w:tcPr>
            <w:tcW w:w="1222" w:type="dxa"/>
          </w:tcPr>
          <w:p w14:paraId="570711F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代号</w:t>
            </w:r>
          </w:p>
        </w:tc>
        <w:tc>
          <w:tcPr>
            <w:tcW w:w="1222" w:type="dxa"/>
          </w:tcPr>
          <w:p w14:paraId="7A28476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223" w:type="dxa"/>
          </w:tcPr>
          <w:p w14:paraId="0B83399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23" w:type="dxa"/>
          </w:tcPr>
          <w:p w14:paraId="18AD74A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w:t>
            </w:r>
          </w:p>
        </w:tc>
        <w:tc>
          <w:tcPr>
            <w:tcW w:w="1223" w:type="dxa"/>
          </w:tcPr>
          <w:p w14:paraId="6F05A2B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代号</w:t>
            </w:r>
          </w:p>
        </w:tc>
        <w:tc>
          <w:tcPr>
            <w:tcW w:w="1223" w:type="dxa"/>
          </w:tcPr>
          <w:p w14:paraId="1832D5C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r>
      <w:tr w14:paraId="4A9A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362A607C">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22" w:type="dxa"/>
          </w:tcPr>
          <w:p w14:paraId="317ABA4C">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22" w:type="dxa"/>
          </w:tcPr>
          <w:p w14:paraId="7830E205">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22" w:type="dxa"/>
          </w:tcPr>
          <w:p w14:paraId="04464933">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223" w:type="dxa"/>
          </w:tcPr>
          <w:p w14:paraId="20F09078">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23" w:type="dxa"/>
          </w:tcPr>
          <w:p w14:paraId="55C0A14C">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23" w:type="dxa"/>
          </w:tcPr>
          <w:p w14:paraId="1324A94E">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23" w:type="dxa"/>
          </w:tcPr>
          <w:p w14:paraId="09EA8EA1">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r>
      <w:tr w14:paraId="45FB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07EE8904">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p>
        </w:tc>
        <w:tc>
          <w:tcPr>
            <w:tcW w:w="1222" w:type="dxa"/>
          </w:tcPr>
          <w:p w14:paraId="108C549C">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钢材</w:t>
            </w:r>
          </w:p>
        </w:tc>
        <w:tc>
          <w:tcPr>
            <w:tcW w:w="1222" w:type="dxa"/>
          </w:tcPr>
          <w:p w14:paraId="39A35B68">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635508AA">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77D11045">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p>
        </w:tc>
        <w:tc>
          <w:tcPr>
            <w:tcW w:w="1223" w:type="dxa"/>
          </w:tcPr>
          <w:p w14:paraId="2C4AFA89">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水泥</w:t>
            </w:r>
          </w:p>
        </w:tc>
        <w:tc>
          <w:tcPr>
            <w:tcW w:w="1223" w:type="dxa"/>
          </w:tcPr>
          <w:p w14:paraId="77FD2BF8">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2F128B9C">
            <w:pPr>
              <w:pStyle w:val="61"/>
              <w:jc w:val="center"/>
              <w:rPr>
                <w:rFonts w:ascii="宋体" w:hAnsi="宋体" w:cs="宋体"/>
                <w:color w:val="000000" w:themeColor="text1"/>
                <w:szCs w:val="21"/>
                <w:highlight w:val="none"/>
                <w14:textFill>
                  <w14:solidFill>
                    <w14:schemeClr w14:val="tx1"/>
                  </w14:solidFill>
                </w14:textFill>
              </w:rPr>
            </w:pPr>
          </w:p>
        </w:tc>
      </w:tr>
      <w:tr w14:paraId="07B4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33BAEFFB">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FA95D03">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27FA20D7">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7CE3227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B6E6901">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331F1FE7">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664556B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C6E7ECC">
            <w:pPr>
              <w:pStyle w:val="61"/>
              <w:jc w:val="center"/>
              <w:rPr>
                <w:rFonts w:ascii="宋体" w:hAnsi="宋体" w:cs="宋体"/>
                <w:color w:val="000000" w:themeColor="text1"/>
                <w:szCs w:val="21"/>
                <w:highlight w:val="none"/>
                <w14:textFill>
                  <w14:solidFill>
                    <w14:schemeClr w14:val="tx1"/>
                  </w14:solidFill>
                </w14:textFill>
              </w:rPr>
            </w:pPr>
          </w:p>
        </w:tc>
      </w:tr>
      <w:tr w14:paraId="130C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5346535">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68063D8">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7497F4BC">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F9EA43F">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4FA19E43">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446F691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83D979D">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9FFC64A">
            <w:pPr>
              <w:pStyle w:val="61"/>
              <w:jc w:val="center"/>
              <w:rPr>
                <w:rFonts w:ascii="宋体" w:hAnsi="宋体" w:cs="宋体"/>
                <w:color w:val="000000" w:themeColor="text1"/>
                <w:szCs w:val="21"/>
                <w:highlight w:val="none"/>
                <w14:textFill>
                  <w14:solidFill>
                    <w14:schemeClr w14:val="tx1"/>
                  </w14:solidFill>
                </w14:textFill>
              </w:rPr>
            </w:pPr>
          </w:p>
        </w:tc>
      </w:tr>
      <w:tr w14:paraId="7321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EF75354">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w:t>
            </w:r>
          </w:p>
        </w:tc>
        <w:tc>
          <w:tcPr>
            <w:tcW w:w="1222" w:type="dxa"/>
          </w:tcPr>
          <w:p w14:paraId="7F31AE2D">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砂石料</w:t>
            </w:r>
          </w:p>
        </w:tc>
        <w:tc>
          <w:tcPr>
            <w:tcW w:w="1222" w:type="dxa"/>
          </w:tcPr>
          <w:p w14:paraId="1807312D">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77878283">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6D0A7A27">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w:t>
            </w:r>
          </w:p>
        </w:tc>
        <w:tc>
          <w:tcPr>
            <w:tcW w:w="1223" w:type="dxa"/>
          </w:tcPr>
          <w:p w14:paraId="479A8FDF">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油料</w:t>
            </w:r>
          </w:p>
        </w:tc>
        <w:tc>
          <w:tcPr>
            <w:tcW w:w="1223" w:type="dxa"/>
          </w:tcPr>
          <w:p w14:paraId="3C99243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388439A">
            <w:pPr>
              <w:pStyle w:val="61"/>
              <w:jc w:val="center"/>
              <w:rPr>
                <w:rFonts w:ascii="宋体" w:hAnsi="宋体" w:cs="宋体"/>
                <w:color w:val="000000" w:themeColor="text1"/>
                <w:szCs w:val="21"/>
                <w:highlight w:val="none"/>
                <w14:textFill>
                  <w14:solidFill>
                    <w14:schemeClr w14:val="tx1"/>
                  </w14:solidFill>
                </w14:textFill>
              </w:rPr>
            </w:pPr>
          </w:p>
        </w:tc>
      </w:tr>
      <w:tr w14:paraId="2575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5B8631CC">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1036628D">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2AAC94CF">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0F01EE2F">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73BF1701">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F0142DA">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2A5629E">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672A9BF">
            <w:pPr>
              <w:pStyle w:val="61"/>
              <w:jc w:val="center"/>
              <w:rPr>
                <w:rFonts w:ascii="宋体" w:hAnsi="宋体" w:cs="宋体"/>
                <w:color w:val="000000" w:themeColor="text1"/>
                <w:szCs w:val="21"/>
                <w:highlight w:val="none"/>
                <w14:textFill>
                  <w14:solidFill>
                    <w14:schemeClr w14:val="tx1"/>
                  </w14:solidFill>
                </w14:textFill>
              </w:rPr>
            </w:pPr>
          </w:p>
        </w:tc>
      </w:tr>
      <w:tr w14:paraId="1A62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25FC42A7">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284E3581">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1F4CBFF4">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3837080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4B82FB71">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0B6D37C">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755A344D">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03D05E0">
            <w:pPr>
              <w:pStyle w:val="61"/>
              <w:jc w:val="center"/>
              <w:rPr>
                <w:rFonts w:ascii="宋体" w:hAnsi="宋体" w:cs="宋体"/>
                <w:color w:val="000000" w:themeColor="text1"/>
                <w:szCs w:val="21"/>
                <w:highlight w:val="none"/>
                <w14:textFill>
                  <w14:solidFill>
                    <w14:schemeClr w14:val="tx1"/>
                  </w14:solidFill>
                </w14:textFill>
              </w:rPr>
            </w:pPr>
          </w:p>
        </w:tc>
      </w:tr>
      <w:tr w14:paraId="5E1D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8A0BBAD">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w:t>
            </w:r>
          </w:p>
        </w:tc>
        <w:tc>
          <w:tcPr>
            <w:tcW w:w="1222" w:type="dxa"/>
          </w:tcPr>
          <w:p w14:paraId="62150F05">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1222" w:type="dxa"/>
          </w:tcPr>
          <w:p w14:paraId="14EBF54A">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194A90C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74B86C1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33EC83A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258B39ED">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FC6EF94">
            <w:pPr>
              <w:pStyle w:val="61"/>
              <w:jc w:val="center"/>
              <w:rPr>
                <w:rFonts w:ascii="宋体" w:hAnsi="宋体" w:cs="宋体"/>
                <w:color w:val="000000" w:themeColor="text1"/>
                <w:szCs w:val="21"/>
                <w:highlight w:val="none"/>
                <w14:textFill>
                  <w14:solidFill>
                    <w14:schemeClr w14:val="tx1"/>
                  </w14:solidFill>
                </w14:textFill>
              </w:rPr>
            </w:pPr>
          </w:p>
        </w:tc>
      </w:tr>
      <w:tr w14:paraId="07FE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14:paraId="7B454792">
            <w:pPr>
              <w:pStyle w:val="61"/>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14:paraId="0A37D974">
            <w:pPr>
              <w:pStyle w:val="61"/>
              <w:spacing w:line="360" w:lineRule="auto"/>
              <w:ind w:firstLine="630"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2.表中材料代号按交通运输部颁布的《公路工程预算定额》（JTG/T3832-2018）编制。</w:t>
            </w:r>
          </w:p>
        </w:tc>
      </w:tr>
    </w:tbl>
    <w:p w14:paraId="1D848F28">
      <w:pPr>
        <w:pStyle w:val="61"/>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14:paraId="5BEDF5D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16.1.2.2.3风险幅度（r）</w:t>
      </w:r>
    </w:p>
    <w:p w14:paraId="14CEDF8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风险幅度是指交通建设项目合同双方各自应承担的材料价格涨跌风险比例大小。风险幅度范围内的价差应作为建设单位（项目法人）、承包人的风险，不予调差。各类材料幅度系数如下：</w:t>
      </w:r>
    </w:p>
    <w:p w14:paraId="78C4B6A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砂石料，r＝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%；(幅度系数范围为（-5～+5）%)</w:t>
      </w:r>
    </w:p>
    <w:p w14:paraId="12D4489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水泥、半成品，r＝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%；(幅度系数范围为（-4～+4）%)</w:t>
      </w:r>
    </w:p>
    <w:p w14:paraId="230B5E8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钢材、油料及其他，r＝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%；(幅度系数范围为（-3～+3）%)</w:t>
      </w:r>
    </w:p>
    <w:p w14:paraId="46C19A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16.1.2.2.4计算方法</w:t>
      </w:r>
    </w:p>
    <w:p w14:paraId="6DFAA77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ΔC=（ΔP-Po×r）×Q×（1+D），其中：</w:t>
      </w:r>
    </w:p>
    <w:p w14:paraId="7E03F49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｜ΔP｜＞｜Po×r｜ ΔP＝Pi（i=1,…,n）－Po，i指计量申报时间。</w:t>
      </w:r>
    </w:p>
    <w:p w14:paraId="2E0F917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p>
    <w:p w14:paraId="6060870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ΔC—价差调整费用，系按调价周期计算的当次费用。</w:t>
      </w:r>
    </w:p>
    <w:p w14:paraId="32DFB6C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ΔP—材料价格差。</w:t>
      </w:r>
    </w:p>
    <w:p w14:paraId="288DF04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Po—基准价（不含税），指建设单位（项目法人）确定最高投标限价时所采用的交通建设项目所在地地级市及以上工程造价专业机构发布的</w:t>
      </w:r>
      <w:r>
        <w:rPr>
          <w:rFonts w:hint="eastAsia" w:ascii="宋体" w:hAnsi="宋体" w:cs="宋体"/>
          <w:color w:val="000000" w:themeColor="text1"/>
          <w:sz w:val="24"/>
          <w:highlight w:val="none"/>
          <w:u w:val="single"/>
          <w14:textFill>
            <w14:solidFill>
              <w14:schemeClr w14:val="tx1"/>
            </w14:solidFill>
          </w14:textFill>
        </w:rPr>
        <w:t xml:space="preserve">   年  月（或季度）</w:t>
      </w:r>
      <w:r>
        <w:rPr>
          <w:rFonts w:hint="eastAsia" w:ascii="宋体" w:hAnsi="宋体" w:cs="宋体"/>
          <w:color w:val="000000" w:themeColor="text1"/>
          <w:sz w:val="24"/>
          <w:highlight w:val="none"/>
          <w14:textFill>
            <w14:solidFill>
              <w14:schemeClr w14:val="tx1"/>
            </w14:solidFill>
          </w14:textFill>
        </w:rPr>
        <w:t>信息价，如项目或合同段跨两个以上地级市的，按权重取平均值计算。</w:t>
      </w:r>
    </w:p>
    <w:p w14:paraId="3BA8634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Pi—信息价（不含税），指采购材料时交通建设项目所在地级市及以上工程造价专业机构发布的上季（月）度信息价，如项目或合同段跨两个以上地级市的，按权重取平均值计算。</w:t>
      </w:r>
    </w:p>
    <w:p w14:paraId="404E42C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14:paraId="384B009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r—风险幅度系数。当ΔP&gt;0时，r为正值，当ΔP&lt;0 时，r为负值。</w:t>
      </w:r>
    </w:p>
    <w:p w14:paraId="1F20B6D4">
      <w:pPr>
        <w:pStyle w:val="61"/>
        <w:spacing w:line="269" w:lineRule="auto"/>
        <w:ind w:firstLine="480" w:firstLineChars="200"/>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调价材料单位用量指标表</w:t>
      </w:r>
    </w:p>
    <w:tbl>
      <w:tblPr>
        <w:tblStyle w:val="45"/>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14:paraId="47E2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0FBDED2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调价的材料名称</w:t>
            </w:r>
          </w:p>
        </w:tc>
        <w:tc>
          <w:tcPr>
            <w:tcW w:w="2271" w:type="dxa"/>
            <w:vAlign w:val="center"/>
          </w:tcPr>
          <w:p w14:paraId="462CC567">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调价的清单</w:t>
            </w:r>
          </w:p>
          <w:p w14:paraId="16967EB3">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子目编号</w:t>
            </w:r>
          </w:p>
        </w:tc>
        <w:tc>
          <w:tcPr>
            <w:tcW w:w="2172" w:type="dxa"/>
            <w:vAlign w:val="center"/>
          </w:tcPr>
          <w:p w14:paraId="0A1619C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调价的项目名称</w:t>
            </w:r>
          </w:p>
        </w:tc>
        <w:tc>
          <w:tcPr>
            <w:tcW w:w="3273" w:type="dxa"/>
            <w:vAlign w:val="center"/>
          </w:tcPr>
          <w:p w14:paraId="320F8B8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计算调价材料数量的单位</w:t>
            </w:r>
          </w:p>
          <w:p w14:paraId="4AF1A34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用量指标</w:t>
            </w:r>
          </w:p>
        </w:tc>
      </w:tr>
      <w:tr w14:paraId="1990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2A2B4E8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碎石</w:t>
            </w:r>
          </w:p>
        </w:tc>
        <w:tc>
          <w:tcPr>
            <w:tcW w:w="2271" w:type="dxa"/>
            <w:vAlign w:val="center"/>
          </w:tcPr>
          <w:p w14:paraId="4B684D4E">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14:paraId="77B0E563">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14:paraId="29CFC379">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w:t>
            </w:r>
            <w:r>
              <w:rPr>
                <w:rFonts w:hint="eastAsia" w:ascii="宋体" w:hAnsi="宋体" w:cs="宋体"/>
                <w:color w:val="000000" w:themeColor="text1"/>
                <w:sz w:val="22"/>
                <w:szCs w:val="20"/>
                <w:highlight w:val="none"/>
                <w14:textFill>
                  <w14:solidFill>
                    <w14:schemeClr w14:val="tx1"/>
                  </w14:solidFill>
                </w14:textFill>
              </w:rPr>
              <w:t>m³/m³</w:t>
            </w:r>
          </w:p>
        </w:tc>
      </w:tr>
      <w:tr w14:paraId="6DDF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77E49D5F">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砂</w:t>
            </w:r>
          </w:p>
        </w:tc>
        <w:tc>
          <w:tcPr>
            <w:tcW w:w="2271" w:type="dxa"/>
            <w:vAlign w:val="center"/>
          </w:tcPr>
          <w:p w14:paraId="7BDB506C">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14:paraId="6745679E">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14:paraId="1838F7E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w:t>
            </w:r>
            <w:r>
              <w:rPr>
                <w:rFonts w:hint="eastAsia" w:ascii="宋体" w:hAnsi="宋体" w:cs="宋体"/>
                <w:color w:val="000000" w:themeColor="text1"/>
                <w:sz w:val="22"/>
                <w:szCs w:val="20"/>
                <w:highlight w:val="none"/>
                <w14:textFill>
                  <w14:solidFill>
                    <w14:schemeClr w14:val="tx1"/>
                  </w14:solidFill>
                </w14:textFill>
              </w:rPr>
              <w:t>m³/m³</w:t>
            </w:r>
          </w:p>
        </w:tc>
      </w:tr>
      <w:tr w14:paraId="51D4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7158D2E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水泥</w:t>
            </w:r>
          </w:p>
        </w:tc>
        <w:tc>
          <w:tcPr>
            <w:tcW w:w="2271" w:type="dxa"/>
            <w:vAlign w:val="center"/>
          </w:tcPr>
          <w:p w14:paraId="6AB4DA97">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清单的200-900章中所有含轻质土、水泥稳定层、水泥混凝土的清单子目</w:t>
            </w:r>
          </w:p>
        </w:tc>
        <w:tc>
          <w:tcPr>
            <w:tcW w:w="2172" w:type="dxa"/>
            <w:vAlign w:val="center"/>
          </w:tcPr>
          <w:p w14:paraId="676D94D3">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轻质土、水泥稳定层、水泥混凝土中的水泥</w:t>
            </w:r>
          </w:p>
        </w:tc>
        <w:tc>
          <w:tcPr>
            <w:tcW w:w="3273" w:type="dxa"/>
            <w:vAlign w:val="center"/>
          </w:tcPr>
          <w:p w14:paraId="460E9DBE">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1、轻质土：按批准的施工配合比计算水泥用量。</w:t>
            </w:r>
          </w:p>
          <w:p w14:paraId="033B199B">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2、水泥稳定层：按批准的施工配合比计算水泥用量。</w:t>
            </w:r>
          </w:p>
          <w:p w14:paraId="1116ADD4">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3、桥梁桩基础混凝土（按m计量的须换算为m³）：</w:t>
            </w: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（不分混凝土标号)</w:t>
            </w:r>
          </w:p>
          <w:p w14:paraId="08306CF1">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4、其他实体工程混凝土：</w:t>
            </w:r>
          </w:p>
          <w:p w14:paraId="6DA0C7B8">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（C20及以下）</w:t>
            </w:r>
          </w:p>
          <w:p w14:paraId="5EAA32FB">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（C25、C30、C35）</w:t>
            </w:r>
          </w:p>
          <w:p w14:paraId="53F3A30A">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（C40）</w:t>
            </w:r>
          </w:p>
          <w:p w14:paraId="2E0B6F15">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（C50及以上）</w:t>
            </w:r>
          </w:p>
        </w:tc>
      </w:tr>
      <w:tr w14:paraId="6FA8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950D4D6">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2271" w:type="dxa"/>
            <w:vAlign w:val="center"/>
          </w:tcPr>
          <w:p w14:paraId="2BDC4C6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实体工程中所有钢筋的清单子目</w:t>
            </w:r>
          </w:p>
        </w:tc>
        <w:tc>
          <w:tcPr>
            <w:tcW w:w="2172" w:type="dxa"/>
            <w:vAlign w:val="center"/>
          </w:tcPr>
          <w:p w14:paraId="662A8010">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3273" w:type="dxa"/>
            <w:vAlign w:val="center"/>
          </w:tcPr>
          <w:p w14:paraId="35C12E39">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w:t>
            </w:r>
            <w:r>
              <w:rPr>
                <w:rFonts w:hint="eastAsia" w:ascii="宋体" w:hAnsi="宋体" w:cs="宋体"/>
                <w:color w:val="000000" w:themeColor="text1"/>
                <w:sz w:val="22"/>
                <w:szCs w:val="20"/>
                <w:highlight w:val="none"/>
                <w14:textFill>
                  <w14:solidFill>
                    <w14:schemeClr w14:val="tx1"/>
                  </w14:solidFill>
                </w14:textFill>
              </w:rPr>
              <w:t>/t（各钢筋清单子目取此同一单位用量）</w:t>
            </w:r>
          </w:p>
        </w:tc>
      </w:tr>
      <w:tr w14:paraId="7BD4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7A842435">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2271" w:type="dxa"/>
            <w:vAlign w:val="center"/>
          </w:tcPr>
          <w:p w14:paraId="14E1BB7D">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实体工程中所有钢绞线的清单子目</w:t>
            </w:r>
          </w:p>
        </w:tc>
        <w:tc>
          <w:tcPr>
            <w:tcW w:w="2172" w:type="dxa"/>
            <w:vAlign w:val="center"/>
          </w:tcPr>
          <w:p w14:paraId="2F668545">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3273" w:type="dxa"/>
            <w:vAlign w:val="center"/>
          </w:tcPr>
          <w:p w14:paraId="3C9E08CF">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w:t>
            </w:r>
            <w:r>
              <w:rPr>
                <w:rFonts w:hint="eastAsia" w:ascii="宋体" w:hAnsi="宋体" w:cs="宋体"/>
                <w:color w:val="000000" w:themeColor="text1"/>
                <w:sz w:val="22"/>
                <w:szCs w:val="20"/>
                <w:highlight w:val="none"/>
                <w14:textFill>
                  <w14:solidFill>
                    <w14:schemeClr w14:val="tx1"/>
                  </w14:solidFill>
                </w14:textFill>
              </w:rPr>
              <w:t>/t（各钢绞线清单子目取此同一单位用量）</w:t>
            </w:r>
          </w:p>
        </w:tc>
      </w:tr>
      <w:tr w14:paraId="5923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194D451">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2271" w:type="dxa"/>
            <w:vAlign w:val="center"/>
          </w:tcPr>
          <w:p w14:paraId="2C30A89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实体工程中所有含沥青的清单子目</w:t>
            </w:r>
          </w:p>
        </w:tc>
        <w:tc>
          <w:tcPr>
            <w:tcW w:w="2172" w:type="dxa"/>
            <w:vAlign w:val="center"/>
          </w:tcPr>
          <w:p w14:paraId="695EC64E">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3273" w:type="dxa"/>
            <w:vAlign w:val="center"/>
          </w:tcPr>
          <w:p w14:paraId="565C1EAF">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按批准的施工配合比计算沥青用量</w:t>
            </w:r>
          </w:p>
        </w:tc>
      </w:tr>
      <w:tr w14:paraId="3B32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EFFBD7C">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柴油</w:t>
            </w:r>
          </w:p>
        </w:tc>
        <w:tc>
          <w:tcPr>
            <w:tcW w:w="2271" w:type="dxa"/>
            <w:vAlign w:val="center"/>
          </w:tcPr>
          <w:p w14:paraId="4BE0E74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14:paraId="03A73410">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14:paraId="013A1E56">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kg/m³</w:t>
            </w:r>
          </w:p>
        </w:tc>
      </w:tr>
      <w:tr w14:paraId="23C5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63843D91">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w:t>
            </w:r>
          </w:p>
          <w:p w14:paraId="7526EB4A">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管桩</w:t>
            </w:r>
          </w:p>
        </w:tc>
        <w:tc>
          <w:tcPr>
            <w:tcW w:w="2271" w:type="dxa"/>
            <w:vAlign w:val="center"/>
          </w:tcPr>
          <w:p w14:paraId="5EAE47A4">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实体工程中所有混凝土管桩的清单子目</w:t>
            </w:r>
          </w:p>
        </w:tc>
        <w:tc>
          <w:tcPr>
            <w:tcW w:w="2172" w:type="dxa"/>
            <w:vAlign w:val="center"/>
          </w:tcPr>
          <w:p w14:paraId="2641279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混凝土管桩</w:t>
            </w:r>
          </w:p>
        </w:tc>
        <w:tc>
          <w:tcPr>
            <w:tcW w:w="3273" w:type="dxa"/>
            <w:vAlign w:val="center"/>
          </w:tcPr>
          <w:p w14:paraId="79B0DD1C">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m/m</w:t>
            </w:r>
          </w:p>
        </w:tc>
      </w:tr>
      <w:tr w14:paraId="2B07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636A100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w:t>
            </w:r>
          </w:p>
        </w:tc>
        <w:tc>
          <w:tcPr>
            <w:tcW w:w="2271" w:type="dxa"/>
            <w:vAlign w:val="center"/>
          </w:tcPr>
          <w:p w14:paraId="04E97FF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c>
          <w:tcPr>
            <w:tcW w:w="2172" w:type="dxa"/>
            <w:vAlign w:val="center"/>
          </w:tcPr>
          <w:p w14:paraId="2813427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c>
          <w:tcPr>
            <w:tcW w:w="3273" w:type="dxa"/>
            <w:vAlign w:val="center"/>
          </w:tcPr>
          <w:p w14:paraId="26A8553E">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r>
    </w:tbl>
    <w:p w14:paraId="32E3F29D">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1.石料单位用量指标中单位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m³/m³代表每计量1立方米实体工程消耗的石料堆方数量为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立方米；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kg/m³代表每计量1立方米实体工程消耗的重量为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公斤。其余以此类推。</w:t>
      </w:r>
    </w:p>
    <w:p w14:paraId="773E60B2">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14:paraId="3C3A2D8D">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14:paraId="37639031">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4.沥青视采用的品种，按照定额材料代号3001001020号“国产沥青”或3001001021号“进口石油沥青”、3001002010号“国产改性沥青”或3001002011号“进口改性沥青”的价格进行调整。</w:t>
      </w:r>
    </w:p>
    <w:p w14:paraId="77945B5E">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5.沥青混合料及改性沥青混合料拌合消耗的燃油、天然气统一按定额材料代号3003001 号“重油”价格进行调整。</w:t>
      </w:r>
    </w:p>
    <w:p w14:paraId="5CF3BCF1">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6.混凝土管桩仅按成品信息价格进行调差。</w:t>
      </w:r>
    </w:p>
    <w:p w14:paraId="22D1B320">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7.表中的单位用量指标，发包人应参照《公路工程预算定额》的定额消耗量确定。</w:t>
      </w:r>
    </w:p>
    <w:p w14:paraId="3E51001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实际采购价格法</w:t>
      </w:r>
    </w:p>
    <w:p w14:paraId="4A83B09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ΔC=（ΔP-Po×r）×Q，其中｜ΔP｜＞｜Po×r｜ ΔP＝Pa－Po，式中：ΔC、ΔP、Q、r同16.1.2款。</w:t>
      </w:r>
    </w:p>
    <w:p w14:paraId="2DC378A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Po—基准价，指项目招标时，建设单位（项目法人）确定最高投标限价时采用的材料单价。建设单位（项目法人）应在招标文件中明确基准价（Po）的价格。</w:t>
      </w:r>
    </w:p>
    <w:p w14:paraId="44CB200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Pa—采购价，经建设单位（项目法人）、监理核实的， 有相应的合法支撑依据的实际采购材料价格</w:t>
      </w:r>
    </w:p>
    <w:p w14:paraId="4507FB1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①，分批采购时按权重取平均值计算。</w:t>
      </w:r>
    </w:p>
    <w:p w14:paraId="65335DF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采用实际采购价格法调整材料价差的其他约定，同16.1.2.2目。</w:t>
      </w:r>
    </w:p>
    <w:p w14:paraId="7F7171B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16.1.4砂石料运输费用调整</w:t>
      </w:r>
    </w:p>
    <w:p w14:paraId="6F11FC0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合同工程量清单中的沥青混凝土路面上面层用的砂石料（砂石料指碎石及同母材的机制砂）材料单价包含了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公里运输费用（其中：水路运输 Y 公里，公路运输 Z 公里），如实际运输方式和运输距离与清单预算不一致时，运输费用按如下原则进行调整：</w:t>
      </w:r>
    </w:p>
    <w:p w14:paraId="7FF0FE3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1、本项目实际运距指单个沥青拌和场至单个石场的运输距离，运输距离及砂石料用量以承包人、监理人、发包人三方确定为准；</w:t>
      </w:r>
    </w:p>
    <w:p w14:paraId="3F7F953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2、从不同石场采购的砂石料按各自的实际运距计算调整费用，公路运输单价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元/m³·km，水运单价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元/m³·km，调整运输费用=（（水路运输实际运距-Y-A）×</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+（公路运输实际运距-Z-B）×</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）×砂石料运输数量，正数为发包人向承包人支付调差（承包人应向发包人提供等额的完税发票），负数为发包人向承包人扣回调差（从应付工程款中扣除）。其中：</w:t>
      </w:r>
    </w:p>
    <w:p w14:paraId="2108A14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(1)当水路运输实际运距在（Y-k）～（Y+k）公里之间（含界值）时，水路运输费用不作调整；小于（Y-k）公里时，A=-k；大于（Y+k）公里时，A=k；</w:t>
      </w:r>
    </w:p>
    <w:p w14:paraId="0C74F69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(2)当公路运输实际运距在（Z-k）～（Z+k）公里之间（含界值）时，公路运输费用不作调整；小于（Z-k）公里时，B=-k；大于（Z+k）公里时，B=k；</w:t>
      </w:r>
    </w:p>
    <w:p w14:paraId="086B38B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(3)运输运距以公里为单位，运输数量以m³为单位；k一般取值30。</w:t>
      </w:r>
    </w:p>
    <w:p w14:paraId="2C4EC36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(4)采用铁路运输，铁路运输单价及运输费用调整同水路运输；</w:t>
      </w:r>
    </w:p>
    <w:p w14:paraId="5414A1E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(5)可补偿的实际运距费用按其对应数量计算最多不超过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w:t>
      </w:r>
    </w:p>
    <w:p w14:paraId="56EA264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3、按以上原则计算的调整费用为包干费用，不再考虑路桥费、装卸费、转运、仓储、管理费。</w:t>
      </w:r>
    </w:p>
    <w:p w14:paraId="1480CA3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16.1.5 税费增减</w:t>
      </w:r>
    </w:p>
    <w:p w14:paraId="758ACF4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由材料价差调整所产生的材料采购增值税增减额由发包人承担，其他税费由承包人承担。</w:t>
      </w:r>
    </w:p>
    <w:p w14:paraId="630F6A7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法律变化引起的价格调整</w:t>
      </w:r>
    </w:p>
    <w:p w14:paraId="66A00B0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6F6168C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14:paraId="7840341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14:paraId="1BF9DE0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14:paraId="74D96FC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16.3 款、第 16.4 款、第 16.5 款：</w:t>
      </w:r>
    </w:p>
    <w:p w14:paraId="0D83D3B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执行国家和行业标准</w:t>
      </w:r>
    </w:p>
    <w:p w14:paraId="2E597CA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除非发包人和监理人专门批准，如果本工程技术规范和图纸标准低于国家和行业标准，则应按国家和行业标准执行，承包人不能因此提出增加费用的要求和索赔。</w:t>
      </w:r>
    </w:p>
    <w:p w14:paraId="22D8885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工期拖期的价格调整</w:t>
      </w:r>
    </w:p>
    <w:p w14:paraId="2C4FE35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14:paraId="15E8C4A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16.5其他原因引起的价格调整</w:t>
      </w:r>
    </w:p>
    <w:p w14:paraId="7854639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16.5.1应急抢险工程</w:t>
      </w:r>
    </w:p>
    <w:p w14:paraId="576C765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14:paraId="6201976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16.5.2施工图设计和合同清单工程数量出现“差、错、漏、碰”的，经勘误后，按合同条款及计量支付规则约定的计量原则，作变更处理。</w:t>
      </w:r>
    </w:p>
    <w:p w14:paraId="3A1B26A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16.5.3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（其他可调整价格的情形）。</w:t>
      </w:r>
    </w:p>
    <w:p w14:paraId="4E45FD7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计量与支付</w:t>
      </w:r>
    </w:p>
    <w:p w14:paraId="221544A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计量</w:t>
      </w:r>
    </w:p>
    <w:p w14:paraId="619B1E8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14:paraId="033DAE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本项目工程量清单中要求承包人以“总额”方式报价的子目，各子目的支付原则和支付进度按本合同文件工程量清单计量规则中的规定执行。</w:t>
      </w:r>
    </w:p>
    <w:p w14:paraId="76885FF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17.1.6-17.1.8 项：</w:t>
      </w:r>
    </w:p>
    <w:p w14:paraId="2F14D45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17.1.6 变更工程的暂定计量和支付</w:t>
      </w:r>
    </w:p>
    <w:p w14:paraId="508E0A4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14:paraId="19DEE20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17.1.7 路面备料款的计量和支付</w:t>
      </w:r>
    </w:p>
    <w:p w14:paraId="21FFCC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发包人将对承包人的路面碎石、机制砂备料款进行暂定计量，具体操作办法如下：</w:t>
      </w:r>
    </w:p>
    <w:p w14:paraId="26EF39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（1）计量数量：以承包人实际进场并经监理人和发包人代表验收确认数量的项目专用合同条款数据表约定的比例计；</w:t>
      </w:r>
    </w:p>
    <w:p w14:paraId="74F7C83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（2）计量单价：本合同段招标最高投标限价清单预算采用的相应规格材料预算价</w:t>
      </w:r>
      <w:r>
        <w:rPr>
          <w:rFonts w:hint="eastAsia" w:ascii="宋体" w:hAnsi="宋体" w:cs="宋体"/>
          <w:color w:val="000000" w:themeColor="text1"/>
          <w:sz w:val="24"/>
          <w:highlight w:val="none"/>
          <w:u w:val="single"/>
          <w14:textFill>
            <w14:solidFill>
              <w14:schemeClr w14:val="tx1"/>
            </w14:solidFill>
          </w14:textFill>
        </w:rPr>
        <w:t>（含税/不含税）</w:t>
      </w:r>
      <w:r>
        <w:rPr>
          <w:rFonts w:hint="eastAsia" w:ascii="宋体" w:hAnsi="宋体" w:cs="宋体"/>
          <w:color w:val="000000" w:themeColor="text1"/>
          <w:sz w:val="24"/>
          <w:highlight w:val="none"/>
          <w14:textFill>
            <w14:solidFill>
              <w14:schemeClr w14:val="tx1"/>
            </w14:solidFill>
          </w14:textFill>
        </w:rPr>
        <w:t>；</w:t>
      </w:r>
    </w:p>
    <w:p w14:paraId="5048EC4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（3）计量方式：每月计量一次；</w:t>
      </w:r>
    </w:p>
    <w:p w14:paraId="7D89032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（4）暂定计量备料款的扣回：承包人所备的碎石、机制砂材料已用于路面施工并得到正常计量后，发包人将在计量当期扣回对应的暂定计量备料款。</w:t>
      </w:r>
    </w:p>
    <w:p w14:paraId="47FF1AD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17.1.8 过程结算的计量和支付</w:t>
      </w:r>
    </w:p>
    <w:p w14:paraId="14BB316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发包人制定过程结算制度并明确有关过程结算的计量支付规则，未按要求完成过程结算的费用项，最高支付金额不宜超过建设单位审核确认的 97%，过程结算完成后方可支付余下金额。完工结算率低于 30%的，在后续计量支付中可暂扣工程进度款一定比例，具体在过程结算条款中明确。</w:t>
      </w:r>
    </w:p>
    <w:p w14:paraId="7FE5F04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预付款</w:t>
      </w:r>
    </w:p>
    <w:p w14:paraId="05A22FF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14:paraId="54CF70D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本款补充第(3)目如下：</w:t>
      </w:r>
    </w:p>
    <w:p w14:paraId="51F9960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如有需要，发包人可根据实际情况制定更符合工程需要的预付款月扣款比例。</w:t>
      </w:r>
    </w:p>
    <w:p w14:paraId="1C7AA99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工程进度付款</w:t>
      </w:r>
    </w:p>
    <w:p w14:paraId="6A8DA4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14:paraId="4C35C1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06E500D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14:paraId="5AA3C99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 17.3.5 项细化如下:</w:t>
      </w:r>
    </w:p>
    <w:p w14:paraId="6288E34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 农民工工资保证金</w:t>
      </w:r>
    </w:p>
    <w:p w14:paraId="69E6DAA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按广东省交通运输厅转发人力资源社会保障部等部门《工程建设领域农民工工资保证金规定》的通知执行。</w:t>
      </w:r>
    </w:p>
    <w:p w14:paraId="1FB83A7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质量保证金</w:t>
      </w:r>
    </w:p>
    <w:p w14:paraId="70F78F1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17.4.2 项细化为：</w:t>
      </w:r>
    </w:p>
    <w:p w14:paraId="1682C9B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项目完成竣工决算审查备案和竣工决算审计，且发包人和承包人最终确定结算金额后 30天内，发包人退还剩余质量保证金的80%给承包人。通过竣工验收后30天内，发包人将质量保证金的余额一次性退还给承包人。若承包人在项目竣工验收时工程质量评分未达优良等级，发包人全额扣回承包人在施工过程中所获得的全部优质优价价款。</w:t>
      </w:r>
    </w:p>
    <w:p w14:paraId="75A624F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 最终结清</w:t>
      </w:r>
    </w:p>
    <w:p w14:paraId="3F6135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14:paraId="7BA001D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14:paraId="5E18F8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14:paraId="47B31FA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14:paraId="639C84B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14:paraId="4CCC5C8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交工验收</w:t>
      </w:r>
    </w:p>
    <w:p w14:paraId="1B7583B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验收</w:t>
      </w:r>
    </w:p>
    <w:p w14:paraId="6D3561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18.3.2 项补充：</w:t>
      </w:r>
    </w:p>
    <w:p w14:paraId="75F14E1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14:paraId="5138EE1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14:paraId="61CA9C2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18.9 竣工文件</w:t>
      </w:r>
    </w:p>
    <w:p w14:paraId="639B30F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在本款后增加以下内容：</w:t>
      </w:r>
    </w:p>
    <w:p w14:paraId="05C37D8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14:paraId="436231D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如有需要发包人有权指定单位或相关部门进行整个项目的竣工资料统一编制，承包人应予以积极配合，所发生费用由承包人承担。</w:t>
      </w:r>
    </w:p>
    <w:p w14:paraId="2556563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 缺陷责任与保修责任</w:t>
      </w:r>
    </w:p>
    <w:p w14:paraId="4F1DEA2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缺陷责任</w:t>
      </w:r>
    </w:p>
    <w:p w14:paraId="576EB84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19.2.2 项后增加以下内容：</w:t>
      </w:r>
    </w:p>
    <w:p w14:paraId="11A05B3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14:paraId="1A0E3AC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 保修责任</w:t>
      </w:r>
    </w:p>
    <w:p w14:paraId="53D4D42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19.7（1）目补充：</w:t>
      </w:r>
    </w:p>
    <w:p w14:paraId="1C4018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详见项目专用合同条款数据表中约定。</w:t>
      </w:r>
    </w:p>
    <w:p w14:paraId="6AEF299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保险</w:t>
      </w:r>
    </w:p>
    <w:p w14:paraId="276EA85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工程保险</w:t>
      </w:r>
    </w:p>
    <w:p w14:paraId="552CB61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20.1 款修改为：</w:t>
      </w:r>
    </w:p>
    <w:p w14:paraId="50335B1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建筑工程一切险及第三者责任险</w:t>
      </w:r>
    </w:p>
    <w:p w14:paraId="732F393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7DF4ED9">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w:t>
      </w:r>
      <w:r>
        <w:rPr>
          <w:rFonts w:hint="eastAsia" w:ascii="宋体" w:hAnsi="宋体" w:cs="宋体"/>
          <w:color w:val="000000" w:themeColor="text1"/>
          <w:sz w:val="24"/>
          <w:highlight w:val="none"/>
          <w:u w:val="single"/>
          <w14:textFill>
            <w14:solidFill>
              <w14:schemeClr w14:val="tx1"/>
            </w14:solidFill>
          </w14:textFill>
        </w:rPr>
        <w:t>工程量清单第 100 章至 900 章费用之和，扣除建筑工程一切险及第三者责任险的保险费、机电工程设备购置费。</w:t>
      </w:r>
    </w:p>
    <w:p w14:paraId="4496C9A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14:paraId="27125A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14:paraId="1FD636F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14:paraId="6DFCFCC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20.1.2 保险标的出险后，承包人应自行向保险人报案、登记、索赔并报告发包人，并做好资料整理、工程损失计算等。上述工作所产生的费用由承包人承担。</w:t>
      </w:r>
    </w:p>
    <w:p w14:paraId="104CE25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20.1.3 因保险事故产生的修复、索赔等责任由承包人承担。若承包人放弃索赔或因自身原因延误索赔，发包人保留索赔的权利，保险索赔所得费用归发包人所有。</w:t>
      </w:r>
    </w:p>
    <w:p w14:paraId="1BF1717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14:paraId="375EA85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76C9497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14:paraId="038D05C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 第三者责任险</w:t>
      </w:r>
    </w:p>
    <w:p w14:paraId="1C3FB7D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20.4.2 项补充：</w:t>
      </w:r>
    </w:p>
    <w:p w14:paraId="104C01D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第三者责任险的购买、报险、索赔等，参照第 20.1 款约定执行。</w:t>
      </w:r>
    </w:p>
    <w:p w14:paraId="03A362F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14:paraId="0769F5C3">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21.不可抗力</w:t>
      </w:r>
    </w:p>
    <w:p w14:paraId="3FF9E1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不可抗力的确认</w:t>
      </w:r>
    </w:p>
    <w:p w14:paraId="407DE8CC">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21.1.1 (6)不可抗力的其他情形： </w:t>
      </w:r>
      <w:r>
        <w:rPr>
          <w:rFonts w:hint="eastAsia" w:ascii="宋体" w:hAnsi="宋体" w:cs="宋体"/>
          <w:color w:val="000000" w:themeColor="text1"/>
          <w:sz w:val="24"/>
          <w:highlight w:val="none"/>
          <w:u w:val="single"/>
          <w14:textFill>
            <w14:solidFill>
              <w14:schemeClr w14:val="tx1"/>
            </w14:solidFill>
          </w14:textFill>
        </w:rPr>
        <w:t>详见项目专用合同条款数据表</w:t>
      </w:r>
    </w:p>
    <w:p w14:paraId="53F3293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不可抗力后果及其处理</w:t>
      </w:r>
    </w:p>
    <w:p w14:paraId="19A364D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14:paraId="7EAE49B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14:paraId="44C29050">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 违约</w:t>
      </w:r>
    </w:p>
    <w:p w14:paraId="19FD513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承包人违约</w:t>
      </w:r>
    </w:p>
    <w:p w14:paraId="22C3E15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22.1.1(4)目补充为：承包人未能按合同进度计划及时完成合同约定的工作，或未切实履行第 4.1.7 款的约定，导致发生工程阻工、停工，已造成或预期造成工期延误；</w:t>
      </w:r>
    </w:p>
    <w:p w14:paraId="0247228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14:paraId="3C5269D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将本款第(4)目修改如下：</w:t>
      </w:r>
    </w:p>
    <w:p w14:paraId="77F9176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14:paraId="687B296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在本款下增加第(5)～第(7)目如下：</w:t>
      </w:r>
    </w:p>
    <w:p w14:paraId="5545CFC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14:paraId="3ECFBE6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14:paraId="65BF51F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（7）本项目所有承包人的违约金均由业主掌握使用，可部分或全部用于本项目的各项评比和奖励。</w:t>
      </w:r>
    </w:p>
    <w:p w14:paraId="294CC57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发包人违约</w:t>
      </w:r>
    </w:p>
    <w:p w14:paraId="211D14A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2FEBC0B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如果发包人无合理的理由去阻挠或拒绝符合合同规定的付款证书颁发所需的批准，则可视为发包人违约。承包人有权终止合同，并在通知发包人和将通知副本提交监理人的 28 天后，合同终止生效。</w:t>
      </w:r>
    </w:p>
    <w:p w14:paraId="66BB13D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如果合同因发包人违约而终止，承包人可要求发包人支付以下费用：</w:t>
      </w:r>
    </w:p>
    <w:p w14:paraId="2F78DF4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(a)发包人需向承包人支付合同终止之日前已完成的全部工程费用。</w:t>
      </w:r>
    </w:p>
    <w:p w14:paraId="51109C8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(b)即将交付承包人的，或承包人依法有责任接收的为该工程合理订购的材料、工程设备或货物的费用，发包人一经支付此项费用，该材料、工程设备或货物即成为发包人的财产。</w:t>
      </w:r>
    </w:p>
    <w:p w14:paraId="083C9CE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(c)已合理开支的确定属于承包人为完成整个工程而合理发生的其他费用，而该费用未在本条款的其他各项下支付。</w:t>
      </w:r>
    </w:p>
    <w:p w14:paraId="587C573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(d)考虑已完工程的付款比例，给予适当人员、设备等的退场费。</w:t>
      </w:r>
    </w:p>
    <w:p w14:paraId="052C816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22.2.3 发包人除按本款规定支付上述费用给承包人外，亦有权要求承包人偿还按合同条款规定的或未结清的承包人欠发包人的各种款项。</w:t>
      </w:r>
    </w:p>
    <w:p w14:paraId="418AAC7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承包人（包括其分包人）出于追索本合同条款以外的利益，以有违社会规范的行为构成对发包人骚扰的，承包人须承担法律和经济责任。</w:t>
      </w:r>
    </w:p>
    <w:p w14:paraId="50A587EA">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增加第 25 条</w:t>
      </w:r>
    </w:p>
    <w:p w14:paraId="37969AE6">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25 本项目需增加的专用合同条款</w:t>
      </w:r>
    </w:p>
    <w:p w14:paraId="02633AE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 承包人退出机制</w:t>
      </w:r>
    </w:p>
    <w:p w14:paraId="5FCDF2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发包人对不能满足各阶段工作目标的承包人实行强制退出本项目建设的办法。</w:t>
      </w:r>
    </w:p>
    <w:p w14:paraId="5130BC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14:paraId="716266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25.1.1 部分退出</w:t>
      </w:r>
    </w:p>
    <w:p w14:paraId="211E4D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（1）人员退出：承包人的主要管理人员和技术骨干如不满足要求的，按 4.6.3 项的规定进行违约处理。</w:t>
      </w:r>
    </w:p>
    <w:p w14:paraId="67154C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（2）机械退出：机械设备达不到额定产能的 85 %者退出，并按监理人或发包人的要求及时组织性能良好的同类型的机械进驻施工现场。</w:t>
      </w:r>
    </w:p>
    <w:p w14:paraId="17E090A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（3）专业队伍退出：在施工过程中累计发生两次生产安全事故或两次较大质量问题者强制退出。</w:t>
      </w:r>
    </w:p>
    <w:p w14:paraId="2966B43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（4）工程进度达不到上述要求，承包人增加人员、设备仍达不到进度要求的，发包人有权对相应分项工程进行强制分割处理。</w:t>
      </w:r>
    </w:p>
    <w:p w14:paraId="69BBD0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25.1.2 整体退出</w:t>
      </w:r>
    </w:p>
    <w:p w14:paraId="05C8A20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（1）出现转包、非法分包；</w:t>
      </w:r>
    </w:p>
    <w:p w14:paraId="56841D8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（2）出现重大安全责任，造成严重社会影响；</w:t>
      </w:r>
    </w:p>
    <w:p w14:paraId="76D5729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（3）出现重大质量事故，严重影响工程质量和进度，造成严重社会影响；</w:t>
      </w:r>
    </w:p>
    <w:p w14:paraId="63E35E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（4）由承包人自身原因导致使上述计划任务无法完成的；</w:t>
      </w:r>
    </w:p>
    <w:p w14:paraId="2FE3110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整体退出的施工企业，发包人将建议交通主管部门降低其信用等级。</w:t>
      </w:r>
    </w:p>
    <w:p w14:paraId="71B4885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25.1.3 退出清算</w:t>
      </w:r>
    </w:p>
    <w:p w14:paraId="66365F1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（1）发包人对承包人整体退出本项目工程建设进行公示，并要求承包人对拖欠款项的单位和个人及时清算。</w:t>
      </w:r>
    </w:p>
    <w:p w14:paraId="2FE935E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（2）发包人扣押履约担保、质量保证金、停止计量支付。</w:t>
      </w:r>
    </w:p>
    <w:p w14:paraId="1EC62D8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（3）承包人必须向发包人提交已完成工程的齐全的施工资料。</w:t>
      </w:r>
    </w:p>
    <w:p w14:paraId="1CEA491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（4）清算后特殊分包单位的确定原则：</w:t>
      </w:r>
    </w:p>
    <w:p w14:paraId="6AD5F63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由发包人选择本项目实力较强、 质量进度评比排名靠前的承包单位或由发包人通过合法方式选择分包单位；</w:t>
      </w:r>
    </w:p>
    <w:p w14:paraId="61C1869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分包单位选择情况上报上级行政主管部门；</w:t>
      </w:r>
    </w:p>
    <w:p w14:paraId="35E9BA4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特殊分包单位应具备特殊分包工程相对应的资质要求。</w:t>
      </w:r>
    </w:p>
    <w:p w14:paraId="6C7DB00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（5）清算后费用承担：特殊分包范围内的项目，由于上述（4）确定的分包价与承包人合同价产生的价差由承包人承担。</w:t>
      </w:r>
    </w:p>
    <w:p w14:paraId="3395515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（6）承包人应无条件接受，指定特殊分包单位无须向承包人交纳管理费。</w:t>
      </w:r>
    </w:p>
    <w:p w14:paraId="202E8CD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但无论如何，承包人应按发包人要求提供已有的临时设施（如便道、电力线路等）供特殊分包人使用，承包人不得为此要求增加任何费用。</w:t>
      </w:r>
    </w:p>
    <w:p w14:paraId="271227D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工程管理要求</w:t>
      </w:r>
    </w:p>
    <w:p w14:paraId="15A4A69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14:paraId="444F2FD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 电子文件归档和电子档案管理：</w:t>
      </w:r>
    </w:p>
    <w:p w14:paraId="0783566B">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工程交工验收后，承包人需根据有关规定提供工程相关的电子档案，含关键工序、重点部位、隐蔽工程等影像资料等。</w:t>
      </w:r>
    </w:p>
    <w:p w14:paraId="4C58B75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25.4 过程结算</w:t>
      </w:r>
    </w:p>
    <w:p w14:paraId="57D3D30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14:paraId="5DB6361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14:paraId="5DC6D0A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2.发包人、承包人均应保障承担过程结算工作人员的配置和稳定, 做到过程结算和工程建设同步推进、应结尽结。</w:t>
      </w:r>
    </w:p>
    <w:p w14:paraId="48E596F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3.结算单元按合同约定完成并通过质量中间验收，原则上按项目专用合同条款数据表约定的时间完成过程结算文件的编制、审核、签认工作。</w:t>
      </w:r>
    </w:p>
    <w:p w14:paraId="008FD1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4.未按要求完成过程结算的费用项, 按项目专用合同条款数据表约定内容执行。</w:t>
      </w:r>
    </w:p>
    <w:p w14:paraId="40C2FE5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5.发包人、承包人签署认可的过程结算文件, 是最终结算文件和竣工决算文件的组成部分,具有法律效力, 最终结算时不需对已确认的过程结算重新办理确认。</w:t>
      </w:r>
    </w:p>
    <w:p w14:paraId="5A8CB7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25.5 合同结算</w:t>
      </w:r>
    </w:p>
    <w:p w14:paraId="7459EAB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本合同工程交工验收后，承包人应按《广东省交通运输厅关于印发广东省公路建设项目竣工决算实行备案制管理的通知》的具体要求完成结算工作，发包人可根据项目实际情况制定相应的奖罚措施。</w:t>
      </w:r>
    </w:p>
    <w:p w14:paraId="24A681C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为了按期完成工程竣工决算审查备案、审计及竣工验收工作，如发包人和承包人对结算确实存在分歧，经双方协商未果情况下，发包人有权进行合同单方结算，承包人须无条件接受。</w:t>
      </w:r>
    </w:p>
    <w:p w14:paraId="7E58C38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25.6 本合同未尽事宜</w:t>
      </w:r>
    </w:p>
    <w:p w14:paraId="6921D3A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14:paraId="283D1E0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发包人对项目实施动态管理，根据工程进展情况及项目目标实现情况，通过修正专用项目管理制度，不断建设完善项目管理责任体系，承包人须积极配合并无条件的接受。</w:t>
      </w:r>
    </w:p>
    <w:p w14:paraId="767261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93A36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971428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8F15B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C2F38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A465F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405678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br w:type="page"/>
      </w:r>
    </w:p>
    <w:bookmarkEnd w:id="1685"/>
    <w:bookmarkEnd w:id="1686"/>
    <w:p w14:paraId="039B07DF">
      <w:pPr>
        <w:pStyle w:val="4"/>
        <w:spacing w:after="120" w:line="240" w:lineRule="auto"/>
        <w:jc w:val="center"/>
        <w:rPr>
          <w:rFonts w:ascii="宋体" w:hAnsi="宋体"/>
          <w:color w:val="000000" w:themeColor="text1"/>
          <w:highlight w:val="none"/>
          <w14:textFill>
            <w14:solidFill>
              <w14:schemeClr w14:val="tx1"/>
            </w14:solidFill>
          </w14:textFill>
        </w:rPr>
      </w:pPr>
      <w:bookmarkStart w:id="1687" w:name="_Toc43476005"/>
      <w:bookmarkEnd w:id="1687"/>
      <w:r>
        <w:rPr>
          <w:rFonts w:ascii="宋体" w:hAnsi="宋体"/>
          <w:color w:val="000000" w:themeColor="text1"/>
          <w:highlight w:val="none"/>
          <w14:textFill>
            <w14:solidFill>
              <w14:schemeClr w14:val="tx1"/>
            </w14:solidFill>
          </w14:textFill>
        </w:rPr>
        <w:t>第三节合同附件格式</w:t>
      </w:r>
    </w:p>
    <w:p w14:paraId="4F58BD07">
      <w:pPr>
        <w:rPr>
          <w:rFonts w:ascii="宋体" w:hAnsi="宋体"/>
          <w:color w:val="000000" w:themeColor="text1"/>
          <w:sz w:val="24"/>
          <w:highlight w:val="none"/>
          <w14:textFill>
            <w14:solidFill>
              <w14:schemeClr w14:val="tx1"/>
            </w14:solidFill>
          </w14:textFill>
        </w:rPr>
      </w:pPr>
    </w:p>
    <w:p w14:paraId="7FE0BD58">
      <w:pPr>
        <w:pStyle w:val="78"/>
        <w:spacing w:line="360" w:lineRule="auto"/>
        <w:rPr>
          <w:rFonts w:ascii="宋体" w:hAnsi="宋体"/>
          <w:color w:val="000000" w:themeColor="text1"/>
          <w:sz w:val="24"/>
          <w:szCs w:val="24"/>
          <w:highlight w:val="none"/>
          <w14:textFill>
            <w14:solidFill>
              <w14:schemeClr w14:val="tx1"/>
            </w14:solidFill>
          </w14:textFill>
        </w:rPr>
      </w:pPr>
      <w:bookmarkStart w:id="1688" w:name="_Toc43476006"/>
      <w:bookmarkEnd w:id="1688"/>
      <w:bookmarkStart w:id="1689" w:name="_Toc4937"/>
      <w:bookmarkEnd w:id="1689"/>
      <w:r>
        <w:rPr>
          <w:rFonts w:ascii="宋体" w:hAnsi="宋体"/>
          <w:color w:val="000000" w:themeColor="text1"/>
          <w:sz w:val="24"/>
          <w:szCs w:val="24"/>
          <w:highlight w:val="none"/>
          <w14:textFill>
            <w14:solidFill>
              <w14:schemeClr w14:val="tx1"/>
            </w14:solidFill>
          </w14:textFill>
        </w:rPr>
        <w:t>附件一</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合同协议书</w:t>
      </w:r>
    </w:p>
    <w:p w14:paraId="0B031CD4">
      <w:pPr>
        <w:rPr>
          <w:rFonts w:ascii="宋体" w:hAnsi="宋体"/>
          <w:color w:val="000000" w:themeColor="text1"/>
          <w:sz w:val="24"/>
          <w:highlight w:val="none"/>
          <w14:textFill>
            <w14:solidFill>
              <w14:schemeClr w14:val="tx1"/>
            </w14:solidFill>
          </w14:textFill>
        </w:rPr>
      </w:pPr>
    </w:p>
    <w:p w14:paraId="3DDC3EFB">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合同协议书</w:t>
      </w:r>
    </w:p>
    <w:p w14:paraId="77ED648C">
      <w:pPr>
        <w:rPr>
          <w:rFonts w:ascii="宋体" w:hAnsi="宋体"/>
          <w:color w:val="000000" w:themeColor="text1"/>
          <w:sz w:val="24"/>
          <w:highlight w:val="none"/>
          <w14:textFill>
            <w14:solidFill>
              <w14:schemeClr w14:val="tx1"/>
            </w14:solidFill>
          </w14:textFill>
        </w:rPr>
      </w:pPr>
    </w:p>
    <w:p w14:paraId="0F5BE8F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（发包人名称，以下简称“发包人”）</w:t>
      </w:r>
      <w:r>
        <w:rPr>
          <w:rFonts w:ascii="宋体" w:hAnsi="宋体"/>
          <w:color w:val="000000" w:themeColor="text1"/>
          <w:sz w:val="24"/>
          <w:highlight w:val="none"/>
          <w14:textFill>
            <w14:solidFill>
              <w14:schemeClr w14:val="tx1"/>
            </w14:solidFill>
          </w14:textFill>
        </w:rPr>
        <w:t>为实施</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，已接受</w:t>
      </w:r>
      <w:r>
        <w:rPr>
          <w:rFonts w:ascii="宋体" w:hAnsi="宋体"/>
          <w:color w:val="000000" w:themeColor="text1"/>
          <w:sz w:val="24"/>
          <w:highlight w:val="none"/>
          <w:u w:val="single"/>
          <w14:textFill>
            <w14:solidFill>
              <w14:schemeClr w14:val="tx1"/>
            </w14:solidFill>
          </w14:textFill>
        </w:rPr>
        <w:t>（承包人名称，以下简称“承包人”）</w:t>
      </w:r>
      <w:r>
        <w:rPr>
          <w:rFonts w:ascii="宋体" w:hAnsi="宋体"/>
          <w:color w:val="000000" w:themeColor="text1"/>
          <w:sz w:val="24"/>
          <w:highlight w:val="none"/>
          <w14:textFill>
            <w14:solidFill>
              <w14:schemeClr w14:val="tx1"/>
            </w14:solidFill>
          </w14:textFill>
        </w:rPr>
        <w:t>对该项目标段施工的投标。发包人和承包人共同达成如下协议。</w:t>
      </w:r>
    </w:p>
    <w:p w14:paraId="04614B0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1.第标段由K+</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至K+</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，长约</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km，公路等级为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，设计时速为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路面，有立交</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处；特大桥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m；大中桥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m；隧道</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m以及其他构造物工程等。</w:t>
      </w:r>
    </w:p>
    <w:p w14:paraId="0946AF8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下列文件应视为构成合同文件的组成部分</w:t>
      </w:r>
      <w:r>
        <w:rPr>
          <w:rFonts w:ascii="宋体" w:hAnsi="宋体"/>
          <w:color w:val="000000" w:themeColor="text1"/>
          <w:sz w:val="24"/>
          <w:highlight w:val="none"/>
          <w14:textFill>
            <w14:solidFill>
              <w14:schemeClr w14:val="tx1"/>
            </w14:solidFill>
          </w14:textFill>
        </w:rPr>
        <w:t>：</w:t>
      </w:r>
    </w:p>
    <w:p w14:paraId="4AD179F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（1）本协议书及各种合同附件（含评标期间和合同谈判过程中的澄清文件和补充资料）；</w:t>
      </w:r>
    </w:p>
    <w:p w14:paraId="56EAC6B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（2）中标通知书；</w:t>
      </w:r>
    </w:p>
    <w:p w14:paraId="74FCE66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（3）投标函及投标函附录；</w:t>
      </w:r>
    </w:p>
    <w:p w14:paraId="76D06C8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（4）项目专用合同条款；</w:t>
      </w:r>
    </w:p>
    <w:p w14:paraId="7F7A381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（5）公路工程专用合同条款；</w:t>
      </w:r>
    </w:p>
    <w:p w14:paraId="131B7E8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（6）通用合同条款；</w:t>
      </w:r>
    </w:p>
    <w:p w14:paraId="049B5C8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（7）工程量清单计量规则；</w:t>
      </w:r>
    </w:p>
    <w:p w14:paraId="62D84F3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（8）技术规范；</w:t>
      </w:r>
    </w:p>
    <w:p w14:paraId="04C19D3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（9）图纸；</w:t>
      </w:r>
    </w:p>
    <w:p w14:paraId="133B7B7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（10）已标价工程量清单；</w:t>
      </w:r>
    </w:p>
    <w:p w14:paraId="4006F0A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（11）承包人有关人员、设备投入的承诺及投标文件中的施工组织设计；</w:t>
      </w:r>
    </w:p>
    <w:p w14:paraId="26F4DED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（12）其他合同文件。</w:t>
      </w:r>
    </w:p>
    <w:p w14:paraId="4D7823A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w:t>
      </w:r>
      <w:r>
        <w:rPr>
          <w:rFonts w:hint="eastAsia" w:ascii="宋体" w:hAnsi="宋体"/>
          <w:color w:val="000000" w:themeColor="text1"/>
          <w:sz w:val="24"/>
          <w:highlight w:val="none"/>
          <w14:textFill>
            <w14:solidFill>
              <w14:schemeClr w14:val="tx1"/>
            </w14:solidFill>
          </w14:textFill>
        </w:rPr>
        <w:t>合同</w:t>
      </w:r>
      <w:r>
        <w:rPr>
          <w:rFonts w:ascii="宋体" w:hAnsi="宋体"/>
          <w:color w:val="000000" w:themeColor="text1"/>
          <w:sz w:val="24"/>
          <w:highlight w:val="none"/>
          <w14:textFill>
            <w14:solidFill>
              <w14:schemeClr w14:val="tx1"/>
            </w14:solidFill>
          </w14:textFill>
        </w:rPr>
        <w:t>文件互相补充和解释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合同文件之间存在矛盾</w:t>
      </w:r>
      <w:r>
        <w:rPr>
          <w:rFonts w:ascii="宋体" w:hAnsi="宋体"/>
          <w:color w:val="000000" w:themeColor="text1"/>
          <w:sz w:val="24"/>
          <w:highlight w:val="none"/>
          <w14:textFill>
            <w14:solidFill>
              <w14:schemeClr w14:val="tx1"/>
            </w14:solidFill>
          </w14:textFill>
        </w:rPr>
        <w:t>或不一致之处，以</w:t>
      </w:r>
      <w:r>
        <w:rPr>
          <w:rFonts w:hint="eastAsia" w:ascii="宋体" w:hAnsi="宋体"/>
          <w:color w:val="000000" w:themeColor="text1"/>
          <w:sz w:val="24"/>
          <w:highlight w:val="none"/>
          <w14:textFill>
            <w14:solidFill>
              <w14:schemeClr w14:val="tx1"/>
            </w14:solidFill>
          </w14:textFill>
        </w:rPr>
        <w:t>上述文件的排列顺序</w:t>
      </w:r>
      <w:r>
        <w:rPr>
          <w:rFonts w:ascii="宋体" w:hAnsi="宋体"/>
          <w:color w:val="000000" w:themeColor="text1"/>
          <w:sz w:val="24"/>
          <w:highlight w:val="none"/>
          <w14:textFill>
            <w14:solidFill>
              <w14:schemeClr w14:val="tx1"/>
            </w14:solidFill>
          </w14:textFill>
        </w:rPr>
        <w:t>在先者为准。</w:t>
      </w:r>
    </w:p>
    <w:p w14:paraId="49D569E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根据工程量清单所列的预计数量和单价或总额价计算的签约</w:t>
      </w:r>
      <w:r>
        <w:rPr>
          <w:rFonts w:ascii="宋体" w:hAnsi="宋体"/>
          <w:color w:val="000000" w:themeColor="text1"/>
          <w:sz w:val="24"/>
          <w:highlight w:val="none"/>
          <w14:textFill>
            <w14:solidFill>
              <w14:schemeClr w14:val="tx1"/>
            </w14:solidFill>
          </w14:textFill>
        </w:rPr>
        <w:t>合同价：</w:t>
      </w:r>
      <w:r>
        <w:rPr>
          <w:rFonts w:ascii="宋体" w:hAnsi="宋体"/>
          <w:color w:val="000000" w:themeColor="text1"/>
          <w:sz w:val="24"/>
          <w:highlight w:val="none"/>
          <w:u w:val="single"/>
          <w14:textFill>
            <w14:solidFill>
              <w14:schemeClr w14:val="tx1"/>
            </w14:solidFill>
          </w14:textFill>
        </w:rPr>
        <w:t>人民币（大写）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14:paraId="2801549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承包人项目经理：</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承包人项目总工：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3EBDFC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工程质量符合标准</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工程安全目标：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03ADB98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 承包人承诺按合同约定承担工程的实施、完成及缺陷修复。</w:t>
      </w:r>
    </w:p>
    <w:p w14:paraId="34912F5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发包人承诺按合同约定的条件、时间和方式向承包人支付合同价款。</w:t>
      </w:r>
    </w:p>
    <w:p w14:paraId="004A3EB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 承包人应按照监理人指示开工，工期为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日历天。</w:t>
      </w:r>
    </w:p>
    <w:p w14:paraId="19BC978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 本协议书在承包人提供履约保证金后，由双方法定代表人或其委托代理人签署并加盖单位章后生效。全部工程完工后经交工验收合格、缺陷责任期满签发缺陷责任终止证书后失效。</w:t>
      </w:r>
    </w:p>
    <w:p w14:paraId="72565F7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10.本协议书正本二份、副本份，合同双方各执正本一份，副本份，当正本与副本的内容不一致时，以正本为准。</w:t>
      </w:r>
    </w:p>
    <w:p w14:paraId="72275EC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.合同未尽事宜，双方另行签订补充协议。补充协议是合同的组成部分。</w:t>
      </w:r>
    </w:p>
    <w:p w14:paraId="63DF70EA">
      <w:pPr>
        <w:spacing w:line="400" w:lineRule="exact"/>
        <w:rPr>
          <w:rFonts w:ascii="宋体" w:hAnsi="宋体"/>
          <w:color w:val="000000" w:themeColor="text1"/>
          <w:sz w:val="24"/>
          <w:highlight w:val="none"/>
          <w14:textFill>
            <w14:solidFill>
              <w14:schemeClr w14:val="tx1"/>
            </w14:solidFill>
          </w14:textFill>
        </w:rPr>
      </w:pPr>
    </w:p>
    <w:p w14:paraId="622F43C2">
      <w:pPr>
        <w:spacing w:line="400" w:lineRule="exact"/>
        <w:rPr>
          <w:rFonts w:ascii="宋体" w:hAnsi="宋体"/>
          <w:color w:val="000000" w:themeColor="text1"/>
          <w:sz w:val="24"/>
          <w:highlight w:val="none"/>
          <w14:textFill>
            <w14:solidFill>
              <w14:schemeClr w14:val="tx1"/>
            </w14:solidFill>
          </w14:textFill>
        </w:rPr>
      </w:pPr>
    </w:p>
    <w:p w14:paraId="29335AA4">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14:paraId="55D69A8D">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14:paraId="49048BAB">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                                   年   月   日</w:t>
      </w:r>
    </w:p>
    <w:p w14:paraId="501A651F">
      <w:pPr>
        <w:pStyle w:val="78"/>
        <w:spacing w:line="360" w:lineRule="auto"/>
        <w:rPr>
          <w:rFonts w:ascii="宋体" w:hAnsi="宋体"/>
          <w:color w:val="000000" w:themeColor="text1"/>
          <w:sz w:val="24"/>
          <w:szCs w:val="24"/>
          <w:highlight w:val="none"/>
          <w14:textFill>
            <w14:solidFill>
              <w14:schemeClr w14:val="tx1"/>
            </w14:solidFill>
          </w14:textFill>
        </w:rPr>
      </w:pPr>
      <w:bookmarkStart w:id="1690" w:name="_Toc43476007"/>
      <w:bookmarkEnd w:id="1690"/>
      <w:bookmarkStart w:id="1691" w:name="_Toc505844505"/>
      <w:bookmarkEnd w:id="1691"/>
      <w:bookmarkStart w:id="1692" w:name="_Toc3544"/>
      <w:bookmarkEnd w:id="1692"/>
      <w:r>
        <w:rPr>
          <w:rFonts w:ascii="宋体" w:hAnsi="宋体"/>
          <w:b w:val="0"/>
          <w:bCs w:val="0"/>
          <w:color w:val="000000" w:themeColor="text1"/>
          <w:kern w:val="2"/>
          <w:sz w:val="21"/>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附件二   廉政合同</w:t>
      </w:r>
    </w:p>
    <w:p w14:paraId="642085E6">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廉政合同</w:t>
      </w:r>
    </w:p>
    <w:p w14:paraId="56C14CF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项目法人 </w:t>
      </w:r>
      <w:r>
        <w:rPr>
          <w:rFonts w:hint="eastAsia" w:ascii="宋体" w:hAnsi="宋体"/>
          <w:color w:val="000000" w:themeColor="text1"/>
          <w:sz w:val="24"/>
          <w:highlight w:val="none"/>
          <w:u w:val="single"/>
          <w14:textFill>
            <w14:solidFill>
              <w14:schemeClr w14:val="tx1"/>
            </w14:solidFill>
          </w14:textFill>
        </w:rPr>
        <w:t>（项目法人名称，以下简称“发包人”）</w:t>
      </w:r>
      <w:r>
        <w:rPr>
          <w:rFonts w:hint="eastAsia" w:ascii="宋体" w:hAnsi="宋体"/>
          <w:color w:val="000000" w:themeColor="text1"/>
          <w:sz w:val="24"/>
          <w:highlight w:val="none"/>
          <w14:textFill>
            <w14:solidFill>
              <w14:schemeClr w14:val="tx1"/>
            </w14:solidFill>
          </w14:textFill>
        </w:rPr>
        <w:t>与该项目标段的施工单位</w:t>
      </w:r>
      <w:r>
        <w:rPr>
          <w:rFonts w:hint="eastAsia" w:ascii="宋体" w:hAnsi="宋体"/>
          <w:color w:val="000000" w:themeColor="text1"/>
          <w:sz w:val="24"/>
          <w:highlight w:val="none"/>
          <w:u w:val="single"/>
          <w14:textFill>
            <w14:solidFill>
              <w14:schemeClr w14:val="tx1"/>
            </w14:solidFill>
          </w14:textFill>
        </w:rPr>
        <w:t>（施工单位名称，以下简称“承包人”）</w:t>
      </w:r>
      <w:r>
        <w:rPr>
          <w:rFonts w:hint="eastAsia" w:ascii="宋体" w:hAnsi="宋体"/>
          <w:color w:val="000000" w:themeColor="text1"/>
          <w:sz w:val="24"/>
          <w:highlight w:val="none"/>
          <w14:textFill>
            <w14:solidFill>
              <w14:schemeClr w14:val="tx1"/>
            </w14:solidFill>
          </w14:textFill>
        </w:rPr>
        <w:t>，特订立如下合同。</w:t>
      </w:r>
    </w:p>
    <w:p w14:paraId="7EC69C0A">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1.发包人和承包人双方的权利和义务</w:t>
      </w:r>
    </w:p>
    <w:p w14:paraId="73C3E28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（1）严格遵守党的政策规定和国家有关法律法规及交通运输部的有关规定。</w:t>
      </w:r>
    </w:p>
    <w:p w14:paraId="605129A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（2）严格执行</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合同文件，自觉按合同办事。</w:t>
      </w:r>
    </w:p>
    <w:p w14:paraId="12D0E1F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14:paraId="7885D43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（4）建立健全廉政制度，开展廉政教育，设立廉政告示牌，公布举报电话，监督并认真查处违法违纪行为。</w:t>
      </w:r>
    </w:p>
    <w:p w14:paraId="00948C6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（5）发现对方在业务活动中有违反廉政规定的行为，有及时提醒对方纠正的权利和义务。</w:t>
      </w:r>
    </w:p>
    <w:p w14:paraId="4E1A440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（6）发现对方严重违反本合同义务条款的行为，有向其上级有关部门举报、建议给予处理并要求告知处理结果的权利。</w:t>
      </w:r>
    </w:p>
    <w:p w14:paraId="2E2753E4">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2.发包人的义务</w:t>
      </w:r>
    </w:p>
    <w:p w14:paraId="4A54DA3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14:paraId="535FC85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（2）发包人工作人员不得参加承包人安排的超标准宴请和娱乐活动；不得接受承包人提供的通讯工具、交通工具和高档办公用品等。</w:t>
      </w:r>
    </w:p>
    <w:p w14:paraId="3989ECD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14:paraId="5BDFB43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（4）发包人工作人员及其配偶、子女不得从事与发包人工作有关的材料设备供应、工程分包、劳务等经济活动等。</w:t>
      </w:r>
    </w:p>
    <w:p w14:paraId="7C48627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（5）发包人及期工作人员不得以任何理由向承包人推荐分包单位或推销材料，不得要求承包人购买合同规定外的材料和设备。</w:t>
      </w:r>
    </w:p>
    <w:p w14:paraId="4518605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（6）发包人工作人员要秉公办事，不准营私舞弊，不准利用职权从事各种个人有偿中介活动和安排个人施工队伍。</w:t>
      </w:r>
    </w:p>
    <w:p w14:paraId="5E057822">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3.承包人的义务</w:t>
      </w:r>
    </w:p>
    <w:p w14:paraId="2929285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（1）承包人不得以任何理由向发包人及其工作人员行贿或馈赠礼金、有价证券、贵重礼品。</w:t>
      </w:r>
    </w:p>
    <w:p w14:paraId="2B51805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（2）承包人不得以任何名义为发包人及其工作人员报销应由发包人单位或个人支付的任何费用。</w:t>
      </w:r>
    </w:p>
    <w:p w14:paraId="6AC85F1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（3）承包人不得以任何理由安排发包人工作人员参加超标准宴请及娱乐活动。</w:t>
      </w:r>
    </w:p>
    <w:p w14:paraId="4E0D441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（4）承包人不得为发包人单位和个人购置或提供通讯工具、交通工具和高档办公用品等。</w:t>
      </w:r>
    </w:p>
    <w:p w14:paraId="4ADF8A4C">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4.违约责任</w:t>
      </w:r>
    </w:p>
    <w:p w14:paraId="751A691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14:paraId="3D2A06E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0178E3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6C1084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6.本合同有效期为发包人和承包人签署之日起至该工程项目竣工验收后止。</w:t>
      </w:r>
    </w:p>
    <w:p w14:paraId="3CFE0CF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7.本合同作为</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合同的附件，与工程施工合同具有同等的法律效力，经合同双方签署后立即生效。</w:t>
      </w:r>
    </w:p>
    <w:p w14:paraId="19A7553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8.本合同一式四份，由发包人和承包人各执—份，送交发包人和承包人的监督单位各一份</w:t>
      </w:r>
    </w:p>
    <w:p w14:paraId="5F8B2FFA">
      <w:pPr>
        <w:spacing w:line="400" w:lineRule="exact"/>
        <w:rPr>
          <w:rFonts w:ascii="宋体" w:hAnsi="宋体"/>
          <w:color w:val="000000" w:themeColor="text1"/>
          <w:sz w:val="24"/>
          <w:highlight w:val="none"/>
          <w14:textFill>
            <w14:solidFill>
              <w14:schemeClr w14:val="tx1"/>
            </w14:solidFill>
          </w14:textFill>
        </w:rPr>
      </w:pPr>
    </w:p>
    <w:p w14:paraId="3EBD9E84">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14:paraId="0E2890D3">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14:paraId="6BB0746B">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                               年   月   日</w:t>
      </w:r>
    </w:p>
    <w:p w14:paraId="7F984FE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发包人监督单位：</w:t>
      </w:r>
      <w:r>
        <w:rPr>
          <w:rFonts w:hint="eastAsia" w:ascii="宋体" w:hAnsi="宋体"/>
          <w:color w:val="000000" w:themeColor="text1"/>
          <w:sz w:val="24"/>
          <w:highlight w:val="none"/>
          <w:u w:val="single"/>
          <w14:textFill>
            <w14:solidFill>
              <w14:schemeClr w14:val="tx1"/>
            </w14:solidFill>
          </w14:textFill>
        </w:rPr>
        <w:t>（全称） （盖单位章）</w:t>
      </w:r>
      <w:r>
        <w:rPr>
          <w:rFonts w:hint="eastAsia" w:ascii="宋体" w:hAnsi="宋体"/>
          <w:color w:val="000000" w:themeColor="text1"/>
          <w:sz w:val="24"/>
          <w:highlight w:val="none"/>
          <w14:textFill>
            <w14:solidFill>
              <w14:schemeClr w14:val="tx1"/>
            </w14:solidFill>
          </w14:textFill>
        </w:rPr>
        <w:t xml:space="preserve">      承包人监督单位：</w:t>
      </w:r>
      <w:r>
        <w:rPr>
          <w:rFonts w:hint="eastAsia" w:ascii="宋体" w:hAnsi="宋体"/>
          <w:color w:val="000000" w:themeColor="text1"/>
          <w:sz w:val="24"/>
          <w:highlight w:val="none"/>
          <w:u w:val="single"/>
          <w14:textFill>
            <w14:solidFill>
              <w14:schemeClr w14:val="tx1"/>
            </w14:solidFill>
          </w14:textFill>
        </w:rPr>
        <w:t>（全称） （盖单位章）</w:t>
      </w:r>
    </w:p>
    <w:p w14:paraId="25A57397">
      <w:pPr>
        <w:pStyle w:val="78"/>
        <w:spacing w:line="360" w:lineRule="auto"/>
        <w:rPr>
          <w:rFonts w:ascii="宋体" w:hAnsi="宋体"/>
          <w:color w:val="000000" w:themeColor="text1"/>
          <w:sz w:val="24"/>
          <w:szCs w:val="24"/>
          <w:highlight w:val="none"/>
          <w14:textFill>
            <w14:solidFill>
              <w14:schemeClr w14:val="tx1"/>
            </w14:solidFill>
          </w14:textFill>
        </w:rPr>
      </w:pPr>
      <w:bookmarkStart w:id="1693" w:name="_Toc43476008"/>
      <w:bookmarkEnd w:id="1693"/>
      <w:bookmarkStart w:id="1694" w:name="_Toc505844506"/>
      <w:bookmarkEnd w:id="1694"/>
      <w:bookmarkStart w:id="1695" w:name="_Toc30177"/>
      <w:bookmarkEnd w:id="1695"/>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附件三   安全生产合同</w:t>
      </w:r>
    </w:p>
    <w:p w14:paraId="5FC8C4E5">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安全生产合同</w:t>
      </w:r>
    </w:p>
    <w:p w14:paraId="3E4B6E9A">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color w:val="000000" w:themeColor="text1"/>
          <w:sz w:val="24"/>
          <w:highlight w:val="none"/>
          <w:u w:val="single"/>
          <w14:textFill>
            <w14:solidFill>
              <w14:schemeClr w14:val="tx1"/>
            </w14:solidFill>
          </w14:textFill>
        </w:rPr>
        <w:t xml:space="preserve">   (项目名称)   标类（或标段）     </w:t>
      </w:r>
      <w:r>
        <w:rPr>
          <w:rFonts w:hint="eastAsia" w:ascii="宋体" w:hAnsi="宋体"/>
          <w:color w:val="000000" w:themeColor="text1"/>
          <w:sz w:val="24"/>
          <w:highlight w:val="none"/>
          <w14:textFill>
            <w14:solidFill>
              <w14:schemeClr w14:val="tx1"/>
            </w14:solidFill>
          </w14:textFill>
        </w:rPr>
        <w:t>工程安全生产管理工作，明确项目参建各方的安全生产责任，促进实现工程项目安全管理目标，建设单位全称（以下简称“发包人”）与施工单位全称（以下简称“承包人”）特此签订安全生产合同：</w:t>
      </w:r>
    </w:p>
    <w:p w14:paraId="2BAF09BD">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1.发包人职责</w:t>
      </w:r>
    </w:p>
    <w:p w14:paraId="4C17D123">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(1)编制工程招标文件及项目概算时，应确定保障建设工程安全作业环境及安全施工措施所需的安全生产费用，并不低于国家规定的标准。</w:t>
      </w:r>
    </w:p>
    <w:p w14:paraId="34B4DF6B">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(2)按照有关规定对承包人的安全生产条件、安全生产信用情况、安全生产管理体系及保障措施等提出明确要求并检查实施情况。</w:t>
      </w:r>
    </w:p>
    <w:p w14:paraId="5580EFB1">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(3)开展工程项目安全生产条件核查，按规定组织风险评估。针对工程项目特点和风险评估情况制定项目生产安全事故综合应急预案，并定期组织演练。</w:t>
      </w:r>
    </w:p>
    <w:p w14:paraId="6338AFF8">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(4)按照法律法规及合同文件约定督促承包人落实安全生产责任，对承包人的安全生产工作统一协调、管理，定期进行安全检查，发现安全问题的，应当及时督促整改。</w:t>
      </w:r>
    </w:p>
    <w:p w14:paraId="4A2A64D3">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2.承包人职责</w:t>
      </w:r>
    </w:p>
    <w:p w14:paraId="1A41819C">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(1)严格执行安全生产有关法律法规、规章及标准规范，落实合同、《广东省高速公路工程施工安全标准化指南》《公路工程施工安全防护设施技术指南》以及其他有关安全生产方面的规定和要求。</w:t>
      </w:r>
    </w:p>
    <w:p w14:paraId="629B754C">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(2)应具备相应的安全生产条件及安全生产资质，对施工现场的安全生产负主体责任，主要负责人依法对项目安全生产工作全面负责。</w:t>
      </w:r>
    </w:p>
    <w:p w14:paraId="18552AEC">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(3)坚持国家安全生产方针、政策及原则，建立健全并落实项目安全生产管理制度、责任、组织机构等管理体系，配足符合资质条件的专职安全生产管理人员。</w:t>
      </w:r>
    </w:p>
    <w:p w14:paraId="31C179CA">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(4)应保证本项目合同段所应具备的安全生产条件必需的资金投入，依法参加各类安全保险，保障从业人员安全生产方面的权利。</w:t>
      </w:r>
    </w:p>
    <w:p w14:paraId="74B99095">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06137FBD">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(6)按规定编制危险性较大工程专项施工方案，按程序逐级审批，必要时应组织专家论证。</w:t>
      </w:r>
    </w:p>
    <w:p w14:paraId="7927076E">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(7)各类施工设备设施及用品、用具等应具备相关资质证书，定期检查维护，按规定及时报废；特种设备及支撑体系设施设备投入使用前应按规定组织验收。</w:t>
      </w:r>
    </w:p>
    <w:p w14:paraId="06D5FAF2">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(8)两区三厂、临建设施等选址及相关防护设施的设置应符合安全要求。</w:t>
      </w:r>
    </w:p>
    <w:p w14:paraId="41A39515">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(9)建立施工现场及驻地消防安全责任制度，确定消防安全责任人，落实消防安全管理和消防安全检查，及时消除火灾事故隐患。</w:t>
      </w:r>
    </w:p>
    <w:p w14:paraId="4C08457A">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(10)按规定建立并落实安全风险分级管控及事故隐患排查治理双重预防工作机制，并按要求开展各类安全生产检查，重大事故隐患及时上报和专项治理。</w:t>
      </w:r>
    </w:p>
    <w:p w14:paraId="50E42934">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(11)建立健全本项目合同段生产安全事故应急预案体系，并定期组织演练。</w:t>
      </w:r>
    </w:p>
    <w:p w14:paraId="7F5F9F95">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(12)及时、如实报告生产安全事故。发生事故时，应立即组织抢救，并积极配合事故调查处理。</w:t>
      </w:r>
    </w:p>
    <w:p w14:paraId="591DCBED">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(13)安全生产法律法规、政策等规定的其他职责。</w:t>
      </w:r>
    </w:p>
    <w:p w14:paraId="0A70A365">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3.违约责任</w:t>
      </w:r>
    </w:p>
    <w:p w14:paraId="2CC7A8EA">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如因发包人或承包人违约造成安全事故，将依法追究责任。</w:t>
      </w:r>
    </w:p>
    <w:p w14:paraId="22D9F801">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4.本合同由双方法定代表人或其授权的代理人签署并加盖单位章后生效，全部工程竣工验收后失效。 .</w:t>
      </w:r>
    </w:p>
    <w:p w14:paraId="671A1124">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5.本合同正本二份、副本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份，合同双方各执正本一份，副本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份，当正本与副本的内容不一致时，以正本为准。</w:t>
      </w:r>
    </w:p>
    <w:p w14:paraId="740363C0">
      <w:pPr>
        <w:pStyle w:val="78"/>
        <w:spacing w:line="360" w:lineRule="auto"/>
        <w:rPr>
          <w:rFonts w:ascii="宋体" w:hAnsi="宋体"/>
          <w:color w:val="000000" w:themeColor="text1"/>
          <w:sz w:val="24"/>
          <w:szCs w:val="24"/>
          <w:highlight w:val="none"/>
          <w14:textFill>
            <w14:solidFill>
              <w14:schemeClr w14:val="tx1"/>
            </w14:solidFill>
          </w14:textFill>
        </w:rPr>
      </w:pPr>
    </w:p>
    <w:p w14:paraId="3F2550C3">
      <w:pPr>
        <w:pStyle w:val="78"/>
        <w:spacing w:line="360" w:lineRule="auto"/>
        <w:rPr>
          <w:rFonts w:ascii="宋体" w:hAnsi="宋体"/>
          <w:color w:val="000000" w:themeColor="text1"/>
          <w:sz w:val="24"/>
          <w:szCs w:val="24"/>
          <w:highlight w:val="none"/>
          <w14:textFill>
            <w14:solidFill>
              <w14:schemeClr w14:val="tx1"/>
            </w14:solidFill>
          </w14:textFill>
        </w:rPr>
      </w:pPr>
    </w:p>
    <w:p w14:paraId="3355B6D4">
      <w:pPr>
        <w:pStyle w:val="78"/>
        <w:spacing w:line="360" w:lineRule="auto"/>
        <w:rPr>
          <w:rFonts w:ascii="宋体" w:hAnsi="宋体"/>
          <w:color w:val="000000" w:themeColor="text1"/>
          <w:sz w:val="24"/>
          <w:szCs w:val="24"/>
          <w:highlight w:val="none"/>
          <w14:textFill>
            <w14:solidFill>
              <w14:schemeClr w14:val="tx1"/>
            </w14:solidFill>
          </w14:textFill>
        </w:rPr>
      </w:pPr>
    </w:p>
    <w:p w14:paraId="6DD854F8">
      <w:pPr>
        <w:pStyle w:val="78"/>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发包人： (盖单位章)                         承包人： (盖单位章)</w:t>
      </w:r>
    </w:p>
    <w:p w14:paraId="5DD517DF">
      <w:pPr>
        <w:pStyle w:val="78"/>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法定代表人或其委托代理人： (签字)           法定代表人或其委托代理人： (签字)</w:t>
      </w:r>
    </w:p>
    <w:p w14:paraId="3844FD15">
      <w:pPr>
        <w:pStyle w:val="78"/>
        <w:spacing w:line="360" w:lineRule="auto"/>
        <w:ind w:firstLine="720" w:firstLineChars="300"/>
        <w:rPr>
          <w:rFonts w:ascii="宋体" w:hAnsi="宋体"/>
          <w:color w:val="000000" w:themeColor="text1"/>
          <w:sz w:val="24"/>
          <w:szCs w:val="24"/>
          <w:highlight w:val="none"/>
          <w14:textFill>
            <w14:solidFill>
              <w14:schemeClr w14:val="tx1"/>
            </w14:solidFill>
          </w14:textFill>
        </w:rPr>
      </w:pPr>
      <w:bookmarkStart w:id="1696" w:name="_Toc43476009"/>
      <w:bookmarkEnd w:id="1696"/>
      <w:bookmarkStart w:id="1697" w:name="_Toc17112"/>
      <w:bookmarkEnd w:id="1697"/>
      <w:r>
        <w:rPr>
          <w:rFonts w:hint="eastAsia" w:ascii="宋体" w:hAnsi="宋体"/>
          <w:b w:val="0"/>
          <w:bCs w:val="0"/>
          <w:color w:val="000000" w:themeColor="text1"/>
          <w:sz w:val="24"/>
          <w:szCs w:val="24"/>
          <w:highlight w:val="none"/>
          <w14:textFill>
            <w14:solidFill>
              <w14:schemeClr w14:val="tx1"/>
            </w14:solidFill>
          </w14:textFill>
        </w:rPr>
        <w:t>年    月    日                               年    月    日</w:t>
      </w:r>
      <w:r>
        <w:rPr>
          <w:rFonts w:hint="eastAsia" w:ascii="宋体" w:hAnsi="宋体"/>
          <w:b w:val="0"/>
          <w:bCs w:val="0"/>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附件四   其他管理人员和技术人员最低要求</w:t>
      </w:r>
    </w:p>
    <w:p w14:paraId="4545DA21">
      <w:pPr>
        <w:rPr>
          <w:color w:val="000000" w:themeColor="text1"/>
          <w:highlight w:val="none"/>
          <w14:textFill>
            <w14:solidFill>
              <w14:schemeClr w14:val="tx1"/>
            </w14:solidFill>
          </w14:textFill>
        </w:rPr>
      </w:pPr>
    </w:p>
    <w:tbl>
      <w:tblPr>
        <w:tblStyle w:val="45"/>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14:paraId="60911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14:paraId="71772295">
            <w:pPr>
              <w:spacing w:line="276" w:lineRule="auto"/>
              <w:jc w:val="center"/>
              <w:rPr>
                <w:rFonts w:ascii="宋体" w:hAnsi="宋体"/>
                <w:color w:val="000000" w:themeColor="text1"/>
                <w:sz w:val="24"/>
                <w:highlight w:val="none"/>
                <w14:textFill>
                  <w14:solidFill>
                    <w14:schemeClr w14:val="tx1"/>
                  </w14:solidFill>
                </w14:textFill>
              </w:rPr>
            </w:pPr>
            <w:bookmarkStart w:id="1698" w:name="_Toc505844507"/>
            <w:r>
              <w:rPr>
                <w:rFonts w:hint="eastAsia" w:ascii="宋体" w:hAnsi="宋体"/>
                <w:color w:val="000000" w:themeColor="text1"/>
                <w:sz w:val="24"/>
                <w:highlight w:val="none"/>
                <w14:textFill>
                  <w14:solidFill>
                    <w14:schemeClr w14:val="tx1"/>
                  </w14:solidFill>
                </w14:textFill>
              </w:rPr>
              <w:t>人  员</w:t>
            </w:r>
          </w:p>
        </w:tc>
        <w:tc>
          <w:tcPr>
            <w:tcW w:w="1143" w:type="dxa"/>
            <w:tcBorders>
              <w:top w:val="single" w:color="auto" w:sz="12" w:space="0"/>
            </w:tcBorders>
            <w:vAlign w:val="center"/>
          </w:tcPr>
          <w:p w14:paraId="70D240D9">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  量</w:t>
            </w:r>
          </w:p>
        </w:tc>
        <w:tc>
          <w:tcPr>
            <w:tcW w:w="6488" w:type="dxa"/>
            <w:tcBorders>
              <w:top w:val="single" w:color="auto" w:sz="12" w:space="0"/>
            </w:tcBorders>
            <w:vAlign w:val="center"/>
          </w:tcPr>
          <w:p w14:paraId="2BD102B4">
            <w:pPr>
              <w:spacing w:line="276"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资格要求</w:t>
            </w:r>
          </w:p>
        </w:tc>
      </w:tr>
      <w:tr w14:paraId="21DCC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72B2DFB">
            <w:pPr>
              <w:pStyle w:val="2"/>
              <w:rPr>
                <w:color w:val="000000" w:themeColor="text1"/>
                <w:highlight w:val="none"/>
                <w14:textFill>
                  <w14:solidFill>
                    <w14:schemeClr w14:val="tx1"/>
                  </w14:solidFill>
                </w14:textFill>
              </w:rPr>
            </w:pPr>
          </w:p>
        </w:tc>
        <w:tc>
          <w:tcPr>
            <w:tcW w:w="1143" w:type="dxa"/>
            <w:vAlign w:val="center"/>
          </w:tcPr>
          <w:p w14:paraId="0463B5A8">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2ECF5FF">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75D90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B4D5FCA">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16FF32B1">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358F1CF6">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C7D6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6F77EB3">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3EA858D7">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DA19EF1">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3733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A216A74">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197D1F91">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75C03744">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39E6F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898E781">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2990A3B1">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3F51BCA">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1EC9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0F74DD1">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6B60478C">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5B5D911">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5CBEB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AF0C8C0">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5D4FB8D2">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0518DE4D">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5D415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26651D8">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7BB3F834">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56A37617">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5F54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7DF1AA8A">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2C078A80">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58B064B5">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320E4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29A75ECC">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7A8CBC38">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438574F9">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6A62E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DE8984F">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479D38A9">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361E2081">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B370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38F36014">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27350355">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777DA32C">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7E62B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14:paraId="3E396176">
            <w:pPr>
              <w:spacing w:line="276" w:lineRule="auto"/>
              <w:rPr>
                <w:rFonts w:ascii="宋体" w:hAnsi="宋体"/>
                <w:color w:val="000000" w:themeColor="text1"/>
                <w:sz w:val="24"/>
                <w:highlight w:val="none"/>
                <w14:textFill>
                  <w14:solidFill>
                    <w14:schemeClr w14:val="tx1"/>
                  </w14:solidFill>
                </w14:textFill>
              </w:rPr>
            </w:pPr>
          </w:p>
        </w:tc>
        <w:tc>
          <w:tcPr>
            <w:tcW w:w="1143" w:type="dxa"/>
            <w:tcBorders>
              <w:bottom w:val="single" w:color="auto" w:sz="12" w:space="0"/>
            </w:tcBorders>
            <w:vAlign w:val="center"/>
          </w:tcPr>
          <w:p w14:paraId="050DA8CA">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tcBorders>
              <w:bottom w:val="single" w:color="auto" w:sz="12" w:space="0"/>
            </w:tcBorders>
            <w:vAlign w:val="center"/>
          </w:tcPr>
          <w:p w14:paraId="5707D587">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bl>
    <w:p w14:paraId="0A532E68">
      <w:pP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注：本表所要求人员须按招标文件投标函的格式承诺，中标人在进场前向招标人提交实际投入的人员。</w:t>
      </w:r>
    </w:p>
    <w:p w14:paraId="381D4D68">
      <w:pPr>
        <w:pStyle w:val="78"/>
        <w:spacing w:line="360" w:lineRule="auto"/>
        <w:rPr>
          <w:rFonts w:ascii="宋体" w:hAnsi="宋体"/>
          <w:color w:val="000000" w:themeColor="text1"/>
          <w:sz w:val="24"/>
          <w:szCs w:val="24"/>
          <w:highlight w:val="none"/>
          <w14:textFill>
            <w14:solidFill>
              <w14:schemeClr w14:val="tx1"/>
            </w14:solidFill>
          </w14:textFill>
        </w:rPr>
      </w:pPr>
    </w:p>
    <w:p w14:paraId="7FFEEBEF">
      <w:pPr>
        <w:rPr>
          <w:color w:val="000000" w:themeColor="text1"/>
          <w:highlight w:val="none"/>
          <w14:textFill>
            <w14:solidFill>
              <w14:schemeClr w14:val="tx1"/>
            </w14:solidFill>
          </w14:textFill>
        </w:rPr>
      </w:pPr>
    </w:p>
    <w:bookmarkEnd w:id="1698"/>
    <w:p w14:paraId="3ADE5BBE">
      <w:pPr>
        <w:pStyle w:val="78"/>
        <w:spacing w:line="360" w:lineRule="auto"/>
        <w:rPr>
          <w:rFonts w:ascii="宋体" w:hAnsi="宋体"/>
          <w:color w:val="000000" w:themeColor="text1"/>
          <w:sz w:val="24"/>
          <w:szCs w:val="24"/>
          <w:highlight w:val="none"/>
          <w14:textFill>
            <w14:solidFill>
              <w14:schemeClr w14:val="tx1"/>
            </w14:solidFill>
          </w14:textFill>
        </w:rPr>
      </w:pPr>
      <w:bookmarkStart w:id="1699" w:name="_Toc26675"/>
      <w:bookmarkEnd w:id="1699"/>
      <w:bookmarkStart w:id="1700" w:name="_Toc43476011"/>
      <w:bookmarkEnd w:id="1700"/>
      <w:bookmarkStart w:id="1701" w:name="_Toc43476010"/>
      <w:bookmarkEnd w:id="1701"/>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附件五   主要设备最低要求</w:t>
      </w:r>
    </w:p>
    <w:tbl>
      <w:tblPr>
        <w:tblStyle w:val="45"/>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14:paraId="7E985BBA">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14:paraId="2CCCC3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14:paraId="002F132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14:paraId="1F200C3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0D90FE8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78D2EE3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14:paraId="7EA4EFB8">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24C215B">
            <w:p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AF5CAF">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4702D">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54D3C">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48432FD">
            <w:pPr>
              <w:spacing w:line="360" w:lineRule="auto"/>
              <w:jc w:val="center"/>
              <w:rPr>
                <w:rFonts w:ascii="宋体" w:hAnsi="宋体" w:cs="宋体"/>
                <w:color w:val="000000" w:themeColor="text1"/>
                <w:sz w:val="24"/>
                <w:highlight w:val="none"/>
                <w14:textFill>
                  <w14:solidFill>
                    <w14:schemeClr w14:val="tx1"/>
                  </w14:solidFill>
                </w14:textFill>
              </w:rPr>
            </w:pPr>
          </w:p>
        </w:tc>
      </w:tr>
      <w:tr w14:paraId="1BB3CC2E">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130891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3308F">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9FD7C">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10D10">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1B5A10DE">
            <w:pPr>
              <w:spacing w:line="360" w:lineRule="auto"/>
              <w:jc w:val="center"/>
              <w:rPr>
                <w:rFonts w:ascii="宋体" w:hAnsi="宋体" w:cs="宋体"/>
                <w:color w:val="000000" w:themeColor="text1"/>
                <w:sz w:val="24"/>
                <w:highlight w:val="none"/>
                <w14:textFill>
                  <w14:solidFill>
                    <w14:schemeClr w14:val="tx1"/>
                  </w14:solidFill>
                </w14:textFill>
              </w:rPr>
            </w:pPr>
          </w:p>
        </w:tc>
      </w:tr>
      <w:tr w14:paraId="5EDDE623">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0205A1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83286">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0324C">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5FC7F">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203EE20">
            <w:pPr>
              <w:spacing w:line="360" w:lineRule="auto"/>
              <w:jc w:val="center"/>
              <w:rPr>
                <w:rFonts w:ascii="宋体" w:hAnsi="宋体" w:cs="宋体"/>
                <w:color w:val="000000" w:themeColor="text1"/>
                <w:sz w:val="24"/>
                <w:highlight w:val="none"/>
                <w14:textFill>
                  <w14:solidFill>
                    <w14:schemeClr w14:val="tx1"/>
                  </w14:solidFill>
                </w14:textFill>
              </w:rPr>
            </w:pPr>
          </w:p>
        </w:tc>
      </w:tr>
      <w:tr w14:paraId="1EF5512A">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E0FDE2F">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4F1C1">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DEE94">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59F71">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8CB7007">
            <w:pPr>
              <w:spacing w:line="360" w:lineRule="auto"/>
              <w:jc w:val="center"/>
              <w:rPr>
                <w:rFonts w:ascii="宋体" w:hAnsi="宋体" w:cs="宋体"/>
                <w:color w:val="000000" w:themeColor="text1"/>
                <w:sz w:val="24"/>
                <w:highlight w:val="none"/>
                <w14:textFill>
                  <w14:solidFill>
                    <w14:schemeClr w14:val="tx1"/>
                  </w14:solidFill>
                </w14:textFill>
              </w:rPr>
            </w:pPr>
          </w:p>
        </w:tc>
      </w:tr>
      <w:tr w14:paraId="49BFDD5B">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101D0B9">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E113F">
            <w:pPr>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D7436">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BB3C0">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8FE93E1">
            <w:pPr>
              <w:spacing w:line="360" w:lineRule="auto"/>
              <w:jc w:val="center"/>
              <w:rPr>
                <w:rFonts w:ascii="宋体" w:hAnsi="宋体" w:cs="宋体"/>
                <w:color w:val="000000" w:themeColor="text1"/>
                <w:sz w:val="24"/>
                <w:highlight w:val="none"/>
                <w14:textFill>
                  <w14:solidFill>
                    <w14:schemeClr w14:val="tx1"/>
                  </w14:solidFill>
                </w14:textFill>
              </w:rPr>
            </w:pPr>
          </w:p>
        </w:tc>
      </w:tr>
      <w:tr w14:paraId="0D62D019">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325866B">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16E71">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0F7D1">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27D21">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6018E30">
            <w:pPr>
              <w:spacing w:line="360" w:lineRule="auto"/>
              <w:jc w:val="center"/>
              <w:rPr>
                <w:rFonts w:ascii="宋体" w:hAnsi="宋体" w:cs="宋体"/>
                <w:color w:val="000000" w:themeColor="text1"/>
                <w:sz w:val="24"/>
                <w:highlight w:val="none"/>
                <w14:textFill>
                  <w14:solidFill>
                    <w14:schemeClr w14:val="tx1"/>
                  </w14:solidFill>
                </w14:textFill>
              </w:rPr>
            </w:pPr>
          </w:p>
        </w:tc>
      </w:tr>
      <w:tr w14:paraId="3CAE4749">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34BBB6">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BCC48">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1A591">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4B727">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1557066">
            <w:pPr>
              <w:spacing w:line="360" w:lineRule="auto"/>
              <w:jc w:val="center"/>
              <w:rPr>
                <w:rFonts w:ascii="宋体" w:hAnsi="宋体" w:cs="宋体"/>
                <w:color w:val="000000" w:themeColor="text1"/>
                <w:sz w:val="24"/>
                <w:highlight w:val="none"/>
                <w14:textFill>
                  <w14:solidFill>
                    <w14:schemeClr w14:val="tx1"/>
                  </w14:solidFill>
                </w14:textFill>
              </w:rPr>
            </w:pPr>
          </w:p>
        </w:tc>
      </w:tr>
      <w:tr w14:paraId="26DAC3E5">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15A8528">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D17B1">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C442E">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4569F">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84DF78F">
            <w:pPr>
              <w:spacing w:line="360" w:lineRule="auto"/>
              <w:jc w:val="center"/>
              <w:rPr>
                <w:rFonts w:ascii="宋体" w:hAnsi="宋体" w:cs="宋体"/>
                <w:color w:val="000000" w:themeColor="text1"/>
                <w:sz w:val="24"/>
                <w:highlight w:val="none"/>
                <w14:textFill>
                  <w14:solidFill>
                    <w14:schemeClr w14:val="tx1"/>
                  </w14:solidFill>
                </w14:textFill>
              </w:rPr>
            </w:pPr>
          </w:p>
        </w:tc>
      </w:tr>
      <w:tr w14:paraId="308346CD">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5E0B56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B7D9B">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A2AB8">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BB2F1">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95D96B1">
            <w:pPr>
              <w:spacing w:line="360" w:lineRule="auto"/>
              <w:jc w:val="center"/>
              <w:rPr>
                <w:rFonts w:ascii="宋体" w:hAnsi="宋体" w:cs="宋体"/>
                <w:color w:val="000000" w:themeColor="text1"/>
                <w:sz w:val="24"/>
                <w:highlight w:val="none"/>
                <w14:textFill>
                  <w14:solidFill>
                    <w14:schemeClr w14:val="tx1"/>
                  </w14:solidFill>
                </w14:textFill>
              </w:rPr>
            </w:pPr>
          </w:p>
        </w:tc>
      </w:tr>
      <w:tr w14:paraId="5683B36C">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857F96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EB516">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E0BE9">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17AF2">
            <w:pPr>
              <w:adjustRightInd w:val="0"/>
              <w:snapToGrid w:val="0"/>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ABEFD31">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14:paraId="57584514">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09E85F0">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77914">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81098">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E9AEF">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098850B">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14:paraId="7279E3B0">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0958B58">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1B3B7">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7D2BA">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44054">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27560B5">
            <w:pPr>
              <w:spacing w:line="360" w:lineRule="auto"/>
              <w:jc w:val="center"/>
              <w:rPr>
                <w:rFonts w:ascii="宋体" w:hAnsi="宋体" w:cs="宋体"/>
                <w:color w:val="000000" w:themeColor="text1"/>
                <w:sz w:val="24"/>
                <w:highlight w:val="none"/>
                <w14:textFill>
                  <w14:solidFill>
                    <w14:schemeClr w14:val="tx1"/>
                  </w14:solidFill>
                </w14:textFill>
              </w:rPr>
            </w:pPr>
          </w:p>
        </w:tc>
      </w:tr>
      <w:tr w14:paraId="02639DC6">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9C2D68">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44D6A">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21765">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4FCDD">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7179E5F">
            <w:pPr>
              <w:spacing w:line="360" w:lineRule="auto"/>
              <w:jc w:val="center"/>
              <w:rPr>
                <w:rFonts w:ascii="宋体" w:hAnsi="宋体" w:cs="宋体"/>
                <w:color w:val="000000" w:themeColor="text1"/>
                <w:sz w:val="24"/>
                <w:highlight w:val="none"/>
                <w14:textFill>
                  <w14:solidFill>
                    <w14:schemeClr w14:val="tx1"/>
                  </w14:solidFill>
                </w14:textFill>
              </w:rPr>
            </w:pPr>
          </w:p>
        </w:tc>
      </w:tr>
      <w:tr w14:paraId="0EE0857A">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67A71B60">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47EABE29">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4D0C9B48">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4F6F84FC">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3452BA8A">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14:paraId="5DC4D01E">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2CB3E88E">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12B516FE">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3C2C5CA1">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3324F397">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567738FC">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14:paraId="0924DCB2">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515173F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44201025">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6DEA43BB">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2ECF78F0">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20FED6C7">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bl>
    <w:p w14:paraId="54FB5852">
      <w:pPr>
        <w:rPr>
          <w:rFonts w:ascii="宋体" w:hAnsi="宋体"/>
          <w:color w:val="000000" w:themeColor="text1"/>
          <w:sz w:val="24"/>
          <w:highlight w:val="none"/>
          <w14:textFill>
            <w14:solidFill>
              <w14:schemeClr w14:val="tx1"/>
            </w14:solidFill>
          </w14:textFill>
        </w:rPr>
      </w:pPr>
    </w:p>
    <w:p w14:paraId="1789E882">
      <w:pPr>
        <w:pStyle w:val="55"/>
        <w:rPr>
          <w:rFonts w:ascii="宋体" w:hAnsi="宋体"/>
          <w:color w:val="000000" w:themeColor="text1"/>
          <w:sz w:val="24"/>
          <w:highlight w:val="none"/>
          <w14:textFill>
            <w14:solidFill>
              <w14:schemeClr w14:val="tx1"/>
            </w14:solidFill>
          </w14:textFill>
        </w:rPr>
      </w:pPr>
    </w:p>
    <w:p w14:paraId="7857E217">
      <w:pPr>
        <w:pStyle w:val="55"/>
        <w:rPr>
          <w:rFonts w:ascii="宋体" w:hAnsi="宋体"/>
          <w:color w:val="000000" w:themeColor="text1"/>
          <w:sz w:val="24"/>
          <w:highlight w:val="none"/>
          <w14:textFill>
            <w14:solidFill>
              <w14:schemeClr w14:val="tx1"/>
            </w14:solidFill>
          </w14:textFill>
        </w:rPr>
      </w:pPr>
    </w:p>
    <w:p w14:paraId="126ED9F2">
      <w:pPr>
        <w:pStyle w:val="55"/>
        <w:rPr>
          <w:rFonts w:ascii="宋体" w:hAnsi="宋体"/>
          <w:color w:val="000000" w:themeColor="text1"/>
          <w:sz w:val="24"/>
          <w:highlight w:val="none"/>
          <w14:textFill>
            <w14:solidFill>
              <w14:schemeClr w14:val="tx1"/>
            </w14:solidFill>
          </w14:textFill>
        </w:rPr>
      </w:pPr>
    </w:p>
    <w:p w14:paraId="4EE9477A">
      <w:pPr>
        <w:pStyle w:val="55"/>
        <w:rPr>
          <w:rFonts w:ascii="宋体" w:hAnsi="宋体"/>
          <w:color w:val="000000" w:themeColor="text1"/>
          <w:sz w:val="24"/>
          <w:highlight w:val="none"/>
          <w14:textFill>
            <w14:solidFill>
              <w14:schemeClr w14:val="tx1"/>
            </w14:solidFill>
          </w14:textFill>
        </w:rPr>
      </w:pPr>
    </w:p>
    <w:p w14:paraId="2E71D8FB">
      <w:pPr>
        <w:pStyle w:val="55"/>
        <w:rPr>
          <w:rFonts w:ascii="宋体" w:hAnsi="宋体"/>
          <w:color w:val="000000" w:themeColor="text1"/>
          <w:sz w:val="24"/>
          <w:highlight w:val="none"/>
          <w14:textFill>
            <w14:solidFill>
              <w14:schemeClr w14:val="tx1"/>
            </w14:solidFill>
          </w14:textFill>
        </w:rPr>
      </w:pPr>
    </w:p>
    <w:p w14:paraId="45ACC07A">
      <w:pPr>
        <w:pStyle w:val="55"/>
        <w:rPr>
          <w:rFonts w:ascii="宋体" w:hAnsi="宋体"/>
          <w:color w:val="000000" w:themeColor="text1"/>
          <w:sz w:val="24"/>
          <w:highlight w:val="none"/>
          <w14:textFill>
            <w14:solidFill>
              <w14:schemeClr w14:val="tx1"/>
            </w14:solidFill>
          </w14:textFill>
        </w:rPr>
      </w:pPr>
    </w:p>
    <w:p w14:paraId="3E5C1C05">
      <w:pPr>
        <w:pStyle w:val="55"/>
        <w:rPr>
          <w:rFonts w:ascii="宋体" w:hAnsi="宋体"/>
          <w:color w:val="000000" w:themeColor="text1"/>
          <w:sz w:val="24"/>
          <w:highlight w:val="none"/>
          <w14:textFill>
            <w14:solidFill>
              <w14:schemeClr w14:val="tx1"/>
            </w14:solidFill>
          </w14:textFill>
        </w:rPr>
      </w:pPr>
    </w:p>
    <w:p w14:paraId="788A0720">
      <w:pPr>
        <w:pStyle w:val="55"/>
        <w:rPr>
          <w:rFonts w:ascii="宋体" w:hAnsi="宋体"/>
          <w:color w:val="000000" w:themeColor="text1"/>
          <w:sz w:val="24"/>
          <w:highlight w:val="none"/>
          <w14:textFill>
            <w14:solidFill>
              <w14:schemeClr w14:val="tx1"/>
            </w14:solidFill>
          </w14:textFill>
        </w:rPr>
      </w:pPr>
    </w:p>
    <w:p w14:paraId="50AAFD13">
      <w:pPr>
        <w:pStyle w:val="55"/>
        <w:rPr>
          <w:rFonts w:ascii="宋体" w:hAnsi="宋体"/>
          <w:color w:val="000000" w:themeColor="text1"/>
          <w:sz w:val="24"/>
          <w:highlight w:val="none"/>
          <w14:textFill>
            <w14:solidFill>
              <w14:schemeClr w14:val="tx1"/>
            </w14:solidFill>
          </w14:textFill>
        </w:rPr>
      </w:pPr>
    </w:p>
    <w:p w14:paraId="543917B4">
      <w:pPr>
        <w:pStyle w:val="55"/>
        <w:rPr>
          <w:rFonts w:ascii="宋体" w:hAnsi="宋体"/>
          <w:color w:val="000000" w:themeColor="text1"/>
          <w:sz w:val="24"/>
          <w:highlight w:val="none"/>
          <w14:textFill>
            <w14:solidFill>
              <w14:schemeClr w14:val="tx1"/>
            </w14:solidFill>
          </w14:textFill>
        </w:rPr>
      </w:pPr>
    </w:p>
    <w:p w14:paraId="2EC829A8">
      <w:pPr>
        <w:pStyle w:val="55"/>
        <w:rPr>
          <w:rFonts w:ascii="宋体" w:hAnsi="宋体"/>
          <w:color w:val="000000" w:themeColor="text1"/>
          <w:sz w:val="24"/>
          <w:highlight w:val="none"/>
          <w14:textFill>
            <w14:solidFill>
              <w14:schemeClr w14:val="tx1"/>
            </w14:solidFill>
          </w14:textFill>
        </w:rPr>
      </w:pPr>
    </w:p>
    <w:p w14:paraId="1B5A5C47">
      <w:pPr>
        <w:pStyle w:val="55"/>
        <w:rPr>
          <w:rFonts w:ascii="宋体" w:hAnsi="宋体"/>
          <w:color w:val="000000" w:themeColor="text1"/>
          <w:sz w:val="24"/>
          <w:highlight w:val="none"/>
          <w14:textFill>
            <w14:solidFill>
              <w14:schemeClr w14:val="tx1"/>
            </w14:solidFill>
          </w14:textFill>
        </w:rPr>
      </w:pPr>
    </w:p>
    <w:p w14:paraId="7F74965E">
      <w:pPr>
        <w:pStyle w:val="55"/>
        <w:rPr>
          <w:rFonts w:ascii="宋体" w:hAnsi="宋体"/>
          <w:color w:val="000000" w:themeColor="text1"/>
          <w:sz w:val="24"/>
          <w:highlight w:val="none"/>
          <w14:textFill>
            <w14:solidFill>
              <w14:schemeClr w14:val="tx1"/>
            </w14:solidFill>
          </w14:textFill>
        </w:rPr>
      </w:pPr>
    </w:p>
    <w:p w14:paraId="0A211A53">
      <w:pPr>
        <w:pStyle w:val="55"/>
        <w:rPr>
          <w:rFonts w:ascii="宋体" w:hAnsi="宋体"/>
          <w:color w:val="000000" w:themeColor="text1"/>
          <w:sz w:val="24"/>
          <w:highlight w:val="none"/>
          <w14:textFill>
            <w14:solidFill>
              <w14:schemeClr w14:val="tx1"/>
            </w14:solidFill>
          </w14:textFill>
        </w:rPr>
      </w:pPr>
    </w:p>
    <w:p w14:paraId="51B7325B">
      <w:pPr>
        <w:pStyle w:val="55"/>
        <w:rPr>
          <w:rFonts w:ascii="宋体" w:hAnsi="宋体"/>
          <w:color w:val="000000" w:themeColor="text1"/>
          <w:sz w:val="24"/>
          <w:highlight w:val="none"/>
          <w14:textFill>
            <w14:solidFill>
              <w14:schemeClr w14:val="tx1"/>
            </w14:solidFill>
          </w14:textFill>
        </w:rPr>
      </w:pPr>
    </w:p>
    <w:p w14:paraId="26B95F55">
      <w:pPr>
        <w:pStyle w:val="55"/>
        <w:rPr>
          <w:rFonts w:ascii="宋体" w:hAnsi="宋体"/>
          <w:color w:val="000000" w:themeColor="text1"/>
          <w:sz w:val="24"/>
          <w:highlight w:val="none"/>
          <w14:textFill>
            <w14:solidFill>
              <w14:schemeClr w14:val="tx1"/>
            </w14:solidFill>
          </w14:textFill>
        </w:rPr>
      </w:pPr>
    </w:p>
    <w:p w14:paraId="5D3404E7">
      <w:pPr>
        <w:pStyle w:val="55"/>
        <w:rPr>
          <w:rFonts w:ascii="宋体" w:hAnsi="宋体"/>
          <w:color w:val="000000" w:themeColor="text1"/>
          <w:sz w:val="24"/>
          <w:highlight w:val="none"/>
          <w14:textFill>
            <w14:solidFill>
              <w14:schemeClr w14:val="tx1"/>
            </w14:solidFill>
          </w14:textFill>
        </w:rPr>
      </w:pPr>
    </w:p>
    <w:p w14:paraId="3A355B30">
      <w:pPr>
        <w:pStyle w:val="80"/>
        <w:spacing w:before="81"/>
        <w:ind w:right="164"/>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注：1、本表所要求的主要机械设备和试验检测设备须按招标文件投标函的格式承诺，中标人在进场前向招标人提交实际投入的机械设备。</w:t>
      </w:r>
    </w:p>
    <w:p w14:paraId="5398FC87">
      <w:pPr>
        <w:pStyle w:val="80"/>
        <w:spacing w:before="81"/>
        <w:ind w:right="164"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2、招标人有权根据标段的工程特点、工程量及工程进度情况要求增加相应的施工设备，由此不存在索赔问题</w:t>
      </w:r>
      <w:r>
        <w:rPr>
          <w:rFonts w:hint="eastAsia" w:ascii="宋体" w:hAnsi="宋体" w:cs="宋体"/>
          <w:color w:val="000000" w:themeColor="text1"/>
          <w:sz w:val="24"/>
          <w:highlight w:val="none"/>
          <w14:textFill>
            <w14:solidFill>
              <w14:schemeClr w14:val="tx1"/>
            </w14:solidFill>
          </w14:textFill>
        </w:rPr>
        <w:t>。</w:t>
      </w:r>
    </w:p>
    <w:p w14:paraId="7974F93D">
      <w:pPr>
        <w:pStyle w:val="5"/>
        <w:rPr>
          <w:color w:val="000000" w:themeColor="text1"/>
          <w:highlight w:val="none"/>
          <w14:textFill>
            <w14:solidFill>
              <w14:schemeClr w14:val="tx1"/>
            </w14:solidFill>
          </w14:textFill>
        </w:rPr>
      </w:pPr>
      <w:bookmarkStart w:id="1702" w:name="_Toc16658"/>
      <w:bookmarkEnd w:id="1702"/>
      <w:bookmarkStart w:id="1703" w:name="_Toc43476012"/>
      <w:bookmarkEnd w:id="1703"/>
      <w:bookmarkStart w:id="1704" w:name="_Toc505844508"/>
      <w:bookmarkEnd w:id="1704"/>
      <w:r>
        <w:rPr>
          <w:rFonts w:hint="eastAsia"/>
          <w:color w:val="000000" w:themeColor="text1"/>
          <w:highlight w:val="none"/>
          <w14:textFill>
            <w14:solidFill>
              <w14:schemeClr w14:val="tx1"/>
            </w14:solidFill>
          </w14:textFill>
        </w:rPr>
        <w:br w:type="page"/>
      </w:r>
      <w:r>
        <w:rPr>
          <w:rFonts w:hint="eastAsia"/>
          <w:color w:val="000000" w:themeColor="text1"/>
          <w:sz w:val="24"/>
          <w:szCs w:val="24"/>
          <w:highlight w:val="none"/>
          <w14:textFill>
            <w14:solidFill>
              <w14:schemeClr w14:val="tx1"/>
            </w14:solidFill>
          </w14:textFill>
        </w:rPr>
        <w:t>附件六  项目经理委托书</w:t>
      </w:r>
    </w:p>
    <w:p w14:paraId="6DFB4D25">
      <w:pPr>
        <w:spacing w:line="400" w:lineRule="exact"/>
        <w:rPr>
          <w:rFonts w:ascii="宋体" w:hAnsi="宋体"/>
          <w:color w:val="000000" w:themeColor="text1"/>
          <w:sz w:val="24"/>
          <w:highlight w:val="none"/>
          <w14:textFill>
            <w14:solidFill>
              <w14:schemeClr w14:val="tx1"/>
            </w14:solidFill>
          </w14:textFill>
        </w:rPr>
      </w:pPr>
    </w:p>
    <w:p w14:paraId="4C389529">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p>
    <w:p w14:paraId="7597E1F3">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项目经理委任书</w:t>
      </w:r>
    </w:p>
    <w:p w14:paraId="5E8890F5">
      <w:pPr>
        <w:spacing w:line="400" w:lineRule="exact"/>
        <w:rPr>
          <w:rFonts w:ascii="宋体" w:hAnsi="宋体"/>
          <w:color w:val="000000" w:themeColor="text1"/>
          <w:sz w:val="24"/>
          <w:highlight w:val="none"/>
          <w14:textFill>
            <w14:solidFill>
              <w14:schemeClr w14:val="tx1"/>
            </w14:solidFill>
          </w14:textFill>
        </w:rPr>
      </w:pPr>
    </w:p>
    <w:p w14:paraId="6D74A7EA">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（发包人全称</w:t>
      </w:r>
      <w:r>
        <w:rPr>
          <w:rFonts w:hint="eastAsia" w:ascii="宋体" w:hAnsi="宋体"/>
          <w:color w:val="000000" w:themeColor="text1"/>
          <w:sz w:val="24"/>
          <w:highlight w:val="none"/>
          <w14:textFill>
            <w14:solidFill>
              <w14:schemeClr w14:val="tx1"/>
            </w14:solidFill>
          </w14:textFill>
        </w:rPr>
        <w:t>）</w:t>
      </w:r>
    </w:p>
    <w:p w14:paraId="42BE156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（职务、姓名）</w:t>
      </w:r>
      <w:r>
        <w:rPr>
          <w:rFonts w:hint="eastAsia" w:ascii="宋体" w:hAnsi="宋体"/>
          <w:color w:val="000000" w:themeColor="text1"/>
          <w:sz w:val="24"/>
          <w:highlight w:val="none"/>
          <w14:textFill>
            <w14:solidFill>
              <w14:schemeClr w14:val="tx1"/>
            </w14:solidFill>
          </w14:textFill>
        </w:rPr>
        <w:t xml:space="preserve"> 代表本单位委任 </w:t>
      </w:r>
      <w:r>
        <w:rPr>
          <w:rFonts w:hint="eastAsia" w:ascii="宋体" w:hAnsi="宋体"/>
          <w:color w:val="000000" w:themeColor="text1"/>
          <w:sz w:val="24"/>
          <w:highlight w:val="none"/>
          <w:u w:val="single"/>
          <w14:textFill>
            <w14:solidFill>
              <w14:schemeClr w14:val="tx1"/>
            </w14:solidFill>
          </w14:textFill>
        </w:rPr>
        <w:t>（职务、姓名）</w:t>
      </w:r>
      <w:r>
        <w:rPr>
          <w:rFonts w:hint="eastAsia" w:ascii="宋体" w:hAnsi="宋体"/>
          <w:color w:val="000000" w:themeColor="text1"/>
          <w:sz w:val="24"/>
          <w:highlight w:val="none"/>
          <w14:textFill>
            <w14:solidFill>
              <w14:schemeClr w14:val="tx1"/>
            </w14:solidFill>
          </w14:textFill>
        </w:rPr>
        <w:t xml:space="preserve"> 为</w:t>
      </w: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sz w:val="24"/>
          <w:highlight w:val="none"/>
          <w:u w:val="single"/>
          <w14:textFill>
            <w14:solidFill>
              <w14:schemeClr w14:val="tx1"/>
            </w14:solidFill>
          </w14:textFill>
        </w:rPr>
        <w:t xml:space="preserve"> （姓名） </w:t>
      </w:r>
      <w:r>
        <w:rPr>
          <w:rFonts w:hint="eastAsia" w:ascii="宋体" w:hAnsi="宋体"/>
          <w:color w:val="000000" w:themeColor="text1"/>
          <w:sz w:val="24"/>
          <w:highlight w:val="none"/>
          <w14:textFill>
            <w14:solidFill>
              <w14:schemeClr w14:val="tx1"/>
            </w14:solidFill>
          </w14:textFill>
        </w:rPr>
        <w:t>代表本单位全面负责。</w:t>
      </w:r>
    </w:p>
    <w:p w14:paraId="79EC1339">
      <w:pPr>
        <w:spacing w:line="400" w:lineRule="exact"/>
        <w:rPr>
          <w:rFonts w:ascii="宋体" w:hAnsi="宋体"/>
          <w:color w:val="000000" w:themeColor="text1"/>
          <w:sz w:val="24"/>
          <w:highlight w:val="none"/>
          <w14:textFill>
            <w14:solidFill>
              <w14:schemeClr w14:val="tx1"/>
            </w14:solidFill>
          </w14:textFill>
        </w:rPr>
      </w:pPr>
    </w:p>
    <w:p w14:paraId="0B054332">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360E4AD9">
      <w:pPr>
        <w:wordWrap w:val="0"/>
        <w:spacing w:line="400" w:lineRule="exact"/>
        <w:jc w:val="center"/>
        <w:rPr>
          <w:rFonts w:ascii="宋体" w:hAnsi="宋体"/>
          <w:color w:val="000000" w:themeColor="text1"/>
          <w:sz w:val="24"/>
          <w:highlight w:val="none"/>
          <w14:textFill>
            <w14:solidFill>
              <w14:schemeClr w14:val="tx1"/>
            </w14:solidFill>
          </w14:textFill>
        </w:rPr>
      </w:pPr>
    </w:p>
    <w:p w14:paraId="25DB441E">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承包人：（盖单位章）</w:t>
      </w:r>
    </w:p>
    <w:p w14:paraId="1E8D827B">
      <w:pPr>
        <w:wordWrap w:val="0"/>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 </w:t>
      </w:r>
    </w:p>
    <w:p w14:paraId="3179B389">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（姓名） </w:t>
      </w:r>
    </w:p>
    <w:p w14:paraId="305F628E">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（签字） </w:t>
      </w:r>
    </w:p>
    <w:p w14:paraId="1382E643">
      <w:pPr>
        <w:spacing w:line="400" w:lineRule="exact"/>
        <w:rPr>
          <w:rFonts w:ascii="宋体" w:hAnsi="宋体"/>
          <w:color w:val="000000" w:themeColor="text1"/>
          <w:sz w:val="24"/>
          <w:highlight w:val="none"/>
          <w14:textFill>
            <w14:solidFill>
              <w14:schemeClr w14:val="tx1"/>
            </w14:solidFill>
          </w14:textFill>
        </w:rPr>
      </w:pPr>
    </w:p>
    <w:p w14:paraId="618B23F0">
      <w:pPr>
        <w:wordWrap w:val="0"/>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5A7ED195">
      <w:pPr>
        <w:spacing w:line="400" w:lineRule="exact"/>
        <w:rPr>
          <w:rFonts w:ascii="宋体" w:hAnsi="宋体"/>
          <w:color w:val="000000" w:themeColor="text1"/>
          <w:sz w:val="24"/>
          <w:highlight w:val="none"/>
          <w14:textFill>
            <w14:solidFill>
              <w14:schemeClr w14:val="tx1"/>
            </w14:solidFill>
          </w14:textFill>
        </w:rPr>
      </w:pPr>
    </w:p>
    <w:p w14:paraId="2665266C">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抄送：</w:t>
      </w:r>
      <w:r>
        <w:rPr>
          <w:rFonts w:hint="eastAsia" w:ascii="宋体" w:hAnsi="宋体"/>
          <w:color w:val="000000" w:themeColor="text1"/>
          <w:sz w:val="24"/>
          <w:highlight w:val="none"/>
          <w:u w:val="single"/>
          <w14:textFill>
            <w14:solidFill>
              <w14:schemeClr w14:val="tx1"/>
            </w14:solidFill>
          </w14:textFill>
        </w:rPr>
        <w:t xml:space="preserve">  （监理人）</w:t>
      </w:r>
    </w:p>
    <w:p w14:paraId="007EAC2C">
      <w:pPr>
        <w:pStyle w:val="78"/>
        <w:spacing w:line="360" w:lineRule="auto"/>
        <w:rPr>
          <w:rFonts w:ascii="宋体" w:hAnsi="宋体"/>
          <w:color w:val="000000" w:themeColor="text1"/>
          <w:sz w:val="24"/>
          <w:szCs w:val="24"/>
          <w:highlight w:val="none"/>
          <w14:textFill>
            <w14:solidFill>
              <w14:schemeClr w14:val="tx1"/>
            </w14:solidFill>
          </w14:textFill>
        </w:rPr>
      </w:pPr>
      <w:bookmarkStart w:id="1705" w:name="_Toc505844509"/>
      <w:bookmarkEnd w:id="1705"/>
      <w:bookmarkStart w:id="1706" w:name="_Toc505608633"/>
      <w:bookmarkEnd w:id="1706"/>
      <w:bookmarkStart w:id="1707" w:name="_Toc43476013"/>
      <w:bookmarkEnd w:id="1707"/>
      <w:bookmarkStart w:id="1708" w:name="_Toc21137"/>
      <w:bookmarkEnd w:id="1708"/>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 xml:space="preserve">七   </w:t>
      </w:r>
      <w:r>
        <w:rPr>
          <w:rFonts w:ascii="宋体" w:hAnsi="宋体"/>
          <w:color w:val="000000" w:themeColor="text1"/>
          <w:sz w:val="24"/>
          <w:szCs w:val="24"/>
          <w:highlight w:val="none"/>
          <w14:textFill>
            <w14:solidFill>
              <w14:schemeClr w14:val="tx1"/>
            </w14:solidFill>
          </w14:textFill>
        </w:rPr>
        <w:t>履约担保格式</w:t>
      </w:r>
    </w:p>
    <w:p w14:paraId="58BA6C1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如采用银行保函，格式如下。</w:t>
      </w:r>
    </w:p>
    <w:p w14:paraId="5E4CFB58">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履约保证金</w:t>
      </w:r>
    </w:p>
    <w:p w14:paraId="0245BB78">
      <w:pPr>
        <w:rPr>
          <w:rFonts w:ascii="宋体" w:hAnsi="宋体"/>
          <w:color w:val="000000" w:themeColor="text1"/>
          <w:sz w:val="24"/>
          <w:highlight w:val="none"/>
          <w14:textFill>
            <w14:solidFill>
              <w14:schemeClr w14:val="tx1"/>
            </w14:solidFill>
          </w14:textFill>
        </w:rPr>
      </w:pPr>
    </w:p>
    <w:p w14:paraId="609472AA">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（发包人名称）：</w:t>
      </w:r>
    </w:p>
    <w:p w14:paraId="6211F03F">
      <w:pPr>
        <w:rPr>
          <w:rFonts w:ascii="宋体" w:hAnsi="宋体"/>
          <w:color w:val="000000" w:themeColor="text1"/>
          <w:sz w:val="24"/>
          <w:highlight w:val="none"/>
          <w14:textFill>
            <w14:solidFill>
              <w14:schemeClr w14:val="tx1"/>
            </w14:solidFill>
          </w14:textFill>
        </w:rPr>
      </w:pPr>
    </w:p>
    <w:p w14:paraId="11E6806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鉴于（发包人名称，以下简称“发包人”）接受（承包人名称）（以下称“承包人”）于</w:t>
      </w:r>
      <w:r>
        <w:rPr>
          <w:rFonts w:hint="eastAsia" w:ascii="宋体" w:hAnsi="宋体"/>
          <w:color w:val="000000" w:themeColor="text1"/>
          <w:sz w:val="24"/>
          <w:highlight w:val="none"/>
          <w:u w:val="single"/>
          <w14:textFill>
            <w14:solidFill>
              <w14:schemeClr w14:val="tx1"/>
            </w14:solidFill>
          </w14:textFill>
        </w:rPr>
        <w:t xml:space="preserve">     年   月   日</w:t>
      </w:r>
      <w:r>
        <w:rPr>
          <w:rFonts w:ascii="宋体" w:hAnsi="宋体"/>
          <w:color w:val="000000" w:themeColor="text1"/>
          <w:sz w:val="24"/>
          <w:highlight w:val="none"/>
          <w14:textFill>
            <w14:solidFill>
              <w14:schemeClr w14:val="tx1"/>
            </w14:solidFill>
          </w14:textFill>
        </w:rPr>
        <w:t>参加</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的投标。我方愿意无条件地、不可撤销地就承包人履行与你方订立的合同，向你方提供担保。</w:t>
      </w:r>
    </w:p>
    <w:p w14:paraId="4799CAC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1.担保金额人民币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14:paraId="24C6E21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2.担保有效期自发包人与承包人签订的合同生效之日起至发包人签发</w:t>
      </w:r>
      <w:r>
        <w:rPr>
          <w:rFonts w:hint="eastAsia" w:ascii="宋体" w:hAnsi="宋体"/>
          <w:color w:val="000000" w:themeColor="text1"/>
          <w:sz w:val="24"/>
          <w:highlight w:val="none"/>
          <w14:textFill>
            <w14:solidFill>
              <w14:schemeClr w14:val="tx1"/>
            </w14:solidFill>
          </w14:textFill>
        </w:rPr>
        <w:t>交工验收</w:t>
      </w:r>
      <w:r>
        <w:rPr>
          <w:rFonts w:ascii="宋体" w:hAnsi="宋体"/>
          <w:color w:val="000000" w:themeColor="text1"/>
          <w:sz w:val="24"/>
          <w:highlight w:val="none"/>
          <w14:textFill>
            <w14:solidFill>
              <w14:schemeClr w14:val="tx1"/>
            </w14:solidFill>
          </w14:textFill>
        </w:rPr>
        <w:t>证书</w:t>
      </w:r>
      <w:r>
        <w:rPr>
          <w:rFonts w:hint="eastAsia" w:ascii="宋体" w:hAnsi="宋体"/>
          <w:color w:val="000000" w:themeColor="text1"/>
          <w:sz w:val="24"/>
          <w:highlight w:val="none"/>
          <w14:textFill>
            <w14:solidFill>
              <w14:schemeClr w14:val="tx1"/>
            </w14:solidFill>
          </w14:textFill>
        </w:rPr>
        <w:t>且承包人按照合同约定缴纳质量保证金</w:t>
      </w:r>
      <w:r>
        <w:rPr>
          <w:rFonts w:ascii="宋体" w:hAnsi="宋体"/>
          <w:color w:val="000000" w:themeColor="text1"/>
          <w:sz w:val="24"/>
          <w:highlight w:val="none"/>
          <w14:textFill>
            <w14:solidFill>
              <w14:schemeClr w14:val="tx1"/>
            </w14:solidFill>
          </w14:textFill>
        </w:rPr>
        <w:t>之日止。</w:t>
      </w:r>
    </w:p>
    <w:p w14:paraId="63D66BC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highlight w:val="none"/>
          <w14:textFill>
            <w14:solidFill>
              <w14:schemeClr w14:val="tx1"/>
            </w14:solidFill>
          </w14:textFill>
        </w:rPr>
        <w:t>，无须你方出具证明或陈述理由</w:t>
      </w:r>
      <w:r>
        <w:rPr>
          <w:rFonts w:ascii="宋体" w:hAnsi="宋体"/>
          <w:color w:val="000000" w:themeColor="text1"/>
          <w:sz w:val="24"/>
          <w:highlight w:val="none"/>
          <w14:textFill>
            <w14:solidFill>
              <w14:schemeClr w14:val="tx1"/>
            </w14:solidFill>
          </w14:textFill>
        </w:rPr>
        <w:t>。</w:t>
      </w:r>
    </w:p>
    <w:p w14:paraId="0933E7C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4.发包人和承包人按</w:t>
      </w:r>
      <w:r>
        <w:rPr>
          <w:rFonts w:hint="eastAsia" w:ascii="宋体" w:hAnsi="宋体"/>
          <w:color w:val="000000" w:themeColor="text1"/>
          <w:sz w:val="24"/>
          <w:highlight w:val="none"/>
          <w14:textFill>
            <w14:solidFill>
              <w14:schemeClr w14:val="tx1"/>
            </w14:solidFill>
          </w14:textFill>
        </w:rPr>
        <w:t>合同条款</w:t>
      </w:r>
      <w:r>
        <w:rPr>
          <w:rFonts w:ascii="宋体" w:hAnsi="宋体"/>
          <w:color w:val="000000" w:themeColor="text1"/>
          <w:sz w:val="24"/>
          <w:highlight w:val="none"/>
          <w14:textFill>
            <w14:solidFill>
              <w14:schemeClr w14:val="tx1"/>
            </w14:solidFill>
          </w14:textFill>
        </w:rPr>
        <w:t>第15条变更合同时，</w:t>
      </w:r>
      <w:r>
        <w:rPr>
          <w:rFonts w:hint="eastAsia" w:ascii="宋体" w:hAnsi="宋体"/>
          <w:color w:val="000000" w:themeColor="text1"/>
          <w:sz w:val="24"/>
          <w:highlight w:val="none"/>
          <w14:textFill>
            <w14:solidFill>
              <w14:schemeClr w14:val="tx1"/>
            </w14:solidFill>
          </w14:textFill>
        </w:rPr>
        <w:t>无论我方是否收到该变更，</w:t>
      </w:r>
      <w:r>
        <w:rPr>
          <w:rFonts w:ascii="宋体" w:hAnsi="宋体"/>
          <w:color w:val="000000" w:themeColor="text1"/>
          <w:sz w:val="24"/>
          <w:highlight w:val="none"/>
          <w14:textFill>
            <w14:solidFill>
              <w14:schemeClr w14:val="tx1"/>
            </w14:solidFill>
          </w14:textFill>
        </w:rPr>
        <w:t>我方承担本担保规定的义务不变。</w:t>
      </w:r>
    </w:p>
    <w:p w14:paraId="620271D4">
      <w:pPr>
        <w:rPr>
          <w:rFonts w:ascii="宋体" w:hAnsi="宋体"/>
          <w:color w:val="000000" w:themeColor="text1"/>
          <w:sz w:val="24"/>
          <w:highlight w:val="none"/>
          <w14:textFill>
            <w14:solidFill>
              <w14:schemeClr w14:val="tx1"/>
            </w14:solidFill>
          </w14:textFill>
        </w:rPr>
      </w:pPr>
    </w:p>
    <w:p w14:paraId="763C0388">
      <w:pPr>
        <w:rPr>
          <w:rFonts w:ascii="宋体" w:hAnsi="宋体"/>
          <w:color w:val="000000" w:themeColor="text1"/>
          <w:sz w:val="24"/>
          <w:highlight w:val="none"/>
          <w14:textFill>
            <w14:solidFill>
              <w14:schemeClr w14:val="tx1"/>
            </w14:solidFill>
          </w14:textFill>
        </w:rPr>
      </w:pPr>
    </w:p>
    <w:p w14:paraId="21CBDC7B">
      <w:pPr>
        <w:rPr>
          <w:rFonts w:ascii="宋体" w:hAnsi="宋体"/>
          <w:color w:val="000000" w:themeColor="text1"/>
          <w:sz w:val="24"/>
          <w:highlight w:val="none"/>
          <w14:textFill>
            <w14:solidFill>
              <w14:schemeClr w14:val="tx1"/>
            </w14:solidFill>
          </w14:textFill>
        </w:rPr>
      </w:pPr>
    </w:p>
    <w:p w14:paraId="2487A0C3">
      <w:pPr>
        <w:rPr>
          <w:rFonts w:ascii="宋体" w:hAnsi="宋体"/>
          <w:color w:val="000000" w:themeColor="text1"/>
          <w:sz w:val="24"/>
          <w:highlight w:val="none"/>
          <w14:textFill>
            <w14:solidFill>
              <w14:schemeClr w14:val="tx1"/>
            </w14:solidFill>
          </w14:textFill>
        </w:rPr>
      </w:pPr>
    </w:p>
    <w:p w14:paraId="4665DD8A">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担保人：（盖单位章）</w:t>
      </w:r>
    </w:p>
    <w:p w14:paraId="3526A07D">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法定代表人或其委托代理人：（签字）</w:t>
      </w:r>
    </w:p>
    <w:p w14:paraId="63876AF9">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地址：</w:t>
      </w:r>
    </w:p>
    <w:p w14:paraId="583DE294">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p>
    <w:p w14:paraId="1BA4FE7C">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电话：</w:t>
      </w:r>
    </w:p>
    <w:p w14:paraId="5CFACE50">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传真：</w:t>
      </w:r>
    </w:p>
    <w:p w14:paraId="57632E74">
      <w:pPr>
        <w:rPr>
          <w:rFonts w:ascii="宋体" w:hAnsi="宋体"/>
          <w:color w:val="000000" w:themeColor="text1"/>
          <w:sz w:val="24"/>
          <w:highlight w:val="none"/>
          <w14:textFill>
            <w14:solidFill>
              <w14:schemeClr w14:val="tx1"/>
            </w14:solidFill>
          </w14:textFill>
        </w:rPr>
      </w:pPr>
    </w:p>
    <w:p w14:paraId="7724344D">
      <w:pPr>
        <w:rPr>
          <w:rFonts w:ascii="宋体" w:hAnsi="宋体"/>
          <w:color w:val="000000" w:themeColor="text1"/>
          <w:sz w:val="24"/>
          <w:highlight w:val="none"/>
          <w14:textFill>
            <w14:solidFill>
              <w14:schemeClr w14:val="tx1"/>
            </w14:solidFill>
          </w14:textFill>
        </w:rPr>
      </w:pPr>
    </w:p>
    <w:p w14:paraId="3566DB5D">
      <w:pPr>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0D45A09B">
      <w:pPr>
        <w:pStyle w:val="78"/>
        <w:spacing w:line="360" w:lineRule="auto"/>
        <w:rPr>
          <w:rFonts w:ascii="宋体" w:hAnsi="宋体"/>
          <w:color w:val="000000" w:themeColor="text1"/>
          <w:sz w:val="24"/>
          <w:szCs w:val="24"/>
          <w:highlight w:val="none"/>
          <w14:textFill>
            <w14:solidFill>
              <w14:schemeClr w14:val="tx1"/>
            </w14:solidFill>
          </w14:textFill>
        </w:rPr>
      </w:pPr>
      <w:bookmarkStart w:id="1709" w:name="_Toc9453"/>
      <w:bookmarkEnd w:id="1709"/>
      <w:bookmarkStart w:id="1710" w:name="_Toc43476014"/>
      <w:bookmarkEnd w:id="1710"/>
      <w:bookmarkStart w:id="1711" w:name="_Toc505844510"/>
      <w:bookmarkEnd w:id="1711"/>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八   工程资金监管协议</w:t>
      </w:r>
      <w:r>
        <w:rPr>
          <w:rFonts w:ascii="宋体" w:hAnsi="宋体"/>
          <w:color w:val="000000" w:themeColor="text1"/>
          <w:sz w:val="24"/>
          <w:szCs w:val="24"/>
          <w:highlight w:val="none"/>
          <w14:textFill>
            <w14:solidFill>
              <w14:schemeClr w14:val="tx1"/>
            </w14:solidFill>
          </w14:textFill>
        </w:rPr>
        <w:t>格式</w:t>
      </w:r>
    </w:p>
    <w:p w14:paraId="62A21AA2">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14:paraId="727C019D">
      <w:pPr>
        <w:spacing w:before="240" w:after="24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工程资金监管协议</w:t>
      </w:r>
    </w:p>
    <w:p w14:paraId="40026197">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 包 人：（以下简称“甲方”）</w:t>
      </w:r>
    </w:p>
    <w:p w14:paraId="04C7A247">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包 人：（以下简称“乙方”）</w:t>
      </w:r>
    </w:p>
    <w:p w14:paraId="4D421D9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经办银行：（以下简称“丙方”）</w:t>
      </w:r>
    </w:p>
    <w:p w14:paraId="06512BB1">
      <w:pPr>
        <w:rPr>
          <w:rFonts w:ascii="宋体" w:hAnsi="宋体"/>
          <w:color w:val="000000" w:themeColor="text1"/>
          <w:sz w:val="24"/>
          <w:highlight w:val="none"/>
          <w14:textFill>
            <w14:solidFill>
              <w14:schemeClr w14:val="tx1"/>
            </w14:solidFill>
          </w14:textFill>
        </w:rPr>
      </w:pPr>
    </w:p>
    <w:p w14:paraId="3F49FA2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为了促进（项目名称）的顺利实施，管好用好建设资金，确保工程资金专款专用，同时为承包人提供便捷有效的银行业务服务，根据</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合同条款有关规定，经甲、乙、丙三方协商，达成协议如下：</w:t>
      </w:r>
    </w:p>
    <w:p w14:paraId="0FDDBF2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资金管理的内容</w:t>
      </w:r>
    </w:p>
    <w:p w14:paraId="5361611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（1）乙方为完成</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工程成立的项目经理部在丙方开设基本结算户；</w:t>
      </w:r>
    </w:p>
    <w:p w14:paraId="64642BC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（2）甲方应按合同规定将工程款汇入乙方在丙方开设的账户；</w:t>
      </w:r>
    </w:p>
    <w:p w14:paraId="1D9EE41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（3）乙方应将流动资金及甲方所拨付资金专项用于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w:t>
      </w:r>
    </w:p>
    <w:p w14:paraId="34FF64E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（4）丙方应为乙方提供便捷有效的银行业务服务，并接受甲方委托对乙方在丙方开设的基本结算户资金使用情况进行监督。</w:t>
      </w:r>
    </w:p>
    <w:p w14:paraId="34CF534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2.甲方的权责</w:t>
      </w:r>
    </w:p>
    <w:p w14:paraId="2E64BF4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（1）按照（项目名称）合同有关条款规定的时间和方式，向乙方支付工程款；</w:t>
      </w:r>
    </w:p>
    <w:p w14:paraId="7A0815B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（2）在发现乙方将本项目资金挪用、转移时，甲方有权中止工程支付，直至乙方改正为止；</w:t>
      </w:r>
    </w:p>
    <w:p w14:paraId="7229447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（3）不定期审查丙方对乙方的资金使用监督情况，如丙方不能履行其责任，甲方有权随时终止本协议；</w:t>
      </w:r>
    </w:p>
    <w:p w14:paraId="343B678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（4）在乙、丙双方发生争议时，甲方应负责协调、解决。</w:t>
      </w:r>
    </w:p>
    <w:p w14:paraId="25D9103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3.乙方的权责</w:t>
      </w:r>
    </w:p>
    <w:p w14:paraId="70E51B5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（1）项目经理部成立以后，乙方应尽快在丙方开设基本结算户；</w:t>
      </w:r>
    </w:p>
    <w:p w14:paraId="431DA09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（2）确保本项目资金专款专用，不发生挪用、转移资金的现象；保证不通过权益转让、抵押、担保承担债务等任何其他方式使用基本结算户的资金；</w:t>
      </w:r>
    </w:p>
    <w:p w14:paraId="26269B2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（3）办理材料、设备等采购业务金额在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万元以上的，应出示购货合同、协议和发票；在办理总额超过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万元以上的采购业务时，应将合同、协议和发票复印件送丙方备案；购买应急材料、设备时可先办理支付手续，但事后必须补备有关资料；</w:t>
      </w:r>
    </w:p>
    <w:p w14:paraId="70FD2D3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（4）用银行转账支票办理支付款项时，必须将转账支票送交丙方，由丙方负责办理支票转付手续；</w:t>
      </w:r>
    </w:p>
    <w:p w14:paraId="495F50C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（5）向分包单位支付工程进度款时，应附甲方批准分包的文件；</w:t>
      </w:r>
    </w:p>
    <w:p w14:paraId="3DE1882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（6）向上级单位缴纳管理费、机械设备及周转材料租赁摊销费等款项时，应附上级单位出具的转账通知等有关资料，以确保资金专款专用。</w:t>
      </w:r>
    </w:p>
    <w:p w14:paraId="696150F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4.丙方的权责</w:t>
      </w:r>
    </w:p>
    <w:p w14:paraId="526AF93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（1）成立</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工程资金管理服务小组，明确业务流程，提高工作效率，杜绝“压票”现象；</w:t>
      </w:r>
    </w:p>
    <w:p w14:paraId="26C7E79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（2）根据乙方提供的购货合同、协议和发票，检查其所购材料、设备是否用于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工程建设，对本标段以外的购货款项，有权拒绝办理，并及时报告甲方；</w:t>
      </w:r>
    </w:p>
    <w:p w14:paraId="625812E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（3）根据乙方与分包单位签订的合同及支付文件，检查其支付款项是否符合有关条件，向分包单位以外单位的支付有权拒绝办理，并及时报告甲方；</w:t>
      </w:r>
    </w:p>
    <w:p w14:paraId="442094A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（4）根据乙方提供的上级单位出具的转账通知等有关资料，办理管理费、机械设备及周转材料租赁摊销费等款项的支付；对超出转账通知等有关资料以外的支付，有权拒绝办理，并及时转告甲方；</w:t>
      </w:r>
    </w:p>
    <w:p w14:paraId="65A7E48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（5）定期将乙方前一个周期的支付情况，整理后书面报送甲方；乙方复印备案的材料一并送甲方。</w:t>
      </w:r>
    </w:p>
    <w:p w14:paraId="601E3FD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5.甲、乙、丙三方都应履行保密责任，不得将其他两方的业务情况透露给三方以外的其他单位或个人。</w:t>
      </w:r>
    </w:p>
    <w:p w14:paraId="355D7A4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6.本协议有效期自乙方在丙方开户起，至工程交工验收甲方向乙方颁发交工验收证书后结束。</w:t>
      </w:r>
    </w:p>
    <w:p w14:paraId="18D1153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7.本协议未尽事宜，由甲方牵头，三方协商解决。</w:t>
      </w:r>
    </w:p>
    <w:p w14:paraId="771FB97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8.本协议正本三份、副本份。合同三方各执正本一份、副本份，当正本与副本内容不一致时，以正本为准。</w:t>
      </w:r>
    </w:p>
    <w:p w14:paraId="335027DE">
      <w:pPr>
        <w:spacing w:line="360" w:lineRule="exact"/>
        <w:ind w:firstLine="465"/>
        <w:rPr>
          <w:rFonts w:ascii="宋体" w:hAnsi="宋体"/>
          <w:color w:val="000000" w:themeColor="text1"/>
          <w:sz w:val="24"/>
          <w:highlight w:val="none"/>
          <w14:textFill>
            <w14:solidFill>
              <w14:schemeClr w14:val="tx1"/>
            </w14:solidFill>
          </w14:textFill>
        </w:rPr>
      </w:pPr>
    </w:p>
    <w:p w14:paraId="4EDF8999">
      <w:pPr>
        <w:spacing w:line="360" w:lineRule="exact"/>
        <w:ind w:firstLine="465"/>
        <w:rPr>
          <w:rFonts w:ascii="宋体" w:hAnsi="宋体"/>
          <w:color w:val="000000" w:themeColor="text1"/>
          <w:sz w:val="24"/>
          <w:highlight w:val="none"/>
          <w14:textFill>
            <w14:solidFill>
              <w14:schemeClr w14:val="tx1"/>
            </w14:solidFill>
          </w14:textFill>
        </w:rPr>
      </w:pPr>
    </w:p>
    <w:p w14:paraId="034BC345">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发包人：（盖单位章）</w:t>
      </w:r>
    </w:p>
    <w:p w14:paraId="1A9D6F4C">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14:paraId="21EF75CD">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1311244F">
      <w:pPr>
        <w:spacing w:line="360" w:lineRule="exact"/>
        <w:rPr>
          <w:rFonts w:ascii="宋体" w:hAnsi="宋体"/>
          <w:color w:val="000000" w:themeColor="text1"/>
          <w:sz w:val="24"/>
          <w:highlight w:val="none"/>
          <w14:textFill>
            <w14:solidFill>
              <w14:schemeClr w14:val="tx1"/>
            </w14:solidFill>
          </w14:textFill>
        </w:rPr>
      </w:pPr>
    </w:p>
    <w:p w14:paraId="506F7103">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承包人：（盖单位章）</w:t>
      </w:r>
    </w:p>
    <w:p w14:paraId="3291F6D6">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14:paraId="7E713E39">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7499CB07">
      <w:pPr>
        <w:spacing w:line="360" w:lineRule="exact"/>
        <w:rPr>
          <w:rFonts w:ascii="宋体" w:hAnsi="宋体"/>
          <w:color w:val="000000" w:themeColor="text1"/>
          <w:sz w:val="24"/>
          <w:highlight w:val="none"/>
          <w14:textFill>
            <w14:solidFill>
              <w14:schemeClr w14:val="tx1"/>
            </w14:solidFill>
          </w14:textFill>
        </w:rPr>
      </w:pPr>
    </w:p>
    <w:p w14:paraId="2EA43422">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经办银行：（盖单位章）</w:t>
      </w:r>
    </w:p>
    <w:p w14:paraId="20A59A97">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14:paraId="06A7944B">
      <w:pPr>
        <w:spacing w:line="360" w:lineRule="exact"/>
        <w:ind w:firstLine="465"/>
        <w:rPr>
          <w:rFonts w:ascii="宋体" w:hAnsi="宋体"/>
          <w:color w:val="000000" w:themeColor="text1"/>
          <w:sz w:val="24"/>
          <w:highlight w:val="none"/>
          <w14:textFill>
            <w14:solidFill>
              <w14:schemeClr w14:val="tx1"/>
            </w14:solidFill>
          </w14:textFill>
        </w:rPr>
        <w:sectPr>
          <w:footerReference r:id="rId10" w:type="first"/>
          <w:footerReference r:id="rId9"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年   月   日</w:t>
      </w:r>
    </w:p>
    <w:p w14:paraId="5637A418">
      <w:pPr>
        <w:pStyle w:val="78"/>
        <w:spacing w:line="360" w:lineRule="auto"/>
        <w:rPr>
          <w:rFonts w:ascii="宋体" w:hAnsi="宋体"/>
          <w:color w:val="000000" w:themeColor="text1"/>
          <w:sz w:val="24"/>
          <w:szCs w:val="24"/>
          <w:highlight w:val="none"/>
          <w14:textFill>
            <w14:solidFill>
              <w14:schemeClr w14:val="tx1"/>
            </w14:solidFill>
          </w14:textFill>
        </w:rPr>
      </w:pPr>
      <w:bookmarkStart w:id="1712" w:name="_Toc453056969"/>
      <w:bookmarkEnd w:id="1712"/>
      <w:bookmarkStart w:id="1713" w:name="_Toc451261387"/>
      <w:bookmarkEnd w:id="1713"/>
      <w:bookmarkStart w:id="1714" w:name="_Toc453057197"/>
      <w:bookmarkEnd w:id="1714"/>
      <w:bookmarkStart w:id="1715" w:name="_Toc452498666"/>
      <w:bookmarkEnd w:id="1715"/>
      <w:bookmarkStart w:id="1716" w:name="_Toc9003"/>
      <w:bookmarkEnd w:id="1716"/>
      <w:bookmarkStart w:id="1717" w:name="_Toc452498896"/>
      <w:bookmarkEnd w:id="1717"/>
      <w:bookmarkStart w:id="1718" w:name="_Toc43476015"/>
      <w:bookmarkEnd w:id="1718"/>
      <w:bookmarkStart w:id="1719" w:name="_Toc198"/>
      <w:bookmarkEnd w:id="1719"/>
      <w:r>
        <w:rPr>
          <w:rFonts w:hint="eastAsia" w:ascii="宋体" w:hAnsi="宋体"/>
          <w:color w:val="000000" w:themeColor="text1"/>
          <w:sz w:val="24"/>
          <w:szCs w:val="24"/>
          <w:highlight w:val="none"/>
          <w14:textFill>
            <w14:solidFill>
              <w14:schemeClr w14:val="tx1"/>
            </w14:solidFill>
          </w14:textFill>
        </w:rPr>
        <w:t>附件九  特殊材料设备供应一览表</w:t>
      </w:r>
    </w:p>
    <w:p w14:paraId="78EDC25F">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特殊材料设备供应一览表</w:t>
      </w:r>
    </w:p>
    <w:tbl>
      <w:tblPr>
        <w:tblStyle w:val="45"/>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14:paraId="53C2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3CDF9BF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14:paraId="1C5B891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14:paraId="147E1C0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14:paraId="62DD4D4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76" w:type="dxa"/>
            <w:vAlign w:val="center"/>
          </w:tcPr>
          <w:p w14:paraId="32B82DF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w:t>
            </w:r>
          </w:p>
          <w:p w14:paraId="578D8DA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c>
          <w:tcPr>
            <w:tcW w:w="992" w:type="dxa"/>
            <w:vAlign w:val="center"/>
          </w:tcPr>
          <w:p w14:paraId="6EFBDCE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14:paraId="198C3EC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2" w:type="dxa"/>
            <w:vAlign w:val="center"/>
          </w:tcPr>
          <w:p w14:paraId="211B5BB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14:paraId="7CF9D67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709" w:type="dxa"/>
            <w:vAlign w:val="center"/>
          </w:tcPr>
          <w:p w14:paraId="5AECAC6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992" w:type="dxa"/>
            <w:vAlign w:val="center"/>
          </w:tcPr>
          <w:p w14:paraId="3909B39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3B4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27D3BA6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331F4A66">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65FF576F">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95019D8">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161B9DD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C90914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E8586CA">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28E3A156">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9ADFAEF">
            <w:pPr>
              <w:pStyle w:val="68"/>
              <w:rPr>
                <w:rFonts w:ascii="宋体" w:hAnsi="宋体" w:cs="宋体"/>
                <w:color w:val="000000" w:themeColor="text1"/>
                <w:sz w:val="28"/>
                <w:szCs w:val="28"/>
                <w:highlight w:val="none"/>
                <w14:textFill>
                  <w14:solidFill>
                    <w14:schemeClr w14:val="tx1"/>
                  </w14:solidFill>
                </w14:textFill>
              </w:rPr>
            </w:pPr>
          </w:p>
        </w:tc>
      </w:tr>
      <w:tr w14:paraId="3107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80F984A">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11CED00">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7F00FD88">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0E47124D">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7E4C20C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6B7501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F7F0F06">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7067EED4">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4F1E24D3">
            <w:pPr>
              <w:pStyle w:val="68"/>
              <w:rPr>
                <w:rFonts w:ascii="宋体" w:hAnsi="宋体" w:cs="宋体"/>
                <w:color w:val="000000" w:themeColor="text1"/>
                <w:sz w:val="28"/>
                <w:szCs w:val="28"/>
                <w:highlight w:val="none"/>
                <w14:textFill>
                  <w14:solidFill>
                    <w14:schemeClr w14:val="tx1"/>
                  </w14:solidFill>
                </w14:textFill>
              </w:rPr>
            </w:pPr>
          </w:p>
        </w:tc>
      </w:tr>
      <w:tr w14:paraId="7DCF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E44E850">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57A232F">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70FFA265">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6CC1AD84">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2A64A48B">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A856F7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C25F776">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04D9EF13">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768FA303">
            <w:pPr>
              <w:pStyle w:val="68"/>
              <w:rPr>
                <w:rFonts w:ascii="宋体" w:hAnsi="宋体" w:cs="宋体"/>
                <w:color w:val="000000" w:themeColor="text1"/>
                <w:sz w:val="28"/>
                <w:szCs w:val="28"/>
                <w:highlight w:val="none"/>
                <w14:textFill>
                  <w14:solidFill>
                    <w14:schemeClr w14:val="tx1"/>
                  </w14:solidFill>
                </w14:textFill>
              </w:rPr>
            </w:pPr>
          </w:p>
        </w:tc>
      </w:tr>
      <w:tr w14:paraId="2889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57DEB4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87FF91C">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FE0A316">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57178FC1">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0F71979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77DD8E7B">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0CE96CC">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661D8D6">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6680571">
            <w:pPr>
              <w:pStyle w:val="68"/>
              <w:rPr>
                <w:rFonts w:ascii="宋体" w:hAnsi="宋体" w:cs="宋体"/>
                <w:color w:val="000000" w:themeColor="text1"/>
                <w:sz w:val="28"/>
                <w:szCs w:val="28"/>
                <w:highlight w:val="none"/>
                <w14:textFill>
                  <w14:solidFill>
                    <w14:schemeClr w14:val="tx1"/>
                  </w14:solidFill>
                </w14:textFill>
              </w:rPr>
            </w:pPr>
          </w:p>
        </w:tc>
      </w:tr>
      <w:tr w14:paraId="5AFD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440DD74">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89352C9">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796CEA8E">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259D18B">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3D84C05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EF8862E">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56B12D0">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1FB3BA4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918317F">
            <w:pPr>
              <w:pStyle w:val="68"/>
              <w:rPr>
                <w:rFonts w:ascii="宋体" w:hAnsi="宋体" w:cs="宋体"/>
                <w:color w:val="000000" w:themeColor="text1"/>
                <w:sz w:val="28"/>
                <w:szCs w:val="28"/>
                <w:highlight w:val="none"/>
                <w14:textFill>
                  <w14:solidFill>
                    <w14:schemeClr w14:val="tx1"/>
                  </w14:solidFill>
                </w14:textFill>
              </w:rPr>
            </w:pPr>
          </w:p>
        </w:tc>
      </w:tr>
      <w:tr w14:paraId="73EB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C709E9A">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24C21920">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34CA086A">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51AA9945">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4D2C1218">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31EE71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5595785">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0B9DD71">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38DF806">
            <w:pPr>
              <w:pStyle w:val="68"/>
              <w:rPr>
                <w:rFonts w:ascii="宋体" w:hAnsi="宋体" w:cs="宋体"/>
                <w:color w:val="000000" w:themeColor="text1"/>
                <w:sz w:val="28"/>
                <w:szCs w:val="28"/>
                <w:highlight w:val="none"/>
                <w14:textFill>
                  <w14:solidFill>
                    <w14:schemeClr w14:val="tx1"/>
                  </w14:solidFill>
                </w14:textFill>
              </w:rPr>
            </w:pPr>
          </w:p>
        </w:tc>
      </w:tr>
      <w:tr w14:paraId="6CE3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86C504E">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99DC8A8">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231E5F8">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1A477B83">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4A34C85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C8FA23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31C94D1">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6B14C16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F410718">
            <w:pPr>
              <w:pStyle w:val="68"/>
              <w:rPr>
                <w:rFonts w:ascii="宋体" w:hAnsi="宋体" w:cs="宋体"/>
                <w:color w:val="000000" w:themeColor="text1"/>
                <w:sz w:val="28"/>
                <w:szCs w:val="28"/>
                <w:highlight w:val="none"/>
                <w14:textFill>
                  <w14:solidFill>
                    <w14:schemeClr w14:val="tx1"/>
                  </w14:solidFill>
                </w14:textFill>
              </w:rPr>
            </w:pPr>
          </w:p>
        </w:tc>
      </w:tr>
      <w:tr w14:paraId="4DDE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716C226">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B309636">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19855169">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501A5949">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691B1F3B">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B6110C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F6DBB60">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F1E4ED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44ECC3E">
            <w:pPr>
              <w:pStyle w:val="68"/>
              <w:rPr>
                <w:rFonts w:ascii="宋体" w:hAnsi="宋体" w:cs="宋体"/>
                <w:color w:val="000000" w:themeColor="text1"/>
                <w:sz w:val="28"/>
                <w:szCs w:val="28"/>
                <w:highlight w:val="none"/>
                <w14:textFill>
                  <w14:solidFill>
                    <w14:schemeClr w14:val="tx1"/>
                  </w14:solidFill>
                </w14:textFill>
              </w:rPr>
            </w:pPr>
          </w:p>
        </w:tc>
      </w:tr>
      <w:tr w14:paraId="0FF3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D77B031">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691C2A6">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69192A3A">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34AF7025">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20AF9DD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82FE967">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059C72E">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255DAD4">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DC74E73">
            <w:pPr>
              <w:pStyle w:val="68"/>
              <w:rPr>
                <w:rFonts w:ascii="宋体" w:hAnsi="宋体" w:cs="宋体"/>
                <w:color w:val="000000" w:themeColor="text1"/>
                <w:sz w:val="28"/>
                <w:szCs w:val="28"/>
                <w:highlight w:val="none"/>
                <w14:textFill>
                  <w14:solidFill>
                    <w14:schemeClr w14:val="tx1"/>
                  </w14:solidFill>
                </w14:textFill>
              </w:rPr>
            </w:pPr>
          </w:p>
        </w:tc>
      </w:tr>
    </w:tbl>
    <w:p w14:paraId="376E3EB5">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8925314">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390E46A">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B87679A">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EB7DB57">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90BF0D2">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2BFB6A6">
      <w:pPr>
        <w:pStyle w:val="78"/>
        <w:spacing w:line="360" w:lineRule="auto"/>
        <w:rPr>
          <w:rFonts w:ascii="宋体" w:hAnsi="宋体"/>
          <w:color w:val="000000" w:themeColor="text1"/>
          <w:sz w:val="24"/>
          <w:szCs w:val="24"/>
          <w:highlight w:val="none"/>
          <w14:textFill>
            <w14:solidFill>
              <w14:schemeClr w14:val="tx1"/>
            </w14:solidFill>
          </w14:textFill>
        </w:rPr>
      </w:pPr>
      <w:bookmarkStart w:id="1720" w:name="_Toc43476016"/>
      <w:bookmarkEnd w:id="1720"/>
      <w:r>
        <w:rPr>
          <w:rFonts w:hint="eastAsia" w:ascii="宋体" w:hAnsi="宋体"/>
          <w:color w:val="000000" w:themeColor="text1"/>
          <w:sz w:val="24"/>
          <w:szCs w:val="24"/>
          <w:highlight w:val="none"/>
          <w14:textFill>
            <w14:solidFill>
              <w14:schemeClr w14:val="tx1"/>
            </w14:solidFill>
          </w14:textFill>
        </w:rPr>
        <w:t>附件十  统一采购供应材料一览表</w:t>
      </w:r>
    </w:p>
    <w:p w14:paraId="39A67169">
      <w:pPr>
        <w:pStyle w:val="68"/>
        <w:rPr>
          <w:rFonts w:ascii="宋体" w:hAnsi="宋体" w:cs="宋体"/>
          <w:color w:val="000000" w:themeColor="text1"/>
          <w:sz w:val="24"/>
          <w:highlight w:val="none"/>
          <w14:textFill>
            <w14:solidFill>
              <w14:schemeClr w14:val="tx1"/>
            </w14:solidFill>
          </w14:textFill>
        </w:rPr>
      </w:pPr>
    </w:p>
    <w:tbl>
      <w:tblPr>
        <w:tblStyle w:val="45"/>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14:paraId="6E4A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745030E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14:paraId="13690EE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14:paraId="37BD880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14:paraId="447D6A5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559" w:type="dxa"/>
            <w:vAlign w:val="center"/>
          </w:tcPr>
          <w:p w14:paraId="3AA9156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到达工地价格（元）</w:t>
            </w:r>
          </w:p>
        </w:tc>
        <w:tc>
          <w:tcPr>
            <w:tcW w:w="992" w:type="dxa"/>
            <w:vAlign w:val="center"/>
          </w:tcPr>
          <w:p w14:paraId="372AE7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14:paraId="4CFE0E0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3" w:type="dxa"/>
            <w:vAlign w:val="center"/>
          </w:tcPr>
          <w:p w14:paraId="1503FE0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14:paraId="18B7F06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850" w:type="dxa"/>
            <w:vAlign w:val="center"/>
          </w:tcPr>
          <w:p w14:paraId="1B538AA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709" w:type="dxa"/>
            <w:vAlign w:val="center"/>
          </w:tcPr>
          <w:p w14:paraId="593A904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7EE4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452F2F5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1240D0C4">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3F170524">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7BB1C5B6">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6502A16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4CC2795B">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582EA5CF">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75E4E52C">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687EA246">
            <w:pPr>
              <w:pStyle w:val="68"/>
              <w:rPr>
                <w:rFonts w:ascii="宋体" w:hAnsi="宋体" w:cs="宋体"/>
                <w:color w:val="000000" w:themeColor="text1"/>
                <w:sz w:val="28"/>
                <w:szCs w:val="28"/>
                <w:highlight w:val="none"/>
                <w14:textFill>
                  <w14:solidFill>
                    <w14:schemeClr w14:val="tx1"/>
                  </w14:solidFill>
                </w14:textFill>
              </w:rPr>
            </w:pPr>
          </w:p>
        </w:tc>
      </w:tr>
      <w:tr w14:paraId="5B80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2758EEE9">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0F5C0E5B">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4D6F5985">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33A2AE01">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587EFDE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A535982">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4598D52B">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64975B11">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98FE22A">
            <w:pPr>
              <w:pStyle w:val="68"/>
              <w:rPr>
                <w:rFonts w:ascii="宋体" w:hAnsi="宋体" w:cs="宋体"/>
                <w:color w:val="000000" w:themeColor="text1"/>
                <w:sz w:val="28"/>
                <w:szCs w:val="28"/>
                <w:highlight w:val="none"/>
                <w14:textFill>
                  <w14:solidFill>
                    <w14:schemeClr w14:val="tx1"/>
                  </w14:solidFill>
                </w14:textFill>
              </w:rPr>
            </w:pPr>
          </w:p>
        </w:tc>
      </w:tr>
      <w:tr w14:paraId="1260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D1DD655">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A338E4F">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0CE6A557">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265B9499">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0C0F375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2047742">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130DE41C">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25788ECE">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5A941051">
            <w:pPr>
              <w:pStyle w:val="68"/>
              <w:rPr>
                <w:rFonts w:ascii="宋体" w:hAnsi="宋体" w:cs="宋体"/>
                <w:color w:val="000000" w:themeColor="text1"/>
                <w:sz w:val="28"/>
                <w:szCs w:val="28"/>
                <w:highlight w:val="none"/>
                <w14:textFill>
                  <w14:solidFill>
                    <w14:schemeClr w14:val="tx1"/>
                  </w14:solidFill>
                </w14:textFill>
              </w:rPr>
            </w:pPr>
          </w:p>
        </w:tc>
      </w:tr>
      <w:tr w14:paraId="7D4A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C5D977B">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37ED6F24">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1B56ED0A">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D334D8C">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4D963358">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B435F47">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44F9685E">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73C4F379">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F3DDE34">
            <w:pPr>
              <w:pStyle w:val="68"/>
              <w:rPr>
                <w:rFonts w:ascii="宋体" w:hAnsi="宋体" w:cs="宋体"/>
                <w:color w:val="000000" w:themeColor="text1"/>
                <w:sz w:val="28"/>
                <w:szCs w:val="28"/>
                <w:highlight w:val="none"/>
                <w14:textFill>
                  <w14:solidFill>
                    <w14:schemeClr w14:val="tx1"/>
                  </w14:solidFill>
                </w14:textFill>
              </w:rPr>
            </w:pPr>
          </w:p>
        </w:tc>
      </w:tr>
      <w:tr w14:paraId="4A87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528E81F">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888798A">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7072DCFB">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207ED2EE">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0AFA847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B26DBAF">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307C1AFD">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041A4B37">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12E3C122">
            <w:pPr>
              <w:pStyle w:val="68"/>
              <w:rPr>
                <w:rFonts w:ascii="宋体" w:hAnsi="宋体" w:cs="宋体"/>
                <w:color w:val="000000" w:themeColor="text1"/>
                <w:sz w:val="28"/>
                <w:szCs w:val="28"/>
                <w:highlight w:val="none"/>
                <w14:textFill>
                  <w14:solidFill>
                    <w14:schemeClr w14:val="tx1"/>
                  </w14:solidFill>
                </w14:textFill>
              </w:rPr>
            </w:pPr>
          </w:p>
        </w:tc>
      </w:tr>
      <w:tr w14:paraId="6F43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DF6960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6EB09B13">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68F4B32">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651D4115">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3AA38B34">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072EC2E">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257D1937">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5D7A6234">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1A0D053">
            <w:pPr>
              <w:pStyle w:val="68"/>
              <w:rPr>
                <w:rFonts w:ascii="宋体" w:hAnsi="宋体" w:cs="宋体"/>
                <w:color w:val="000000" w:themeColor="text1"/>
                <w:sz w:val="28"/>
                <w:szCs w:val="28"/>
                <w:highlight w:val="none"/>
                <w14:textFill>
                  <w14:solidFill>
                    <w14:schemeClr w14:val="tx1"/>
                  </w14:solidFill>
                </w14:textFill>
              </w:rPr>
            </w:pPr>
          </w:p>
        </w:tc>
      </w:tr>
      <w:tr w14:paraId="6790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1309F2B">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E560C3A">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14BF5606">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59CCA63">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0F197C73">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4575D5D6">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72BF51E2">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46BB189A">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5C3D3A6F">
            <w:pPr>
              <w:pStyle w:val="68"/>
              <w:rPr>
                <w:rFonts w:ascii="宋体" w:hAnsi="宋体" w:cs="宋体"/>
                <w:color w:val="000000" w:themeColor="text1"/>
                <w:sz w:val="28"/>
                <w:szCs w:val="28"/>
                <w:highlight w:val="none"/>
                <w14:textFill>
                  <w14:solidFill>
                    <w14:schemeClr w14:val="tx1"/>
                  </w14:solidFill>
                </w14:textFill>
              </w:rPr>
            </w:pPr>
          </w:p>
        </w:tc>
      </w:tr>
      <w:tr w14:paraId="7071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2244D2C">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1C9C8CDC">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20883A3">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B6C9007">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0488BA6C">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00AD341">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1396FBFC">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66ECC959">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0D423D99">
            <w:pPr>
              <w:pStyle w:val="68"/>
              <w:rPr>
                <w:rFonts w:ascii="宋体" w:hAnsi="宋体" w:cs="宋体"/>
                <w:color w:val="000000" w:themeColor="text1"/>
                <w:sz w:val="28"/>
                <w:szCs w:val="28"/>
                <w:highlight w:val="none"/>
                <w14:textFill>
                  <w14:solidFill>
                    <w14:schemeClr w14:val="tx1"/>
                  </w14:solidFill>
                </w14:textFill>
              </w:rPr>
            </w:pPr>
          </w:p>
        </w:tc>
      </w:tr>
      <w:tr w14:paraId="60AD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54B6345">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E93D452">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847C272">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2861CF7E">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593633FD">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D15BB42">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1179EA55">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699C21E3">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1BBE5EC8">
            <w:pPr>
              <w:pStyle w:val="68"/>
              <w:rPr>
                <w:rFonts w:ascii="宋体" w:hAnsi="宋体" w:cs="宋体"/>
                <w:color w:val="000000" w:themeColor="text1"/>
                <w:sz w:val="28"/>
                <w:szCs w:val="28"/>
                <w:highlight w:val="none"/>
                <w14:textFill>
                  <w14:solidFill>
                    <w14:schemeClr w14:val="tx1"/>
                  </w14:solidFill>
                </w14:textFill>
              </w:rPr>
            </w:pPr>
          </w:p>
        </w:tc>
      </w:tr>
    </w:tbl>
    <w:p w14:paraId="4849A192">
      <w:pPr>
        <w:pStyle w:val="68"/>
        <w:rPr>
          <w:rFonts w:ascii="宋体" w:hAnsi="宋体" w:cs="宋体"/>
          <w:color w:val="000000" w:themeColor="text1"/>
          <w:sz w:val="28"/>
          <w:szCs w:val="28"/>
          <w:highlight w:val="none"/>
          <w14:textFill>
            <w14:solidFill>
              <w14:schemeClr w14:val="tx1"/>
            </w14:solidFill>
          </w14:textFill>
        </w:rPr>
      </w:pPr>
    </w:p>
    <w:p w14:paraId="0DA8DB77">
      <w:pPr>
        <w:pStyle w:val="68"/>
        <w:rPr>
          <w:rFonts w:ascii="宋体" w:hAnsi="宋体" w:cs="宋体"/>
          <w:color w:val="000000" w:themeColor="text1"/>
          <w:sz w:val="28"/>
          <w:szCs w:val="28"/>
          <w:highlight w:val="none"/>
          <w14:textFill>
            <w14:solidFill>
              <w14:schemeClr w14:val="tx1"/>
            </w14:solidFill>
          </w14:textFill>
        </w:rPr>
      </w:pPr>
    </w:p>
    <w:p w14:paraId="742309B1">
      <w:pPr>
        <w:pStyle w:val="68"/>
        <w:rPr>
          <w:rFonts w:ascii="宋体" w:hAnsi="宋体" w:cs="宋体"/>
          <w:color w:val="000000" w:themeColor="text1"/>
          <w:sz w:val="28"/>
          <w:szCs w:val="28"/>
          <w:highlight w:val="none"/>
          <w14:textFill>
            <w14:solidFill>
              <w14:schemeClr w14:val="tx1"/>
            </w14:solidFill>
          </w14:textFill>
        </w:rPr>
      </w:pPr>
    </w:p>
    <w:p w14:paraId="734103EC">
      <w:pPr>
        <w:pStyle w:val="68"/>
        <w:rPr>
          <w:rFonts w:ascii="宋体" w:hAnsi="宋体" w:cs="宋体"/>
          <w:color w:val="000000" w:themeColor="text1"/>
          <w:sz w:val="28"/>
          <w:szCs w:val="28"/>
          <w:highlight w:val="none"/>
          <w14:textFill>
            <w14:solidFill>
              <w14:schemeClr w14:val="tx1"/>
            </w14:solidFill>
          </w14:textFill>
        </w:rPr>
      </w:pPr>
    </w:p>
    <w:p w14:paraId="3BA04D7A">
      <w:pPr>
        <w:pStyle w:val="78"/>
        <w:spacing w:line="360" w:lineRule="auto"/>
        <w:rPr>
          <w:rFonts w:ascii="宋体" w:hAnsi="宋体"/>
          <w:color w:val="000000" w:themeColor="text1"/>
          <w:sz w:val="24"/>
          <w:szCs w:val="24"/>
          <w:highlight w:val="none"/>
          <w14:textFill>
            <w14:solidFill>
              <w14:schemeClr w14:val="tx1"/>
            </w14:solidFill>
          </w14:textFill>
        </w:rPr>
      </w:pPr>
      <w:bookmarkStart w:id="1721" w:name="_Toc14336"/>
      <w:bookmarkEnd w:id="1721"/>
      <w:bookmarkStart w:id="1722" w:name="_Toc451261388"/>
      <w:bookmarkEnd w:id="1722"/>
      <w:bookmarkStart w:id="1723" w:name="_Toc452498897"/>
      <w:bookmarkEnd w:id="1723"/>
      <w:bookmarkStart w:id="1724" w:name="_Toc43476017"/>
      <w:bookmarkEnd w:id="1724"/>
      <w:bookmarkStart w:id="1725" w:name="_Toc16722"/>
      <w:bookmarkEnd w:id="1725"/>
      <w:bookmarkStart w:id="1726" w:name="_Toc453056970"/>
      <w:bookmarkEnd w:id="1726"/>
      <w:bookmarkStart w:id="1727" w:name="_Toc452498667"/>
      <w:bookmarkEnd w:id="1727"/>
      <w:bookmarkStart w:id="1728" w:name="_Toc453057198"/>
      <w:bookmarkEnd w:id="1728"/>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附件十一  承包人违约金一览表</w:t>
      </w:r>
    </w:p>
    <w:p w14:paraId="56EA521D">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22.1.2附表   承包人违约金一览表</w:t>
      </w:r>
    </w:p>
    <w:tbl>
      <w:tblPr>
        <w:tblStyle w:val="45"/>
        <w:tblW w:w="9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350"/>
        <w:gridCol w:w="1914"/>
      </w:tblGrid>
      <w:tr w14:paraId="2430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24DD945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14" w:type="dxa"/>
            <w:vAlign w:val="center"/>
          </w:tcPr>
          <w:p w14:paraId="14365D3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合同依据</w:t>
            </w:r>
          </w:p>
        </w:tc>
        <w:tc>
          <w:tcPr>
            <w:tcW w:w="3534" w:type="dxa"/>
            <w:vAlign w:val="center"/>
          </w:tcPr>
          <w:p w14:paraId="608CAC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违约内容</w:t>
            </w:r>
          </w:p>
        </w:tc>
        <w:tc>
          <w:tcPr>
            <w:tcW w:w="2350" w:type="dxa"/>
            <w:vAlign w:val="center"/>
          </w:tcPr>
          <w:p w14:paraId="0EEFECF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违约金标准</w:t>
            </w:r>
          </w:p>
        </w:tc>
        <w:tc>
          <w:tcPr>
            <w:tcW w:w="1914" w:type="dxa"/>
            <w:vAlign w:val="center"/>
          </w:tcPr>
          <w:p w14:paraId="29A1B26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1040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5A7508A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14" w:type="dxa"/>
            <w:vAlign w:val="center"/>
          </w:tcPr>
          <w:p w14:paraId="7C4C5A0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w:t>
            </w:r>
          </w:p>
        </w:tc>
        <w:tc>
          <w:tcPr>
            <w:tcW w:w="3534" w:type="dxa"/>
            <w:vAlign w:val="center"/>
          </w:tcPr>
          <w:p w14:paraId="522E80E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未得到监理人批准，承包人擅自对施工图的任何部分进行修改。</w:t>
            </w:r>
          </w:p>
        </w:tc>
        <w:tc>
          <w:tcPr>
            <w:tcW w:w="2350" w:type="dxa"/>
            <w:vAlign w:val="center"/>
          </w:tcPr>
          <w:p w14:paraId="0B8B692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2万元/次</w:t>
            </w:r>
          </w:p>
        </w:tc>
        <w:tc>
          <w:tcPr>
            <w:tcW w:w="1914" w:type="dxa"/>
          </w:tcPr>
          <w:p w14:paraId="4411FB6C">
            <w:pPr>
              <w:pStyle w:val="68"/>
              <w:rPr>
                <w:rFonts w:ascii="宋体" w:hAnsi="宋体" w:cs="宋体"/>
                <w:color w:val="000000" w:themeColor="text1"/>
                <w:sz w:val="24"/>
                <w:highlight w:val="none"/>
                <w14:textFill>
                  <w14:solidFill>
                    <w14:schemeClr w14:val="tx1"/>
                  </w14:solidFill>
                </w14:textFill>
              </w:rPr>
            </w:pPr>
          </w:p>
        </w:tc>
      </w:tr>
      <w:tr w14:paraId="5460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0939344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14" w:type="dxa"/>
            <w:vAlign w:val="center"/>
          </w:tcPr>
          <w:p w14:paraId="6A1C1EF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16D52D7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施工组织设计未经审批即开始实施。</w:t>
            </w:r>
          </w:p>
        </w:tc>
        <w:tc>
          <w:tcPr>
            <w:tcW w:w="2350" w:type="dxa"/>
            <w:vAlign w:val="center"/>
          </w:tcPr>
          <w:p w14:paraId="21FFF46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 万元/次</w:t>
            </w:r>
          </w:p>
        </w:tc>
        <w:tc>
          <w:tcPr>
            <w:tcW w:w="1914" w:type="dxa"/>
          </w:tcPr>
          <w:p w14:paraId="1F93323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属于严重违约，建议参照“违规分包或转包”进行重罚。</w:t>
            </w:r>
          </w:p>
        </w:tc>
      </w:tr>
      <w:tr w14:paraId="39BC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4C2249F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14" w:type="dxa"/>
            <w:vAlign w:val="center"/>
          </w:tcPr>
          <w:p w14:paraId="4E1C292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251676D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未按批复的施工组织设计方案组织施工，随意调整或变更。</w:t>
            </w:r>
          </w:p>
        </w:tc>
        <w:tc>
          <w:tcPr>
            <w:tcW w:w="2350" w:type="dxa"/>
            <w:vAlign w:val="center"/>
          </w:tcPr>
          <w:p w14:paraId="6CED916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14:paraId="2D1B2C3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14:paraId="3324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5036530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14" w:type="dxa"/>
            <w:vAlign w:val="center"/>
          </w:tcPr>
          <w:p w14:paraId="4361DD0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6D19293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超过一定规模的危险性较大工程未组织专家论证、审查。</w:t>
            </w:r>
          </w:p>
        </w:tc>
        <w:tc>
          <w:tcPr>
            <w:tcW w:w="2350" w:type="dxa"/>
            <w:vAlign w:val="center"/>
          </w:tcPr>
          <w:p w14:paraId="23CEF15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14:paraId="0BE28D4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14:paraId="0D92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586067E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14" w:type="dxa"/>
            <w:vAlign w:val="center"/>
          </w:tcPr>
          <w:p w14:paraId="03C9E92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77B958A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因设计出现重大变更、施工方法发生重大调整、外部施工环境或施工条件发生重大变化等未及时进行修编的。</w:t>
            </w:r>
          </w:p>
        </w:tc>
        <w:tc>
          <w:tcPr>
            <w:tcW w:w="2350" w:type="dxa"/>
            <w:vAlign w:val="center"/>
          </w:tcPr>
          <w:p w14:paraId="51C4757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万元/次</w:t>
            </w:r>
          </w:p>
        </w:tc>
        <w:tc>
          <w:tcPr>
            <w:tcW w:w="1914" w:type="dxa"/>
          </w:tcPr>
          <w:p w14:paraId="36CC07C4">
            <w:pPr>
              <w:pStyle w:val="68"/>
              <w:rPr>
                <w:rFonts w:ascii="宋体" w:hAnsi="宋体" w:cs="宋体"/>
                <w:color w:val="000000" w:themeColor="text1"/>
                <w:sz w:val="24"/>
                <w:highlight w:val="none"/>
                <w14:textFill>
                  <w14:solidFill>
                    <w14:schemeClr w14:val="tx1"/>
                  </w14:solidFill>
                </w14:textFill>
              </w:rPr>
            </w:pPr>
          </w:p>
        </w:tc>
      </w:tr>
      <w:tr w14:paraId="0FAD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6F90CFC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14" w:type="dxa"/>
            <w:vAlign w:val="center"/>
          </w:tcPr>
          <w:p w14:paraId="6841E35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w:t>
            </w:r>
          </w:p>
        </w:tc>
        <w:tc>
          <w:tcPr>
            <w:tcW w:w="3534" w:type="dxa"/>
            <w:vAlign w:val="center"/>
          </w:tcPr>
          <w:p w14:paraId="6D543A6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违规分包或转包</w:t>
            </w:r>
          </w:p>
        </w:tc>
        <w:tc>
          <w:tcPr>
            <w:tcW w:w="2350" w:type="dxa"/>
            <w:vAlign w:val="center"/>
          </w:tcPr>
          <w:p w14:paraId="7830391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30万元/次</w:t>
            </w:r>
          </w:p>
        </w:tc>
        <w:tc>
          <w:tcPr>
            <w:tcW w:w="1914" w:type="dxa"/>
          </w:tcPr>
          <w:p w14:paraId="2FC9124B">
            <w:pPr>
              <w:pStyle w:val="68"/>
              <w:rPr>
                <w:rFonts w:ascii="宋体" w:hAnsi="宋体" w:cs="宋体"/>
                <w:color w:val="000000" w:themeColor="text1"/>
                <w:sz w:val="24"/>
                <w:highlight w:val="none"/>
                <w14:textFill>
                  <w14:solidFill>
                    <w14:schemeClr w14:val="tx1"/>
                  </w14:solidFill>
                </w14:textFill>
              </w:rPr>
            </w:pPr>
          </w:p>
        </w:tc>
      </w:tr>
      <w:tr w14:paraId="41D5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14:paraId="504D79A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14" w:type="dxa"/>
            <w:vAlign w:val="center"/>
          </w:tcPr>
          <w:p w14:paraId="459C3E6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w:t>
            </w:r>
          </w:p>
        </w:tc>
        <w:tc>
          <w:tcPr>
            <w:tcW w:w="3534" w:type="dxa"/>
            <w:vAlign w:val="center"/>
          </w:tcPr>
          <w:p w14:paraId="6B0BBF7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承包人在接到监理人要求人员进场的通知 5 天后仍未安排相关人员进场，从第 6 天算起扣除承包人的违约金。</w:t>
            </w:r>
          </w:p>
        </w:tc>
        <w:tc>
          <w:tcPr>
            <w:tcW w:w="2350" w:type="dxa"/>
            <w:vAlign w:val="center"/>
          </w:tcPr>
          <w:p w14:paraId="6193E52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项目经理、项目技术负责人2万元/人日；其他主要技术人员1万元/人日</w:t>
            </w:r>
          </w:p>
        </w:tc>
        <w:tc>
          <w:tcPr>
            <w:tcW w:w="1914" w:type="dxa"/>
          </w:tcPr>
          <w:p w14:paraId="275E301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如果承包人接到通知15天未安排相关人员 进场，将要求其更换人选，同时执行人员更换违约条款。</w:t>
            </w:r>
          </w:p>
        </w:tc>
      </w:tr>
      <w:tr w14:paraId="3BEF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14:paraId="6A3E006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14" w:type="dxa"/>
            <w:vAlign w:val="center"/>
          </w:tcPr>
          <w:p w14:paraId="4C7AD2E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4.6.3（2）</w:t>
            </w:r>
          </w:p>
        </w:tc>
        <w:tc>
          <w:tcPr>
            <w:tcW w:w="3534" w:type="dxa"/>
            <w:vAlign w:val="center"/>
          </w:tcPr>
          <w:p w14:paraId="24ABD2E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承包人的档案资料整理负责人在本项目连续工作不足 1 年。</w:t>
            </w:r>
          </w:p>
        </w:tc>
        <w:tc>
          <w:tcPr>
            <w:tcW w:w="2350" w:type="dxa"/>
            <w:vAlign w:val="center"/>
          </w:tcPr>
          <w:p w14:paraId="764D11C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1万元/人次</w:t>
            </w:r>
          </w:p>
        </w:tc>
        <w:tc>
          <w:tcPr>
            <w:tcW w:w="1914" w:type="dxa"/>
          </w:tcPr>
          <w:p w14:paraId="1D313D99">
            <w:pPr>
              <w:pStyle w:val="68"/>
              <w:rPr>
                <w:rFonts w:ascii="宋体" w:hAnsi="宋体" w:cs="宋体"/>
                <w:color w:val="000000" w:themeColor="text1"/>
                <w:sz w:val="24"/>
                <w:highlight w:val="none"/>
                <w14:textFill>
                  <w14:solidFill>
                    <w14:schemeClr w14:val="tx1"/>
                  </w14:solidFill>
                </w14:textFill>
              </w:rPr>
            </w:pPr>
          </w:p>
        </w:tc>
      </w:tr>
      <w:tr w14:paraId="5F0A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14:paraId="1DBDD94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14" w:type="dxa"/>
            <w:vAlign w:val="center"/>
          </w:tcPr>
          <w:p w14:paraId="6E445A8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4.6.3（3）</w:t>
            </w:r>
          </w:p>
        </w:tc>
        <w:tc>
          <w:tcPr>
            <w:tcW w:w="3534" w:type="dxa"/>
            <w:vAlign w:val="center"/>
          </w:tcPr>
          <w:p w14:paraId="797E6EF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项目经理、总工程师驻守现场不足 22天/月，处以不足天数的违约金。</w:t>
            </w:r>
          </w:p>
        </w:tc>
        <w:tc>
          <w:tcPr>
            <w:tcW w:w="2350" w:type="dxa"/>
            <w:vAlign w:val="center"/>
          </w:tcPr>
          <w:p w14:paraId="4879570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5000元/天</w:t>
            </w:r>
          </w:p>
        </w:tc>
        <w:tc>
          <w:tcPr>
            <w:tcW w:w="1914" w:type="dxa"/>
          </w:tcPr>
          <w:p w14:paraId="51122742">
            <w:pPr>
              <w:pStyle w:val="68"/>
              <w:rPr>
                <w:rFonts w:ascii="宋体" w:hAnsi="宋体" w:cs="宋体"/>
                <w:color w:val="000000" w:themeColor="text1"/>
                <w:sz w:val="24"/>
                <w:highlight w:val="none"/>
                <w14:textFill>
                  <w14:solidFill>
                    <w14:schemeClr w14:val="tx1"/>
                  </w14:solidFill>
                </w14:textFill>
              </w:rPr>
            </w:pPr>
          </w:p>
        </w:tc>
      </w:tr>
      <w:tr w14:paraId="1CD6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14:paraId="4F502D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14" w:type="dxa"/>
            <w:vAlign w:val="center"/>
          </w:tcPr>
          <w:p w14:paraId="6076E96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4.6.3（4）</w:t>
            </w:r>
          </w:p>
        </w:tc>
        <w:tc>
          <w:tcPr>
            <w:tcW w:w="3534" w:type="dxa"/>
            <w:vAlign w:val="center"/>
          </w:tcPr>
          <w:p w14:paraId="6BB7212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专职安全生产管理人员没有按规定配备：年度施工产值 5000 万元以上不足2 亿元的按每 5000 万元不少于 1 名的比例配备；2 亿元以上的不少于 5 名，且按专业配备（不足 5000 万至少配备1 名）。</w:t>
            </w:r>
          </w:p>
        </w:tc>
        <w:tc>
          <w:tcPr>
            <w:tcW w:w="2350" w:type="dxa"/>
            <w:vAlign w:val="center"/>
          </w:tcPr>
          <w:p w14:paraId="27FCAAD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5万元/人次</w:t>
            </w:r>
          </w:p>
        </w:tc>
        <w:tc>
          <w:tcPr>
            <w:tcW w:w="1914" w:type="dxa"/>
          </w:tcPr>
          <w:p w14:paraId="41FA61DA">
            <w:pPr>
              <w:pStyle w:val="68"/>
              <w:rPr>
                <w:rFonts w:ascii="宋体" w:hAnsi="宋体" w:cs="宋体"/>
                <w:color w:val="000000" w:themeColor="text1"/>
                <w:sz w:val="24"/>
                <w:highlight w:val="none"/>
                <w14:textFill>
                  <w14:solidFill>
                    <w14:schemeClr w14:val="tx1"/>
                  </w14:solidFill>
                </w14:textFill>
              </w:rPr>
            </w:pPr>
          </w:p>
        </w:tc>
      </w:tr>
      <w:tr w14:paraId="6AA6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14:paraId="264FFBD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14" w:type="dxa"/>
            <w:vAlign w:val="center"/>
          </w:tcPr>
          <w:p w14:paraId="785E67D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4.6.3（5）</w:t>
            </w:r>
          </w:p>
        </w:tc>
        <w:tc>
          <w:tcPr>
            <w:tcW w:w="3534" w:type="dxa"/>
            <w:vAlign w:val="center"/>
          </w:tcPr>
          <w:p w14:paraId="243A548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项目经理或总工程师无故缺席发包人指定的各种会议，包括监理人主持的重要会议（如工地例会等）。</w:t>
            </w:r>
          </w:p>
        </w:tc>
        <w:tc>
          <w:tcPr>
            <w:tcW w:w="2350" w:type="dxa"/>
            <w:vAlign w:val="center"/>
          </w:tcPr>
          <w:p w14:paraId="0118D98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1万元/次</w:t>
            </w:r>
          </w:p>
        </w:tc>
        <w:tc>
          <w:tcPr>
            <w:tcW w:w="1914" w:type="dxa"/>
          </w:tcPr>
          <w:p w14:paraId="626D55A8">
            <w:pPr>
              <w:pStyle w:val="68"/>
              <w:rPr>
                <w:rFonts w:ascii="宋体" w:hAnsi="宋体" w:cs="宋体"/>
                <w:color w:val="000000" w:themeColor="text1"/>
                <w:sz w:val="24"/>
                <w:highlight w:val="none"/>
                <w14:textFill>
                  <w14:solidFill>
                    <w14:schemeClr w14:val="tx1"/>
                  </w14:solidFill>
                </w14:textFill>
              </w:rPr>
            </w:pPr>
          </w:p>
        </w:tc>
      </w:tr>
      <w:tr w14:paraId="5005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7F7FC5D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14" w:type="dxa"/>
            <w:vAlign w:val="center"/>
          </w:tcPr>
          <w:p w14:paraId="2B1022E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14:paraId="7F51D2B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不签订劳动合同、非法使用农民工的，或者拖延和克扣农民工工资的，由此造成劳务人员上访或劳动纠纷的。</w:t>
            </w:r>
          </w:p>
        </w:tc>
        <w:tc>
          <w:tcPr>
            <w:tcW w:w="2350" w:type="dxa"/>
            <w:vAlign w:val="center"/>
          </w:tcPr>
          <w:p w14:paraId="7A5EAA9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10万元/次</w:t>
            </w:r>
          </w:p>
        </w:tc>
        <w:tc>
          <w:tcPr>
            <w:tcW w:w="1914" w:type="dxa"/>
          </w:tcPr>
          <w:p w14:paraId="5F8FE14B">
            <w:pPr>
              <w:pStyle w:val="68"/>
              <w:rPr>
                <w:rFonts w:ascii="宋体" w:hAnsi="宋体" w:cs="宋体"/>
                <w:color w:val="000000" w:themeColor="text1"/>
                <w:sz w:val="24"/>
                <w:highlight w:val="none"/>
                <w14:textFill>
                  <w14:solidFill>
                    <w14:schemeClr w14:val="tx1"/>
                  </w14:solidFill>
                </w14:textFill>
              </w:rPr>
            </w:pPr>
          </w:p>
        </w:tc>
      </w:tr>
      <w:tr w14:paraId="4801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736355B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114" w:type="dxa"/>
            <w:vAlign w:val="center"/>
          </w:tcPr>
          <w:p w14:paraId="0FDC1F3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14:paraId="5201493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未按交通运输主管部门、上级主管或管理单位等要求落实从业人员实名制管理和工资支付管理的。</w:t>
            </w:r>
          </w:p>
        </w:tc>
        <w:tc>
          <w:tcPr>
            <w:tcW w:w="2350" w:type="dxa"/>
            <w:vAlign w:val="center"/>
          </w:tcPr>
          <w:p w14:paraId="120117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5万元/次</w:t>
            </w:r>
          </w:p>
        </w:tc>
        <w:tc>
          <w:tcPr>
            <w:tcW w:w="1914" w:type="dxa"/>
          </w:tcPr>
          <w:p w14:paraId="467B868C">
            <w:pPr>
              <w:pStyle w:val="68"/>
              <w:rPr>
                <w:rFonts w:ascii="宋体" w:hAnsi="宋体" w:cs="宋体"/>
                <w:color w:val="000000" w:themeColor="text1"/>
                <w:sz w:val="24"/>
                <w:highlight w:val="none"/>
                <w14:textFill>
                  <w14:solidFill>
                    <w14:schemeClr w14:val="tx1"/>
                  </w14:solidFill>
                </w14:textFill>
              </w:rPr>
            </w:pPr>
          </w:p>
        </w:tc>
      </w:tr>
      <w:tr w14:paraId="1BAB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14:paraId="0FEF8AD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114" w:type="dxa"/>
            <w:vAlign w:val="center"/>
          </w:tcPr>
          <w:p w14:paraId="4A5AAC7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14:paraId="038043E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分项工程的施工员没在现场管理的。</w:t>
            </w:r>
          </w:p>
        </w:tc>
        <w:tc>
          <w:tcPr>
            <w:tcW w:w="2350" w:type="dxa"/>
            <w:vAlign w:val="center"/>
          </w:tcPr>
          <w:p w14:paraId="03096B8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1000元/次</w:t>
            </w:r>
          </w:p>
        </w:tc>
        <w:tc>
          <w:tcPr>
            <w:tcW w:w="1914" w:type="dxa"/>
          </w:tcPr>
          <w:p w14:paraId="180A9958">
            <w:pPr>
              <w:pStyle w:val="68"/>
              <w:rPr>
                <w:rFonts w:ascii="宋体" w:hAnsi="宋体" w:cs="宋体"/>
                <w:color w:val="000000" w:themeColor="text1"/>
                <w:sz w:val="24"/>
                <w:highlight w:val="none"/>
                <w14:textFill>
                  <w14:solidFill>
                    <w14:schemeClr w14:val="tx1"/>
                  </w14:solidFill>
                </w14:textFill>
              </w:rPr>
            </w:pPr>
          </w:p>
        </w:tc>
      </w:tr>
      <w:tr w14:paraId="5730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3BA3924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114" w:type="dxa"/>
            <w:vAlign w:val="center"/>
          </w:tcPr>
          <w:p w14:paraId="201E065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14:paraId="41DDA83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重要工序（桩基、面层施工等），没有施工员在现场管理的。</w:t>
            </w:r>
          </w:p>
        </w:tc>
        <w:tc>
          <w:tcPr>
            <w:tcW w:w="2350" w:type="dxa"/>
            <w:vAlign w:val="center"/>
          </w:tcPr>
          <w:p w14:paraId="046449A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2000元/次</w:t>
            </w:r>
          </w:p>
        </w:tc>
        <w:tc>
          <w:tcPr>
            <w:tcW w:w="1914" w:type="dxa"/>
          </w:tcPr>
          <w:p w14:paraId="01E0A4E7">
            <w:pPr>
              <w:pStyle w:val="68"/>
              <w:rPr>
                <w:rFonts w:ascii="宋体" w:hAnsi="宋体" w:cs="宋体"/>
                <w:color w:val="000000" w:themeColor="text1"/>
                <w:sz w:val="24"/>
                <w:highlight w:val="none"/>
                <w14:textFill>
                  <w14:solidFill>
                    <w14:schemeClr w14:val="tx1"/>
                  </w14:solidFill>
                </w14:textFill>
              </w:rPr>
            </w:pPr>
          </w:p>
        </w:tc>
      </w:tr>
      <w:tr w14:paraId="5741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F37906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114" w:type="dxa"/>
            <w:vAlign w:val="center"/>
          </w:tcPr>
          <w:p w14:paraId="7E4EA08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14:paraId="459A673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超过24小时没有施工员在场而继续施工的。</w:t>
            </w:r>
          </w:p>
        </w:tc>
        <w:tc>
          <w:tcPr>
            <w:tcW w:w="2350" w:type="dxa"/>
            <w:vAlign w:val="center"/>
          </w:tcPr>
          <w:p w14:paraId="1007081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5000元/次</w:t>
            </w:r>
          </w:p>
        </w:tc>
        <w:tc>
          <w:tcPr>
            <w:tcW w:w="1914" w:type="dxa"/>
          </w:tcPr>
          <w:p w14:paraId="41B70E1F">
            <w:pPr>
              <w:pStyle w:val="68"/>
              <w:rPr>
                <w:rFonts w:ascii="宋体" w:hAnsi="宋体" w:cs="宋体"/>
                <w:color w:val="000000" w:themeColor="text1"/>
                <w:sz w:val="24"/>
                <w:highlight w:val="none"/>
                <w14:textFill>
                  <w14:solidFill>
                    <w14:schemeClr w14:val="tx1"/>
                  </w14:solidFill>
                </w14:textFill>
              </w:rPr>
            </w:pPr>
          </w:p>
        </w:tc>
      </w:tr>
      <w:tr w14:paraId="208A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01A452C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114" w:type="dxa"/>
            <w:vAlign w:val="center"/>
          </w:tcPr>
          <w:p w14:paraId="6B78EBC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w:t>
            </w:r>
          </w:p>
        </w:tc>
        <w:tc>
          <w:tcPr>
            <w:tcW w:w="3534" w:type="dxa"/>
            <w:vAlign w:val="center"/>
          </w:tcPr>
          <w:p w14:paraId="4D85DA1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承包人应按照《投标人拟投入的关键设备承诺表》中所列的品牌进行采购，不得变更设备品牌。</w:t>
            </w:r>
          </w:p>
        </w:tc>
        <w:tc>
          <w:tcPr>
            <w:tcW w:w="2350" w:type="dxa"/>
            <w:vAlign w:val="center"/>
          </w:tcPr>
          <w:p w14:paraId="34B2DCB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未按照《投标人拟投入的关键设备承诺表》中所列设备品牌进行采购，按以下标准向发包人提交违约金：关键设备 80 万元/类，其他主要设备 30 万元/类。</w:t>
            </w:r>
          </w:p>
        </w:tc>
        <w:tc>
          <w:tcPr>
            <w:tcW w:w="1914" w:type="dxa"/>
          </w:tcPr>
          <w:p w14:paraId="1C06658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本条可适用于机电工程（包括收费、监控、通信三大系统及通信管道、隧道消防和供配电等）采用设备选型评分的情形，由招标人自行选择设置相应内容。</w:t>
            </w:r>
          </w:p>
        </w:tc>
      </w:tr>
      <w:tr w14:paraId="1B68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634A972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1114" w:type="dxa"/>
            <w:vAlign w:val="center"/>
          </w:tcPr>
          <w:p w14:paraId="5A398A9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w:t>
            </w:r>
          </w:p>
        </w:tc>
        <w:tc>
          <w:tcPr>
            <w:tcW w:w="3534" w:type="dxa"/>
            <w:vAlign w:val="center"/>
          </w:tcPr>
          <w:p w14:paraId="0285C04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未经监理人同意，承包人将专用于本工程的材料、工程设备、施工设备和临时设施运出施工场地或挪作他用。</w:t>
            </w:r>
          </w:p>
        </w:tc>
        <w:tc>
          <w:tcPr>
            <w:tcW w:w="2350" w:type="dxa"/>
            <w:vAlign w:val="center"/>
          </w:tcPr>
          <w:p w14:paraId="0B89534E">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14:paraId="29F1DC5C">
            <w:pPr>
              <w:pStyle w:val="68"/>
              <w:jc w:val="center"/>
              <w:rPr>
                <w:rFonts w:ascii="宋体" w:hAnsi="宋体" w:cs="宋体"/>
                <w:color w:val="000000" w:themeColor="text1"/>
                <w:sz w:val="24"/>
                <w:highlight w:val="none"/>
                <w14:textFill>
                  <w14:solidFill>
                    <w14:schemeClr w14:val="tx1"/>
                  </w14:solidFill>
                </w14:textFill>
              </w:rPr>
            </w:pPr>
          </w:p>
        </w:tc>
      </w:tr>
      <w:tr w14:paraId="4C44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7B09CBC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1114" w:type="dxa"/>
            <w:vAlign w:val="center"/>
          </w:tcPr>
          <w:p w14:paraId="247C055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w:t>
            </w:r>
          </w:p>
        </w:tc>
        <w:tc>
          <w:tcPr>
            <w:tcW w:w="3534" w:type="dxa"/>
            <w:vAlign w:val="center"/>
          </w:tcPr>
          <w:p w14:paraId="270806B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按施工进度计划须到位而未到位的主要设备，或擅自改变主要设备型号。</w:t>
            </w:r>
          </w:p>
        </w:tc>
        <w:tc>
          <w:tcPr>
            <w:tcW w:w="2350" w:type="dxa"/>
            <w:vAlign w:val="center"/>
          </w:tcPr>
          <w:p w14:paraId="40EE46AD">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14:paraId="255259F2">
            <w:pPr>
              <w:pStyle w:val="68"/>
              <w:jc w:val="center"/>
              <w:rPr>
                <w:rFonts w:ascii="宋体" w:hAnsi="宋体" w:cs="宋体"/>
                <w:color w:val="000000" w:themeColor="text1"/>
                <w:sz w:val="24"/>
                <w:highlight w:val="none"/>
                <w14:textFill>
                  <w14:solidFill>
                    <w14:schemeClr w14:val="tx1"/>
                  </w14:solidFill>
                </w14:textFill>
              </w:rPr>
            </w:pPr>
          </w:p>
        </w:tc>
      </w:tr>
      <w:tr w14:paraId="646A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70130B5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1114" w:type="dxa"/>
            <w:vAlign w:val="center"/>
          </w:tcPr>
          <w:p w14:paraId="1E721A9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w:t>
            </w:r>
          </w:p>
        </w:tc>
        <w:tc>
          <w:tcPr>
            <w:tcW w:w="3534" w:type="dxa"/>
            <w:vAlign w:val="center"/>
          </w:tcPr>
          <w:p w14:paraId="43E0152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承包人未按监理人要求增加或更换施工设备。</w:t>
            </w:r>
          </w:p>
        </w:tc>
        <w:tc>
          <w:tcPr>
            <w:tcW w:w="2350" w:type="dxa"/>
            <w:vAlign w:val="center"/>
          </w:tcPr>
          <w:p w14:paraId="45FF330E">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14:paraId="2426E591">
            <w:pPr>
              <w:pStyle w:val="68"/>
              <w:jc w:val="center"/>
              <w:rPr>
                <w:rFonts w:ascii="宋体" w:hAnsi="宋体" w:cs="宋体"/>
                <w:color w:val="000000" w:themeColor="text1"/>
                <w:sz w:val="24"/>
                <w:highlight w:val="none"/>
                <w14:textFill>
                  <w14:solidFill>
                    <w14:schemeClr w14:val="tx1"/>
                  </w14:solidFill>
                </w14:textFill>
              </w:rPr>
            </w:pPr>
          </w:p>
        </w:tc>
      </w:tr>
      <w:tr w14:paraId="1D2F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7DE1DB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1114" w:type="dxa"/>
            <w:vAlign w:val="center"/>
          </w:tcPr>
          <w:p w14:paraId="1B73D38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w:t>
            </w:r>
          </w:p>
        </w:tc>
        <w:tc>
          <w:tcPr>
            <w:tcW w:w="3534" w:type="dxa"/>
            <w:vAlign w:val="center"/>
          </w:tcPr>
          <w:p w14:paraId="5507B96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承包人未按期开工。</w:t>
            </w:r>
          </w:p>
        </w:tc>
        <w:tc>
          <w:tcPr>
            <w:tcW w:w="2350" w:type="dxa"/>
            <w:vAlign w:val="center"/>
          </w:tcPr>
          <w:p w14:paraId="4041D38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参照工期延误的标准扣除违约金。</w:t>
            </w:r>
          </w:p>
        </w:tc>
        <w:tc>
          <w:tcPr>
            <w:tcW w:w="1914" w:type="dxa"/>
            <w:vAlign w:val="center"/>
          </w:tcPr>
          <w:p w14:paraId="0CE15E7C">
            <w:pPr>
              <w:pStyle w:val="68"/>
              <w:jc w:val="center"/>
              <w:rPr>
                <w:rFonts w:ascii="宋体" w:hAnsi="宋体" w:cs="宋体"/>
                <w:color w:val="000000" w:themeColor="text1"/>
                <w:sz w:val="24"/>
                <w:highlight w:val="none"/>
                <w14:textFill>
                  <w14:solidFill>
                    <w14:schemeClr w14:val="tx1"/>
                  </w14:solidFill>
                </w14:textFill>
              </w:rPr>
            </w:pPr>
          </w:p>
        </w:tc>
      </w:tr>
      <w:tr w14:paraId="2FDB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29A5F6A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1114" w:type="dxa"/>
            <w:vAlign w:val="center"/>
          </w:tcPr>
          <w:p w14:paraId="6FFB937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w:t>
            </w:r>
          </w:p>
        </w:tc>
        <w:tc>
          <w:tcPr>
            <w:tcW w:w="3534" w:type="dxa"/>
            <w:vAlign w:val="center"/>
          </w:tcPr>
          <w:p w14:paraId="31CBF66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承包人的工期延误</w:t>
            </w:r>
          </w:p>
        </w:tc>
        <w:tc>
          <w:tcPr>
            <w:tcW w:w="2350" w:type="dxa"/>
            <w:vAlign w:val="center"/>
          </w:tcPr>
          <w:p w14:paraId="42BF205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按照项目专用条款数据表第11.5款规定的标准扣除。</w:t>
            </w:r>
          </w:p>
        </w:tc>
        <w:tc>
          <w:tcPr>
            <w:tcW w:w="1914" w:type="dxa"/>
            <w:vAlign w:val="center"/>
          </w:tcPr>
          <w:p w14:paraId="18129B2E">
            <w:pPr>
              <w:pStyle w:val="68"/>
              <w:jc w:val="center"/>
              <w:rPr>
                <w:rFonts w:ascii="宋体" w:hAnsi="宋体" w:cs="宋体"/>
                <w:color w:val="000000" w:themeColor="text1"/>
                <w:sz w:val="24"/>
                <w:highlight w:val="none"/>
                <w14:textFill>
                  <w14:solidFill>
                    <w14:schemeClr w14:val="tx1"/>
                  </w14:solidFill>
                </w14:textFill>
              </w:rPr>
            </w:pPr>
          </w:p>
        </w:tc>
      </w:tr>
    </w:tbl>
    <w:p w14:paraId="7841FFD7">
      <w:pPr>
        <w:pStyle w:val="68"/>
        <w:jc w:val="right"/>
        <w:rPr>
          <w:rFonts w:ascii="宋体" w:hAnsi="宋体" w:cs="宋体"/>
          <w:color w:val="000000" w:themeColor="text1"/>
          <w:sz w:val="24"/>
          <w:highlight w:val="none"/>
          <w14:textFill>
            <w14:solidFill>
              <w14:schemeClr w14:val="tx1"/>
            </w14:solidFill>
          </w14:textFill>
        </w:rPr>
      </w:pPr>
    </w:p>
    <w:p w14:paraId="73AE2FDD">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5E983693">
      <w:pPr>
        <w:pStyle w:val="78"/>
        <w:spacing w:line="360" w:lineRule="auto"/>
        <w:rPr>
          <w:rFonts w:ascii="宋体" w:hAnsi="宋体"/>
          <w:color w:val="000000" w:themeColor="text1"/>
          <w:sz w:val="24"/>
          <w:szCs w:val="24"/>
          <w:highlight w:val="none"/>
          <w14:textFill>
            <w14:solidFill>
              <w14:schemeClr w14:val="tx1"/>
            </w14:solidFill>
          </w14:textFill>
        </w:rPr>
      </w:pPr>
      <w:bookmarkStart w:id="1729" w:name="_Toc452498898"/>
      <w:bookmarkEnd w:id="1729"/>
      <w:bookmarkStart w:id="1730" w:name="_Toc43476018"/>
      <w:bookmarkEnd w:id="1730"/>
      <w:bookmarkStart w:id="1731" w:name="_Toc453056971"/>
      <w:bookmarkEnd w:id="1731"/>
      <w:bookmarkStart w:id="1732" w:name="_Toc12136"/>
      <w:bookmarkEnd w:id="1732"/>
      <w:bookmarkStart w:id="1733" w:name="_Toc451261389"/>
      <w:bookmarkEnd w:id="1733"/>
      <w:bookmarkStart w:id="1734" w:name="_Toc452498668"/>
      <w:bookmarkEnd w:id="1734"/>
      <w:bookmarkStart w:id="1735" w:name="_Toc5359"/>
      <w:bookmarkEnd w:id="1735"/>
      <w:bookmarkStart w:id="1736" w:name="_Toc453057199"/>
      <w:bookmarkEnd w:id="1736"/>
      <w:r>
        <w:rPr>
          <w:rFonts w:hint="eastAsia"/>
          <w:bCs w:val="0"/>
          <w:color w:val="000000" w:themeColor="text1"/>
          <w:sz w:val="24"/>
          <w:szCs w:val="24"/>
          <w:highlight w:val="none"/>
          <w14:textFill>
            <w14:solidFill>
              <w14:schemeClr w14:val="tx1"/>
            </w14:solidFill>
          </w14:textFill>
        </w:rPr>
        <w:t>附件十二  工程质量、安全及文明施工处罚项目一览表</w:t>
      </w:r>
    </w:p>
    <w:p w14:paraId="5DC3ED14">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工程质量、安全及文明施工处罚项目一览表</w:t>
      </w:r>
    </w:p>
    <w:tbl>
      <w:tblPr>
        <w:tblStyle w:val="45"/>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14:paraId="127C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14:paraId="1CDA9F3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类别</w:t>
            </w:r>
          </w:p>
        </w:tc>
        <w:tc>
          <w:tcPr>
            <w:tcW w:w="717" w:type="dxa"/>
            <w:vAlign w:val="center"/>
          </w:tcPr>
          <w:p w14:paraId="65FAC6A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019" w:type="dxa"/>
            <w:vAlign w:val="center"/>
          </w:tcPr>
          <w:p w14:paraId="4DA35E6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处罚项目</w:t>
            </w:r>
          </w:p>
        </w:tc>
      </w:tr>
      <w:tr w14:paraId="6FC2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14:paraId="62CD6E3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路基及砌体工程</w:t>
            </w:r>
          </w:p>
        </w:tc>
        <w:tc>
          <w:tcPr>
            <w:tcW w:w="717" w:type="dxa"/>
            <w:vAlign w:val="center"/>
          </w:tcPr>
          <w:p w14:paraId="3D199A0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19" w:type="dxa"/>
            <w:vAlign w:val="center"/>
          </w:tcPr>
          <w:p w14:paraId="7D1DAB3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填土没有路拱(要求2％～4％)，排水不畅的；路基施工未采取临时防护排水措施的，每处违约金2000元。</w:t>
            </w:r>
          </w:p>
        </w:tc>
      </w:tr>
      <w:tr w14:paraId="1C85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14:paraId="6DF09873">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39BF7C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19" w:type="dxa"/>
            <w:vAlign w:val="center"/>
          </w:tcPr>
          <w:p w14:paraId="25959AD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路基平整度不符合规范要求的，每处违约金2000元。</w:t>
            </w:r>
          </w:p>
        </w:tc>
      </w:tr>
      <w:tr w14:paraId="26A8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5400283A">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0A08D1E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19" w:type="dxa"/>
            <w:vAlign w:val="center"/>
          </w:tcPr>
          <w:p w14:paraId="1D94DD9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路基填土未经平地机整平就进行压实施工的，每处违约金 2000 元。</w:t>
            </w:r>
          </w:p>
        </w:tc>
      </w:tr>
      <w:tr w14:paraId="6D12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114AA431">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00B070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19" w:type="dxa"/>
            <w:vAlign w:val="center"/>
          </w:tcPr>
          <w:p w14:paraId="63FA3A0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填土松铺厚度或现场实测的压实层厚度超过试验段报告明确的松铺厚度或压实层厚时，每处违约金 5000 元。</w:t>
            </w:r>
          </w:p>
        </w:tc>
      </w:tr>
      <w:tr w14:paraId="2E8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14:paraId="17F73676">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7B12B97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19" w:type="dxa"/>
            <w:vAlign w:val="center"/>
          </w:tcPr>
          <w:p w14:paraId="252E209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路槽底面以下 0-80cm 范围内，填料最大粒径不超过 10cm，在 80cm 以下的填料最大粒径不超过 15cm。违者每次违约金 2000 元。</w:t>
            </w:r>
          </w:p>
        </w:tc>
      </w:tr>
      <w:tr w14:paraId="0E17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14:paraId="10F0D571">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6F65069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19" w:type="dxa"/>
            <w:vAlign w:val="center"/>
          </w:tcPr>
          <w:p w14:paraId="289A1B0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路基填土应按规定作液限、塑限指数及 CBR 值试验。违者每次违约金 5000 元。</w:t>
            </w:r>
          </w:p>
        </w:tc>
      </w:tr>
      <w:tr w14:paraId="2094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14:paraId="0B97B06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5DD93F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19" w:type="dxa"/>
            <w:vAlign w:val="center"/>
          </w:tcPr>
          <w:p w14:paraId="754F40D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确保填方边坡碾压密实，边坡坡面要夯实，路基宽度在设计基础上每边超填不小于 50cm，等植草前刷坡。违者每处违约金 2000 元。</w:t>
            </w:r>
          </w:p>
        </w:tc>
      </w:tr>
      <w:tr w14:paraId="4F34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5C656D9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8D976F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19" w:type="dxa"/>
            <w:vAlign w:val="center"/>
          </w:tcPr>
          <w:p w14:paraId="793E797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填土压实度达不到设计要求的，每检测段违约金 2000 元。</w:t>
            </w:r>
          </w:p>
        </w:tc>
      </w:tr>
      <w:tr w14:paraId="48B6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04DAF13F">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61A430C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19" w:type="dxa"/>
            <w:vAlign w:val="center"/>
          </w:tcPr>
          <w:p w14:paraId="16F22D9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石方路基靠近边坡范围采用光面爆破，爆破后及时清理险石、松石，违者每处违约金 2000 元。</w:t>
            </w:r>
          </w:p>
        </w:tc>
      </w:tr>
      <w:tr w14:paraId="1655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14:paraId="5839CC1F">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FC196A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19" w:type="dxa"/>
            <w:vAlign w:val="center"/>
          </w:tcPr>
          <w:p w14:paraId="2E0BE75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路堤填石要求逐层水平填筑石块，摆放平整，码砌边部，空隙用石渣石屑嵌压稳定，石块尺寸符合规范要求，违者每处违约金 2000 元。</w:t>
            </w:r>
          </w:p>
        </w:tc>
      </w:tr>
      <w:tr w14:paraId="27F3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14:paraId="2E64C998">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05B80F7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19" w:type="dxa"/>
            <w:vAlign w:val="center"/>
          </w:tcPr>
          <w:p w14:paraId="60A1D1F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粉喷桩应严格控制喷粉时间、停粉时间、水泥喷入量，不得中断喷粉，确保喷粉桩长度，桩身上部范围必须进行二次搅拌，违者每次违约金 2000 元。</w:t>
            </w:r>
          </w:p>
        </w:tc>
      </w:tr>
      <w:tr w14:paraId="7E6A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14:paraId="24E9DB9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A0414D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19" w:type="dxa"/>
            <w:vAlign w:val="center"/>
          </w:tcPr>
          <w:p w14:paraId="72EF20C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软基换填处理未将软土清除干净就进行回填施工的，每处违约金 2000 元。</w:t>
            </w:r>
          </w:p>
        </w:tc>
      </w:tr>
      <w:tr w14:paraId="661D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14:paraId="6AFD2A44">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8B1D31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19" w:type="dxa"/>
            <w:vAlign w:val="center"/>
          </w:tcPr>
          <w:p w14:paraId="0D7964E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软基处理未按要求进行沉降和稳定性观测的，每次违约金 2000 元。</w:t>
            </w:r>
          </w:p>
        </w:tc>
      </w:tr>
      <w:tr w14:paraId="2497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14:paraId="67323A96">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4740C2D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19" w:type="dxa"/>
            <w:vAlign w:val="center"/>
          </w:tcPr>
          <w:p w14:paraId="330EC7C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软基路段施工前应调查软土分布范围、软土深度，进行土工试验，发现与设计不符的，应通知监理人，违者每次违约金 5000 元。</w:t>
            </w:r>
          </w:p>
        </w:tc>
      </w:tr>
      <w:tr w14:paraId="0687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14:paraId="39E67EC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A57909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19" w:type="dxa"/>
            <w:vAlign w:val="center"/>
          </w:tcPr>
          <w:p w14:paraId="43593BA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袋装砂井施工中，砂袋未垂吊、灌沙不饱满的，每根违约金 2000 元。</w:t>
            </w:r>
          </w:p>
        </w:tc>
      </w:tr>
      <w:tr w14:paraId="52EC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14:paraId="682F0A48">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A650A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19" w:type="dxa"/>
            <w:vAlign w:val="center"/>
          </w:tcPr>
          <w:p w14:paraId="3BCC7D6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袋装砂井、砂袋织物和塑料排水板的材料质量必须符合设计要求，违者每处违约金 2000 元。</w:t>
            </w:r>
          </w:p>
        </w:tc>
      </w:tr>
      <w:tr w14:paraId="3D7C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14:paraId="2D5DC532">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4502886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19" w:type="dxa"/>
            <w:vAlign w:val="center"/>
          </w:tcPr>
          <w:p w14:paraId="6B708F5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土工格栅、土工布等土工材料质量不符合设计要求，搭接宽度、搭接方式不符合有关要求的，每处违约金 2000 元。</w:t>
            </w:r>
          </w:p>
        </w:tc>
      </w:tr>
      <w:tr w14:paraId="6FC1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14:paraId="4E712423">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628A31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19" w:type="dxa"/>
            <w:vAlign w:val="center"/>
          </w:tcPr>
          <w:p w14:paraId="0B7E736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结构物台背回填施工应符合以下要求，违者每次或每处违约金 2000 元：</w:t>
            </w:r>
          </w:p>
          <w:p w14:paraId="31EA90A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（1）除肋式及桩柱式外，回填必须在上部结构安装完毕，结构物验收合格，且砼强度达到设计的 85%后方可进行；</w:t>
            </w:r>
          </w:p>
          <w:p w14:paraId="0CA80AF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（2）回填必须在构造物两端对称填筑压实，以免产生变形、破坏，每层松铺厚度不大于 20cm；</w:t>
            </w:r>
          </w:p>
          <w:p w14:paraId="5EE0505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（3）回填界面路基填筑时必须超填 50cm 以上，超填部分回填施工前清除，保证界面密实；</w:t>
            </w:r>
          </w:p>
          <w:p w14:paraId="3C3813B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（4）回填砂施工采用水密法，配合插入式振捣捧小型夯实设备，小型压路机进行，必须达到设计压实度；</w:t>
            </w:r>
          </w:p>
          <w:p w14:paraId="7F63758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（5）台背填料及回填断面应符合设计和规范要求。</w:t>
            </w:r>
          </w:p>
        </w:tc>
      </w:tr>
      <w:tr w14:paraId="12F9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14:paraId="17055DC2">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70008F5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19" w:type="dxa"/>
            <w:vAlign w:val="center"/>
          </w:tcPr>
          <w:p w14:paraId="0025C7FD">
            <w:pPr>
              <w:pStyle w:val="68"/>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砌体工程不满足下列规定者，每项违约金2000元，并作返工处理：</w:t>
            </w:r>
          </w:p>
          <w:p w14:paraId="0375A3C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（1）不得采用风化石，表面石料粒径需≥30cm；</w:t>
            </w:r>
          </w:p>
          <w:p w14:paraId="0B27FE2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（2））构造物表面平顺，无凹凸扭曲现象，砂浆抹边的棱角线、平直度：2m拉线(直尺)检查≤l0mm；</w:t>
            </w:r>
          </w:p>
          <w:p w14:paraId="1161B0B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（3）上边坡护面墙砌体一律勾凹缝；</w:t>
            </w:r>
          </w:p>
          <w:p w14:paraId="31E2054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（4）勾缝不得有瞎缝、丢缝、裂纹和脱落现象，缝宽统一；</w:t>
            </w:r>
          </w:p>
          <w:p w14:paraId="1274696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（5）石缝不大于40mm，砌缝内砂浆均匀饱满，不得有空洞；</w:t>
            </w:r>
          </w:p>
          <w:p w14:paraId="7596034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（6）层间错缝不大于80mm，三块石相接空隙不大于70mm；</w:t>
            </w:r>
          </w:p>
          <w:p w14:paraId="7765A6A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（7）砂浆抹面，平整度用2m直尺检查≤8mm，不得有裂缝、空鼓现象；</w:t>
            </w:r>
          </w:p>
          <w:p w14:paraId="3E41BA9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（8）泄水孔排列整齐、按设计设置坡度，无堵塞现象；</w:t>
            </w:r>
          </w:p>
          <w:p w14:paraId="0F7B176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（9）截水沟与实际地形砌顺，要求线形顺畅，地形无变化时，不得出现弯曲。</w:t>
            </w:r>
          </w:p>
        </w:tc>
      </w:tr>
      <w:tr w14:paraId="604E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14:paraId="49F704AB">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69E3828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19" w:type="dxa"/>
            <w:vAlign w:val="center"/>
          </w:tcPr>
          <w:p w14:paraId="6E4A5DFA">
            <w:pPr>
              <w:pStyle w:val="68"/>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浆砌工程存在下列情况之一的，违约金2000元：</w:t>
            </w:r>
          </w:p>
          <w:p w14:paraId="13ABCC2C">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铺砌厚度不满足要求；</w:t>
            </w:r>
          </w:p>
          <w:p w14:paraId="7B638574">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垫层厚度不满足要求的；</w:t>
            </w:r>
          </w:p>
          <w:p w14:paraId="219B5601">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砌缝内砂浆不饱满的；</w:t>
            </w:r>
          </w:p>
          <w:p w14:paraId="45F30984">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砂浆不采用机械拌和的</w:t>
            </w:r>
          </w:p>
          <w:p w14:paraId="2A0C3D60">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砌缝没有错开的：</w:t>
            </w:r>
          </w:p>
          <w:p w14:paraId="3498D385">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砂浆强度达不到规定要求的：</w:t>
            </w:r>
          </w:p>
          <w:p w14:paraId="7E92565E">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沟底未清理干净，有浮土、泥浆等杂物的；</w:t>
            </w:r>
          </w:p>
          <w:p w14:paraId="753D9570">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施工后不进行养护的。</w:t>
            </w:r>
          </w:p>
        </w:tc>
      </w:tr>
      <w:tr w14:paraId="5BAB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3E295EB1">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7486832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19" w:type="dxa"/>
            <w:vAlign w:val="center"/>
          </w:tcPr>
          <w:p w14:paraId="13D1FCC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排水盲沟断面不符合设计要求，回填碎石含泥量超标的，土工布铺设不符合要求的，违者每处违约金2000元</w:t>
            </w:r>
          </w:p>
        </w:tc>
      </w:tr>
      <w:tr w14:paraId="1E44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484E917A">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28D4411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19" w:type="dxa"/>
            <w:vAlign w:val="center"/>
          </w:tcPr>
          <w:p w14:paraId="44FD94F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边坡开挖未做到开挖一级、防护一级的，每次违约金 10000 元。</w:t>
            </w:r>
          </w:p>
        </w:tc>
      </w:tr>
      <w:tr w14:paraId="014F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14:paraId="20999E94">
            <w:pPr>
              <w:pStyle w:val="68"/>
              <w:jc w:val="center"/>
              <w:rPr>
                <w:rFonts w:ascii="宋体" w:hAnsi="宋体" w:cs="宋体"/>
                <w:color w:val="000000" w:themeColor="text1"/>
                <w:sz w:val="24"/>
                <w:highlight w:val="none"/>
                <w14:textFill>
                  <w14:solidFill>
                    <w14:schemeClr w14:val="tx1"/>
                  </w14:solidFill>
                </w14:textFill>
              </w:rPr>
            </w:pPr>
          </w:p>
        </w:tc>
        <w:tc>
          <w:tcPr>
            <w:tcW w:w="717" w:type="dxa"/>
            <w:tcBorders>
              <w:bottom w:val="single" w:color="auto" w:sz="4" w:space="0"/>
            </w:tcBorders>
            <w:vAlign w:val="center"/>
          </w:tcPr>
          <w:p w14:paraId="0E81953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19" w:type="dxa"/>
            <w:tcBorders>
              <w:bottom w:val="single" w:color="auto" w:sz="4" w:space="0"/>
            </w:tcBorders>
            <w:vAlign w:val="center"/>
          </w:tcPr>
          <w:p w14:paraId="67D37D7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路堑边坡支挡工程存在以下类别的问题时，每处违约金 5000 元。</w:t>
            </w:r>
          </w:p>
          <w:p w14:paraId="632331A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（1）锚杆或锚索长度不足；</w:t>
            </w:r>
          </w:p>
          <w:p w14:paraId="6988A6C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（2）压浆不规范；</w:t>
            </w:r>
          </w:p>
          <w:p w14:paraId="074750C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（3）张拉力不足；</w:t>
            </w:r>
          </w:p>
          <w:p w14:paraId="717B9CB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（4）强度不合格。</w:t>
            </w:r>
          </w:p>
        </w:tc>
      </w:tr>
    </w:tbl>
    <w:p w14:paraId="2DAE24D0">
      <w:pPr>
        <w:pStyle w:val="68"/>
        <w:rPr>
          <w:rFonts w:ascii="宋体" w:hAnsi="宋体" w:cs="宋体"/>
          <w:color w:val="000000" w:themeColor="text1"/>
          <w:sz w:val="24"/>
          <w:highlight w:val="none"/>
          <w14:textFill>
            <w14:solidFill>
              <w14:schemeClr w14:val="tx1"/>
            </w14:solidFill>
          </w14:textFill>
        </w:rPr>
      </w:pPr>
    </w:p>
    <w:p w14:paraId="00627A89">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续上表</w:t>
      </w:r>
    </w:p>
    <w:tbl>
      <w:tblPr>
        <w:tblStyle w:val="45"/>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14:paraId="48B8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7706CB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w:t>
            </w:r>
          </w:p>
          <w:p w14:paraId="04B851D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涵</w:t>
            </w:r>
          </w:p>
          <w:p w14:paraId="57785D2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w:t>
            </w:r>
          </w:p>
          <w:p w14:paraId="11D27B5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程</w:t>
            </w:r>
          </w:p>
        </w:tc>
        <w:tc>
          <w:tcPr>
            <w:tcW w:w="518" w:type="dxa"/>
            <w:vAlign w:val="center"/>
          </w:tcPr>
          <w:p w14:paraId="1DA3EF1B">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8062" w:type="dxa"/>
            <w:vAlign w:val="center"/>
          </w:tcPr>
          <w:p w14:paraId="42C9662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防撞栏出现大量麻面；线形有明显波折、错台；墙角或接缝漏浆；表面多处露筋，每十米违约金2000元。</w:t>
            </w:r>
          </w:p>
        </w:tc>
      </w:tr>
      <w:tr w14:paraId="3901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14:paraId="5DF3EF2B">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36D5CE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6978C17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构造物不按要求进行养生的，每处违约金2000元。</w:t>
            </w:r>
          </w:p>
        </w:tc>
      </w:tr>
      <w:tr w14:paraId="7F0B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14:paraId="7E569E90">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B29B8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77CEE2F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构造物施工未采取措施保证钢筋保护层厚度就浇筑砼的，每次违约金2000元。</w:t>
            </w:r>
          </w:p>
        </w:tc>
      </w:tr>
      <w:tr w14:paraId="4430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028C86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26F85B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2A9C982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下列情况，违者每次违约金2000元：</w:t>
            </w:r>
          </w:p>
          <w:p w14:paraId="5E98F854">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伸缩缝位置必须保证满足设计要求，安装时必须按气温来确定安装宽度；</w:t>
            </w:r>
          </w:p>
          <w:p w14:paraId="6093B31B">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预留槽口底面的砼必须密实、平整；</w:t>
            </w:r>
          </w:p>
          <w:p w14:paraId="6A35C45D">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在填充前必须保证干净，不得有杂物。</w:t>
            </w:r>
          </w:p>
        </w:tc>
      </w:tr>
      <w:tr w14:paraId="3F9E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1260A5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C24969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21BCB48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张拉千斤顶没有按规范要求标定，造成拉力不符设计要求的，每次违约金2000元。</w:t>
            </w:r>
          </w:p>
        </w:tc>
      </w:tr>
      <w:tr w14:paraId="6D5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14:paraId="777F7AB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5918D4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3077696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预应力筋有烧伤或划伤，必须立即撤换，违者每次违约金5000元。</w:t>
            </w:r>
          </w:p>
        </w:tc>
      </w:tr>
      <w:tr w14:paraId="58A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14:paraId="6F23FA2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38716C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4CF71EF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预应力筋因施工不当造成断丝且无法补救时，每次违约金8000元。</w:t>
            </w:r>
          </w:p>
        </w:tc>
      </w:tr>
      <w:tr w14:paraId="32B4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AAE297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E7CB05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21A523C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预制梁施工必须符合设计要求，吊装位置准确，标高误差±lcm，违者违约金2000元。</w:t>
            </w:r>
          </w:p>
        </w:tc>
      </w:tr>
      <w:tr w14:paraId="194A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90D3BF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79042A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68FAE56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一个经过自检的钢筋骨架中钢筋焊接长度不足及焊缝不饱满超过3处的，违约金 2000元。 </w:t>
            </w:r>
          </w:p>
        </w:tc>
      </w:tr>
      <w:tr w14:paraId="2809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323A32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9A24A6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14:paraId="47E993B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一个经过自检的钢筋骨架有3处钢筋间距(包括土筋和构造筋)不符合规范要求的违约金2000元。</w:t>
            </w:r>
          </w:p>
        </w:tc>
      </w:tr>
      <w:tr w14:paraId="60C9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14:paraId="493B605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364DD2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14:paraId="368B3B7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钢筋骨架己生锈，在浇筑砼前未作去锈处理的，每次违约金2000元。</w:t>
            </w:r>
          </w:p>
        </w:tc>
      </w:tr>
      <w:tr w14:paraId="7C7A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E81812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AEE90C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vAlign w:val="center"/>
          </w:tcPr>
          <w:p w14:paraId="25D3EC9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在钻孔桩的施工中泥浆循环系统未设沉淀池的，或沉淀池规格不符合有关要求的，每处违约金2000元。</w:t>
            </w:r>
          </w:p>
        </w:tc>
      </w:tr>
      <w:tr w14:paraId="1970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F357536">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8445B7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vAlign w:val="center"/>
          </w:tcPr>
          <w:p w14:paraId="77B8910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桩基检测评定为C类桩的，每根违约金2000元，出现不合格桩的，每根违约金5000元。</w:t>
            </w:r>
          </w:p>
        </w:tc>
      </w:tr>
      <w:tr w14:paraId="5F76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14:paraId="538E25A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CADDE8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vAlign w:val="center"/>
          </w:tcPr>
          <w:p w14:paraId="1C86A24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浇注砼时，自由下落高度超过2m而不用串筒的，每次违约金2000元。</w:t>
            </w:r>
          </w:p>
        </w:tc>
      </w:tr>
      <w:tr w14:paraId="7447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14:paraId="2CB78C3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9177AB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vAlign w:val="center"/>
          </w:tcPr>
          <w:p w14:paraId="08F0CB4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砼施工配合比不按重量比的，每次违约金5000元。</w:t>
            </w:r>
          </w:p>
        </w:tc>
      </w:tr>
      <w:tr w14:paraId="0042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14:paraId="029C52D4">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24AEC5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vAlign w:val="center"/>
          </w:tcPr>
          <w:p w14:paraId="08689DD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两梁板之间接缝不得有杂物，填充料符合设计要求，违者违约金2000元。</w:t>
            </w:r>
          </w:p>
        </w:tc>
      </w:tr>
      <w:tr w14:paraId="4AAD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B784ED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22F02F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62" w:type="dxa"/>
            <w:vAlign w:val="center"/>
          </w:tcPr>
          <w:p w14:paraId="3AE44FC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砼拌和现场的称量和配水机械装置应维持良好状态，拌和机的容量要满足要求，桥梁施工要具备应急拌和机。正在施工的现场不满足上述要求的，每次违约金2000元</w:t>
            </w:r>
          </w:p>
        </w:tc>
      </w:tr>
      <w:tr w14:paraId="71A5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14:paraId="1A9B0C4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C4E09D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62" w:type="dxa"/>
            <w:vAlign w:val="center"/>
          </w:tcPr>
          <w:p w14:paraId="2DC3D6C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压浆不按配合比制浆，水灰比失控，强度达不到要求的，每次违约金3000元。</w:t>
            </w:r>
          </w:p>
        </w:tc>
      </w:tr>
      <w:tr w14:paraId="1D4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14:paraId="2346BE8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30ACF0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62" w:type="dxa"/>
            <w:vAlign w:val="center"/>
          </w:tcPr>
          <w:p w14:paraId="7DC46C0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压浆不饱满的，每条管违约金3000元。</w:t>
            </w:r>
          </w:p>
        </w:tc>
      </w:tr>
      <w:tr w14:paraId="1277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93E14D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3091E7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62" w:type="dxa"/>
            <w:vAlign w:val="center"/>
          </w:tcPr>
          <w:p w14:paraId="31FE0C6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预制、现浇砼构件必须采用足够强度、大面积的钢板制模板，违者每次违约金3000元。</w:t>
            </w:r>
          </w:p>
        </w:tc>
      </w:tr>
      <w:tr w14:paraId="4345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E0A593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11056A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62" w:type="dxa"/>
            <w:vAlign w:val="center"/>
          </w:tcPr>
          <w:p w14:paraId="55BDF7C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14:paraId="294A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488F0E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DE780B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62" w:type="dxa"/>
            <w:vAlign w:val="center"/>
          </w:tcPr>
          <w:p w14:paraId="34A95C5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各标段第一根立柱、盖梁和第一段防撞栏必须经发包人和监理人检查外观质量合格后，方可进行第二根立柱、盖梁和第二段防撞栏的施工，违者每次违约金5000元</w:t>
            </w:r>
          </w:p>
        </w:tc>
      </w:tr>
      <w:tr w14:paraId="20B4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14:paraId="6F0E866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21D5EF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62" w:type="dxa"/>
            <w:vAlign w:val="center"/>
          </w:tcPr>
          <w:p w14:paraId="43743AC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结构标高尺寸误差超出规范允许值，每处违约金2000元。</w:t>
            </w:r>
          </w:p>
        </w:tc>
      </w:tr>
      <w:tr w14:paraId="6358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7C71812">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296C42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062" w:type="dxa"/>
            <w:vAlign w:val="center"/>
          </w:tcPr>
          <w:p w14:paraId="7C1CABD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桥面铺装应符合路面的要求，其强度、厚度、平整度、横坡、抗滑构造深度均应符合要求；桥面与伸缩缝的缝面必须结合良好，保证平整，违者每处违约金2000元。</w:t>
            </w:r>
          </w:p>
        </w:tc>
      </w:tr>
      <w:tr w14:paraId="5220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065269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300C95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8062" w:type="dxa"/>
            <w:vAlign w:val="center"/>
          </w:tcPr>
          <w:p w14:paraId="13D15EF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达不到以下要求的，每处违约金2000元：</w:t>
            </w:r>
          </w:p>
          <w:p w14:paraId="51356660">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钢模板大面平整、坚固，板面缝隙小，错台不大于lmm；</w:t>
            </w:r>
          </w:p>
          <w:p w14:paraId="72C3FA3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在盖梁浇筑前，立柱应用薄膜包裹，并用胶布密封固定，防止漏浆损坏立柱外观质量；裸露在砼外的结构钢筋或施工用的临时钢构件，时间需超过一个月，必须采取防锈措施(包裹或油漆)。</w:t>
            </w:r>
          </w:p>
        </w:tc>
      </w:tr>
      <w:tr w14:paraId="40F5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DBE96F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ED359A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062" w:type="dxa"/>
            <w:vAlign w:val="center"/>
          </w:tcPr>
          <w:p w14:paraId="5117DC8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伸缩缝施工出现下列情况，违者每次或每处违约金2000元：</w:t>
            </w:r>
          </w:p>
          <w:p w14:paraId="1ABC821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（1)伸缩缝位置必须保证满足设计要求，安装时必须按气温来确定安装宽度；</w:t>
            </w:r>
          </w:p>
          <w:p w14:paraId="3142BD6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（2)预留槽口底面的砼必须密实、平整；在填充前必须保证干净，不得有杂物；</w:t>
            </w:r>
          </w:p>
          <w:p w14:paraId="26390E6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（3)预埋钢筋未按设计要求预埋。</w:t>
            </w:r>
          </w:p>
        </w:tc>
      </w:tr>
      <w:tr w14:paraId="7F87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8DF403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950F74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8062" w:type="dxa"/>
            <w:vAlign w:val="center"/>
          </w:tcPr>
          <w:p w14:paraId="275BE5B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支座垫石标高误差超过±5mm，表面不清洁、不平整，有脱空松动的，每处违约金 2000元。</w:t>
            </w:r>
          </w:p>
        </w:tc>
      </w:tr>
      <w:tr w14:paraId="57F2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AEC0DA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44FA4D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8062" w:type="dxa"/>
            <w:vAlign w:val="center"/>
          </w:tcPr>
          <w:p w14:paraId="5CA4201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检测发现混凝土强度不合格的构件，每处违约金 10000 元。</w:t>
            </w:r>
          </w:p>
        </w:tc>
      </w:tr>
      <w:tr w14:paraId="6AC0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9110F0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w:t>
            </w:r>
          </w:p>
          <w:p w14:paraId="22279A1A">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面工程</w:t>
            </w:r>
          </w:p>
        </w:tc>
        <w:tc>
          <w:tcPr>
            <w:tcW w:w="518" w:type="dxa"/>
            <w:vAlign w:val="center"/>
          </w:tcPr>
          <w:p w14:paraId="7A483DF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7DCEDBE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路面基层必须碾压密实，表面干燥、清洁、无浮土，平整度和路拱度符合要求，违者每处违约金2000元。</w:t>
            </w:r>
          </w:p>
        </w:tc>
      </w:tr>
      <w:tr w14:paraId="3FF1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1898F5BB">
            <w:pPr>
              <w:pStyle w:val="68"/>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14:paraId="2E38B88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6A3D49D9">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水泥砼路面存在下列问题的，每处违约金1,000元：</w:t>
            </w:r>
          </w:p>
          <w:p w14:paraId="54269CB1">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（1)粗细骨料不符合设计要求；</w:t>
            </w:r>
          </w:p>
          <w:p w14:paraId="6D155087">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（2)基层和底基层压实度没有≥98%，表面坑洼，明显离析；</w:t>
            </w:r>
          </w:p>
          <w:p w14:paraId="29564D45">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（3)基层和底基层没有清理杂物，有浮土；</w:t>
            </w:r>
          </w:p>
          <w:p w14:paraId="0CC02F07">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（4)砼养生不及时；</w:t>
            </w:r>
          </w:p>
          <w:p w14:paraId="47C9D5DB">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（5)膨胀传力杆活动端与固定端方向没有相反；</w:t>
            </w:r>
          </w:p>
          <w:p w14:paraId="371959F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（6)接缝填充料没有饱满或用料不符合设计要求。</w:t>
            </w:r>
          </w:p>
        </w:tc>
      </w:tr>
      <w:tr w14:paraId="3E7B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4B33275D">
            <w:pPr>
              <w:pStyle w:val="68"/>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14:paraId="09526DA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08B359B1">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水泥砼路面检测发现混凝土强度不合格的构件，每处违约金 10000 元。</w:t>
            </w:r>
          </w:p>
        </w:tc>
      </w:tr>
      <w:tr w14:paraId="15AC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5DCF47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710797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10995DE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沥青路面存在以下问题的，每处违约金 10000-50000 元：</w:t>
            </w:r>
          </w:p>
          <w:p w14:paraId="59B2CC2C">
            <w:pPr>
              <w:pStyle w:val="68"/>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沥青及矿料质量及混合料级配及混合料指标不符合要求的；</w:t>
            </w:r>
          </w:p>
          <w:p w14:paraId="338EDC34">
            <w:pPr>
              <w:pStyle w:val="68"/>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沥青混合料的拌合温度、摊铺温度、碾压温度不符合规范或设计要求；</w:t>
            </w:r>
          </w:p>
          <w:p w14:paraId="71A29F8A">
            <w:pPr>
              <w:pStyle w:val="68"/>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沥青混合料的生产，未按要求做抽提实验、筛分试验、马歇尔实验；</w:t>
            </w:r>
          </w:p>
          <w:p w14:paraId="52279EE8">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4）拌和后的混合料不均匀一致，有花白、粗细料分离和结团成块现象；</w:t>
            </w:r>
          </w:p>
          <w:p w14:paraId="2858094C">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5）路面不平整密实，有泛油、松散、裂缝和明显离析现象；</w:t>
            </w:r>
          </w:p>
          <w:p w14:paraId="3FEB757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6)面层施工前未按要求对基层裂缝进行处理；</w:t>
            </w:r>
          </w:p>
          <w:p w14:paraId="4F79FBAA">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7)面层和路缘石及其他构造物不密贴，有积水或漏水现象的；</w:t>
            </w:r>
          </w:p>
          <w:p w14:paraId="6F98D4CA">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8)运输车辆未采取保温措施，运输过程中不加帆布遮盖的；</w:t>
            </w:r>
          </w:p>
          <w:p w14:paraId="2CBB047A">
            <w:pPr>
              <w:pStyle w:val="68"/>
              <w:widowControl/>
              <w:numPr>
                <w:ilvl w:val="0"/>
                <w:numId w:val="20"/>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下雨时摊铺，或雨后地面过湿而没有采取措施就摊铺的；</w:t>
            </w:r>
          </w:p>
          <w:p w14:paraId="79FBF99C">
            <w:pPr>
              <w:pStyle w:val="68"/>
              <w:widowControl/>
              <w:numPr>
                <w:ilvl w:val="0"/>
                <w:numId w:val="20"/>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纵横缝施工不符合规范要求的。</w:t>
            </w:r>
          </w:p>
        </w:tc>
      </w:tr>
      <w:tr w14:paraId="4800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EA96402">
            <w:pPr>
              <w:pStyle w:val="68"/>
              <w:rPr>
                <w:rFonts w:ascii="宋体" w:hAnsi="宋体" w:cs="宋体"/>
                <w:color w:val="000000" w:themeColor="text1"/>
                <w:sz w:val="24"/>
                <w:highlight w:val="none"/>
                <w14:textFill>
                  <w14:solidFill>
                    <w14:schemeClr w14:val="tx1"/>
                  </w14:solidFill>
                </w14:textFill>
              </w:rPr>
            </w:pPr>
          </w:p>
          <w:p w14:paraId="4686500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隧道</w:t>
            </w:r>
          </w:p>
          <w:p w14:paraId="0BE635F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w:t>
            </w:r>
          </w:p>
        </w:tc>
        <w:tc>
          <w:tcPr>
            <w:tcW w:w="518" w:type="dxa"/>
            <w:vAlign w:val="center"/>
          </w:tcPr>
          <w:p w14:paraId="7678CFC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1029744D">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 2000 元：</w:t>
            </w:r>
          </w:p>
          <w:p w14:paraId="3C2721C9">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(1)隧道工程应严格控制超欠挖，超挖时必须用同级等强度的砼或同级片石砼回填密实，不得用土石或洞渣回填，违者每次处违约金 2000 元；</w:t>
            </w:r>
          </w:p>
          <w:p w14:paraId="40A1E8DB">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(2)周边收敛量测埋点、量测频率不符合规范，数据处理不及时每次违约金2000元。</w:t>
            </w:r>
          </w:p>
        </w:tc>
      </w:tr>
      <w:tr w14:paraId="60E4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7EAA58E">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087635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76DF7EC0">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 1000 元：</w:t>
            </w:r>
          </w:p>
          <w:p w14:paraId="587DFDA6">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(1)防水板破损穿孔、搭接漏焊；</w:t>
            </w:r>
          </w:p>
          <w:p w14:paraId="2ADB6CF6">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(2)防水板漏水；</w:t>
            </w:r>
          </w:p>
          <w:p w14:paraId="7973F7C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(3)锚垫板未按要求施工；</w:t>
            </w:r>
          </w:p>
          <w:p w14:paraId="40601BF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(4)没有按要求进行光面爆破；</w:t>
            </w:r>
          </w:p>
          <w:p w14:paraId="15C28CDA">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(5)洞内装修工程未达到设计要求，没有保持线形平顺，误差超过 1cm；</w:t>
            </w:r>
          </w:p>
          <w:p w14:paraId="6A9277F8">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(6)排水管没有保持畅通，出现渗水、滴水现象；</w:t>
            </w:r>
          </w:p>
          <w:p w14:paraId="0ECDE3CC">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(7)二次衬砌台车刚度不够，施工缝接合处理不好；</w:t>
            </w:r>
          </w:p>
          <w:p w14:paraId="2D8F940E">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(8）通风、照明、防尘措施、运行不符合要求；</w:t>
            </w:r>
          </w:p>
          <w:p w14:paraId="2107CC95">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(9）钢拱架与隔栅定位不合设计要求。</w:t>
            </w:r>
          </w:p>
        </w:tc>
      </w:tr>
      <w:tr w14:paraId="2047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33CFC0D">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2655B9C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028F769C">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14:paraId="4C2E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38FEAE7">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AB863C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425CA9C4">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14:paraId="0BAB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E19F686">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5643F8C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0477847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隧道开挖应满足隧道净空及衬砌厚度的要求，控制超挖，严禁欠挖，不许有超限突石。一经发现，处以承包人 1000 元--10000 元的违约金，并要求处理合格。</w:t>
            </w:r>
          </w:p>
        </w:tc>
      </w:tr>
      <w:tr w14:paraId="0AE4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93AEA27">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55F0D1F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6352C9D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隧道拱墙范围内的超挖，要求用与拱圈同级强度的混凝土一次回填密实，衬砌背后的支撑块或其他杂物应清除干净，并按要求填塞紧密，否则，对承包人处以 10000 元的违约金。</w:t>
            </w:r>
          </w:p>
        </w:tc>
      </w:tr>
      <w:tr w14:paraId="371D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C68C98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98A609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4D0B52B7">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衬砌混凝土强度应满足设计及《公路工程质量检验评定标准》要求，否则，除要求及时采取措施处理外，并处以承包人 10000 元的违约金。</w:t>
            </w:r>
          </w:p>
        </w:tc>
      </w:tr>
      <w:tr w14:paraId="389C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94E010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9CC47D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720F14BD">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14:paraId="50A2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3A71E2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E5BB5F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628D9AA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14:paraId="5FA5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8EE4FF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040641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14:paraId="573F2618">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隧道洞身施工完毕后，不得出现渗水、漏水现象，如出现以上问题，除要求施工单位予以补救外，处以 5000 元/处的违约金。</w:t>
            </w:r>
          </w:p>
        </w:tc>
      </w:tr>
      <w:tr w14:paraId="050D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DCCE0D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6AB8FC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14:paraId="26FAA75F">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按照规范，隧道作业未开启通风设备的违约金 10000 元/次。</w:t>
            </w:r>
          </w:p>
        </w:tc>
      </w:tr>
      <w:tr w14:paraId="41F4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14:paraId="7B02AA2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绿化工程</w:t>
            </w:r>
          </w:p>
        </w:tc>
        <w:tc>
          <w:tcPr>
            <w:tcW w:w="518" w:type="dxa"/>
            <w:vAlign w:val="center"/>
          </w:tcPr>
          <w:p w14:paraId="7E5A792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51E53F3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如果绿化工程质量不合格或造成质量隐患，按以下标准对承包人进行违约金：以清单单位为违约金依据，即1000元／丛、1000元／株、500元／㎡、500元／t以及10000元／个等。</w:t>
            </w:r>
          </w:p>
        </w:tc>
      </w:tr>
      <w:tr w14:paraId="22C5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67DDD95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w:t>
            </w:r>
          </w:p>
        </w:tc>
        <w:tc>
          <w:tcPr>
            <w:tcW w:w="518" w:type="dxa"/>
            <w:vAlign w:val="center"/>
          </w:tcPr>
          <w:p w14:paraId="3C4D8EE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5E2E8D5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桥梁施工现场及构件预制场、钢筋加工场、搅拌站、施工驻地须悬挂安全生产标牌，违者每处违约金l000元。</w:t>
            </w:r>
          </w:p>
        </w:tc>
      </w:tr>
      <w:tr w14:paraId="1D51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A7D45F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66C9EB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3B51E52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基坑开挖未有效围护的，桩孔施工后未加盖的，每处违约金1000元。</w:t>
            </w:r>
          </w:p>
        </w:tc>
      </w:tr>
      <w:tr w14:paraId="08AD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EB14CD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3BA0FA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51ED6F4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电力线路架设零乱不牢固；电源线老化、绝缘损坏、接头处无包扎的；使用花线或劣质电线；不设电箱、漏电开关；施工现场未设安全警示牌，每处违约金1000元。</w:t>
            </w:r>
          </w:p>
        </w:tc>
      </w:tr>
      <w:tr w14:paraId="4E96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A2B5E3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72C99A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50867EE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高空作业未设置稳固爬梯；不设围栏、安全网，每处违约金l000元。</w:t>
            </w:r>
          </w:p>
        </w:tc>
      </w:tr>
      <w:tr w14:paraId="37BB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B7014A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53F865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6A830CB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爆破作业应按批准的爆破方案及施工安全技术规程的要求进行，并对人身、工程本身及所有财产采取保护措施，违者每次违约金2000元。</w:t>
            </w:r>
          </w:p>
        </w:tc>
      </w:tr>
      <w:tr w14:paraId="1BF2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7B52C5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598557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1C43722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爆破器材设专人保管，严格领用手续，违者每次违约金2000元。  </w:t>
            </w:r>
          </w:p>
        </w:tc>
      </w:tr>
      <w:tr w14:paraId="126D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360202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A01696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5F4D55E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对于安全风险大的高空作业、梁板吊装，要求制订安全预案，违者每次违约金2000元。</w:t>
            </w:r>
          </w:p>
        </w:tc>
      </w:tr>
      <w:tr w14:paraId="0693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D45FC0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3C69A7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139030A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梁板吊运安装施工方案应经过监理人审批，吊车、龙门架、架桥机要经过安全生产管理部门检查合格，并在设备上张贴“四证”公示牌（当地无法办理使用登记证，张贴“三证”）才能施工作业，违者每次违约金 5000  元。</w:t>
            </w:r>
          </w:p>
        </w:tc>
      </w:tr>
      <w:tr w14:paraId="7B29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14:paraId="5E4DDA9B">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A273D4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4104125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出现以下情况每次违约金2000元：</w:t>
            </w:r>
          </w:p>
          <w:p w14:paraId="47E62584">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施工车辆和机械带病上岗，操作人员无证上岗和违反操作规程；</w:t>
            </w:r>
          </w:p>
          <w:p w14:paraId="2EF37B61">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发生各种事故苗头及事故未及时不整改和隐瞒不报</w:t>
            </w:r>
          </w:p>
          <w:p w14:paraId="409B877D">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每月安全大检查，安全管理人员无故不在位；</w:t>
            </w:r>
          </w:p>
          <w:p w14:paraId="042D375D">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主要施工机械设备应悬挂操作规程；</w:t>
            </w:r>
          </w:p>
          <w:p w14:paraId="6439BF58">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作业人员酒后作业、机器设备带病作业的；</w:t>
            </w:r>
          </w:p>
          <w:p w14:paraId="3D25E276">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施工未进行安全交底，安全交底无记录的。</w:t>
            </w:r>
          </w:p>
        </w:tc>
      </w:tr>
      <w:tr w14:paraId="50B3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81CDF5A">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61C38B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14:paraId="7DB8FC8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施工现场人员出现以下情况，每人／次违约金500元：</w:t>
            </w:r>
          </w:p>
          <w:p w14:paraId="34B17AE3">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不戴安全帽；</w:t>
            </w:r>
          </w:p>
          <w:p w14:paraId="7F4AD6D8">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高空作业不系安全带；</w:t>
            </w:r>
          </w:p>
          <w:p w14:paraId="3C534875">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水上作业不穿救生衣；</w:t>
            </w:r>
          </w:p>
          <w:p w14:paraId="64E78BCE">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赤脚或穿拖鞋；</w:t>
            </w:r>
          </w:p>
          <w:p w14:paraId="6CD2A9FD">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爆破员、安全员、电工、装载机司机、运输车司机、电焊工、砼工、吊车、架桥机等特殊工种未持证上岗的。</w:t>
            </w:r>
          </w:p>
        </w:tc>
      </w:tr>
      <w:tr w14:paraId="1E9C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6630FF7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文明施工</w:t>
            </w:r>
          </w:p>
        </w:tc>
        <w:tc>
          <w:tcPr>
            <w:tcW w:w="518" w:type="dxa"/>
            <w:vAlign w:val="center"/>
          </w:tcPr>
          <w:p w14:paraId="02C2B42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38188F7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承包人驻地建设应包括防护、围墙、临时便道和安全、卫生、防火设施，违者每项违约金5000元。   </w:t>
            </w:r>
          </w:p>
        </w:tc>
      </w:tr>
      <w:tr w14:paraId="6266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04E0D4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FA75DB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323DD2E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承包人项目经理部应按发包人统一要求设置组织机构、质量管理、安全生产等宣传牌，违者每项违约金5000元。</w:t>
            </w:r>
          </w:p>
        </w:tc>
      </w:tr>
      <w:tr w14:paraId="724B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58A6CC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53E262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4767FD4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单项工程的施工现场未按要求设立标示牌的，施工点无安全员的，每处违约金500元。</w:t>
            </w:r>
          </w:p>
        </w:tc>
      </w:tr>
      <w:tr w14:paraId="256C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1231B6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FA8D72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4323703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施工现场管理人员不佩带工作证，每人／次违约金200元。  </w:t>
            </w:r>
          </w:p>
        </w:tc>
      </w:tr>
      <w:tr w14:paraId="245E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7DA577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497839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53E7A85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路基施工作业面、便道不及时洒水降尘的，每次违约金3000元。</w:t>
            </w:r>
          </w:p>
        </w:tc>
      </w:tr>
      <w:tr w14:paraId="62F5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3E0FB3B">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9DE036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7D13859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桥梁施工过程中的泥浆及废弃物等，须在该项工程完工时即时清除干净，违者违约金30000元。   </w:t>
            </w:r>
          </w:p>
        </w:tc>
      </w:tr>
      <w:tr w14:paraId="4038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AC1624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D9CF20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275418C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施工现场未采取有效措施，造成水源污染、空气污染等不良后果，引起群众抗议、投诉或有关行政主管部门处理的，每次违约金 10000 元。</w:t>
            </w:r>
          </w:p>
        </w:tc>
      </w:tr>
      <w:tr w14:paraId="34AF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14:paraId="1D799CF6">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D8F34C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09DE24F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弃土、弃渣占农田果园、堵塞水道以及造成水土流失的，每次违约金 5000 元。</w:t>
            </w:r>
          </w:p>
        </w:tc>
      </w:tr>
      <w:tr w14:paraId="1120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9" w:type="dxa"/>
            <w:vMerge w:val="continue"/>
          </w:tcPr>
          <w:p w14:paraId="543C0604">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799995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3A35957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水土保持防护措施不完善，造成水土流失，污染当地农田水利的，每次违约金5000 元。</w:t>
            </w:r>
          </w:p>
        </w:tc>
      </w:tr>
      <w:tr w14:paraId="1294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14:paraId="769D5F18">
            <w:pPr>
              <w:pStyle w:val="68"/>
              <w:rPr>
                <w:rFonts w:ascii="宋体" w:hAnsi="宋体" w:cs="宋体"/>
                <w:color w:val="000000" w:themeColor="text1"/>
                <w:sz w:val="24"/>
                <w:highlight w:val="none"/>
                <w14:textFill>
                  <w14:solidFill>
                    <w14:schemeClr w14:val="tx1"/>
                  </w14:solidFill>
                </w14:textFill>
              </w:rPr>
            </w:pPr>
          </w:p>
          <w:p w14:paraId="399FF986">
            <w:pPr>
              <w:rPr>
                <w:rFonts w:ascii="宋体" w:hAnsi="宋体" w:cs="宋体"/>
                <w:color w:val="000000" w:themeColor="text1"/>
                <w:sz w:val="24"/>
                <w:highlight w:val="none"/>
                <w14:textFill>
                  <w14:solidFill>
                    <w14:schemeClr w14:val="tx1"/>
                  </w14:solidFill>
                </w14:textFill>
              </w:rPr>
            </w:pPr>
          </w:p>
          <w:p w14:paraId="6F123872">
            <w:pPr>
              <w:rPr>
                <w:rFonts w:ascii="宋体" w:hAnsi="宋体" w:cs="宋体"/>
                <w:color w:val="000000" w:themeColor="text1"/>
                <w:sz w:val="24"/>
                <w:highlight w:val="none"/>
                <w14:textFill>
                  <w14:solidFill>
                    <w14:schemeClr w14:val="tx1"/>
                  </w14:solidFill>
                </w14:textFill>
              </w:rPr>
            </w:pPr>
          </w:p>
          <w:p w14:paraId="024D883F">
            <w:pPr>
              <w:rPr>
                <w:rFonts w:ascii="宋体" w:hAnsi="宋体" w:cs="宋体"/>
                <w:color w:val="000000" w:themeColor="text1"/>
                <w:sz w:val="24"/>
                <w:highlight w:val="none"/>
                <w14:textFill>
                  <w14:solidFill>
                    <w14:schemeClr w14:val="tx1"/>
                  </w14:solidFill>
                </w14:textFill>
              </w:rPr>
            </w:pPr>
          </w:p>
          <w:p w14:paraId="595D110C">
            <w:pPr>
              <w:rPr>
                <w:rFonts w:ascii="宋体" w:hAnsi="宋体" w:cs="宋体"/>
                <w:color w:val="000000" w:themeColor="text1"/>
                <w:sz w:val="24"/>
                <w:highlight w:val="none"/>
                <w14:textFill>
                  <w14:solidFill>
                    <w14:schemeClr w14:val="tx1"/>
                  </w14:solidFill>
                </w14:textFill>
              </w:rPr>
            </w:pPr>
          </w:p>
          <w:p w14:paraId="40B70BBB">
            <w:pPr>
              <w:rPr>
                <w:rFonts w:ascii="宋体" w:hAnsi="宋体" w:cs="宋体"/>
                <w:color w:val="000000" w:themeColor="text1"/>
                <w:sz w:val="24"/>
                <w:highlight w:val="none"/>
                <w14:textFill>
                  <w14:solidFill>
                    <w14:schemeClr w14:val="tx1"/>
                  </w14:solidFill>
                </w14:textFill>
              </w:rPr>
            </w:pPr>
          </w:p>
          <w:p w14:paraId="58D03DC1">
            <w:pPr>
              <w:rPr>
                <w:rFonts w:ascii="宋体" w:hAnsi="宋体" w:cs="宋体"/>
                <w:color w:val="000000" w:themeColor="text1"/>
                <w:sz w:val="24"/>
                <w:highlight w:val="none"/>
                <w14:textFill>
                  <w14:solidFill>
                    <w14:schemeClr w14:val="tx1"/>
                  </w14:solidFill>
                </w14:textFill>
              </w:rPr>
            </w:pPr>
          </w:p>
          <w:p w14:paraId="07FB25C8">
            <w:pPr>
              <w:rPr>
                <w:rFonts w:ascii="宋体" w:hAnsi="宋体" w:cs="宋体"/>
                <w:color w:val="000000" w:themeColor="text1"/>
                <w:sz w:val="24"/>
                <w:highlight w:val="none"/>
                <w14:textFill>
                  <w14:solidFill>
                    <w14:schemeClr w14:val="tx1"/>
                  </w14:solidFill>
                </w14:textFill>
              </w:rPr>
            </w:pPr>
          </w:p>
          <w:p w14:paraId="1285C1A5">
            <w:pPr>
              <w:rPr>
                <w:rFonts w:ascii="宋体" w:hAnsi="宋体" w:cs="宋体"/>
                <w:color w:val="000000" w:themeColor="text1"/>
                <w:sz w:val="24"/>
                <w:highlight w:val="none"/>
                <w14:textFill>
                  <w14:solidFill>
                    <w14:schemeClr w14:val="tx1"/>
                  </w14:solidFill>
                </w14:textFill>
              </w:rPr>
            </w:pPr>
          </w:p>
          <w:p w14:paraId="1923FACA">
            <w:pPr>
              <w:rPr>
                <w:rFonts w:ascii="宋体" w:hAnsi="宋体" w:cs="宋体"/>
                <w:color w:val="000000" w:themeColor="text1"/>
                <w:sz w:val="24"/>
                <w:highlight w:val="none"/>
                <w14:textFill>
                  <w14:solidFill>
                    <w14:schemeClr w14:val="tx1"/>
                  </w14:solidFill>
                </w14:textFill>
              </w:rPr>
            </w:pPr>
          </w:p>
          <w:p w14:paraId="42DA866C">
            <w:pPr>
              <w:rPr>
                <w:rFonts w:ascii="宋体" w:hAnsi="宋体" w:cs="宋体"/>
                <w:color w:val="000000" w:themeColor="text1"/>
                <w:sz w:val="24"/>
                <w:highlight w:val="none"/>
                <w14:textFill>
                  <w14:solidFill>
                    <w14:schemeClr w14:val="tx1"/>
                  </w14:solidFill>
                </w14:textFill>
              </w:rPr>
            </w:pPr>
          </w:p>
          <w:p w14:paraId="4750495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 境保护</w:t>
            </w:r>
          </w:p>
          <w:p w14:paraId="3858477D">
            <w:pPr>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14:paraId="1048DA9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tcPr>
          <w:p w14:paraId="2D650086">
            <w:pPr>
              <w:pStyle w:val="80"/>
              <w:spacing w:before="86"/>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未建立健全的环境保护管理机构，违约金 10000 元，并限期纠正。</w:t>
            </w:r>
          </w:p>
        </w:tc>
      </w:tr>
      <w:tr w14:paraId="55ED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39528FA">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62CE9A6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tcPr>
          <w:p w14:paraId="774F50E0">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环境保护规章制度不齐全，违约金 5000  元，并限期纠正。</w:t>
            </w:r>
          </w:p>
        </w:tc>
      </w:tr>
      <w:tr w14:paraId="133A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0F7CE24">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1B368B7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tcPr>
          <w:p w14:paraId="512F5D18">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施工方案中没有环保措施，违约金 1000 元，并限期纠正。</w:t>
            </w:r>
          </w:p>
        </w:tc>
      </w:tr>
      <w:tr w14:paraId="1544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1C47570">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4370B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tcPr>
          <w:p w14:paraId="2E6F4BF6">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未对可能造成环境污染的项目进行监测，违约金 1000 元，并限期纠正。</w:t>
            </w:r>
          </w:p>
        </w:tc>
      </w:tr>
      <w:tr w14:paraId="0130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785795D">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34DC46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tcPr>
          <w:p w14:paraId="6A00F9F3">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未配备必要的环境保护监测仪器，违约金 1000 元，并限期纠正。</w:t>
            </w:r>
          </w:p>
        </w:tc>
      </w:tr>
      <w:tr w14:paraId="7C90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6DB2BD7">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4D0E83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tcPr>
          <w:p w14:paraId="34196853">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环境保护学习、宣传、教育、培训不健全，违约金 1000 元，并限期纠正。</w:t>
            </w:r>
          </w:p>
        </w:tc>
      </w:tr>
      <w:tr w14:paraId="5618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F2F2AEE">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350B41B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tcPr>
          <w:p w14:paraId="6F7F05EF">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未建立环境保护管理台帐，报送资料不及时，违约金 1000 元，并限期纠正。</w:t>
            </w:r>
          </w:p>
        </w:tc>
      </w:tr>
      <w:tr w14:paraId="2312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8E83444">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F6B303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tcPr>
          <w:p w14:paraId="140FC7BB">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驻地环保设施不完善或设施缺乏维护而造成环境污染，视严重程度违约金</w:t>
            </w:r>
          </w:p>
          <w:p w14:paraId="14677E0A">
            <w:pPr>
              <w:pStyle w:val="80"/>
              <w:spacing w:before="3"/>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1000~10000 元，并限期纠正。</w:t>
            </w:r>
          </w:p>
        </w:tc>
      </w:tr>
      <w:tr w14:paraId="7F27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B18E419">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3C39CB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tcPr>
          <w:p w14:paraId="3FA2489D">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临近居民区施工噪声超标，违约金 1000 元，并限期纠正。</w:t>
            </w:r>
          </w:p>
        </w:tc>
      </w:tr>
      <w:tr w14:paraId="55E7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C6BE091">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4606C8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tcPr>
          <w:p w14:paraId="4A368D90">
            <w:pPr>
              <w:pStyle w:val="80"/>
              <w:spacing w:before="85" w:line="242" w:lineRule="auto"/>
              <w:ind w:left="108"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施工废料、废渣或弃土乱堆乱弃于施工现场而未运至弃土场，违约金 2000 元，并限期纠正。</w:t>
            </w:r>
          </w:p>
        </w:tc>
      </w:tr>
      <w:tr w14:paraId="637C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0F4170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10D777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tcPr>
          <w:p w14:paraId="5EA16FD6">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施工废水排放未经处理而对周边造成污染，违约金 2000 元，并限期纠正。</w:t>
            </w:r>
          </w:p>
        </w:tc>
      </w:tr>
      <w:tr w14:paraId="6F88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BBA937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E0A7C4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tcPr>
          <w:p w14:paraId="7636FC64">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施工废气排放未经处理而对周边造成污染，违约金 2000 元，并限期纠正。</w:t>
            </w:r>
          </w:p>
        </w:tc>
      </w:tr>
      <w:tr w14:paraId="291A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E4ED81A">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B9957A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tcPr>
          <w:p w14:paraId="236A4878">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施工粉尘未有效控制而对周边造成污染，违约金 2000 元，并限期纠正。</w:t>
            </w:r>
          </w:p>
        </w:tc>
      </w:tr>
      <w:tr w14:paraId="0F03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03D257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1DF2AA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tcPr>
          <w:p w14:paraId="4F7A5CF0">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生活污水没有处理直接排放而造成污染，违约金 1000 元，并限期纠正。</w:t>
            </w:r>
          </w:p>
        </w:tc>
      </w:tr>
      <w:tr w14:paraId="5172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174CEE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A99547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tcPr>
          <w:p w14:paraId="587BA95C">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生活垃圾没有集中且定期运走而造成污染，违约金 1000 元，并限期纠正。</w:t>
            </w:r>
          </w:p>
        </w:tc>
      </w:tr>
      <w:tr w14:paraId="01B0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057F0F4">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E533BA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tcPr>
          <w:p w14:paraId="7AD32F86">
            <w:pPr>
              <w:pStyle w:val="80"/>
              <w:spacing w:before="86" w:line="242" w:lineRule="auto"/>
              <w:ind w:left="108" w:right="11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驻地噪音超过有关的规定，影响当地居民的正常生活，违约金 1000 元，并限期纠正。</w:t>
            </w:r>
          </w:p>
        </w:tc>
      </w:tr>
      <w:tr w14:paraId="08D7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31641DC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内业资料</w:t>
            </w:r>
          </w:p>
        </w:tc>
        <w:tc>
          <w:tcPr>
            <w:tcW w:w="518" w:type="dxa"/>
            <w:vAlign w:val="center"/>
          </w:tcPr>
          <w:p w14:paraId="272EB27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0EAE5F0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开工前须结合工程特点进行分项、分部和单位工程划分，现场质量检查、质量验收资料按照划分进行归纳收集，违者每次违约金2000元。</w:t>
            </w:r>
          </w:p>
        </w:tc>
      </w:tr>
      <w:tr w14:paraId="105F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C21C60B">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4822EE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76AFC8C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内业原始资料弄虚作假的，不及时填写的，填写不完整规范的，每次违约金1000元。</w:t>
            </w:r>
          </w:p>
        </w:tc>
      </w:tr>
      <w:tr w14:paraId="70BD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E663426">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2626BBD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7EC94BD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内业原始资料和整理资料未按有关要求采用文件盒及时归档，每次违约金500元。</w:t>
            </w:r>
          </w:p>
        </w:tc>
      </w:tr>
      <w:tr w14:paraId="6BCB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1944FE2">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695BB08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25CA094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分部工程完成时，须将原始资料、施工记录、进度照片等资料整理归纳，装订成册，违者每次违约金2000元。</w:t>
            </w:r>
          </w:p>
        </w:tc>
      </w:tr>
      <w:tr w14:paraId="4B8D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14:paraId="0DEBD9AF">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73EA525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34A1887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试验设备不齐全，未建立试验台帐，每次违约金5000元。</w:t>
            </w:r>
          </w:p>
        </w:tc>
      </w:tr>
      <w:tr w14:paraId="138B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14:paraId="14EBF561">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518" w:type="dxa"/>
            <w:vAlign w:val="center"/>
          </w:tcPr>
          <w:p w14:paraId="286CCCE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5B0397D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不按照有关规定进行技术交底就进行施工作业的，每次违约金2000元。</w:t>
            </w:r>
          </w:p>
        </w:tc>
      </w:tr>
      <w:tr w14:paraId="0A88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14:paraId="4F774AC0">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C85174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239025E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上一道工序未经监理人签认就进行下一道工序施工的，每次违约金5000元。</w:t>
            </w:r>
          </w:p>
        </w:tc>
      </w:tr>
      <w:tr w14:paraId="5CAB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E1984E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524B80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64823A9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要求返工的工程未在规定的时间内进行返工或要求清除出施工现场材料未在规定的时间内清除出场的，每延误一天罚1000元。</w:t>
            </w:r>
          </w:p>
        </w:tc>
      </w:tr>
      <w:tr w14:paraId="2601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0B7CF83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7A8AA3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65544F4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水泥、钢筋、钢筋笼等存放不满足要求的，每次违约金2000元。  </w:t>
            </w:r>
          </w:p>
        </w:tc>
      </w:tr>
      <w:tr w14:paraId="5C42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78FAFD5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05861C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0F23A48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所有桩标须加固保护，树立易于识别得标志，违者每处违约金2000元。</w:t>
            </w:r>
          </w:p>
        </w:tc>
      </w:tr>
      <w:tr w14:paraId="727D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14:paraId="778E170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8F6628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5B2888F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实验及检测仪器未标定或标定不合格仍使用的，每次违约金2000元。  </w:t>
            </w:r>
          </w:p>
        </w:tc>
      </w:tr>
      <w:tr w14:paraId="3D4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5784E7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2F8353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3707A66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检验项目、方法、频率，没有按设计或规范要求执行；原材料送检和其它自检项目的试验(如钢筋焊接，土的重击实试验)不及时，频率未达到规定要求，每次违约金2000元。</w:t>
            </w:r>
          </w:p>
        </w:tc>
      </w:tr>
      <w:tr w14:paraId="698A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6F1A31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2B004B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1DF1DA6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未经检验合格的材料(原材料、锚具等)用于施工的，每次违约金5000元。</w:t>
            </w:r>
          </w:p>
        </w:tc>
      </w:tr>
      <w:tr w14:paraId="25EB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426F8B0">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7C6C8D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0F69AD0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其他不按照《广东省公路施工标准化指南》和《广东省高速公路工程施工组织设计和施工方案标准化管理指南》有关规定进行管理或施工作业的，每次违约金 1,000—50,000 元，并限期纠正。</w:t>
            </w:r>
          </w:p>
        </w:tc>
      </w:tr>
    </w:tbl>
    <w:p w14:paraId="0598B4AD">
      <w:pPr>
        <w:rPr>
          <w:rFonts w:ascii="宋体" w:hAnsi="宋体" w:cs="宋体"/>
          <w:color w:val="000000" w:themeColor="text1"/>
          <w:sz w:val="24"/>
          <w:highlight w:val="none"/>
          <w14:textFill>
            <w14:solidFill>
              <w14:schemeClr w14:val="tx1"/>
            </w14:solidFill>
          </w14:textFill>
        </w:rPr>
      </w:pPr>
    </w:p>
    <w:p w14:paraId="4CAFF17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50F45032">
      <w:pPr>
        <w:pStyle w:val="78"/>
        <w:spacing w:line="360" w:lineRule="auto"/>
        <w:rPr>
          <w:b w:val="0"/>
          <w:bCs w:val="0"/>
          <w:color w:val="000000" w:themeColor="text1"/>
          <w:sz w:val="24"/>
          <w:szCs w:val="24"/>
          <w:highlight w:val="none"/>
          <w14:textFill>
            <w14:solidFill>
              <w14:schemeClr w14:val="tx1"/>
            </w14:solidFill>
          </w14:textFill>
        </w:rPr>
      </w:pPr>
      <w:bookmarkStart w:id="1737" w:name="_Toc43476019"/>
      <w:bookmarkEnd w:id="1737"/>
      <w:r>
        <w:rPr>
          <w:rFonts w:hint="eastAsia"/>
          <w:bCs w:val="0"/>
          <w:color w:val="000000" w:themeColor="text1"/>
          <w:sz w:val="24"/>
          <w:szCs w:val="24"/>
          <w:highlight w:val="none"/>
          <w14:textFill>
            <w14:solidFill>
              <w14:schemeClr w14:val="tx1"/>
            </w14:solidFill>
          </w14:textFill>
        </w:rPr>
        <w:t>附件十三  建设工程农民工工资支付保证书</w:t>
      </w:r>
    </w:p>
    <w:p w14:paraId="065DD03F">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建设工程农民工工资支付保证书</w:t>
      </w:r>
    </w:p>
    <w:p w14:paraId="13877344">
      <w:pPr>
        <w:spacing w:line="360" w:lineRule="exact"/>
        <w:ind w:firstLine="465"/>
        <w:rPr>
          <w:rFonts w:ascii="宋体" w:hAnsi="宋体" w:cs="宋体"/>
          <w:color w:val="000000" w:themeColor="text1"/>
          <w:sz w:val="24"/>
          <w:highlight w:val="none"/>
          <w14:textFill>
            <w14:solidFill>
              <w14:schemeClr w14:val="tx1"/>
            </w14:solidFill>
          </w14:textFill>
        </w:rPr>
      </w:pPr>
    </w:p>
    <w:p w14:paraId="0635E6EE">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p>
    <w:p w14:paraId="4777F188">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(以下简称“承包人”)拟与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(以下简称“发包人”)签订</w:t>
      </w:r>
      <w:r>
        <w:rPr>
          <w:rFonts w:hint="eastAsia" w:ascii="宋体" w:hAnsi="宋体" w:cs="宋体"/>
          <w:color w:val="000000" w:themeColor="text1"/>
          <w:sz w:val="24"/>
          <w:highlight w:val="none"/>
          <w:u w:val="single"/>
          <w14:textFill>
            <w14:solidFill>
              <w14:schemeClr w14:val="tx1"/>
            </w14:solidFill>
          </w14:textFill>
        </w:rPr>
        <w:t xml:space="preserve">   项目名称  标类（或标段）    </w:t>
      </w:r>
      <w:r>
        <w:rPr>
          <w:rFonts w:hint="eastAsia" w:ascii="宋体" w:hAnsi="宋体" w:cs="宋体"/>
          <w:color w:val="000000" w:themeColor="text1"/>
          <w:sz w:val="24"/>
          <w:highlight w:val="none"/>
          <w14:textFill>
            <w14:solidFill>
              <w14:schemeClr w14:val="tx1"/>
            </w14:solidFill>
          </w14:textFill>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14:paraId="11A0810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14:paraId="77C1ECC6">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二、决不违反有关规定，将工程转包、分包给不具备用工主体资格的组织或个人，并独自承担因违反上述规定而引发的民工工资纠纷等所有民事及刑事的法律连带责任。</w:t>
      </w:r>
    </w:p>
    <w:p w14:paraId="0420445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14:paraId="72B095F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四、承诺在工地现场宣传栏中公布发包人关于农民工工资管理的有关法律法规、制度，公开发包人的投诉电话。</w:t>
      </w:r>
    </w:p>
    <w:p w14:paraId="50D12793">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14:paraId="0F0AA62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六、承诺指定专人负责对农民工工资进行发放，实行专户管理，以银行转账方式按月直接支付工资（原则上是当月支付，最多不超过拖欠两个月）。</w:t>
      </w:r>
    </w:p>
    <w:p w14:paraId="1A04CF2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14:paraId="4847014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八、承诺在收到中标通知书后且合同签署前，按规定向发包人缴纳工资保障金，金额为元</w:t>
      </w:r>
      <w:r>
        <w:rPr>
          <w:rFonts w:hint="eastAsia" w:ascii="宋体" w:hAnsi="宋体" w:cs="宋体"/>
          <w:color w:val="000000" w:themeColor="text1"/>
          <w:sz w:val="24"/>
          <w:highlight w:val="none"/>
          <w:u w:val="single"/>
          <w14:textFill>
            <w14:solidFill>
              <w14:schemeClr w14:val="tx1"/>
            </w14:solidFill>
          </w14:textFill>
        </w:rPr>
        <w:t>人民币（按照本项目合同额1.5%，原则上不超过100万）</w:t>
      </w:r>
      <w:r>
        <w:rPr>
          <w:rFonts w:hint="eastAsia" w:ascii="宋体" w:hAnsi="宋体" w:cs="宋体"/>
          <w:color w:val="000000" w:themeColor="text1"/>
          <w:sz w:val="24"/>
          <w:highlight w:val="none"/>
          <w14:textFill>
            <w14:solidFill>
              <w14:schemeClr w14:val="tx1"/>
            </w14:solidFill>
          </w14:textFill>
        </w:rPr>
        <w:t>，用于支付拖欠的农民工工资，如工资保障金不足，发包人有权利在应支付给承包人的工程款或是履约保证金中划扣支付。该保障金余额发包人将于本项目施工完毕，并交工验收合格后退还。</w:t>
      </w:r>
    </w:p>
    <w:p w14:paraId="2B110D9A">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14:paraId="5CCF5C8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十、在合同工程实施过程中如有发生</w:t>
      </w:r>
    </w:p>
    <w:p w14:paraId="21C8B7A3">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(1)不按规定签订劳动合同或签订劳动合同不规范情况；或</w:t>
      </w:r>
    </w:p>
    <w:p w14:paraId="203C7D7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(2)拖欠农民工工资、侵害农民工合法权益、农民工劳动安全保护欠缺的情况；或</w:t>
      </w:r>
    </w:p>
    <w:p w14:paraId="2106AE1D">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欠薪导致的闹事、打斗、死伤、上访事件，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14:paraId="20376390">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十一、本保证书作为本项目施工承包合同的有效组成部分，纳入合同一并签署，在承包人法定代表人或委托代理人签署并加盖公章后生效，并保证在施工承包合同有效期内一直保持有效。</w:t>
      </w:r>
    </w:p>
    <w:p w14:paraId="3C62E072">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78BD722">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880299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D3E2E0A">
      <w:pPr>
        <w:pStyle w:val="18"/>
        <w:tabs>
          <w:tab w:val="left" w:pos="6543"/>
        </w:tabs>
        <w:spacing w:before="1"/>
        <w:ind w:left="297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 包 人</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盖章</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14:paraId="7676B366">
      <w:pPr>
        <w:pStyle w:val="18"/>
        <w:tabs>
          <w:tab w:val="left" w:pos="8055"/>
        </w:tabs>
        <w:spacing w:before="138"/>
        <w:ind w:left="3037"/>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w:t>
      </w:r>
      <w:r>
        <w:rPr>
          <w:rFonts w:hint="eastAsia" w:ascii="宋体" w:hAnsi="宋体" w:cs="宋体"/>
          <w:color w:val="000000" w:themeColor="text1"/>
          <w:spacing w:val="-2"/>
          <w:sz w:val="24"/>
          <w:highlight w:val="non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或其委托代理人</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14:paraId="5C274E4C">
      <w:pPr>
        <w:pStyle w:val="105"/>
        <w:spacing w:line="360" w:lineRule="auto"/>
        <w:ind w:firstLine="4800" w:firstLineChars="2000"/>
        <w:rPr>
          <w:rFonts w:ascii="宋体" w:hAnsi="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 xml:space="preserve">  日</w:t>
      </w:r>
    </w:p>
    <w:p w14:paraId="7BD209E1">
      <w:pPr>
        <w:pStyle w:val="106"/>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14:paraId="4E303BF1">
      <w:pPr>
        <w:pStyle w:val="78"/>
        <w:spacing w:line="360" w:lineRule="auto"/>
        <w:rPr>
          <w:bCs w:val="0"/>
          <w:color w:val="000000" w:themeColor="text1"/>
          <w:sz w:val="24"/>
          <w:szCs w:val="24"/>
          <w:highlight w:val="none"/>
          <w14:textFill>
            <w14:solidFill>
              <w14:schemeClr w14:val="tx1"/>
            </w14:solidFill>
          </w14:textFill>
        </w:rPr>
      </w:pPr>
      <w:bookmarkStart w:id="1738" w:name="_Toc43476022"/>
      <w:bookmarkEnd w:id="1738"/>
      <w:bookmarkStart w:id="1739" w:name="_Toc43476020"/>
      <w:bookmarkEnd w:id="1739"/>
      <w:bookmarkStart w:id="1740" w:name="_Toc29766"/>
      <w:r>
        <w:rPr>
          <w:rFonts w:hint="eastAsia"/>
          <w:bCs w:val="0"/>
          <w:color w:val="000000" w:themeColor="text1"/>
          <w:sz w:val="24"/>
          <w:szCs w:val="24"/>
          <w:highlight w:val="none"/>
          <w14:textFill>
            <w14:solidFill>
              <w14:schemeClr w14:val="tx1"/>
            </w14:solidFill>
          </w14:textFill>
        </w:rPr>
        <w:t>附件十四  工程结算协议</w:t>
      </w:r>
      <w:bookmarkEnd w:id="1740"/>
    </w:p>
    <w:p w14:paraId="4850E25A">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工程结算协议</w:t>
      </w:r>
    </w:p>
    <w:p w14:paraId="6A995564">
      <w:pPr>
        <w:spacing w:line="360" w:lineRule="exact"/>
        <w:ind w:firstLine="465"/>
        <w:rPr>
          <w:rFonts w:ascii="宋体" w:hAnsi="宋体" w:cs="宋体"/>
          <w:color w:val="000000" w:themeColor="text1"/>
          <w:sz w:val="24"/>
          <w:highlight w:val="none"/>
          <w14:textFill>
            <w14:solidFill>
              <w14:schemeClr w14:val="tx1"/>
            </w14:solidFill>
          </w14:textFill>
        </w:rPr>
      </w:pPr>
    </w:p>
    <w:p w14:paraId="3CC2245E">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甲方（发包人）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14:paraId="32E504F0">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14:paraId="0640159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乙方（承包人）：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p>
    <w:p w14:paraId="1DD01002">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14:paraId="55B96BA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p>
    <w:p w14:paraId="2871341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日，甲方与乙方签订了《   合同》（下简称“合同”），约定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（注：填写乙方负责承包的工程内容）。</w:t>
      </w:r>
    </w:p>
    <w:p w14:paraId="3E3204A4">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工程已完成交工验收，且乙方已取得上述工程交工证书。基于上述，甲、乙双方经协商一致，特就乙方承包的 工程的结算事宜订立本协议，以共同遵守。</w:t>
      </w:r>
    </w:p>
    <w:p w14:paraId="435B02D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工程（以下简称“本工程”）结算价暂定为人民币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元（大写：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）。若政府审计部门之后进行审计，且作出的审计决定和行业主管部门造价审查结果不一致，双方同意按以下原则处理：</w:t>
      </w:r>
    </w:p>
    <w:p w14:paraId="1ECD7BB0">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行业主管部门和审计部门对不同内容进行核减的，综合行业主管部门和审计部门的意见进行调整。</w:t>
      </w:r>
    </w:p>
    <w:p w14:paraId="0DCE8C97">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二、甲、乙双方确认，截至</w:t>
      </w:r>
      <w:r>
        <w:rPr>
          <w:rFonts w:hint="eastAsia" w:ascii="宋体" w:hAnsi="宋体" w:cs="宋体"/>
          <w:color w:val="000000" w:themeColor="text1"/>
          <w:sz w:val="24"/>
          <w:highlight w:val="none"/>
          <w:u w:val="single"/>
          <w14:textFill>
            <w14:solidFill>
              <w14:schemeClr w14:val="tx1"/>
            </w14:solidFill>
          </w14:textFill>
        </w:rPr>
        <w:t>年  月  日</w:t>
      </w:r>
      <w:r>
        <w:rPr>
          <w:rFonts w:hint="eastAsia" w:ascii="宋体" w:hAnsi="宋体" w:cs="宋体"/>
          <w:color w:val="000000" w:themeColor="text1"/>
          <w:sz w:val="24"/>
          <w:highlight w:val="none"/>
          <w14:textFill>
            <w14:solidFill>
              <w14:schemeClr w14:val="tx1"/>
            </w14:solidFill>
          </w14:textFill>
        </w:rPr>
        <w:t>，甲方就本工程已向乙方支付款项累计</w:t>
      </w:r>
      <w:r>
        <w:rPr>
          <w:rFonts w:hint="eastAsia" w:ascii="宋体" w:hAnsi="宋体" w:cs="宋体"/>
          <w:color w:val="000000" w:themeColor="text1"/>
          <w:sz w:val="24"/>
          <w:highlight w:val="none"/>
          <w:u w:val="single"/>
          <w14:textFill>
            <w14:solidFill>
              <w14:schemeClr w14:val="tx1"/>
            </w14:solidFill>
          </w14:textFill>
        </w:rPr>
        <w:t>人民币  元</w:t>
      </w:r>
      <w:r>
        <w:rPr>
          <w:rFonts w:hint="eastAsia" w:ascii="宋体" w:hAnsi="宋体" w:cs="宋体"/>
          <w:color w:val="000000" w:themeColor="text1"/>
          <w:sz w:val="24"/>
          <w:highlight w:val="none"/>
          <w14:textFill>
            <w14:solidFill>
              <w14:schemeClr w14:val="tx1"/>
            </w14:solidFill>
          </w14:textFill>
        </w:rPr>
        <w:t>。甲方将在本结算书生效后 15 个工作日内向乙方支付至结算金额的 100％，即</w:t>
      </w:r>
      <w:r>
        <w:rPr>
          <w:rFonts w:hint="eastAsia" w:ascii="宋体" w:hAnsi="宋体" w:cs="宋体"/>
          <w:color w:val="000000" w:themeColor="text1"/>
          <w:sz w:val="24"/>
          <w:highlight w:val="none"/>
          <w:u w:val="single"/>
          <w14:textFill>
            <w14:solidFill>
              <w14:schemeClr w14:val="tx1"/>
            </w14:solidFill>
          </w14:textFill>
        </w:rPr>
        <w:t xml:space="preserve">人民币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。如本工程缺陷责任期满且未发现存在工程缺陷，在监理人出具该工程缺陷责任期届满证明并签订本协议后28 天内支付工程质量保证金的 80%。</w:t>
      </w:r>
    </w:p>
    <w:p w14:paraId="0EB7AC8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三、甲方向乙方退还全部质量保证金需同时满足以下条件：</w:t>
      </w:r>
    </w:p>
    <w:p w14:paraId="1D45CD88">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1、乙方承包的工程的缺陷责任期已届满，并由监理人出具了该工程缺陷责任期届满的证明；</w:t>
      </w:r>
    </w:p>
    <w:p w14:paraId="005702D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2、在缺陷责任期内按合同约定进行了缺陷工程的修复且项目完成竣工验收。</w:t>
      </w:r>
    </w:p>
    <w:p w14:paraId="0CED57C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如甲方已付款项少于本协议第一条的核准的金额，则甲方应在乙方满足了质量保证金退还的全部条件后</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天</w:t>
      </w:r>
      <w:r>
        <w:rPr>
          <w:rFonts w:hint="eastAsia" w:ascii="宋体" w:hAnsi="宋体" w:cs="宋体"/>
          <w:color w:val="000000" w:themeColor="text1"/>
          <w:sz w:val="24"/>
          <w:highlight w:val="none"/>
          <w14:textFill>
            <w14:solidFill>
              <w14:schemeClr w14:val="tx1"/>
            </w14:solidFill>
          </w14:textFill>
        </w:rPr>
        <w:t>内将少付工程款（含质量保证金）支付予乙方。</w:t>
      </w:r>
    </w:p>
    <w:p w14:paraId="182DC634">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如甲方已付款项超过本协议第一条的核准的金额，则乙方应在收到甲方发出的还款通知后 天内将超出核准金额的工程款返还给甲方，且甲方无需将质量保证金退还给乙方。</w:t>
      </w:r>
    </w:p>
    <w:p w14:paraId="66906E0A">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四、如甲方或乙方未按本协议约定履行付款义务，则每延迟一天，违约方需向对方支付相当于未付款项的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%作为违约金。</w:t>
      </w:r>
    </w:p>
    <w:p w14:paraId="5AD75A8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五、本协议条款与合同如有冲突，以本协议为准。</w:t>
      </w:r>
    </w:p>
    <w:p w14:paraId="4D2E8644">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六、本协议经双方法定代表人（负责人）或授权代表签字并加盖公章后生效。</w:t>
      </w:r>
    </w:p>
    <w:p w14:paraId="735D9416">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七、本协议一式</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，甲、乙双方各执</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w:t>
      </w:r>
    </w:p>
    <w:p w14:paraId="7E482C30">
      <w:pPr>
        <w:pStyle w:val="104"/>
        <w:spacing w:line="360" w:lineRule="auto"/>
        <w:rPr>
          <w:rFonts w:ascii="宋体" w:hAnsi="宋体" w:cs="宋体"/>
          <w:color w:val="000000" w:themeColor="text1"/>
          <w:sz w:val="24"/>
          <w:highlight w:val="none"/>
          <w14:textFill>
            <w14:solidFill>
              <w14:schemeClr w14:val="tx1"/>
            </w14:solidFill>
          </w14:textFill>
        </w:rPr>
      </w:pPr>
    </w:p>
    <w:p w14:paraId="1EDE120D">
      <w:pPr>
        <w:pStyle w:val="104"/>
        <w:spacing w:line="360" w:lineRule="auto"/>
        <w:rPr>
          <w:rFonts w:ascii="宋体" w:hAnsi="宋体" w:cs="宋体"/>
          <w:color w:val="000000" w:themeColor="text1"/>
          <w:sz w:val="24"/>
          <w:highlight w:val="none"/>
          <w14:textFill>
            <w14:solidFill>
              <w14:schemeClr w14:val="tx1"/>
            </w14:solidFill>
          </w14:textFill>
        </w:rPr>
      </w:pPr>
    </w:p>
    <w:p w14:paraId="772777F8">
      <w:pPr>
        <w:pStyle w:val="10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  方：（盖章）       乙  方：（盖章）</w:t>
      </w:r>
    </w:p>
    <w:p w14:paraId="19193A51">
      <w:pPr>
        <w:pStyle w:val="10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签署代表：      签署代表：</w:t>
      </w:r>
    </w:p>
    <w:p w14:paraId="7EFEB43D">
      <w:pPr>
        <w:pStyle w:val="104"/>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签署日期：      签署日期：</w:t>
      </w:r>
    </w:p>
    <w:p w14:paraId="1C7861CE">
      <w:pPr>
        <w:pStyle w:val="104"/>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14:paraId="7C1BF55D">
      <w:pPr>
        <w:jc w:val="center"/>
        <w:rPr>
          <w:rFonts w:ascii="宋体" w:hAnsi="宋体"/>
          <w:color w:val="000000" w:themeColor="text1"/>
          <w:sz w:val="72"/>
          <w:szCs w:val="72"/>
          <w:highlight w:val="none"/>
          <w:u w:val="single"/>
          <w14:textFill>
            <w14:solidFill>
              <w14:schemeClr w14:val="tx1"/>
            </w14:solidFill>
          </w14:textFill>
        </w:rPr>
      </w:pPr>
    </w:p>
    <w:p w14:paraId="03B7D7CB">
      <w:pPr>
        <w:pStyle w:val="107"/>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附件十五：分包合同</w:t>
      </w:r>
    </w:p>
    <w:p w14:paraId="72692CA9">
      <w:pPr>
        <w:pStyle w:val="107"/>
        <w:jc w:val="center"/>
        <w:rPr>
          <w:rFonts w:hAnsi="宋体" w:cs="宋体"/>
          <w:color w:val="000000" w:themeColor="text1"/>
          <w:sz w:val="32"/>
          <w:szCs w:val="32"/>
          <w:highlight w:val="none"/>
          <w14:textFill>
            <w14:solidFill>
              <w14:schemeClr w14:val="tx1"/>
            </w14:solidFill>
          </w14:textFill>
        </w:rPr>
      </w:pPr>
    </w:p>
    <w:p w14:paraId="026D0650">
      <w:pPr>
        <w:pStyle w:val="107"/>
        <w:jc w:val="center"/>
        <w:rPr>
          <w:rFonts w:hAnsi="宋体" w:cs="宋体"/>
          <w:color w:val="000000" w:themeColor="text1"/>
          <w:sz w:val="32"/>
          <w:szCs w:val="32"/>
          <w:highlight w:val="none"/>
          <w14:textFill>
            <w14:solidFill>
              <w14:schemeClr w14:val="tx1"/>
            </w14:solidFill>
          </w14:textFill>
        </w:rPr>
      </w:pPr>
    </w:p>
    <w:p w14:paraId="0F47945F">
      <w:pPr>
        <w:pStyle w:val="107"/>
        <w:jc w:val="center"/>
        <w:rPr>
          <w:rFonts w:hAnsi="宋体" w:cs="宋体"/>
          <w:color w:val="000000" w:themeColor="text1"/>
          <w:sz w:val="32"/>
          <w:szCs w:val="32"/>
          <w:highlight w:val="none"/>
          <w14:textFill>
            <w14:solidFill>
              <w14:schemeClr w14:val="tx1"/>
            </w14:solidFill>
          </w14:textFill>
        </w:rPr>
      </w:pPr>
    </w:p>
    <w:p w14:paraId="2AFDF8D7">
      <w:pPr>
        <w:pStyle w:val="107"/>
        <w:jc w:val="center"/>
        <w:rPr>
          <w:rFonts w:hAnsi="宋体" w:cs="宋体"/>
          <w:color w:val="000000" w:themeColor="text1"/>
          <w:sz w:val="32"/>
          <w:szCs w:val="32"/>
          <w:highlight w:val="none"/>
          <w14:textFill>
            <w14:solidFill>
              <w14:schemeClr w14:val="tx1"/>
            </w14:solidFill>
          </w14:textFill>
        </w:rPr>
      </w:pPr>
    </w:p>
    <w:p w14:paraId="46AEED7A">
      <w:pPr>
        <w:pStyle w:val="107"/>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公路工程施工分包合同</w:t>
      </w:r>
    </w:p>
    <w:p w14:paraId="00C63C2F">
      <w:pPr>
        <w:pStyle w:val="107"/>
        <w:jc w:val="center"/>
        <w:rPr>
          <w:rFonts w:hAnsi="宋体" w:cs="宋体"/>
          <w:color w:val="000000" w:themeColor="text1"/>
          <w:sz w:val="32"/>
          <w:szCs w:val="32"/>
          <w:highlight w:val="none"/>
          <w14:textFill>
            <w14:solidFill>
              <w14:schemeClr w14:val="tx1"/>
            </w14:solidFill>
          </w14:textFill>
        </w:rPr>
      </w:pPr>
    </w:p>
    <w:p w14:paraId="0E67019B">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14:paraId="04BBB539">
      <w:pPr>
        <w:pStyle w:val="107"/>
        <w:jc w:val="center"/>
        <w:rPr>
          <w:rFonts w:hAnsi="宋体" w:cs="宋体"/>
          <w:color w:val="000000" w:themeColor="text1"/>
          <w:sz w:val="32"/>
          <w:szCs w:val="32"/>
          <w:highlight w:val="none"/>
          <w14:textFill>
            <w14:solidFill>
              <w14:schemeClr w14:val="tx1"/>
            </w14:solidFill>
          </w14:textFill>
        </w:rPr>
      </w:pPr>
    </w:p>
    <w:p w14:paraId="146B432F">
      <w:pPr>
        <w:pStyle w:val="107"/>
        <w:jc w:val="center"/>
        <w:rPr>
          <w:rFonts w:hAnsi="宋体" w:cs="宋体"/>
          <w:color w:val="000000" w:themeColor="text1"/>
          <w:sz w:val="32"/>
          <w:szCs w:val="32"/>
          <w:highlight w:val="none"/>
          <w14:textFill>
            <w14:solidFill>
              <w14:schemeClr w14:val="tx1"/>
            </w14:solidFill>
          </w14:textFill>
        </w:rPr>
      </w:pPr>
    </w:p>
    <w:p w14:paraId="1DF16C31">
      <w:pPr>
        <w:pStyle w:val="107"/>
        <w:jc w:val="center"/>
        <w:rPr>
          <w:rFonts w:hAnsi="宋体" w:cs="宋体"/>
          <w:color w:val="000000" w:themeColor="text1"/>
          <w:sz w:val="32"/>
          <w:szCs w:val="32"/>
          <w:highlight w:val="none"/>
          <w14:textFill>
            <w14:solidFill>
              <w14:schemeClr w14:val="tx1"/>
            </w14:solidFill>
          </w14:textFill>
        </w:rPr>
      </w:pPr>
    </w:p>
    <w:p w14:paraId="76687414">
      <w:pPr>
        <w:pStyle w:val="107"/>
        <w:jc w:val="center"/>
        <w:rPr>
          <w:rFonts w:hAnsi="宋体" w:cs="宋体"/>
          <w:color w:val="000000" w:themeColor="text1"/>
          <w:sz w:val="32"/>
          <w:szCs w:val="32"/>
          <w:highlight w:val="none"/>
          <w14:textFill>
            <w14:solidFill>
              <w14:schemeClr w14:val="tx1"/>
            </w14:solidFill>
          </w14:textFill>
        </w:rPr>
      </w:pPr>
    </w:p>
    <w:p w14:paraId="73614765">
      <w:pPr>
        <w:pStyle w:val="107"/>
        <w:jc w:val="center"/>
        <w:rPr>
          <w:rFonts w:hAnsi="宋体" w:cs="宋体"/>
          <w:color w:val="000000" w:themeColor="text1"/>
          <w:sz w:val="32"/>
          <w:szCs w:val="32"/>
          <w:highlight w:val="none"/>
          <w14:textFill>
            <w14:solidFill>
              <w14:schemeClr w14:val="tx1"/>
            </w14:solidFill>
          </w14:textFill>
        </w:rPr>
      </w:pPr>
    </w:p>
    <w:p w14:paraId="54489FA3">
      <w:pPr>
        <w:pStyle w:val="107"/>
        <w:jc w:val="center"/>
        <w:rPr>
          <w:rFonts w:hAnsi="宋体" w:cs="宋体"/>
          <w:color w:val="000000" w:themeColor="text1"/>
          <w:sz w:val="32"/>
          <w:szCs w:val="32"/>
          <w:highlight w:val="none"/>
          <w14:textFill>
            <w14:solidFill>
              <w14:schemeClr w14:val="tx1"/>
            </w14:solidFill>
          </w14:textFill>
        </w:rPr>
      </w:pPr>
    </w:p>
    <w:p w14:paraId="5855B31B">
      <w:pPr>
        <w:pStyle w:val="107"/>
        <w:jc w:val="center"/>
        <w:rPr>
          <w:rFonts w:hAnsi="宋体" w:cs="宋体"/>
          <w:color w:val="000000" w:themeColor="text1"/>
          <w:sz w:val="32"/>
          <w:szCs w:val="32"/>
          <w:highlight w:val="none"/>
          <w14:textFill>
            <w14:solidFill>
              <w14:schemeClr w14:val="tx1"/>
            </w14:solidFill>
          </w14:textFill>
        </w:rPr>
      </w:pPr>
    </w:p>
    <w:p w14:paraId="15756E97">
      <w:pPr>
        <w:pStyle w:val="107"/>
        <w:jc w:val="center"/>
        <w:rPr>
          <w:rFonts w:hAnsi="宋体" w:cs="宋体"/>
          <w:color w:val="000000" w:themeColor="text1"/>
          <w:sz w:val="32"/>
          <w:szCs w:val="32"/>
          <w:highlight w:val="none"/>
          <w14:textFill>
            <w14:solidFill>
              <w14:schemeClr w14:val="tx1"/>
            </w14:solidFill>
          </w14:textFill>
        </w:rPr>
      </w:pPr>
    </w:p>
    <w:p w14:paraId="771940C2">
      <w:pPr>
        <w:pStyle w:val="107"/>
        <w:jc w:val="center"/>
        <w:rPr>
          <w:rFonts w:hAnsi="宋体" w:cs="宋体"/>
          <w:color w:val="000000" w:themeColor="text1"/>
          <w:sz w:val="32"/>
          <w:szCs w:val="32"/>
          <w:highlight w:val="none"/>
          <w14:textFill>
            <w14:solidFill>
              <w14:schemeClr w14:val="tx1"/>
            </w14:solidFill>
          </w14:textFill>
        </w:rPr>
      </w:pPr>
    </w:p>
    <w:p w14:paraId="379C20D0">
      <w:pPr>
        <w:pStyle w:val="107"/>
        <w:jc w:val="center"/>
        <w:rPr>
          <w:rFonts w:hAnsi="宋体" w:cs="宋体"/>
          <w:color w:val="000000" w:themeColor="text1"/>
          <w:sz w:val="32"/>
          <w:szCs w:val="32"/>
          <w:highlight w:val="none"/>
          <w14:textFill>
            <w14:solidFill>
              <w14:schemeClr w14:val="tx1"/>
            </w14:solidFill>
          </w14:textFill>
        </w:rPr>
      </w:pPr>
    </w:p>
    <w:p w14:paraId="6511DCB3">
      <w:pPr>
        <w:pStyle w:val="107"/>
        <w:jc w:val="center"/>
        <w:rPr>
          <w:rFonts w:hAnsi="宋体" w:cs="宋体"/>
          <w:color w:val="000000" w:themeColor="text1"/>
          <w:sz w:val="44"/>
          <w:szCs w:val="44"/>
          <w:highlight w:val="none"/>
          <w14:textFill>
            <w14:solidFill>
              <w14:schemeClr w14:val="tx1"/>
            </w14:solidFill>
          </w14:textFill>
        </w:rPr>
      </w:pPr>
    </w:p>
    <w:p w14:paraId="0D8140B3">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14:paraId="2DD94EFB">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br w:type="page"/>
      </w:r>
    </w:p>
    <w:p w14:paraId="27440F36">
      <w:pPr>
        <w:pStyle w:val="107"/>
        <w:jc w:val="center"/>
        <w:rPr>
          <w:rFonts w:hAnsi="宋体" w:cs="宋体"/>
          <w:color w:val="000000" w:themeColor="text1"/>
          <w:sz w:val="44"/>
          <w:szCs w:val="44"/>
          <w:highlight w:val="none"/>
          <w14:textFill>
            <w14:solidFill>
              <w14:schemeClr w14:val="tx1"/>
            </w14:solidFill>
          </w14:textFill>
        </w:rPr>
      </w:pPr>
    </w:p>
    <w:p w14:paraId="47CCF979">
      <w:pPr>
        <w:pStyle w:val="107"/>
        <w:jc w:val="center"/>
        <w:rPr>
          <w:rFonts w:hAnsi="宋体" w:cs="宋体"/>
          <w:color w:val="000000" w:themeColor="text1"/>
          <w:sz w:val="28"/>
          <w:szCs w:val="28"/>
          <w:highlight w:val="none"/>
          <w14:textFill>
            <w14:solidFill>
              <w14:schemeClr w14:val="tx1"/>
            </w14:solidFill>
          </w14:textFill>
        </w:rPr>
      </w:pPr>
    </w:p>
    <w:p w14:paraId="72F03908">
      <w:pPr>
        <w:pStyle w:val="107"/>
        <w:jc w:val="center"/>
        <w:rPr>
          <w:rFonts w:hAnsi="宋体" w:cs="宋体"/>
          <w:color w:val="000000" w:themeColor="text1"/>
          <w:sz w:val="28"/>
          <w:szCs w:val="28"/>
          <w:highlight w:val="none"/>
          <w14:textFill>
            <w14:solidFill>
              <w14:schemeClr w14:val="tx1"/>
            </w14:solidFill>
          </w14:textFill>
        </w:rPr>
      </w:pPr>
    </w:p>
    <w:p w14:paraId="3FC97200">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t>公路工程施工分包合同</w:t>
      </w:r>
    </w:p>
    <w:p w14:paraId="7E6D103E">
      <w:pPr>
        <w:pStyle w:val="107"/>
        <w:spacing w:line="280" w:lineRule="exact"/>
        <w:ind w:right="630"/>
        <w:jc w:val="right"/>
        <w:rPr>
          <w:rFonts w:hAnsi="宋体" w:cs="宋体"/>
          <w:color w:val="000000" w:themeColor="text1"/>
          <w:szCs w:val="21"/>
          <w:highlight w:val="none"/>
          <w14:textFill>
            <w14:solidFill>
              <w14:schemeClr w14:val="tx1"/>
            </w14:solidFill>
          </w14:textFill>
        </w:rPr>
      </w:pPr>
    </w:p>
    <w:p w14:paraId="0BA8D964">
      <w:pPr>
        <w:pStyle w:val="107"/>
        <w:ind w:right="1380" w:firstLine="5400" w:firstLineChars="2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分包合同编号：</w:t>
      </w:r>
    </w:p>
    <w:p w14:paraId="50EC4EB0">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643B84D2">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甲方(承包人) ：</w:t>
      </w:r>
    </w:p>
    <w:p w14:paraId="01F24572">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乙方(分包人) ：</w:t>
      </w:r>
    </w:p>
    <w:p w14:paraId="404519EF">
      <w:pPr>
        <w:pStyle w:val="107"/>
        <w:rPr>
          <w:rFonts w:hAnsi="宋体" w:cs="宋体"/>
          <w:color w:val="000000" w:themeColor="text1"/>
          <w:highlight w:val="none"/>
          <w14:textFill>
            <w14:solidFill>
              <w14:schemeClr w14:val="tx1"/>
            </w14:solidFill>
          </w14:textFill>
        </w:rPr>
      </w:pPr>
    </w:p>
    <w:p w14:paraId="3B55D64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14:paraId="038F27C8">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  分包人情况</w:t>
      </w:r>
    </w:p>
    <w:p w14:paraId="79A8288C">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1.1分包人名称：；注册地址：；</w:t>
      </w:r>
    </w:p>
    <w:p w14:paraId="141F6342">
      <w:pPr>
        <w:pStyle w:val="107"/>
        <w:ind w:firstLine="72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法定代表人姓名：，职称：，职务：。</w:t>
      </w:r>
    </w:p>
    <w:p w14:paraId="72BD32F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1.2分包项目负责人姓名，职称：，资格：：分包技术负责人姓名：职称：，资格：：</w:t>
      </w:r>
    </w:p>
    <w:p w14:paraId="76DB978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1.3分包人拟投入的主要管理人员（见附表1）</w:t>
      </w:r>
    </w:p>
    <w:p w14:paraId="2C842D7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1.4分包人拟投入的主要机械设备（见附表2)</w:t>
      </w:r>
    </w:p>
    <w:p w14:paraId="75CD6B38">
      <w:pPr>
        <w:pStyle w:val="107"/>
        <w:ind w:firstLine="422"/>
        <w:jc w:val="left"/>
        <w:rPr>
          <w:rFonts w:hAnsi="宋体" w:cs="宋体"/>
          <w:b/>
          <w:color w:val="000000" w:themeColor="text1"/>
          <w:highlight w:val="none"/>
          <w14:textFill>
            <w14:solidFill>
              <w14:schemeClr w14:val="tx1"/>
            </w14:solidFill>
          </w14:textFill>
        </w:rPr>
      </w:pPr>
    </w:p>
    <w:p w14:paraId="3FA78DE2">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2.分包专项工程概况</w:t>
      </w:r>
    </w:p>
    <w:p w14:paraId="1BA0E17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2.1分包专项工程名称及地点</w:t>
      </w:r>
    </w:p>
    <w:p w14:paraId="3B749AE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2.2 分包专项工程范围、内容： </w:t>
      </w:r>
    </w:p>
    <w:p w14:paraId="29B7656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 分包方式：</w:t>
      </w:r>
    </w:p>
    <w:p w14:paraId="2EB888A1">
      <w:pPr>
        <w:pStyle w:val="107"/>
        <w:ind w:firstLine="422"/>
        <w:jc w:val="left"/>
        <w:rPr>
          <w:rFonts w:hAnsi="宋体" w:cs="宋体"/>
          <w:b/>
          <w:color w:val="000000" w:themeColor="text1"/>
          <w:highlight w:val="none"/>
          <w14:textFill>
            <w14:solidFill>
              <w14:schemeClr w14:val="tx1"/>
            </w14:solidFill>
          </w14:textFill>
        </w:rPr>
      </w:pPr>
    </w:p>
    <w:p w14:paraId="47BFD97C">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3.分包合同有关款项</w:t>
      </w:r>
    </w:p>
    <w:p w14:paraId="230D8AAF">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3.1 分包价款</w:t>
      </w:r>
    </w:p>
    <w:p w14:paraId="3FED27C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14:paraId="0291949C">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14:paraId="1E4E889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3.1.3（税费内容约定）。 </w:t>
      </w:r>
    </w:p>
    <w:p w14:paraId="16A01246">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3.2履约保函或保证金：</w:t>
      </w:r>
    </w:p>
    <w:p w14:paraId="7ADD58E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3.2.1乙方与甲方签订合同后的天内，应向甲方交纳：（b履约保函；b履约保证金），即：</w:t>
      </w:r>
    </w:p>
    <w:p w14:paraId="1400166D">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a.分包合同价的％履约保函和分包合同价的％质量保函。</w:t>
      </w:r>
    </w:p>
    <w:p w14:paraId="7E540AD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b.分包合同价的％履约保证金计元和分包合同价的％质量保证金计元。</w:t>
      </w:r>
    </w:p>
    <w:p w14:paraId="75FE408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14:paraId="32F9E3A9">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3.3有关本分包专项工程款项约定</w:t>
      </w:r>
    </w:p>
    <w:p w14:paraId="33BF9C8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3.3.1动员预付款元，甲方在发包人动员预付款支付后，并乙方交纳上述保函或保证金后的    天内向乙方支付；</w:t>
      </w:r>
    </w:p>
    <w:p w14:paraId="09B878B0">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3.3.2质量保证金限额为合同总价％。质量保证金参照总包合同中的规定执行。若在缺陷责任期内发生涉及乙方施工项目的维修费用，则由乙方全额承担，并在质量保证金中扣除。</w:t>
      </w:r>
    </w:p>
    <w:p w14:paraId="20EF905D">
      <w:pPr>
        <w:pStyle w:val="107"/>
        <w:ind w:firstLine="422"/>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3.3.3安全生产费用按总包合同的专用条款的规定进行计量支付，按实投入使用，</w:t>
      </w:r>
      <w:r>
        <w:rPr>
          <w:rFonts w:hint="eastAsia" w:hAnsi="宋体" w:cs="宋体"/>
          <w:bCs/>
          <w:color w:val="000000" w:themeColor="text1"/>
          <w:highlight w:val="none"/>
          <w14:textFill>
            <w14:solidFill>
              <w14:schemeClr w14:val="tx1"/>
            </w14:solidFill>
          </w14:textFill>
        </w:rPr>
        <w:t>承建工程竣工后，最终由甲乙双方结算。</w:t>
      </w:r>
    </w:p>
    <w:p w14:paraId="319F0BE0">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3.3.4农民工工资支付保证金按项目专用条款或发包人规定的比例在计量支付时提取，在乙方项目完工并出具无拖欠农民工工资承诺后退还。</w:t>
      </w:r>
    </w:p>
    <w:p w14:paraId="038888D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3.3.5本合同约定的所有保证金、保留金等到期无争议需要返还的，均不计利息。</w:t>
      </w:r>
    </w:p>
    <w:p w14:paraId="67F2937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3.3.3（质量和进度考核相关条款）。</w:t>
      </w:r>
    </w:p>
    <w:p w14:paraId="00C6FB60">
      <w:pPr>
        <w:pStyle w:val="107"/>
        <w:ind w:firstLine="422"/>
        <w:jc w:val="left"/>
        <w:rPr>
          <w:rFonts w:hAnsi="宋体" w:cs="宋体"/>
          <w:b/>
          <w:color w:val="000000" w:themeColor="text1"/>
          <w:highlight w:val="none"/>
          <w14:textFill>
            <w14:solidFill>
              <w14:schemeClr w14:val="tx1"/>
            </w14:solidFill>
          </w14:textFill>
        </w:rPr>
      </w:pPr>
    </w:p>
    <w:p w14:paraId="0092477D">
      <w:pPr>
        <w:pStyle w:val="107"/>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4.双方责任</w:t>
      </w:r>
    </w:p>
    <w:p w14:paraId="2A2DE1A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4.1甲方责任</w:t>
      </w:r>
    </w:p>
    <w:p w14:paraId="13376B8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4.1.1及时向乙方提供施工设计图及有关技术资料。</w:t>
      </w:r>
    </w:p>
    <w:p w14:paraId="4F23C2D5">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4.1.2协调建设单位，办理永久征地手续，提供乙方使用。</w:t>
      </w:r>
    </w:p>
    <w:p w14:paraId="7772996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4.1.3开工前由甲方牵头联系建设单位和设计单位对乙方进行交桩，负责完成线路复测、控制桩复测及加密等工作，乙方配合。</w:t>
      </w:r>
    </w:p>
    <w:p w14:paraId="0AB0C5E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4.1.4监督、协助乙方办理临时用地，但不承担因临时用地造成的任何费用及责任。</w:t>
      </w:r>
    </w:p>
    <w:p w14:paraId="7CBA7BC1">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4.1.5按招标文件和建设单位规章制度对乙方施工进行监控，监督乙方文明施工、质量管理、安全生产、施工进度。</w:t>
      </w:r>
    </w:p>
    <w:p w14:paraId="04C56EF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4.1.6负责牵头联系建设单位、设计单位、监理单位有关工作。</w:t>
      </w:r>
    </w:p>
    <w:p w14:paraId="7A0810B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4.1.7负责转发政府、建设、设计、监理等相关单位，甲方认为有必要传达的文件、通知及其他资料。</w:t>
      </w:r>
    </w:p>
    <w:p w14:paraId="64A351B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4.1.8负责成立中心试验室，并承担需要中心试验室负责的试验、检测工作，依照甲乙双方协商的工程试验检测费用支付。</w:t>
      </w:r>
    </w:p>
    <w:p w14:paraId="4EDDFAEC">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4.1.9负责建设拌和站，并按商品砼约定价格及供货方式提供砼，砼使用搅拌运输车提供至“可以安全送达”的施工区域。</w:t>
      </w:r>
    </w:p>
    <w:p w14:paraId="5C804BE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4.1.10负责对乙方临时设施及标示标牌的统一规划，但不承担所发生的费用。</w:t>
      </w:r>
    </w:p>
    <w:p w14:paraId="23B4859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4.1.11负责对建设单位计量工作（按乙方当期实际进度完成情况上报建设单位审批），负责办理乙方中间结算和完工决算，并拨付工程款。</w:t>
      </w:r>
    </w:p>
    <w:p w14:paraId="51BF702C">
      <w:pPr>
        <w:pStyle w:val="107"/>
        <w:ind w:left="1"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4.1.12负责制定并下达有关“技术、质量、安全、环保、文明施工、试验、资料”等有关管理规定，提供乙方使用。</w:t>
      </w:r>
    </w:p>
    <w:p w14:paraId="2A41A28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4.1.13负责下达年、季、月施工计划，并对乙方施工进行全方位监控。</w:t>
      </w:r>
    </w:p>
    <w:p w14:paraId="6296137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4.1.14负责根据进度计划，及时提供甲供材料。</w:t>
      </w:r>
    </w:p>
    <w:p w14:paraId="4B60CC9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4.1.15施工过程中，负责对乙方主要管理人员（项目经理、副经理、总工、现场技术主管、专职安全员、资料员等）进行考核和评估，对不符合要求的管理人员有权下达限期更换指令。</w:t>
      </w:r>
    </w:p>
    <w:p w14:paraId="395A9A4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4.1.16合同履行过程中，甲方有权对乙方的资金去向进行监控，并对擅自挪用的资金提出整改意见，并视造成的后果进行必要处罚。</w:t>
      </w:r>
    </w:p>
    <w:p w14:paraId="633195E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4.1.17施工过程中，甲方有权监督乙方的农民工管理及工资发放，如果出现乙方无理由拖欠农民工工资，甲方有权直接代发，所代发工资直接从乙方工程款中扣除。</w:t>
      </w:r>
    </w:p>
    <w:p w14:paraId="34EA336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4.1.18协助乙方办理相关工程施工事宜，传达下发上级所发的本合同相关文件和信息。</w:t>
      </w:r>
    </w:p>
    <w:p w14:paraId="25D910D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4.2乙方责任</w:t>
      </w:r>
    </w:p>
    <w:p w14:paraId="3EDCD5E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14:paraId="7B53067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4.2.2乙方应配合甲方完成线路复测、控制桩复测及加密等工作，交桩后由乙方对控制桩、加密桩等进行妥善保护，并自行负责施工过程中的测量工作，并承担全部费用。</w:t>
      </w:r>
    </w:p>
    <w:p w14:paraId="2BE231B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14:paraId="4325AB22">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4.2.4乙方主要管理人员（项目负责人、技术负责人）必须坚守工地，严格请销假制度，未经甲方同意，乙方主要人员擅离工作岗位，处以元/人·日的罚款。</w:t>
      </w:r>
    </w:p>
    <w:p w14:paraId="286D95A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4.2.5乙方应按照合同要求为其履行合同所雇用的全部人员缴纳工伤保险费、在整个施工期间为其现场机构雇用的全部人员投保人身意外伤害险并为其施工设备办理保险，其费用由乙方承担。</w:t>
      </w:r>
    </w:p>
    <w:p w14:paraId="20C7B7F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4.2.6乙方应按照甲方统一规划方案进行临时设施的建设及标示并承担费用。</w:t>
      </w:r>
    </w:p>
    <w:p w14:paraId="6897791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4.2.7甲方未提供规划方案的临时设施，乙方自行建设，但严格按照甲方转发的相关“标准化管理规定”自行负责修建、管理、养护及拆除。</w:t>
      </w:r>
    </w:p>
    <w:p w14:paraId="7B1532D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4.2.8乙方施工工地宣传标识以及对外的舆论宣传必须以甲方的名义进行。</w:t>
      </w:r>
    </w:p>
    <w:p w14:paraId="7742960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14:paraId="450DD04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14:paraId="7EB829A3">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4.2.11乙方自行购置的路基、路面、桥梁附属工程的砂、碎石、等主要原材料，必须符合国家现行标准并报经甲方试验部门同意后方可用于本工程，不得擅自更换。</w:t>
      </w:r>
    </w:p>
    <w:p w14:paraId="5D8BCA05">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4.2.12负责本合同承包范围内工程的实施、完成及缺陷修复等工作并承担相应费用，接受甲方的领导、整体协调以及施工中的监督、指令、检查。</w:t>
      </w:r>
    </w:p>
    <w:p w14:paraId="7D252F2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4.2.13在施工中及时按甲方要求调整生产要素，并在规定时间内上报各种文件、资料和报表。</w:t>
      </w:r>
    </w:p>
    <w:p w14:paraId="7339B95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4.2.14服从甲方管理，参加甲方组织的各种工程施工会议和甲方开展的工程管理活动，否则，甲方有权对乙方实施经济处罚。</w:t>
      </w:r>
    </w:p>
    <w:p w14:paraId="0D53CFE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14:paraId="2FD287A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4.2.16乙方须按文明施工，环境保护标准组织施工。在业主组织的工地检查和为迎接政府视察及甲方组织的工地检查中，要按要求组织整理施工现场，检查中如被批评、处罚，责任及费用全部由乙方承担。</w:t>
      </w:r>
    </w:p>
    <w:p w14:paraId="6082666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4.2.17乙方应积极配合甲方进行结算，及时提供相应资料，因“乙方原因造成计量不能按时批复”或者“建设单位资金不足”，工程款支付不到位，乙方必须自行解决资金问题，确保工期目标的实现，并承担全部责任。</w:t>
      </w:r>
    </w:p>
    <w:p w14:paraId="0652D5F2">
      <w:pPr>
        <w:pStyle w:val="107"/>
        <w:tabs>
          <w:tab w:val="left" w:pos="2745"/>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14:paraId="51C0B8A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4.2.19工程完工后，乙方应进行场地清理平整，做到工完场清，并提供竣工验收有关资料，在工程未交付前，应负责已完工程的保护工作，若有损坏，应自费予以修复。</w:t>
      </w:r>
    </w:p>
    <w:p w14:paraId="4129E3E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14:paraId="5AD4D14F">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4.2.21乙方委派专人（有乙方的授权委托书）与甲方办理各种涉及合同、经济、财务等方面的手续。</w:t>
      </w:r>
    </w:p>
    <w:p w14:paraId="5C4B2EDB">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14:paraId="58B5781F">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14:paraId="26577E0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4.2.24乙方在施工中与第三方产生的债权债务及纠纷等问题由乙方自行负责处理，并承担全部责任和费用。</w:t>
      </w:r>
    </w:p>
    <w:p w14:paraId="0038387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4.2.25乙方应不折不扣地按合同文件规定承担本合同工程的实施、完成、维护及缺陷的修复；甲方不承担任何停工及窝工损失费；由于建设单位原因造成的停工或窝工，乙方配合甲方向建设单位争取费用补偿。</w:t>
      </w:r>
    </w:p>
    <w:p w14:paraId="6E9891B2">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4.2.26乙方应自行组织工程施工，不得将工程转包或分包，否则甲方有权终止合同，乙方承担违约责任。</w:t>
      </w:r>
    </w:p>
    <w:p w14:paraId="3843C9FD">
      <w:pPr>
        <w:pStyle w:val="107"/>
        <w:ind w:firstLine="422"/>
        <w:jc w:val="left"/>
        <w:rPr>
          <w:rFonts w:hAnsi="宋体" w:cs="宋体"/>
          <w:b/>
          <w:color w:val="000000" w:themeColor="text1"/>
          <w:highlight w:val="none"/>
          <w14:textFill>
            <w14:solidFill>
              <w14:schemeClr w14:val="tx1"/>
            </w14:solidFill>
          </w14:textFill>
        </w:rPr>
      </w:pPr>
    </w:p>
    <w:p w14:paraId="14639AF7">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5 合同工期和要求</w:t>
      </w:r>
    </w:p>
    <w:p w14:paraId="7C0E937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5.1根据甲方的总体施工计划要求，乙方完成分包专项工程的合同工期天，自年   月   日开工，至年   月   日完工。</w:t>
      </w:r>
    </w:p>
    <w:p w14:paraId="3E000F4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5.2如甲方总体施工计划调整时，乙方应作相应的调整，由此增加的费用由甲乙双方协商解决。</w:t>
      </w:r>
    </w:p>
    <w:p w14:paraId="2687B84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5.3如因乙方原因未能按时开工或延误工期，由此引起的损失由乙方承担，必要时，甲方有权单方面终止合同。因发包人原因或不可抗力造成的工期延误，则按照发包人同意的相应工期予以顺延。</w:t>
      </w:r>
    </w:p>
    <w:p w14:paraId="4A1E788E">
      <w:pPr>
        <w:pStyle w:val="107"/>
        <w:ind w:firstLine="422"/>
        <w:rPr>
          <w:rFonts w:hAnsi="宋体" w:cs="宋体"/>
          <w:color w:val="000000" w:themeColor="text1"/>
          <w:highlight w:val="none"/>
          <w14:textFill>
            <w14:solidFill>
              <w14:schemeClr w14:val="tx1"/>
            </w14:solidFill>
          </w14:textFill>
        </w:rPr>
      </w:pPr>
    </w:p>
    <w:p w14:paraId="2A648AC6">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6工程质量及质量保修</w:t>
      </w:r>
    </w:p>
    <w:p w14:paraId="7D3D3C1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6.1乙方应向甲方负责其分包工程的质量。甲方应对乙方分包的工程进行全面有效质量管理。</w:t>
      </w:r>
    </w:p>
    <w:p w14:paraId="068C593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14:paraId="4DF9E38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14:paraId="0095CF6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6.4乙方的各项试验和检测内容应到甲方的试验室或甲方认可的有资质的试验检测机构完成，其费用由方承担。试验检测的频率、方法、操作规程等，应严格按照相关的技术标准执行。</w:t>
      </w:r>
    </w:p>
    <w:p w14:paraId="494ACA9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6.5甲方按照现行的验收办法、评定标准、施工技术规范及施工图等报请发包人组织验收。分包专项工程涉及的竣工资料（a.由甲方统一编制，乙方承担竣工资料编制费用；b.由乙方编制，乙方承担竣工资料编制费用；）。</w:t>
      </w:r>
    </w:p>
    <w:p w14:paraId="12C7C5E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6.6乙方分包专项工程的质量保修期等同于发包人要求甲方的保修期，保修期间发生在乙方工作范围内的保修费用由乙方承担。</w:t>
      </w:r>
    </w:p>
    <w:p w14:paraId="5AA81175">
      <w:pPr>
        <w:pStyle w:val="107"/>
        <w:ind w:firstLine="422"/>
        <w:jc w:val="center"/>
        <w:rPr>
          <w:rFonts w:hAnsi="宋体" w:cs="宋体"/>
          <w:color w:val="000000" w:themeColor="text1"/>
          <w:highlight w:val="none"/>
          <w14:textFill>
            <w14:solidFill>
              <w14:schemeClr w14:val="tx1"/>
            </w14:solidFill>
          </w14:textFill>
        </w:rPr>
      </w:pPr>
    </w:p>
    <w:p w14:paraId="288CCAFE">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 工程变更和质量事故处理</w:t>
      </w:r>
    </w:p>
    <w:p w14:paraId="7C249EE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7.1工程变更的处理方式及费用按照总包合同的相应条款由甲方统一办理。应由乙方负责实施的变更项目和内容，乙方不得以任何理由拒绝或拖延或不按要求实施，否则给甲方造成损失的，乙方负责赔偿。</w:t>
      </w:r>
    </w:p>
    <w:p w14:paraId="7DE60C3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7.2乙方实施完成的工程变更项目的费用待发包人批复并支付给甲方后,甲方扣除一定比例即%的管理费用后结算支付给乙方。</w:t>
      </w:r>
    </w:p>
    <w:p w14:paraId="3B0FE9D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7.3乙方应向甲方及时报告分包工程发生质量问题和事故，甲方应按公路工程质量事故处理相关规定及时报告，按规定程序处理。根据质量事故发生的原因，由责任方承担造成的责任和损失。</w:t>
      </w:r>
    </w:p>
    <w:p w14:paraId="59B3ECE0">
      <w:pPr>
        <w:pStyle w:val="107"/>
        <w:ind w:firstLine="422"/>
        <w:rPr>
          <w:rFonts w:hAnsi="宋体" w:cs="宋体"/>
          <w:color w:val="000000" w:themeColor="text1"/>
          <w:highlight w:val="none"/>
          <w14:textFill>
            <w14:solidFill>
              <w14:schemeClr w14:val="tx1"/>
            </w14:solidFill>
          </w14:textFill>
        </w:rPr>
      </w:pPr>
    </w:p>
    <w:p w14:paraId="33C84716">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8 工程款项的结算与支付</w:t>
      </w:r>
    </w:p>
    <w:p w14:paraId="41141AD2">
      <w:pPr>
        <w:pStyle w:val="107"/>
        <w:ind w:left="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8.1中期支付</w:t>
      </w:r>
    </w:p>
    <w:p w14:paraId="5E1D2590">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14:paraId="20F36CC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8.1.2甲方向乙方支付的动员预付款，从中期支付款的第一期开始逐月按比例扣回，扣完为止。</w:t>
      </w:r>
    </w:p>
    <w:p w14:paraId="549F42A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8.2完工结算</w:t>
      </w:r>
    </w:p>
    <w:p w14:paraId="447FA87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14:paraId="1713B6C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对于完工时尚不能完成结算的细目，双方核实列出清单，说明情况和结算原则，签字确认，待终期结算时视项目决算审计及发包人决算支付情况一并结清。</w:t>
      </w:r>
    </w:p>
    <w:p w14:paraId="17CE417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8.2.2完工结算时，对乙方的履约保证金、质量保证金、安全生产费用等按合同约定办理结算。</w:t>
      </w:r>
    </w:p>
    <w:p w14:paraId="77358E22">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8.3最终结算支付</w:t>
      </w:r>
    </w:p>
    <w:p w14:paraId="4AF665C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14:paraId="772E104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8.4分包人应设置会计帐簿，健全财务制度，及时、准确、完整地进行会计核算；所得的分包款项应有明确的收支明细帐目和凭证。</w:t>
      </w:r>
    </w:p>
    <w:p w14:paraId="540213B5">
      <w:pPr>
        <w:pStyle w:val="107"/>
        <w:ind w:firstLine="422"/>
        <w:rPr>
          <w:rFonts w:hAnsi="宋体" w:cs="宋体"/>
          <w:color w:val="000000" w:themeColor="text1"/>
          <w:highlight w:val="none"/>
          <w14:textFill>
            <w14:solidFill>
              <w14:schemeClr w14:val="tx1"/>
            </w14:solidFill>
          </w14:textFill>
        </w:rPr>
      </w:pPr>
    </w:p>
    <w:p w14:paraId="4452D6F7">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9 材料物资和机械设备</w:t>
      </w:r>
    </w:p>
    <w:p w14:paraId="29C27F1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9.1材料</w:t>
      </w:r>
    </w:p>
    <w:p w14:paraId="5843852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保管费的费用扣回。</w:t>
      </w:r>
    </w:p>
    <w:p w14:paraId="1C6B7862">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9.1.2除上述甲方提供的材料物资外，用于乙方施工的其他材料物资由乙方自行采购和提供，并负责其保管、检测、使用、运输等全部费用。</w:t>
      </w:r>
    </w:p>
    <w:p w14:paraId="22535DF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9.2机械设备</w:t>
      </w:r>
    </w:p>
    <w:p w14:paraId="65850A1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9.2.1乙方施工所需机械设备均由乙方自行采购和提供，并符合工程施工和进度的要求。</w:t>
      </w:r>
    </w:p>
    <w:p w14:paraId="16377B2D">
      <w:pPr>
        <w:pStyle w:val="107"/>
        <w:ind w:firstLine="422"/>
        <w:rPr>
          <w:rFonts w:hAnsi="宋体" w:cs="宋体"/>
          <w:color w:val="000000" w:themeColor="text1"/>
          <w:highlight w:val="none"/>
          <w14:textFill>
            <w14:solidFill>
              <w14:schemeClr w14:val="tx1"/>
            </w14:solidFill>
          </w14:textFill>
        </w:rPr>
      </w:pPr>
    </w:p>
    <w:p w14:paraId="6ADCDE69">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10 安全生产管理</w:t>
      </w:r>
    </w:p>
    <w:p w14:paraId="0F9C7CE5">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14:paraId="22BF0EF3">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10.2乙方应按规定对所属员工进行安全教育，并对其施工安全负责。乙方应服从甲方的安全生产管理，乙方不服从管理导致生产安全事故的，由乙方承担主要责任。</w:t>
      </w:r>
    </w:p>
    <w:p w14:paraId="5273879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10.3乙方施工范围内安全防护设施的采购、提供、搭拆、保管和维护，由乙方负责实施并承担费用。劳动防护用品费用由乙方承担，并按安全生产相关规定进行用品发放、并督促员工正确使用劳动防护用品。</w:t>
      </w:r>
    </w:p>
    <w:p w14:paraId="04465D72">
      <w:pPr>
        <w:pStyle w:val="107"/>
        <w:ind w:firstLine="422"/>
        <w:rPr>
          <w:rFonts w:hAnsi="宋体" w:cs="宋体"/>
          <w:color w:val="000000" w:themeColor="text1"/>
          <w:highlight w:val="none"/>
          <w14:textFill>
            <w14:solidFill>
              <w14:schemeClr w14:val="tx1"/>
            </w14:solidFill>
          </w14:textFill>
        </w:rPr>
      </w:pPr>
    </w:p>
    <w:p w14:paraId="55FBBB5F">
      <w:pPr>
        <w:pStyle w:val="107"/>
        <w:ind w:firstLine="48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11劳务管理</w:t>
      </w:r>
    </w:p>
    <w:p w14:paraId="2D31C2EC">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14:paraId="235C4A6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14:paraId="6566B752">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14:paraId="4B4666DE">
      <w:pPr>
        <w:pStyle w:val="107"/>
        <w:ind w:firstLine="422"/>
        <w:rPr>
          <w:rFonts w:hAnsi="宋体" w:cs="宋体"/>
          <w:color w:val="000000" w:themeColor="text1"/>
          <w:highlight w:val="none"/>
          <w14:textFill>
            <w14:solidFill>
              <w14:schemeClr w14:val="tx1"/>
            </w14:solidFill>
          </w14:textFill>
        </w:rPr>
      </w:pPr>
    </w:p>
    <w:p w14:paraId="51059D03">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12保险</w:t>
      </w:r>
    </w:p>
    <w:p w14:paraId="1ABFC3E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14:paraId="5D79C47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12.2除上一条款险种外，其他保险由乙方自行投保并承担费用，其中，高危等项目，乙方必须投保。乙方并将所有自行投保合同报甲方备案。</w:t>
      </w:r>
    </w:p>
    <w:p w14:paraId="3F634408">
      <w:pPr>
        <w:pStyle w:val="107"/>
        <w:ind w:firstLine="422"/>
        <w:rPr>
          <w:rFonts w:hAnsi="宋体" w:cs="宋体"/>
          <w:color w:val="000000" w:themeColor="text1"/>
          <w:highlight w:val="none"/>
          <w14:textFill>
            <w14:solidFill>
              <w14:schemeClr w14:val="tx1"/>
            </w14:solidFill>
          </w14:textFill>
        </w:rPr>
      </w:pPr>
    </w:p>
    <w:p w14:paraId="12D2B96B">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13现场管理</w:t>
      </w:r>
    </w:p>
    <w:p w14:paraId="544FAAB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13.1乙方应做到文明施工，做到施工场地整洁有序，设立必要宣传、告示等标志、标牌。</w:t>
      </w:r>
    </w:p>
    <w:p w14:paraId="221DFBE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13.2乙方施工所需的临时道路、桥梁等设施由方修建和维护，在使用中对临时设施有损坏时，乙方可通过甲方指出由损坏人给予修复或赔偿的要求。</w:t>
      </w:r>
    </w:p>
    <w:p w14:paraId="6FA5F44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0722B1DE">
      <w:pPr>
        <w:pStyle w:val="107"/>
        <w:ind w:firstLine="422"/>
        <w:rPr>
          <w:rFonts w:hAnsi="宋体" w:cs="宋体"/>
          <w:color w:val="000000" w:themeColor="text1"/>
          <w:highlight w:val="none"/>
          <w14:textFill>
            <w14:solidFill>
              <w14:schemeClr w14:val="tx1"/>
            </w14:solidFill>
          </w14:textFill>
        </w:rPr>
      </w:pPr>
    </w:p>
    <w:p w14:paraId="6F7B6F93">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14违约责任</w:t>
      </w:r>
    </w:p>
    <w:p w14:paraId="5CF0DCF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14.1 乙方分包的工程项目，不得再行转包或分包，否则将无条件被认为乙方违约，由此引起的一切责任、事故和损失由乙方负责。</w:t>
      </w:r>
    </w:p>
    <w:p w14:paraId="3094898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14.2在施工过程中经检验达不到验收规范和评定标准，不能保证工程质量，或因乙方原因造成发包人、监理人或有关部门的极大不满，则甲方有权终止合同，由此造成的损失由乙方承担。</w:t>
      </w:r>
    </w:p>
    <w:p w14:paraId="245BBDF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14:paraId="12B65F9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14.4因乙方原因，出现下列情况之一的，甲方有权采取认为合理的一切措施进行处理，由此引起的损失由乙方承担。</w:t>
      </w:r>
    </w:p>
    <w:p w14:paraId="152DEA2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14.4.1乙方的主要人员、机械设备及流动资金不能按时到位的，严重制约了工程的施工；</w:t>
      </w:r>
    </w:p>
    <w:p w14:paraId="7B136DD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14.4.2进度滞后该工程总体进度计划的10％或落到工程管理曲线下线以下的；</w:t>
      </w:r>
    </w:p>
    <w:p w14:paraId="731A778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14.4.3不按施工技术规范和标准要求施工，造成工程质量低劣的达不到验收标准的；</w:t>
      </w:r>
    </w:p>
    <w:p w14:paraId="546F6D1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 4不遵守甲方的管理，不能服从发包人和监理人的指令，造成工程不能管理无法推进。</w:t>
      </w:r>
    </w:p>
    <w:p w14:paraId="10ACB050">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14.5乙方应按本合同规定的工期及质量要求完成，否则应偿付给甲方元/天的逾期违约金，限额为％本合同的签约合同价。</w:t>
      </w:r>
    </w:p>
    <w:p w14:paraId="392D692D">
      <w:pPr>
        <w:pStyle w:val="107"/>
        <w:ind w:firstLine="422"/>
        <w:rPr>
          <w:rFonts w:hAnsi="宋体" w:cs="宋体"/>
          <w:color w:val="000000" w:themeColor="text1"/>
          <w:highlight w:val="none"/>
          <w14:textFill>
            <w14:solidFill>
              <w14:schemeClr w14:val="tx1"/>
            </w14:solidFill>
          </w14:textFill>
        </w:rPr>
      </w:pPr>
    </w:p>
    <w:p w14:paraId="2490A03F">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15 附则</w:t>
      </w:r>
    </w:p>
    <w:p w14:paraId="5E78123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15.1合同生效：本合同经甲乙双方签字盖章后，须经驻地监理办审查，报发包人备案之日起生效。</w:t>
      </w:r>
    </w:p>
    <w:p w14:paraId="58B9638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15.2合同终止日期：在全部工程竣工，办理竣工验收款项结清后失效。</w:t>
      </w:r>
    </w:p>
    <w:p w14:paraId="0B255F5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15.3本合同发生纠纷时，甲乙双方应及时协商解决。若协商不成时，可按以下第项解决：(a)向工程所在地经济合同仲裁委员会申请仲裁，(b)向人民法院起诉。</w:t>
      </w:r>
    </w:p>
    <w:p w14:paraId="571224B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15.4本合同要求鉴证(公证)的，可向工程所在地的市(县)工商行政管理局进行鉴证或公证处公证。</w:t>
      </w:r>
    </w:p>
    <w:p w14:paraId="553D029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15.5本合同一式份，甲乙双方各执正本一份，副本份，驻地监理办、发包人备案各一份。</w:t>
      </w:r>
    </w:p>
    <w:p w14:paraId="6015A45F">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15.6 双方商定的补充条款：</w:t>
      </w:r>
    </w:p>
    <w:p w14:paraId="15F46D3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1.</w:t>
      </w:r>
    </w:p>
    <w:p w14:paraId="63FD0AE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2.</w:t>
      </w:r>
    </w:p>
    <w:p w14:paraId="336AF690">
      <w:pPr>
        <w:pStyle w:val="107"/>
        <w:ind w:firstLine="96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14:paraId="3603A158">
      <w:pPr>
        <w:pStyle w:val="107"/>
        <w:ind w:firstLine="960" w:firstLineChars="400"/>
        <w:rPr>
          <w:rFonts w:hAnsi="宋体" w:cs="宋体"/>
          <w:color w:val="000000" w:themeColor="text1"/>
          <w:highlight w:val="none"/>
          <w14:textFill>
            <w14:solidFill>
              <w14:schemeClr w14:val="tx1"/>
            </w14:solidFill>
          </w14:textFill>
        </w:rPr>
      </w:pPr>
    </w:p>
    <w:p w14:paraId="68A0E20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15.7本合同未尽事宜，发包人与甲方签订总包合同的相关条款已有的，按其办理；未涉及的，按照本工程合同文件的精神，甲乙双方协商解决。</w:t>
      </w:r>
    </w:p>
    <w:p w14:paraId="507BA8A0">
      <w:pPr>
        <w:pStyle w:val="107"/>
        <w:ind w:firstLine="960" w:firstLineChars="400"/>
        <w:rPr>
          <w:rFonts w:hAnsi="宋体" w:cs="宋体"/>
          <w:color w:val="000000" w:themeColor="text1"/>
          <w:highlight w:val="none"/>
          <w14:textFill>
            <w14:solidFill>
              <w14:schemeClr w14:val="tx1"/>
            </w14:solidFill>
          </w14:textFill>
        </w:rPr>
      </w:pPr>
    </w:p>
    <w:p w14:paraId="4F6E41B8">
      <w:pPr>
        <w:pStyle w:val="107"/>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合同附件：</w:t>
      </w:r>
    </w:p>
    <w:p w14:paraId="204C45C8">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(一)分包人营业执照复印件。</w:t>
      </w:r>
    </w:p>
    <w:p w14:paraId="2356FE82">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(二)分包人有关企业信息介绍等资料。</w:t>
      </w:r>
    </w:p>
    <w:p w14:paraId="1F3F2BF0">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(三)分包管理人员身份证、资格证书、职称证书、劳动合同关系材料复印件。</w:t>
      </w:r>
    </w:p>
    <w:p w14:paraId="6C9512DD">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(四)分包人拟投入的主要管理人员表（附表1）</w:t>
      </w:r>
    </w:p>
    <w:p w14:paraId="23EA1122">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(五)分包人拟投入的主要机械设备表（附表2)</w:t>
      </w:r>
    </w:p>
    <w:p w14:paraId="7EE13DC0">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(六)分包专项工程工程量清单(附表3)</w:t>
      </w:r>
    </w:p>
    <w:p w14:paraId="5C190017">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(五)承包人供应的材料清单 (附表4)。</w:t>
      </w:r>
    </w:p>
    <w:p w14:paraId="20AA8783">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(六)其它：</w:t>
      </w:r>
    </w:p>
    <w:p w14:paraId="2E33EBC7">
      <w:pPr>
        <w:pStyle w:val="107"/>
        <w:ind w:firstLine="480"/>
        <w:rPr>
          <w:rFonts w:hAnsi="宋体" w:cs="宋体"/>
          <w:color w:val="000000" w:themeColor="text1"/>
          <w:highlight w:val="none"/>
          <w14:textFill>
            <w14:solidFill>
              <w14:schemeClr w14:val="tx1"/>
            </w14:solidFill>
          </w14:textFill>
        </w:rPr>
      </w:pPr>
    </w:p>
    <w:p w14:paraId="73C1A9F6">
      <w:pPr>
        <w:pStyle w:val="107"/>
        <w:ind w:firstLine="480"/>
        <w:rPr>
          <w:rFonts w:hAnsi="宋体" w:cs="宋体"/>
          <w:color w:val="000000" w:themeColor="text1"/>
          <w:highlight w:val="none"/>
          <w14:textFill>
            <w14:solidFill>
              <w14:schemeClr w14:val="tx1"/>
            </w14:solidFill>
          </w14:textFill>
        </w:rPr>
      </w:pPr>
    </w:p>
    <w:p w14:paraId="396044E1">
      <w:pPr>
        <w:pStyle w:val="107"/>
        <w:ind w:firstLine="480"/>
        <w:rPr>
          <w:rFonts w:hAnsi="宋体" w:cs="宋体"/>
          <w:color w:val="000000" w:themeColor="text1"/>
          <w:highlight w:val="none"/>
          <w14:textFill>
            <w14:solidFill>
              <w14:schemeClr w14:val="tx1"/>
            </w14:solidFill>
          </w14:textFill>
        </w:rPr>
      </w:pPr>
    </w:p>
    <w:p w14:paraId="53B1F01F">
      <w:pPr>
        <w:pStyle w:val="107"/>
        <w:ind w:firstLine="480"/>
        <w:rPr>
          <w:rFonts w:hAnsi="宋体" w:cs="宋体"/>
          <w:color w:val="000000" w:themeColor="text1"/>
          <w:highlight w:val="none"/>
          <w14:textFill>
            <w14:solidFill>
              <w14:schemeClr w14:val="tx1"/>
            </w14:solidFill>
          </w14:textFill>
        </w:rPr>
      </w:pPr>
    </w:p>
    <w:p w14:paraId="2EEC7492">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方：(盖章)                           乙  方：(盖章)</w:t>
      </w:r>
    </w:p>
    <w:p w14:paraId="3A3E4408">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14:paraId="006FC3B0">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14:paraId="32B6F140">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14:paraId="629FDD5A">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14:paraId="19966038">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14:paraId="7A342894">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14:paraId="4DC660AE">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14:paraId="53E150BD">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14:paraId="58DCD8CE">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14:paraId="131F423D">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附表1：分包人投入人员表</w:t>
      </w:r>
    </w:p>
    <w:p w14:paraId="0E0EA17E">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365FDA15">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14:paraId="527D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7ECE77B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岗位</w:t>
            </w:r>
          </w:p>
          <w:p w14:paraId="662640C3">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p>
        </w:tc>
        <w:tc>
          <w:tcPr>
            <w:tcW w:w="1080" w:type="dxa"/>
            <w:vAlign w:val="center"/>
          </w:tcPr>
          <w:p w14:paraId="7EBDC8E5">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姓名</w:t>
            </w:r>
          </w:p>
        </w:tc>
        <w:tc>
          <w:tcPr>
            <w:tcW w:w="1980" w:type="dxa"/>
            <w:vAlign w:val="center"/>
          </w:tcPr>
          <w:p w14:paraId="6EDF413B">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身份证号</w:t>
            </w:r>
          </w:p>
        </w:tc>
        <w:tc>
          <w:tcPr>
            <w:tcW w:w="1025" w:type="dxa"/>
            <w:vAlign w:val="center"/>
          </w:tcPr>
          <w:p w14:paraId="2BB0DF1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职称</w:t>
            </w:r>
          </w:p>
        </w:tc>
        <w:tc>
          <w:tcPr>
            <w:tcW w:w="1339" w:type="dxa"/>
            <w:vAlign w:val="center"/>
          </w:tcPr>
          <w:p w14:paraId="1E2EEF3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资格</w:t>
            </w:r>
          </w:p>
        </w:tc>
        <w:tc>
          <w:tcPr>
            <w:tcW w:w="1355" w:type="dxa"/>
            <w:vAlign w:val="center"/>
          </w:tcPr>
          <w:p w14:paraId="067155D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拟进场时间</w:t>
            </w:r>
          </w:p>
        </w:tc>
        <w:tc>
          <w:tcPr>
            <w:tcW w:w="1141" w:type="dxa"/>
            <w:vAlign w:val="center"/>
          </w:tcPr>
          <w:p w14:paraId="7288CA7A">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14:paraId="0D40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795DEDE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221B1FD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负责人</w:t>
            </w:r>
          </w:p>
        </w:tc>
        <w:tc>
          <w:tcPr>
            <w:tcW w:w="1080" w:type="dxa"/>
          </w:tcPr>
          <w:p w14:paraId="207359C8">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3D968555">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3DDC3FAF">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44B23937">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614D0281">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7530E9E2">
            <w:pPr>
              <w:pStyle w:val="107"/>
              <w:jc w:val="center"/>
              <w:rPr>
                <w:rFonts w:hAnsi="宋体" w:cs="宋体"/>
                <w:color w:val="000000" w:themeColor="text1"/>
                <w:szCs w:val="21"/>
                <w:highlight w:val="none"/>
                <w14:textFill>
                  <w14:solidFill>
                    <w14:schemeClr w14:val="tx1"/>
                  </w14:solidFill>
                </w14:textFill>
              </w:rPr>
            </w:pPr>
          </w:p>
        </w:tc>
      </w:tr>
      <w:tr w14:paraId="19AB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5188D6E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579D79E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技术（质量）负责人</w:t>
            </w:r>
          </w:p>
        </w:tc>
        <w:tc>
          <w:tcPr>
            <w:tcW w:w="1080" w:type="dxa"/>
          </w:tcPr>
          <w:p w14:paraId="43B4AE42">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64A24B18">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049397B3">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468E4B4C">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0E85E16E">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604223DB">
            <w:pPr>
              <w:pStyle w:val="107"/>
              <w:jc w:val="center"/>
              <w:rPr>
                <w:rFonts w:hAnsi="宋体" w:cs="宋体"/>
                <w:color w:val="000000" w:themeColor="text1"/>
                <w:szCs w:val="21"/>
                <w:highlight w:val="none"/>
                <w14:textFill>
                  <w14:solidFill>
                    <w14:schemeClr w14:val="tx1"/>
                  </w14:solidFill>
                </w14:textFill>
              </w:rPr>
            </w:pPr>
          </w:p>
        </w:tc>
      </w:tr>
      <w:tr w14:paraId="0ED1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7A549F7E">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13F3392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安全负责人</w:t>
            </w:r>
          </w:p>
        </w:tc>
        <w:tc>
          <w:tcPr>
            <w:tcW w:w="1080" w:type="dxa"/>
          </w:tcPr>
          <w:p w14:paraId="57F1B064">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48DFCAEE">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48471C1D">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3A4953ED">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31CDD19F">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3D947933">
            <w:pPr>
              <w:pStyle w:val="107"/>
              <w:jc w:val="center"/>
              <w:rPr>
                <w:rFonts w:hAnsi="宋体" w:cs="宋体"/>
                <w:color w:val="000000" w:themeColor="text1"/>
                <w:szCs w:val="21"/>
                <w:highlight w:val="none"/>
                <w14:textFill>
                  <w14:solidFill>
                    <w14:schemeClr w14:val="tx1"/>
                  </w14:solidFill>
                </w14:textFill>
              </w:rPr>
            </w:pPr>
          </w:p>
        </w:tc>
      </w:tr>
      <w:tr w14:paraId="49F1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14:paraId="5A15CA64">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2410834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计划负责人</w:t>
            </w:r>
          </w:p>
        </w:tc>
        <w:tc>
          <w:tcPr>
            <w:tcW w:w="1080" w:type="dxa"/>
          </w:tcPr>
          <w:p w14:paraId="510A8B09">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31FD52DC">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36949F2A">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239B6E96">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4E1816DB">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5DADAD6E">
            <w:pPr>
              <w:pStyle w:val="107"/>
              <w:jc w:val="center"/>
              <w:rPr>
                <w:rFonts w:hAnsi="宋体" w:cs="宋体"/>
                <w:color w:val="000000" w:themeColor="text1"/>
                <w:szCs w:val="21"/>
                <w:highlight w:val="none"/>
                <w14:textFill>
                  <w14:solidFill>
                    <w14:schemeClr w14:val="tx1"/>
                  </w14:solidFill>
                </w14:textFill>
              </w:rPr>
            </w:pPr>
          </w:p>
        </w:tc>
      </w:tr>
      <w:tr w14:paraId="7B5E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14:paraId="0451D835">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65D952A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财务负责人</w:t>
            </w:r>
          </w:p>
        </w:tc>
        <w:tc>
          <w:tcPr>
            <w:tcW w:w="1080" w:type="dxa"/>
          </w:tcPr>
          <w:p w14:paraId="073D69DA">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13E7B5BF">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642AB19E">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3FB04590">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4019D58C">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02035463">
            <w:pPr>
              <w:pStyle w:val="107"/>
              <w:jc w:val="center"/>
              <w:rPr>
                <w:rFonts w:hAnsi="宋体" w:cs="宋体"/>
                <w:color w:val="000000" w:themeColor="text1"/>
                <w:szCs w:val="21"/>
                <w:highlight w:val="none"/>
                <w14:textFill>
                  <w14:solidFill>
                    <w14:schemeClr w14:val="tx1"/>
                  </w14:solidFill>
                </w14:textFill>
              </w:rPr>
            </w:pPr>
          </w:p>
        </w:tc>
      </w:tr>
      <w:tr w14:paraId="63B1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42E267C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p>
        </w:tc>
        <w:tc>
          <w:tcPr>
            <w:tcW w:w="1080" w:type="dxa"/>
          </w:tcPr>
          <w:p w14:paraId="496411A0">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1F200FDB">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59CBED3E">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58D37143">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03968F24">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5614C0C8">
            <w:pPr>
              <w:pStyle w:val="107"/>
              <w:jc w:val="center"/>
              <w:rPr>
                <w:rFonts w:hAnsi="宋体" w:cs="宋体"/>
                <w:color w:val="000000" w:themeColor="text1"/>
                <w:szCs w:val="21"/>
                <w:highlight w:val="none"/>
                <w14:textFill>
                  <w14:solidFill>
                    <w14:schemeClr w14:val="tx1"/>
                  </w14:solidFill>
                </w14:textFill>
              </w:rPr>
            </w:pPr>
          </w:p>
        </w:tc>
      </w:tr>
      <w:tr w14:paraId="034B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61DF923A">
            <w:pPr>
              <w:pStyle w:val="107"/>
              <w:jc w:val="center"/>
              <w:rPr>
                <w:rFonts w:hAnsi="宋体" w:cs="宋体"/>
                <w:color w:val="000000" w:themeColor="text1"/>
                <w:szCs w:val="21"/>
                <w:highlight w:val="none"/>
                <w14:textFill>
                  <w14:solidFill>
                    <w14:schemeClr w14:val="tx1"/>
                  </w14:solidFill>
                </w14:textFill>
              </w:rPr>
            </w:pPr>
          </w:p>
        </w:tc>
        <w:tc>
          <w:tcPr>
            <w:tcW w:w="1080" w:type="dxa"/>
          </w:tcPr>
          <w:p w14:paraId="5C710EA2">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35557A5F">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0419CDEA">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400FB34D">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7313E940">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2F931472">
            <w:pPr>
              <w:pStyle w:val="107"/>
              <w:jc w:val="center"/>
              <w:rPr>
                <w:rFonts w:hAnsi="宋体" w:cs="宋体"/>
                <w:color w:val="000000" w:themeColor="text1"/>
                <w:szCs w:val="21"/>
                <w:highlight w:val="none"/>
                <w14:textFill>
                  <w14:solidFill>
                    <w14:schemeClr w14:val="tx1"/>
                  </w14:solidFill>
                </w14:textFill>
              </w:rPr>
            </w:pPr>
          </w:p>
        </w:tc>
      </w:tr>
    </w:tbl>
    <w:p w14:paraId="1510B19A">
      <w:pPr>
        <w:pStyle w:val="107"/>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附：身份证件、职称证书、资格证书、劳动合同等复印件。</w:t>
      </w:r>
    </w:p>
    <w:p w14:paraId="76109E0C">
      <w:pPr>
        <w:pStyle w:val="107"/>
        <w:jc w:val="center"/>
        <w:rPr>
          <w:rFonts w:hAnsi="宋体" w:cs="宋体"/>
          <w:b/>
          <w:color w:val="000000" w:themeColor="text1"/>
          <w:sz w:val="28"/>
          <w:szCs w:val="28"/>
          <w:highlight w:val="none"/>
          <w14:textFill>
            <w14:solidFill>
              <w14:schemeClr w14:val="tx1"/>
            </w14:solidFill>
          </w14:textFill>
        </w:rPr>
      </w:pPr>
    </w:p>
    <w:p w14:paraId="0720FC98">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附表2：分包人投入设备表</w:t>
      </w:r>
    </w:p>
    <w:p w14:paraId="27734F33">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41D2422D">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14:paraId="698F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40C3048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设备名称</w:t>
            </w:r>
          </w:p>
        </w:tc>
        <w:tc>
          <w:tcPr>
            <w:tcW w:w="1590" w:type="dxa"/>
            <w:vAlign w:val="center"/>
          </w:tcPr>
          <w:p w14:paraId="27340AD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型号</w:t>
            </w:r>
          </w:p>
        </w:tc>
        <w:tc>
          <w:tcPr>
            <w:tcW w:w="1080" w:type="dxa"/>
            <w:vAlign w:val="center"/>
          </w:tcPr>
          <w:p w14:paraId="18790DF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性能</w:t>
            </w:r>
          </w:p>
        </w:tc>
        <w:tc>
          <w:tcPr>
            <w:tcW w:w="1080" w:type="dxa"/>
            <w:vAlign w:val="center"/>
          </w:tcPr>
          <w:p w14:paraId="1220B91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80" w:type="dxa"/>
            <w:vAlign w:val="center"/>
          </w:tcPr>
          <w:p w14:paraId="76818B5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进场时间</w:t>
            </w:r>
          </w:p>
        </w:tc>
        <w:tc>
          <w:tcPr>
            <w:tcW w:w="1440" w:type="dxa"/>
            <w:vAlign w:val="center"/>
          </w:tcPr>
          <w:p w14:paraId="2452BA0E">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承诺违约金（元/日）</w:t>
            </w:r>
          </w:p>
        </w:tc>
        <w:tc>
          <w:tcPr>
            <w:tcW w:w="1440" w:type="dxa"/>
            <w:vAlign w:val="center"/>
          </w:tcPr>
          <w:p w14:paraId="21CD789D">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14:paraId="7835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2BFE3119">
            <w:pPr>
              <w:pStyle w:val="107"/>
              <w:jc w:val="center"/>
              <w:rPr>
                <w:rFonts w:hAnsi="宋体" w:cs="宋体"/>
                <w:color w:val="000000" w:themeColor="text1"/>
                <w:sz w:val="18"/>
                <w:highlight w:val="none"/>
                <w14:textFill>
                  <w14:solidFill>
                    <w14:schemeClr w14:val="tx1"/>
                  </w14:solidFill>
                </w14:textFill>
              </w:rPr>
            </w:pPr>
          </w:p>
        </w:tc>
        <w:tc>
          <w:tcPr>
            <w:tcW w:w="1590" w:type="dxa"/>
          </w:tcPr>
          <w:p w14:paraId="29B0BA41">
            <w:pPr>
              <w:pStyle w:val="107"/>
              <w:jc w:val="center"/>
              <w:rPr>
                <w:rFonts w:hAnsi="宋体" w:cs="宋体"/>
                <w:color w:val="000000" w:themeColor="text1"/>
                <w:sz w:val="18"/>
                <w:highlight w:val="none"/>
                <w14:textFill>
                  <w14:solidFill>
                    <w14:schemeClr w14:val="tx1"/>
                  </w14:solidFill>
                </w14:textFill>
              </w:rPr>
            </w:pPr>
          </w:p>
        </w:tc>
        <w:tc>
          <w:tcPr>
            <w:tcW w:w="1080" w:type="dxa"/>
          </w:tcPr>
          <w:p w14:paraId="5C84B489">
            <w:pPr>
              <w:pStyle w:val="107"/>
              <w:jc w:val="center"/>
              <w:rPr>
                <w:rFonts w:hAnsi="宋体" w:cs="宋体"/>
                <w:color w:val="000000" w:themeColor="text1"/>
                <w:sz w:val="18"/>
                <w:highlight w:val="none"/>
                <w14:textFill>
                  <w14:solidFill>
                    <w14:schemeClr w14:val="tx1"/>
                  </w14:solidFill>
                </w14:textFill>
              </w:rPr>
            </w:pPr>
          </w:p>
        </w:tc>
        <w:tc>
          <w:tcPr>
            <w:tcW w:w="1080" w:type="dxa"/>
          </w:tcPr>
          <w:p w14:paraId="55B5F190">
            <w:pPr>
              <w:pStyle w:val="107"/>
              <w:jc w:val="center"/>
              <w:rPr>
                <w:rFonts w:hAnsi="宋体" w:cs="宋体"/>
                <w:color w:val="000000" w:themeColor="text1"/>
                <w:sz w:val="18"/>
                <w:highlight w:val="none"/>
                <w14:textFill>
                  <w14:solidFill>
                    <w14:schemeClr w14:val="tx1"/>
                  </w14:solidFill>
                </w14:textFill>
              </w:rPr>
            </w:pPr>
          </w:p>
        </w:tc>
        <w:tc>
          <w:tcPr>
            <w:tcW w:w="1080" w:type="dxa"/>
          </w:tcPr>
          <w:p w14:paraId="4DC41E86">
            <w:pPr>
              <w:pStyle w:val="107"/>
              <w:jc w:val="center"/>
              <w:rPr>
                <w:rFonts w:hAnsi="宋体" w:cs="宋体"/>
                <w:color w:val="000000" w:themeColor="text1"/>
                <w:sz w:val="18"/>
                <w:highlight w:val="none"/>
                <w14:textFill>
                  <w14:solidFill>
                    <w14:schemeClr w14:val="tx1"/>
                  </w14:solidFill>
                </w14:textFill>
              </w:rPr>
            </w:pPr>
          </w:p>
        </w:tc>
        <w:tc>
          <w:tcPr>
            <w:tcW w:w="1440" w:type="dxa"/>
          </w:tcPr>
          <w:p w14:paraId="136CDD9E">
            <w:pPr>
              <w:pStyle w:val="107"/>
              <w:jc w:val="center"/>
              <w:rPr>
                <w:rFonts w:hAnsi="宋体" w:cs="宋体"/>
                <w:color w:val="000000" w:themeColor="text1"/>
                <w:sz w:val="18"/>
                <w:highlight w:val="none"/>
                <w14:textFill>
                  <w14:solidFill>
                    <w14:schemeClr w14:val="tx1"/>
                  </w14:solidFill>
                </w14:textFill>
              </w:rPr>
            </w:pPr>
          </w:p>
        </w:tc>
        <w:tc>
          <w:tcPr>
            <w:tcW w:w="1440" w:type="dxa"/>
          </w:tcPr>
          <w:p w14:paraId="63247999">
            <w:pPr>
              <w:pStyle w:val="107"/>
              <w:jc w:val="center"/>
              <w:rPr>
                <w:rFonts w:hAnsi="宋体" w:cs="宋体"/>
                <w:color w:val="000000" w:themeColor="text1"/>
                <w:sz w:val="18"/>
                <w:highlight w:val="none"/>
                <w14:textFill>
                  <w14:solidFill>
                    <w14:schemeClr w14:val="tx1"/>
                  </w14:solidFill>
                </w14:textFill>
              </w:rPr>
            </w:pPr>
          </w:p>
        </w:tc>
      </w:tr>
      <w:tr w14:paraId="66FA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4D82F6DD">
            <w:pPr>
              <w:pStyle w:val="107"/>
              <w:jc w:val="center"/>
              <w:rPr>
                <w:rFonts w:hAnsi="宋体" w:cs="宋体"/>
                <w:color w:val="000000" w:themeColor="text1"/>
                <w:sz w:val="18"/>
                <w:highlight w:val="none"/>
                <w14:textFill>
                  <w14:solidFill>
                    <w14:schemeClr w14:val="tx1"/>
                  </w14:solidFill>
                </w14:textFill>
              </w:rPr>
            </w:pPr>
          </w:p>
        </w:tc>
        <w:tc>
          <w:tcPr>
            <w:tcW w:w="1590" w:type="dxa"/>
          </w:tcPr>
          <w:p w14:paraId="6E97BD66">
            <w:pPr>
              <w:pStyle w:val="107"/>
              <w:jc w:val="center"/>
              <w:rPr>
                <w:rFonts w:hAnsi="宋体" w:cs="宋体"/>
                <w:color w:val="000000" w:themeColor="text1"/>
                <w:sz w:val="18"/>
                <w:highlight w:val="none"/>
                <w14:textFill>
                  <w14:solidFill>
                    <w14:schemeClr w14:val="tx1"/>
                  </w14:solidFill>
                </w14:textFill>
              </w:rPr>
            </w:pPr>
          </w:p>
        </w:tc>
        <w:tc>
          <w:tcPr>
            <w:tcW w:w="1080" w:type="dxa"/>
          </w:tcPr>
          <w:p w14:paraId="7B4EB539">
            <w:pPr>
              <w:pStyle w:val="107"/>
              <w:jc w:val="center"/>
              <w:rPr>
                <w:rFonts w:hAnsi="宋体" w:cs="宋体"/>
                <w:color w:val="000000" w:themeColor="text1"/>
                <w:sz w:val="18"/>
                <w:highlight w:val="none"/>
                <w14:textFill>
                  <w14:solidFill>
                    <w14:schemeClr w14:val="tx1"/>
                  </w14:solidFill>
                </w14:textFill>
              </w:rPr>
            </w:pPr>
          </w:p>
        </w:tc>
        <w:tc>
          <w:tcPr>
            <w:tcW w:w="1080" w:type="dxa"/>
          </w:tcPr>
          <w:p w14:paraId="7D643288">
            <w:pPr>
              <w:pStyle w:val="107"/>
              <w:jc w:val="center"/>
              <w:rPr>
                <w:rFonts w:hAnsi="宋体" w:cs="宋体"/>
                <w:color w:val="000000" w:themeColor="text1"/>
                <w:sz w:val="18"/>
                <w:highlight w:val="none"/>
                <w14:textFill>
                  <w14:solidFill>
                    <w14:schemeClr w14:val="tx1"/>
                  </w14:solidFill>
                </w14:textFill>
              </w:rPr>
            </w:pPr>
          </w:p>
        </w:tc>
        <w:tc>
          <w:tcPr>
            <w:tcW w:w="1080" w:type="dxa"/>
          </w:tcPr>
          <w:p w14:paraId="74F32737">
            <w:pPr>
              <w:pStyle w:val="107"/>
              <w:jc w:val="center"/>
              <w:rPr>
                <w:rFonts w:hAnsi="宋体" w:cs="宋体"/>
                <w:color w:val="000000" w:themeColor="text1"/>
                <w:sz w:val="18"/>
                <w:highlight w:val="none"/>
                <w14:textFill>
                  <w14:solidFill>
                    <w14:schemeClr w14:val="tx1"/>
                  </w14:solidFill>
                </w14:textFill>
              </w:rPr>
            </w:pPr>
          </w:p>
        </w:tc>
        <w:tc>
          <w:tcPr>
            <w:tcW w:w="1440" w:type="dxa"/>
          </w:tcPr>
          <w:p w14:paraId="5F730383">
            <w:pPr>
              <w:pStyle w:val="107"/>
              <w:jc w:val="center"/>
              <w:rPr>
                <w:rFonts w:hAnsi="宋体" w:cs="宋体"/>
                <w:color w:val="000000" w:themeColor="text1"/>
                <w:sz w:val="18"/>
                <w:highlight w:val="none"/>
                <w14:textFill>
                  <w14:solidFill>
                    <w14:schemeClr w14:val="tx1"/>
                  </w14:solidFill>
                </w14:textFill>
              </w:rPr>
            </w:pPr>
          </w:p>
        </w:tc>
        <w:tc>
          <w:tcPr>
            <w:tcW w:w="1440" w:type="dxa"/>
          </w:tcPr>
          <w:p w14:paraId="7A4D3CA1">
            <w:pPr>
              <w:pStyle w:val="107"/>
              <w:jc w:val="center"/>
              <w:rPr>
                <w:rFonts w:hAnsi="宋体" w:cs="宋体"/>
                <w:color w:val="000000" w:themeColor="text1"/>
                <w:sz w:val="18"/>
                <w:highlight w:val="none"/>
                <w14:textFill>
                  <w14:solidFill>
                    <w14:schemeClr w14:val="tx1"/>
                  </w14:solidFill>
                </w14:textFill>
              </w:rPr>
            </w:pPr>
          </w:p>
        </w:tc>
      </w:tr>
      <w:tr w14:paraId="189E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2F00F8A0">
            <w:pPr>
              <w:pStyle w:val="107"/>
              <w:jc w:val="center"/>
              <w:rPr>
                <w:rFonts w:hAnsi="宋体" w:cs="宋体"/>
                <w:color w:val="000000" w:themeColor="text1"/>
                <w:sz w:val="18"/>
                <w:highlight w:val="none"/>
                <w14:textFill>
                  <w14:solidFill>
                    <w14:schemeClr w14:val="tx1"/>
                  </w14:solidFill>
                </w14:textFill>
              </w:rPr>
            </w:pPr>
          </w:p>
        </w:tc>
        <w:tc>
          <w:tcPr>
            <w:tcW w:w="1590" w:type="dxa"/>
          </w:tcPr>
          <w:p w14:paraId="0D9564D2">
            <w:pPr>
              <w:pStyle w:val="107"/>
              <w:jc w:val="center"/>
              <w:rPr>
                <w:rFonts w:hAnsi="宋体" w:cs="宋体"/>
                <w:color w:val="000000" w:themeColor="text1"/>
                <w:sz w:val="18"/>
                <w:highlight w:val="none"/>
                <w14:textFill>
                  <w14:solidFill>
                    <w14:schemeClr w14:val="tx1"/>
                  </w14:solidFill>
                </w14:textFill>
              </w:rPr>
            </w:pPr>
          </w:p>
        </w:tc>
        <w:tc>
          <w:tcPr>
            <w:tcW w:w="1080" w:type="dxa"/>
          </w:tcPr>
          <w:p w14:paraId="168D8636">
            <w:pPr>
              <w:pStyle w:val="107"/>
              <w:jc w:val="center"/>
              <w:rPr>
                <w:rFonts w:hAnsi="宋体" w:cs="宋体"/>
                <w:color w:val="000000" w:themeColor="text1"/>
                <w:sz w:val="18"/>
                <w:highlight w:val="none"/>
                <w14:textFill>
                  <w14:solidFill>
                    <w14:schemeClr w14:val="tx1"/>
                  </w14:solidFill>
                </w14:textFill>
              </w:rPr>
            </w:pPr>
          </w:p>
        </w:tc>
        <w:tc>
          <w:tcPr>
            <w:tcW w:w="1080" w:type="dxa"/>
          </w:tcPr>
          <w:p w14:paraId="3F4D0A26">
            <w:pPr>
              <w:pStyle w:val="107"/>
              <w:jc w:val="center"/>
              <w:rPr>
                <w:rFonts w:hAnsi="宋体" w:cs="宋体"/>
                <w:color w:val="000000" w:themeColor="text1"/>
                <w:sz w:val="18"/>
                <w:highlight w:val="none"/>
                <w14:textFill>
                  <w14:solidFill>
                    <w14:schemeClr w14:val="tx1"/>
                  </w14:solidFill>
                </w14:textFill>
              </w:rPr>
            </w:pPr>
          </w:p>
        </w:tc>
        <w:tc>
          <w:tcPr>
            <w:tcW w:w="1080" w:type="dxa"/>
          </w:tcPr>
          <w:p w14:paraId="1B51F4BD">
            <w:pPr>
              <w:pStyle w:val="107"/>
              <w:jc w:val="center"/>
              <w:rPr>
                <w:rFonts w:hAnsi="宋体" w:cs="宋体"/>
                <w:color w:val="000000" w:themeColor="text1"/>
                <w:sz w:val="18"/>
                <w:highlight w:val="none"/>
                <w14:textFill>
                  <w14:solidFill>
                    <w14:schemeClr w14:val="tx1"/>
                  </w14:solidFill>
                </w14:textFill>
              </w:rPr>
            </w:pPr>
          </w:p>
        </w:tc>
        <w:tc>
          <w:tcPr>
            <w:tcW w:w="1440" w:type="dxa"/>
          </w:tcPr>
          <w:p w14:paraId="2FBBECEA">
            <w:pPr>
              <w:pStyle w:val="107"/>
              <w:jc w:val="center"/>
              <w:rPr>
                <w:rFonts w:hAnsi="宋体" w:cs="宋体"/>
                <w:color w:val="000000" w:themeColor="text1"/>
                <w:sz w:val="18"/>
                <w:highlight w:val="none"/>
                <w14:textFill>
                  <w14:solidFill>
                    <w14:schemeClr w14:val="tx1"/>
                  </w14:solidFill>
                </w14:textFill>
              </w:rPr>
            </w:pPr>
          </w:p>
        </w:tc>
        <w:tc>
          <w:tcPr>
            <w:tcW w:w="1440" w:type="dxa"/>
          </w:tcPr>
          <w:p w14:paraId="15BA5F5B">
            <w:pPr>
              <w:pStyle w:val="107"/>
              <w:jc w:val="center"/>
              <w:rPr>
                <w:rFonts w:hAnsi="宋体" w:cs="宋体"/>
                <w:color w:val="000000" w:themeColor="text1"/>
                <w:sz w:val="18"/>
                <w:highlight w:val="none"/>
                <w14:textFill>
                  <w14:solidFill>
                    <w14:schemeClr w14:val="tx1"/>
                  </w14:solidFill>
                </w14:textFill>
              </w:rPr>
            </w:pPr>
          </w:p>
        </w:tc>
      </w:tr>
    </w:tbl>
    <w:p w14:paraId="796EF809">
      <w:pPr>
        <w:pStyle w:val="107"/>
        <w:rPr>
          <w:rFonts w:hAnsi="宋体" w:cs="宋体"/>
          <w:color w:val="000000" w:themeColor="text1"/>
          <w:szCs w:val="21"/>
          <w:highlight w:val="none"/>
          <w14:textFill>
            <w14:solidFill>
              <w14:schemeClr w14:val="tx1"/>
            </w14:solidFill>
          </w14:textFill>
        </w:rPr>
      </w:pPr>
    </w:p>
    <w:p w14:paraId="1BF79D9F">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附表3：分包专项工程工程量清单</w:t>
      </w:r>
    </w:p>
    <w:p w14:paraId="4CCEC5B5">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3A31D2FF">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14:paraId="6A67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3" w:type="dxa"/>
            <w:vAlign w:val="center"/>
          </w:tcPr>
          <w:p w14:paraId="48BE192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清单编号</w:t>
            </w:r>
          </w:p>
        </w:tc>
        <w:tc>
          <w:tcPr>
            <w:tcW w:w="1752" w:type="dxa"/>
            <w:vAlign w:val="center"/>
          </w:tcPr>
          <w:p w14:paraId="01FD38C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工程名称</w:t>
            </w:r>
          </w:p>
        </w:tc>
        <w:tc>
          <w:tcPr>
            <w:tcW w:w="1122" w:type="dxa"/>
            <w:vAlign w:val="center"/>
          </w:tcPr>
          <w:p w14:paraId="467654FB">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122" w:type="dxa"/>
            <w:vAlign w:val="center"/>
          </w:tcPr>
          <w:p w14:paraId="1ACDE78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140" w:type="dxa"/>
            <w:vAlign w:val="center"/>
          </w:tcPr>
          <w:p w14:paraId="7E26F67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p w14:paraId="17E4D6D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40" w:type="dxa"/>
            <w:vAlign w:val="center"/>
          </w:tcPr>
          <w:p w14:paraId="5EE20973">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金额</w:t>
            </w:r>
          </w:p>
          <w:p w14:paraId="0EC7AF7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23" w:type="dxa"/>
            <w:vAlign w:val="center"/>
          </w:tcPr>
          <w:p w14:paraId="70B86155">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预定工期</w:t>
            </w:r>
          </w:p>
        </w:tc>
      </w:tr>
      <w:tr w14:paraId="644B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6706BF52">
            <w:pPr>
              <w:pStyle w:val="107"/>
              <w:rPr>
                <w:rFonts w:hAnsi="宋体" w:cs="宋体"/>
                <w:b/>
                <w:color w:val="000000" w:themeColor="text1"/>
                <w:sz w:val="28"/>
                <w:szCs w:val="28"/>
                <w:highlight w:val="none"/>
                <w14:textFill>
                  <w14:solidFill>
                    <w14:schemeClr w14:val="tx1"/>
                  </w14:solidFill>
                </w14:textFill>
              </w:rPr>
            </w:pPr>
          </w:p>
        </w:tc>
        <w:tc>
          <w:tcPr>
            <w:tcW w:w="1752" w:type="dxa"/>
          </w:tcPr>
          <w:p w14:paraId="546FCA3A">
            <w:pPr>
              <w:pStyle w:val="107"/>
              <w:rPr>
                <w:rFonts w:hAnsi="宋体" w:cs="宋体"/>
                <w:b/>
                <w:color w:val="000000" w:themeColor="text1"/>
                <w:sz w:val="28"/>
                <w:szCs w:val="28"/>
                <w:highlight w:val="none"/>
                <w14:textFill>
                  <w14:solidFill>
                    <w14:schemeClr w14:val="tx1"/>
                  </w14:solidFill>
                </w14:textFill>
              </w:rPr>
            </w:pPr>
          </w:p>
        </w:tc>
        <w:tc>
          <w:tcPr>
            <w:tcW w:w="1122" w:type="dxa"/>
          </w:tcPr>
          <w:p w14:paraId="1CB4CAB2">
            <w:pPr>
              <w:pStyle w:val="107"/>
              <w:rPr>
                <w:rFonts w:hAnsi="宋体" w:cs="宋体"/>
                <w:b/>
                <w:color w:val="000000" w:themeColor="text1"/>
                <w:sz w:val="28"/>
                <w:szCs w:val="28"/>
                <w:highlight w:val="none"/>
                <w14:textFill>
                  <w14:solidFill>
                    <w14:schemeClr w14:val="tx1"/>
                  </w14:solidFill>
                </w14:textFill>
              </w:rPr>
            </w:pPr>
          </w:p>
        </w:tc>
        <w:tc>
          <w:tcPr>
            <w:tcW w:w="1122" w:type="dxa"/>
          </w:tcPr>
          <w:p w14:paraId="4E1024CD">
            <w:pPr>
              <w:pStyle w:val="107"/>
              <w:rPr>
                <w:rFonts w:hAnsi="宋体" w:cs="宋体"/>
                <w:b/>
                <w:color w:val="000000" w:themeColor="text1"/>
                <w:sz w:val="28"/>
                <w:szCs w:val="28"/>
                <w:highlight w:val="none"/>
                <w14:textFill>
                  <w14:solidFill>
                    <w14:schemeClr w14:val="tx1"/>
                  </w14:solidFill>
                </w14:textFill>
              </w:rPr>
            </w:pPr>
          </w:p>
        </w:tc>
        <w:tc>
          <w:tcPr>
            <w:tcW w:w="1140" w:type="dxa"/>
          </w:tcPr>
          <w:p w14:paraId="65465026">
            <w:pPr>
              <w:pStyle w:val="107"/>
              <w:rPr>
                <w:rFonts w:hAnsi="宋体" w:cs="宋体"/>
                <w:b/>
                <w:color w:val="000000" w:themeColor="text1"/>
                <w:sz w:val="28"/>
                <w:szCs w:val="28"/>
                <w:highlight w:val="none"/>
                <w14:textFill>
                  <w14:solidFill>
                    <w14:schemeClr w14:val="tx1"/>
                  </w14:solidFill>
                </w14:textFill>
              </w:rPr>
            </w:pPr>
          </w:p>
        </w:tc>
        <w:tc>
          <w:tcPr>
            <w:tcW w:w="1140" w:type="dxa"/>
          </w:tcPr>
          <w:p w14:paraId="05A23895">
            <w:pPr>
              <w:pStyle w:val="107"/>
              <w:rPr>
                <w:rFonts w:hAnsi="宋体" w:cs="宋体"/>
                <w:b/>
                <w:color w:val="000000" w:themeColor="text1"/>
                <w:sz w:val="28"/>
                <w:szCs w:val="28"/>
                <w:highlight w:val="none"/>
                <w14:textFill>
                  <w14:solidFill>
                    <w14:schemeClr w14:val="tx1"/>
                  </w14:solidFill>
                </w14:textFill>
              </w:rPr>
            </w:pPr>
          </w:p>
        </w:tc>
        <w:tc>
          <w:tcPr>
            <w:tcW w:w="1123" w:type="dxa"/>
          </w:tcPr>
          <w:p w14:paraId="63F2E354">
            <w:pPr>
              <w:pStyle w:val="107"/>
              <w:rPr>
                <w:rFonts w:hAnsi="宋体" w:cs="宋体"/>
                <w:b/>
                <w:color w:val="000000" w:themeColor="text1"/>
                <w:sz w:val="28"/>
                <w:szCs w:val="28"/>
                <w:highlight w:val="none"/>
                <w14:textFill>
                  <w14:solidFill>
                    <w14:schemeClr w14:val="tx1"/>
                  </w14:solidFill>
                </w14:textFill>
              </w:rPr>
            </w:pPr>
          </w:p>
        </w:tc>
      </w:tr>
      <w:tr w14:paraId="67D6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1E073708">
            <w:pPr>
              <w:pStyle w:val="107"/>
              <w:rPr>
                <w:rFonts w:hAnsi="宋体" w:cs="宋体"/>
                <w:b/>
                <w:color w:val="000000" w:themeColor="text1"/>
                <w:sz w:val="28"/>
                <w:szCs w:val="28"/>
                <w:highlight w:val="none"/>
                <w14:textFill>
                  <w14:solidFill>
                    <w14:schemeClr w14:val="tx1"/>
                  </w14:solidFill>
                </w14:textFill>
              </w:rPr>
            </w:pPr>
          </w:p>
        </w:tc>
        <w:tc>
          <w:tcPr>
            <w:tcW w:w="1752" w:type="dxa"/>
          </w:tcPr>
          <w:p w14:paraId="2E1DAF86">
            <w:pPr>
              <w:pStyle w:val="107"/>
              <w:rPr>
                <w:rFonts w:hAnsi="宋体" w:cs="宋体"/>
                <w:b/>
                <w:color w:val="000000" w:themeColor="text1"/>
                <w:sz w:val="28"/>
                <w:szCs w:val="28"/>
                <w:highlight w:val="none"/>
                <w14:textFill>
                  <w14:solidFill>
                    <w14:schemeClr w14:val="tx1"/>
                  </w14:solidFill>
                </w14:textFill>
              </w:rPr>
            </w:pPr>
          </w:p>
        </w:tc>
        <w:tc>
          <w:tcPr>
            <w:tcW w:w="1122" w:type="dxa"/>
          </w:tcPr>
          <w:p w14:paraId="256E784A">
            <w:pPr>
              <w:pStyle w:val="107"/>
              <w:rPr>
                <w:rFonts w:hAnsi="宋体" w:cs="宋体"/>
                <w:b/>
                <w:color w:val="000000" w:themeColor="text1"/>
                <w:sz w:val="28"/>
                <w:szCs w:val="28"/>
                <w:highlight w:val="none"/>
                <w14:textFill>
                  <w14:solidFill>
                    <w14:schemeClr w14:val="tx1"/>
                  </w14:solidFill>
                </w14:textFill>
              </w:rPr>
            </w:pPr>
          </w:p>
        </w:tc>
        <w:tc>
          <w:tcPr>
            <w:tcW w:w="1122" w:type="dxa"/>
          </w:tcPr>
          <w:p w14:paraId="22222D4B">
            <w:pPr>
              <w:pStyle w:val="107"/>
              <w:rPr>
                <w:rFonts w:hAnsi="宋体" w:cs="宋体"/>
                <w:b/>
                <w:color w:val="000000" w:themeColor="text1"/>
                <w:sz w:val="28"/>
                <w:szCs w:val="28"/>
                <w:highlight w:val="none"/>
                <w14:textFill>
                  <w14:solidFill>
                    <w14:schemeClr w14:val="tx1"/>
                  </w14:solidFill>
                </w14:textFill>
              </w:rPr>
            </w:pPr>
          </w:p>
        </w:tc>
        <w:tc>
          <w:tcPr>
            <w:tcW w:w="1140" w:type="dxa"/>
          </w:tcPr>
          <w:p w14:paraId="36B395BF">
            <w:pPr>
              <w:pStyle w:val="107"/>
              <w:rPr>
                <w:rFonts w:hAnsi="宋体" w:cs="宋体"/>
                <w:b/>
                <w:color w:val="000000" w:themeColor="text1"/>
                <w:sz w:val="28"/>
                <w:szCs w:val="28"/>
                <w:highlight w:val="none"/>
                <w14:textFill>
                  <w14:solidFill>
                    <w14:schemeClr w14:val="tx1"/>
                  </w14:solidFill>
                </w14:textFill>
              </w:rPr>
            </w:pPr>
          </w:p>
        </w:tc>
        <w:tc>
          <w:tcPr>
            <w:tcW w:w="1140" w:type="dxa"/>
          </w:tcPr>
          <w:p w14:paraId="1014E0B5">
            <w:pPr>
              <w:pStyle w:val="107"/>
              <w:rPr>
                <w:rFonts w:hAnsi="宋体" w:cs="宋体"/>
                <w:b/>
                <w:color w:val="000000" w:themeColor="text1"/>
                <w:sz w:val="28"/>
                <w:szCs w:val="28"/>
                <w:highlight w:val="none"/>
                <w14:textFill>
                  <w14:solidFill>
                    <w14:schemeClr w14:val="tx1"/>
                  </w14:solidFill>
                </w14:textFill>
              </w:rPr>
            </w:pPr>
          </w:p>
        </w:tc>
        <w:tc>
          <w:tcPr>
            <w:tcW w:w="1123" w:type="dxa"/>
          </w:tcPr>
          <w:p w14:paraId="7596F477">
            <w:pPr>
              <w:pStyle w:val="107"/>
              <w:rPr>
                <w:rFonts w:hAnsi="宋体" w:cs="宋体"/>
                <w:b/>
                <w:color w:val="000000" w:themeColor="text1"/>
                <w:sz w:val="28"/>
                <w:szCs w:val="28"/>
                <w:highlight w:val="none"/>
                <w14:textFill>
                  <w14:solidFill>
                    <w14:schemeClr w14:val="tx1"/>
                  </w14:solidFill>
                </w14:textFill>
              </w:rPr>
            </w:pPr>
          </w:p>
        </w:tc>
      </w:tr>
      <w:tr w14:paraId="5B04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4FE4E19F">
            <w:pPr>
              <w:pStyle w:val="107"/>
              <w:rPr>
                <w:rFonts w:hAnsi="宋体" w:cs="宋体"/>
                <w:b/>
                <w:color w:val="000000" w:themeColor="text1"/>
                <w:sz w:val="28"/>
                <w:szCs w:val="28"/>
                <w:highlight w:val="none"/>
                <w14:textFill>
                  <w14:solidFill>
                    <w14:schemeClr w14:val="tx1"/>
                  </w14:solidFill>
                </w14:textFill>
              </w:rPr>
            </w:pPr>
          </w:p>
        </w:tc>
        <w:tc>
          <w:tcPr>
            <w:tcW w:w="1752" w:type="dxa"/>
          </w:tcPr>
          <w:p w14:paraId="1519F333">
            <w:pPr>
              <w:pStyle w:val="107"/>
              <w:rPr>
                <w:rFonts w:hAnsi="宋体" w:cs="宋体"/>
                <w:b/>
                <w:color w:val="000000" w:themeColor="text1"/>
                <w:sz w:val="28"/>
                <w:szCs w:val="28"/>
                <w:highlight w:val="none"/>
                <w14:textFill>
                  <w14:solidFill>
                    <w14:schemeClr w14:val="tx1"/>
                  </w14:solidFill>
                </w14:textFill>
              </w:rPr>
            </w:pPr>
          </w:p>
        </w:tc>
        <w:tc>
          <w:tcPr>
            <w:tcW w:w="1122" w:type="dxa"/>
          </w:tcPr>
          <w:p w14:paraId="107A267A">
            <w:pPr>
              <w:pStyle w:val="107"/>
              <w:rPr>
                <w:rFonts w:hAnsi="宋体" w:cs="宋体"/>
                <w:b/>
                <w:color w:val="000000" w:themeColor="text1"/>
                <w:sz w:val="28"/>
                <w:szCs w:val="28"/>
                <w:highlight w:val="none"/>
                <w14:textFill>
                  <w14:solidFill>
                    <w14:schemeClr w14:val="tx1"/>
                  </w14:solidFill>
                </w14:textFill>
              </w:rPr>
            </w:pPr>
          </w:p>
        </w:tc>
        <w:tc>
          <w:tcPr>
            <w:tcW w:w="1122" w:type="dxa"/>
          </w:tcPr>
          <w:p w14:paraId="3006008E">
            <w:pPr>
              <w:pStyle w:val="107"/>
              <w:rPr>
                <w:rFonts w:hAnsi="宋体" w:cs="宋体"/>
                <w:b/>
                <w:color w:val="000000" w:themeColor="text1"/>
                <w:sz w:val="28"/>
                <w:szCs w:val="28"/>
                <w:highlight w:val="none"/>
                <w14:textFill>
                  <w14:solidFill>
                    <w14:schemeClr w14:val="tx1"/>
                  </w14:solidFill>
                </w14:textFill>
              </w:rPr>
            </w:pPr>
          </w:p>
        </w:tc>
        <w:tc>
          <w:tcPr>
            <w:tcW w:w="1140" w:type="dxa"/>
          </w:tcPr>
          <w:p w14:paraId="516E4B7F">
            <w:pPr>
              <w:pStyle w:val="107"/>
              <w:rPr>
                <w:rFonts w:hAnsi="宋体" w:cs="宋体"/>
                <w:b/>
                <w:color w:val="000000" w:themeColor="text1"/>
                <w:sz w:val="28"/>
                <w:szCs w:val="28"/>
                <w:highlight w:val="none"/>
                <w14:textFill>
                  <w14:solidFill>
                    <w14:schemeClr w14:val="tx1"/>
                  </w14:solidFill>
                </w14:textFill>
              </w:rPr>
            </w:pPr>
          </w:p>
        </w:tc>
        <w:tc>
          <w:tcPr>
            <w:tcW w:w="1140" w:type="dxa"/>
          </w:tcPr>
          <w:p w14:paraId="2AAC66B0">
            <w:pPr>
              <w:pStyle w:val="107"/>
              <w:rPr>
                <w:rFonts w:hAnsi="宋体" w:cs="宋体"/>
                <w:b/>
                <w:color w:val="000000" w:themeColor="text1"/>
                <w:sz w:val="28"/>
                <w:szCs w:val="28"/>
                <w:highlight w:val="none"/>
                <w14:textFill>
                  <w14:solidFill>
                    <w14:schemeClr w14:val="tx1"/>
                  </w14:solidFill>
                </w14:textFill>
              </w:rPr>
            </w:pPr>
          </w:p>
        </w:tc>
        <w:tc>
          <w:tcPr>
            <w:tcW w:w="1123" w:type="dxa"/>
          </w:tcPr>
          <w:p w14:paraId="7D563EF3">
            <w:pPr>
              <w:pStyle w:val="107"/>
              <w:rPr>
                <w:rFonts w:hAnsi="宋体" w:cs="宋体"/>
                <w:b/>
                <w:color w:val="000000" w:themeColor="text1"/>
                <w:sz w:val="28"/>
                <w:szCs w:val="28"/>
                <w:highlight w:val="none"/>
                <w14:textFill>
                  <w14:solidFill>
                    <w14:schemeClr w14:val="tx1"/>
                  </w14:solidFill>
                </w14:textFill>
              </w:rPr>
            </w:pPr>
          </w:p>
        </w:tc>
      </w:tr>
    </w:tbl>
    <w:p w14:paraId="22775BFD">
      <w:pPr>
        <w:pStyle w:val="107"/>
        <w:rPr>
          <w:rFonts w:hAnsi="宋体" w:cs="宋体"/>
          <w:b/>
          <w:color w:val="000000" w:themeColor="text1"/>
          <w:sz w:val="28"/>
          <w:szCs w:val="28"/>
          <w:highlight w:val="none"/>
          <w14:textFill>
            <w14:solidFill>
              <w14:schemeClr w14:val="tx1"/>
            </w14:solidFill>
          </w14:textFill>
        </w:rPr>
      </w:pPr>
    </w:p>
    <w:p w14:paraId="3FAEFFFE">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附表4：承包人供应材料清单</w:t>
      </w:r>
    </w:p>
    <w:p w14:paraId="7459EA06">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4F240F18">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14:paraId="4EE8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4402D6BA">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493" w:type="dxa"/>
            <w:vAlign w:val="center"/>
          </w:tcPr>
          <w:p w14:paraId="08FDB76B">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材料品种</w:t>
            </w:r>
          </w:p>
        </w:tc>
        <w:tc>
          <w:tcPr>
            <w:tcW w:w="1004" w:type="dxa"/>
            <w:vAlign w:val="center"/>
          </w:tcPr>
          <w:p w14:paraId="4E78A6ED">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规格</w:t>
            </w:r>
          </w:p>
        </w:tc>
        <w:tc>
          <w:tcPr>
            <w:tcW w:w="1004" w:type="dxa"/>
            <w:vAlign w:val="center"/>
          </w:tcPr>
          <w:p w14:paraId="194FB3F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004" w:type="dxa"/>
            <w:vAlign w:val="center"/>
          </w:tcPr>
          <w:p w14:paraId="670F1D9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04" w:type="dxa"/>
          </w:tcPr>
          <w:p w14:paraId="78F15EA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结算</w:t>
            </w:r>
          </w:p>
          <w:p w14:paraId="5C324440">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tc>
        <w:tc>
          <w:tcPr>
            <w:tcW w:w="1005" w:type="dxa"/>
          </w:tcPr>
          <w:p w14:paraId="5B250ED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14:paraId="2974AF6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时间</w:t>
            </w:r>
          </w:p>
        </w:tc>
        <w:tc>
          <w:tcPr>
            <w:tcW w:w="1005" w:type="dxa"/>
          </w:tcPr>
          <w:p w14:paraId="1D0883E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14:paraId="36B1AF08">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地点</w:t>
            </w:r>
          </w:p>
        </w:tc>
      </w:tr>
      <w:tr w14:paraId="4E4F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7BA19212">
            <w:pPr>
              <w:pStyle w:val="107"/>
              <w:rPr>
                <w:rFonts w:hAnsi="宋体" w:cs="宋体"/>
                <w:b/>
                <w:color w:val="000000" w:themeColor="text1"/>
                <w:sz w:val="28"/>
                <w:szCs w:val="28"/>
                <w:highlight w:val="none"/>
                <w14:textFill>
                  <w14:solidFill>
                    <w14:schemeClr w14:val="tx1"/>
                  </w14:solidFill>
                </w14:textFill>
              </w:rPr>
            </w:pPr>
          </w:p>
        </w:tc>
        <w:tc>
          <w:tcPr>
            <w:tcW w:w="1493" w:type="dxa"/>
          </w:tcPr>
          <w:p w14:paraId="74844373">
            <w:pPr>
              <w:pStyle w:val="107"/>
              <w:rPr>
                <w:rFonts w:hAnsi="宋体" w:cs="宋体"/>
                <w:b/>
                <w:color w:val="000000" w:themeColor="text1"/>
                <w:sz w:val="28"/>
                <w:szCs w:val="28"/>
                <w:highlight w:val="none"/>
                <w14:textFill>
                  <w14:solidFill>
                    <w14:schemeClr w14:val="tx1"/>
                  </w14:solidFill>
                </w14:textFill>
              </w:rPr>
            </w:pPr>
          </w:p>
        </w:tc>
        <w:tc>
          <w:tcPr>
            <w:tcW w:w="1004" w:type="dxa"/>
          </w:tcPr>
          <w:p w14:paraId="1651B365">
            <w:pPr>
              <w:pStyle w:val="107"/>
              <w:rPr>
                <w:rFonts w:hAnsi="宋体" w:cs="宋体"/>
                <w:b/>
                <w:color w:val="000000" w:themeColor="text1"/>
                <w:sz w:val="28"/>
                <w:szCs w:val="28"/>
                <w:highlight w:val="none"/>
                <w14:textFill>
                  <w14:solidFill>
                    <w14:schemeClr w14:val="tx1"/>
                  </w14:solidFill>
                </w14:textFill>
              </w:rPr>
            </w:pPr>
          </w:p>
        </w:tc>
        <w:tc>
          <w:tcPr>
            <w:tcW w:w="1004" w:type="dxa"/>
          </w:tcPr>
          <w:p w14:paraId="17018FE8">
            <w:pPr>
              <w:pStyle w:val="107"/>
              <w:rPr>
                <w:rFonts w:hAnsi="宋体" w:cs="宋体"/>
                <w:b/>
                <w:color w:val="000000" w:themeColor="text1"/>
                <w:sz w:val="28"/>
                <w:szCs w:val="28"/>
                <w:highlight w:val="none"/>
                <w14:textFill>
                  <w14:solidFill>
                    <w14:schemeClr w14:val="tx1"/>
                  </w14:solidFill>
                </w14:textFill>
              </w:rPr>
            </w:pPr>
          </w:p>
        </w:tc>
        <w:tc>
          <w:tcPr>
            <w:tcW w:w="1004" w:type="dxa"/>
          </w:tcPr>
          <w:p w14:paraId="5612AFA9">
            <w:pPr>
              <w:pStyle w:val="107"/>
              <w:rPr>
                <w:rFonts w:hAnsi="宋体" w:cs="宋体"/>
                <w:b/>
                <w:color w:val="000000" w:themeColor="text1"/>
                <w:sz w:val="28"/>
                <w:szCs w:val="28"/>
                <w:highlight w:val="none"/>
                <w14:textFill>
                  <w14:solidFill>
                    <w14:schemeClr w14:val="tx1"/>
                  </w14:solidFill>
                </w14:textFill>
              </w:rPr>
            </w:pPr>
          </w:p>
        </w:tc>
        <w:tc>
          <w:tcPr>
            <w:tcW w:w="1004" w:type="dxa"/>
          </w:tcPr>
          <w:p w14:paraId="546255F7">
            <w:pPr>
              <w:pStyle w:val="107"/>
              <w:rPr>
                <w:rFonts w:hAnsi="宋体" w:cs="宋体"/>
                <w:b/>
                <w:color w:val="000000" w:themeColor="text1"/>
                <w:sz w:val="28"/>
                <w:szCs w:val="28"/>
                <w:highlight w:val="none"/>
                <w14:textFill>
                  <w14:solidFill>
                    <w14:schemeClr w14:val="tx1"/>
                  </w14:solidFill>
                </w14:textFill>
              </w:rPr>
            </w:pPr>
          </w:p>
        </w:tc>
        <w:tc>
          <w:tcPr>
            <w:tcW w:w="1005" w:type="dxa"/>
          </w:tcPr>
          <w:p w14:paraId="3F5541E8">
            <w:pPr>
              <w:pStyle w:val="107"/>
              <w:rPr>
                <w:rFonts w:hAnsi="宋体" w:cs="宋体"/>
                <w:b/>
                <w:color w:val="000000" w:themeColor="text1"/>
                <w:sz w:val="28"/>
                <w:szCs w:val="28"/>
                <w:highlight w:val="none"/>
                <w14:textFill>
                  <w14:solidFill>
                    <w14:schemeClr w14:val="tx1"/>
                  </w14:solidFill>
                </w14:textFill>
              </w:rPr>
            </w:pPr>
          </w:p>
        </w:tc>
        <w:tc>
          <w:tcPr>
            <w:tcW w:w="1005" w:type="dxa"/>
          </w:tcPr>
          <w:p w14:paraId="34187C80">
            <w:pPr>
              <w:pStyle w:val="107"/>
              <w:rPr>
                <w:rFonts w:hAnsi="宋体" w:cs="宋体"/>
                <w:b/>
                <w:color w:val="000000" w:themeColor="text1"/>
                <w:sz w:val="28"/>
                <w:szCs w:val="28"/>
                <w:highlight w:val="none"/>
                <w14:textFill>
                  <w14:solidFill>
                    <w14:schemeClr w14:val="tx1"/>
                  </w14:solidFill>
                </w14:textFill>
              </w:rPr>
            </w:pPr>
          </w:p>
        </w:tc>
      </w:tr>
      <w:tr w14:paraId="3630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09698ECF">
            <w:pPr>
              <w:pStyle w:val="107"/>
              <w:rPr>
                <w:rFonts w:hAnsi="宋体" w:cs="宋体"/>
                <w:b/>
                <w:color w:val="000000" w:themeColor="text1"/>
                <w:sz w:val="28"/>
                <w:szCs w:val="28"/>
                <w:highlight w:val="none"/>
                <w14:textFill>
                  <w14:solidFill>
                    <w14:schemeClr w14:val="tx1"/>
                  </w14:solidFill>
                </w14:textFill>
              </w:rPr>
            </w:pPr>
          </w:p>
        </w:tc>
        <w:tc>
          <w:tcPr>
            <w:tcW w:w="1493" w:type="dxa"/>
          </w:tcPr>
          <w:p w14:paraId="2086DC82">
            <w:pPr>
              <w:pStyle w:val="107"/>
              <w:rPr>
                <w:rFonts w:hAnsi="宋体" w:cs="宋体"/>
                <w:b/>
                <w:color w:val="000000" w:themeColor="text1"/>
                <w:sz w:val="28"/>
                <w:szCs w:val="28"/>
                <w:highlight w:val="none"/>
                <w14:textFill>
                  <w14:solidFill>
                    <w14:schemeClr w14:val="tx1"/>
                  </w14:solidFill>
                </w14:textFill>
              </w:rPr>
            </w:pPr>
          </w:p>
        </w:tc>
        <w:tc>
          <w:tcPr>
            <w:tcW w:w="1004" w:type="dxa"/>
          </w:tcPr>
          <w:p w14:paraId="5E7395DF">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4229984">
            <w:pPr>
              <w:pStyle w:val="107"/>
              <w:rPr>
                <w:rFonts w:hAnsi="宋体" w:cs="宋体"/>
                <w:b/>
                <w:color w:val="000000" w:themeColor="text1"/>
                <w:sz w:val="28"/>
                <w:szCs w:val="28"/>
                <w:highlight w:val="none"/>
                <w14:textFill>
                  <w14:solidFill>
                    <w14:schemeClr w14:val="tx1"/>
                  </w14:solidFill>
                </w14:textFill>
              </w:rPr>
            </w:pPr>
          </w:p>
        </w:tc>
        <w:tc>
          <w:tcPr>
            <w:tcW w:w="1004" w:type="dxa"/>
          </w:tcPr>
          <w:p w14:paraId="1BAF768E">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FB8ED9C">
            <w:pPr>
              <w:pStyle w:val="107"/>
              <w:rPr>
                <w:rFonts w:hAnsi="宋体" w:cs="宋体"/>
                <w:b/>
                <w:color w:val="000000" w:themeColor="text1"/>
                <w:sz w:val="28"/>
                <w:szCs w:val="28"/>
                <w:highlight w:val="none"/>
                <w14:textFill>
                  <w14:solidFill>
                    <w14:schemeClr w14:val="tx1"/>
                  </w14:solidFill>
                </w14:textFill>
              </w:rPr>
            </w:pPr>
          </w:p>
        </w:tc>
        <w:tc>
          <w:tcPr>
            <w:tcW w:w="1005" w:type="dxa"/>
          </w:tcPr>
          <w:p w14:paraId="0B3F5CEF">
            <w:pPr>
              <w:pStyle w:val="107"/>
              <w:rPr>
                <w:rFonts w:hAnsi="宋体" w:cs="宋体"/>
                <w:b/>
                <w:color w:val="000000" w:themeColor="text1"/>
                <w:sz w:val="28"/>
                <w:szCs w:val="28"/>
                <w:highlight w:val="none"/>
                <w14:textFill>
                  <w14:solidFill>
                    <w14:schemeClr w14:val="tx1"/>
                  </w14:solidFill>
                </w14:textFill>
              </w:rPr>
            </w:pPr>
          </w:p>
        </w:tc>
        <w:tc>
          <w:tcPr>
            <w:tcW w:w="1005" w:type="dxa"/>
          </w:tcPr>
          <w:p w14:paraId="126B62A3">
            <w:pPr>
              <w:pStyle w:val="107"/>
              <w:rPr>
                <w:rFonts w:hAnsi="宋体" w:cs="宋体"/>
                <w:b/>
                <w:color w:val="000000" w:themeColor="text1"/>
                <w:sz w:val="28"/>
                <w:szCs w:val="28"/>
                <w:highlight w:val="none"/>
                <w14:textFill>
                  <w14:solidFill>
                    <w14:schemeClr w14:val="tx1"/>
                  </w14:solidFill>
                </w14:textFill>
              </w:rPr>
            </w:pPr>
          </w:p>
        </w:tc>
      </w:tr>
      <w:tr w14:paraId="1B3A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55DB02D7">
            <w:pPr>
              <w:pStyle w:val="107"/>
              <w:rPr>
                <w:rFonts w:hAnsi="宋体" w:cs="宋体"/>
                <w:b/>
                <w:color w:val="000000" w:themeColor="text1"/>
                <w:sz w:val="28"/>
                <w:szCs w:val="28"/>
                <w:highlight w:val="none"/>
                <w14:textFill>
                  <w14:solidFill>
                    <w14:schemeClr w14:val="tx1"/>
                  </w14:solidFill>
                </w14:textFill>
              </w:rPr>
            </w:pPr>
          </w:p>
        </w:tc>
        <w:tc>
          <w:tcPr>
            <w:tcW w:w="1493" w:type="dxa"/>
          </w:tcPr>
          <w:p w14:paraId="6432FD2E">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48EF847">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731DC62">
            <w:pPr>
              <w:pStyle w:val="107"/>
              <w:rPr>
                <w:rFonts w:hAnsi="宋体" w:cs="宋体"/>
                <w:b/>
                <w:color w:val="000000" w:themeColor="text1"/>
                <w:sz w:val="28"/>
                <w:szCs w:val="28"/>
                <w:highlight w:val="none"/>
                <w14:textFill>
                  <w14:solidFill>
                    <w14:schemeClr w14:val="tx1"/>
                  </w14:solidFill>
                </w14:textFill>
              </w:rPr>
            </w:pPr>
          </w:p>
        </w:tc>
        <w:tc>
          <w:tcPr>
            <w:tcW w:w="1004" w:type="dxa"/>
          </w:tcPr>
          <w:p w14:paraId="376BCB0B">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8A8F51B">
            <w:pPr>
              <w:pStyle w:val="107"/>
              <w:rPr>
                <w:rFonts w:hAnsi="宋体" w:cs="宋体"/>
                <w:b/>
                <w:color w:val="000000" w:themeColor="text1"/>
                <w:sz w:val="28"/>
                <w:szCs w:val="28"/>
                <w:highlight w:val="none"/>
                <w14:textFill>
                  <w14:solidFill>
                    <w14:schemeClr w14:val="tx1"/>
                  </w14:solidFill>
                </w14:textFill>
              </w:rPr>
            </w:pPr>
          </w:p>
        </w:tc>
        <w:tc>
          <w:tcPr>
            <w:tcW w:w="1005" w:type="dxa"/>
          </w:tcPr>
          <w:p w14:paraId="14D78DB9">
            <w:pPr>
              <w:pStyle w:val="107"/>
              <w:rPr>
                <w:rFonts w:hAnsi="宋体" w:cs="宋体"/>
                <w:b/>
                <w:color w:val="000000" w:themeColor="text1"/>
                <w:sz w:val="28"/>
                <w:szCs w:val="28"/>
                <w:highlight w:val="none"/>
                <w14:textFill>
                  <w14:solidFill>
                    <w14:schemeClr w14:val="tx1"/>
                  </w14:solidFill>
                </w14:textFill>
              </w:rPr>
            </w:pPr>
          </w:p>
        </w:tc>
        <w:tc>
          <w:tcPr>
            <w:tcW w:w="1005" w:type="dxa"/>
          </w:tcPr>
          <w:p w14:paraId="6DE13785">
            <w:pPr>
              <w:pStyle w:val="107"/>
              <w:rPr>
                <w:rFonts w:hAnsi="宋体" w:cs="宋体"/>
                <w:b/>
                <w:color w:val="000000" w:themeColor="text1"/>
                <w:sz w:val="28"/>
                <w:szCs w:val="28"/>
                <w:highlight w:val="none"/>
                <w14:textFill>
                  <w14:solidFill>
                    <w14:schemeClr w14:val="tx1"/>
                  </w14:solidFill>
                </w14:textFill>
              </w:rPr>
            </w:pPr>
          </w:p>
        </w:tc>
      </w:tr>
      <w:tr w14:paraId="2A5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5A79DE69">
            <w:pPr>
              <w:pStyle w:val="107"/>
              <w:rPr>
                <w:rFonts w:hAnsi="宋体" w:cs="宋体"/>
                <w:b/>
                <w:color w:val="000000" w:themeColor="text1"/>
                <w:sz w:val="28"/>
                <w:szCs w:val="28"/>
                <w:highlight w:val="none"/>
                <w14:textFill>
                  <w14:solidFill>
                    <w14:schemeClr w14:val="tx1"/>
                  </w14:solidFill>
                </w14:textFill>
              </w:rPr>
            </w:pPr>
          </w:p>
        </w:tc>
        <w:tc>
          <w:tcPr>
            <w:tcW w:w="1493" w:type="dxa"/>
          </w:tcPr>
          <w:p w14:paraId="0B7B429B">
            <w:pPr>
              <w:pStyle w:val="107"/>
              <w:rPr>
                <w:rFonts w:hAnsi="宋体" w:cs="宋体"/>
                <w:b/>
                <w:color w:val="000000" w:themeColor="text1"/>
                <w:sz w:val="28"/>
                <w:szCs w:val="28"/>
                <w:highlight w:val="none"/>
                <w14:textFill>
                  <w14:solidFill>
                    <w14:schemeClr w14:val="tx1"/>
                  </w14:solidFill>
                </w14:textFill>
              </w:rPr>
            </w:pPr>
          </w:p>
        </w:tc>
        <w:tc>
          <w:tcPr>
            <w:tcW w:w="1004" w:type="dxa"/>
          </w:tcPr>
          <w:p w14:paraId="425BEE78">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E7CD60A">
            <w:pPr>
              <w:pStyle w:val="107"/>
              <w:rPr>
                <w:rFonts w:hAnsi="宋体" w:cs="宋体"/>
                <w:b/>
                <w:color w:val="000000" w:themeColor="text1"/>
                <w:sz w:val="28"/>
                <w:szCs w:val="28"/>
                <w:highlight w:val="none"/>
                <w14:textFill>
                  <w14:solidFill>
                    <w14:schemeClr w14:val="tx1"/>
                  </w14:solidFill>
                </w14:textFill>
              </w:rPr>
            </w:pPr>
          </w:p>
        </w:tc>
        <w:tc>
          <w:tcPr>
            <w:tcW w:w="1004" w:type="dxa"/>
          </w:tcPr>
          <w:p w14:paraId="48B22BC0">
            <w:pPr>
              <w:pStyle w:val="107"/>
              <w:rPr>
                <w:rFonts w:hAnsi="宋体" w:cs="宋体"/>
                <w:b/>
                <w:color w:val="000000" w:themeColor="text1"/>
                <w:sz w:val="28"/>
                <w:szCs w:val="28"/>
                <w:highlight w:val="none"/>
                <w14:textFill>
                  <w14:solidFill>
                    <w14:schemeClr w14:val="tx1"/>
                  </w14:solidFill>
                </w14:textFill>
              </w:rPr>
            </w:pPr>
          </w:p>
        </w:tc>
        <w:tc>
          <w:tcPr>
            <w:tcW w:w="1004" w:type="dxa"/>
          </w:tcPr>
          <w:p w14:paraId="39620C84">
            <w:pPr>
              <w:pStyle w:val="107"/>
              <w:rPr>
                <w:rFonts w:hAnsi="宋体" w:cs="宋体"/>
                <w:b/>
                <w:color w:val="000000" w:themeColor="text1"/>
                <w:sz w:val="28"/>
                <w:szCs w:val="28"/>
                <w:highlight w:val="none"/>
                <w14:textFill>
                  <w14:solidFill>
                    <w14:schemeClr w14:val="tx1"/>
                  </w14:solidFill>
                </w14:textFill>
              </w:rPr>
            </w:pPr>
          </w:p>
        </w:tc>
        <w:tc>
          <w:tcPr>
            <w:tcW w:w="1005" w:type="dxa"/>
          </w:tcPr>
          <w:p w14:paraId="567FB0A6">
            <w:pPr>
              <w:pStyle w:val="107"/>
              <w:rPr>
                <w:rFonts w:hAnsi="宋体" w:cs="宋体"/>
                <w:b/>
                <w:color w:val="000000" w:themeColor="text1"/>
                <w:sz w:val="28"/>
                <w:szCs w:val="28"/>
                <w:highlight w:val="none"/>
                <w14:textFill>
                  <w14:solidFill>
                    <w14:schemeClr w14:val="tx1"/>
                  </w14:solidFill>
                </w14:textFill>
              </w:rPr>
            </w:pPr>
          </w:p>
        </w:tc>
        <w:tc>
          <w:tcPr>
            <w:tcW w:w="1005" w:type="dxa"/>
          </w:tcPr>
          <w:p w14:paraId="314157BD">
            <w:pPr>
              <w:pStyle w:val="107"/>
              <w:rPr>
                <w:rFonts w:hAnsi="宋体" w:cs="宋体"/>
                <w:b/>
                <w:color w:val="000000" w:themeColor="text1"/>
                <w:sz w:val="28"/>
                <w:szCs w:val="28"/>
                <w:highlight w:val="none"/>
                <w14:textFill>
                  <w14:solidFill>
                    <w14:schemeClr w14:val="tx1"/>
                  </w14:solidFill>
                </w14:textFill>
              </w:rPr>
            </w:pPr>
          </w:p>
        </w:tc>
      </w:tr>
      <w:tr w14:paraId="0EF5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4867BA03">
            <w:pPr>
              <w:pStyle w:val="107"/>
              <w:rPr>
                <w:rFonts w:hAnsi="宋体" w:cs="宋体"/>
                <w:b/>
                <w:color w:val="000000" w:themeColor="text1"/>
                <w:sz w:val="28"/>
                <w:szCs w:val="28"/>
                <w:highlight w:val="none"/>
                <w14:textFill>
                  <w14:solidFill>
                    <w14:schemeClr w14:val="tx1"/>
                  </w14:solidFill>
                </w14:textFill>
              </w:rPr>
            </w:pPr>
          </w:p>
        </w:tc>
        <w:tc>
          <w:tcPr>
            <w:tcW w:w="1493" w:type="dxa"/>
          </w:tcPr>
          <w:p w14:paraId="79D7DA81">
            <w:pPr>
              <w:pStyle w:val="107"/>
              <w:rPr>
                <w:rFonts w:hAnsi="宋体" w:cs="宋体"/>
                <w:b/>
                <w:color w:val="000000" w:themeColor="text1"/>
                <w:sz w:val="28"/>
                <w:szCs w:val="28"/>
                <w:highlight w:val="none"/>
                <w14:textFill>
                  <w14:solidFill>
                    <w14:schemeClr w14:val="tx1"/>
                  </w14:solidFill>
                </w14:textFill>
              </w:rPr>
            </w:pPr>
          </w:p>
        </w:tc>
        <w:tc>
          <w:tcPr>
            <w:tcW w:w="1004" w:type="dxa"/>
          </w:tcPr>
          <w:p w14:paraId="4D4B6BB8">
            <w:pPr>
              <w:pStyle w:val="107"/>
              <w:rPr>
                <w:rFonts w:hAnsi="宋体" w:cs="宋体"/>
                <w:b/>
                <w:color w:val="000000" w:themeColor="text1"/>
                <w:sz w:val="28"/>
                <w:szCs w:val="28"/>
                <w:highlight w:val="none"/>
                <w14:textFill>
                  <w14:solidFill>
                    <w14:schemeClr w14:val="tx1"/>
                  </w14:solidFill>
                </w14:textFill>
              </w:rPr>
            </w:pPr>
          </w:p>
        </w:tc>
        <w:tc>
          <w:tcPr>
            <w:tcW w:w="1004" w:type="dxa"/>
          </w:tcPr>
          <w:p w14:paraId="2F4EA9DD">
            <w:pPr>
              <w:pStyle w:val="107"/>
              <w:rPr>
                <w:rFonts w:hAnsi="宋体" w:cs="宋体"/>
                <w:b/>
                <w:color w:val="000000" w:themeColor="text1"/>
                <w:sz w:val="28"/>
                <w:szCs w:val="28"/>
                <w:highlight w:val="none"/>
                <w14:textFill>
                  <w14:solidFill>
                    <w14:schemeClr w14:val="tx1"/>
                  </w14:solidFill>
                </w14:textFill>
              </w:rPr>
            </w:pPr>
          </w:p>
        </w:tc>
        <w:tc>
          <w:tcPr>
            <w:tcW w:w="1004" w:type="dxa"/>
          </w:tcPr>
          <w:p w14:paraId="23151B14">
            <w:pPr>
              <w:pStyle w:val="107"/>
              <w:rPr>
                <w:rFonts w:hAnsi="宋体" w:cs="宋体"/>
                <w:b/>
                <w:color w:val="000000" w:themeColor="text1"/>
                <w:sz w:val="28"/>
                <w:szCs w:val="28"/>
                <w:highlight w:val="none"/>
                <w14:textFill>
                  <w14:solidFill>
                    <w14:schemeClr w14:val="tx1"/>
                  </w14:solidFill>
                </w14:textFill>
              </w:rPr>
            </w:pPr>
          </w:p>
        </w:tc>
        <w:tc>
          <w:tcPr>
            <w:tcW w:w="1004" w:type="dxa"/>
          </w:tcPr>
          <w:p w14:paraId="5E806774">
            <w:pPr>
              <w:pStyle w:val="107"/>
              <w:rPr>
                <w:rFonts w:hAnsi="宋体" w:cs="宋体"/>
                <w:b/>
                <w:color w:val="000000" w:themeColor="text1"/>
                <w:sz w:val="28"/>
                <w:szCs w:val="28"/>
                <w:highlight w:val="none"/>
                <w14:textFill>
                  <w14:solidFill>
                    <w14:schemeClr w14:val="tx1"/>
                  </w14:solidFill>
                </w14:textFill>
              </w:rPr>
            </w:pPr>
          </w:p>
        </w:tc>
        <w:tc>
          <w:tcPr>
            <w:tcW w:w="1005" w:type="dxa"/>
          </w:tcPr>
          <w:p w14:paraId="05882760">
            <w:pPr>
              <w:pStyle w:val="107"/>
              <w:rPr>
                <w:rFonts w:hAnsi="宋体" w:cs="宋体"/>
                <w:b/>
                <w:color w:val="000000" w:themeColor="text1"/>
                <w:sz w:val="28"/>
                <w:szCs w:val="28"/>
                <w:highlight w:val="none"/>
                <w14:textFill>
                  <w14:solidFill>
                    <w14:schemeClr w14:val="tx1"/>
                  </w14:solidFill>
                </w14:textFill>
              </w:rPr>
            </w:pPr>
          </w:p>
        </w:tc>
        <w:tc>
          <w:tcPr>
            <w:tcW w:w="1005" w:type="dxa"/>
          </w:tcPr>
          <w:p w14:paraId="44194EEA">
            <w:pPr>
              <w:pStyle w:val="107"/>
              <w:rPr>
                <w:rFonts w:hAnsi="宋体" w:cs="宋体"/>
                <w:b/>
                <w:color w:val="000000" w:themeColor="text1"/>
                <w:sz w:val="28"/>
                <w:szCs w:val="28"/>
                <w:highlight w:val="none"/>
                <w14:textFill>
                  <w14:solidFill>
                    <w14:schemeClr w14:val="tx1"/>
                  </w14:solidFill>
                </w14:textFill>
              </w:rPr>
            </w:pPr>
          </w:p>
        </w:tc>
      </w:tr>
    </w:tbl>
    <w:p w14:paraId="07DD8A73">
      <w:pPr>
        <w:pStyle w:val="107"/>
        <w:rPr>
          <w:rFonts w:hAnsi="宋体" w:cs="宋体"/>
          <w:color w:val="000000" w:themeColor="text1"/>
          <w:highlight w:val="none"/>
          <w14:textFill>
            <w14:solidFill>
              <w14:schemeClr w14:val="tx1"/>
            </w14:solidFill>
          </w14:textFill>
        </w:rPr>
      </w:pPr>
    </w:p>
    <w:p w14:paraId="2FC5D24C">
      <w:pPr>
        <w:pStyle w:val="107"/>
        <w:rPr>
          <w:rFonts w:hAnsi="宋体" w:cs="宋体"/>
          <w:color w:val="000000" w:themeColor="text1"/>
          <w:highlight w:val="none"/>
          <w14:textFill>
            <w14:solidFill>
              <w14:schemeClr w14:val="tx1"/>
            </w14:solidFill>
          </w14:textFill>
        </w:rPr>
      </w:pPr>
    </w:p>
    <w:p w14:paraId="67BAEBA2">
      <w:pPr>
        <w:pStyle w:val="107"/>
        <w:rPr>
          <w:rFonts w:hAnsi="宋体" w:cs="宋体"/>
          <w:color w:val="000000" w:themeColor="text1"/>
          <w:sz w:val="28"/>
          <w:szCs w:val="28"/>
          <w:highlight w:val="none"/>
          <w14:textFill>
            <w14:solidFill>
              <w14:schemeClr w14:val="tx1"/>
            </w14:solidFill>
          </w14:textFill>
        </w:rPr>
      </w:pPr>
    </w:p>
    <w:p w14:paraId="7A1AA5D2">
      <w:pPr>
        <w:jc w:val="center"/>
        <w:rPr>
          <w:rFonts w:ascii="宋体" w:hAnsi="宋体"/>
          <w:color w:val="000000" w:themeColor="text1"/>
          <w:sz w:val="72"/>
          <w:szCs w:val="72"/>
          <w:highlight w:val="none"/>
          <w:u w:val="singl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p>
    <w:p w14:paraId="7198D1B5">
      <w:pPr>
        <w:pStyle w:val="107"/>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附件十六：施工劳务合作协议</w:t>
      </w:r>
    </w:p>
    <w:p w14:paraId="73D7158A">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3F9FA3F2">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2954B43E">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06484DF2">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594B3FEC">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6653AD32">
      <w:pPr>
        <w:pStyle w:val="107"/>
        <w:jc w:val="center"/>
        <w:rPr>
          <w:rFonts w:hAnsi="宋体" w:cs="宋体"/>
          <w:color w:val="000000" w:themeColor="text1"/>
          <w:sz w:val="32"/>
          <w:szCs w:val="32"/>
          <w:highlight w:val="none"/>
          <w14:textFill>
            <w14:solidFill>
              <w14:schemeClr w14:val="tx1"/>
            </w14:solidFill>
          </w14:textFill>
        </w:rPr>
      </w:pPr>
      <w:r>
        <w:rPr>
          <w:rFonts w:hint="eastAsia" w:hAnsi="宋体" w:cs="宋体"/>
          <w:color w:val="000000" w:themeColor="text1"/>
          <w:sz w:val="48"/>
          <w:szCs w:val="48"/>
          <w:highlight w:val="none"/>
          <w14:textFill>
            <w14:solidFill>
              <w14:schemeClr w14:val="tx1"/>
            </w14:solidFill>
          </w14:textFill>
        </w:rPr>
        <w:t>公路工程施工劳务合作协议</w:t>
      </w:r>
    </w:p>
    <w:p w14:paraId="6F8AE130">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14:paraId="50E9D5A2">
      <w:pPr>
        <w:pStyle w:val="107"/>
        <w:jc w:val="center"/>
        <w:rPr>
          <w:rFonts w:hAnsi="宋体" w:cs="宋体"/>
          <w:color w:val="000000" w:themeColor="text1"/>
          <w:sz w:val="32"/>
          <w:szCs w:val="32"/>
          <w:highlight w:val="none"/>
          <w14:textFill>
            <w14:solidFill>
              <w14:schemeClr w14:val="tx1"/>
            </w14:solidFill>
          </w14:textFill>
        </w:rPr>
      </w:pPr>
    </w:p>
    <w:p w14:paraId="6FFE0ED7">
      <w:pPr>
        <w:pStyle w:val="107"/>
        <w:jc w:val="center"/>
        <w:rPr>
          <w:rFonts w:hAnsi="宋体" w:cs="宋体"/>
          <w:color w:val="000000" w:themeColor="text1"/>
          <w:sz w:val="32"/>
          <w:szCs w:val="32"/>
          <w:highlight w:val="none"/>
          <w14:textFill>
            <w14:solidFill>
              <w14:schemeClr w14:val="tx1"/>
            </w14:solidFill>
          </w14:textFill>
        </w:rPr>
      </w:pPr>
    </w:p>
    <w:p w14:paraId="0667EDE0">
      <w:pPr>
        <w:pStyle w:val="107"/>
        <w:jc w:val="center"/>
        <w:rPr>
          <w:rFonts w:hAnsi="宋体" w:cs="宋体"/>
          <w:color w:val="000000" w:themeColor="text1"/>
          <w:sz w:val="32"/>
          <w:szCs w:val="32"/>
          <w:highlight w:val="none"/>
          <w14:textFill>
            <w14:solidFill>
              <w14:schemeClr w14:val="tx1"/>
            </w14:solidFill>
          </w14:textFill>
        </w:rPr>
      </w:pPr>
    </w:p>
    <w:p w14:paraId="5C9AB868">
      <w:pPr>
        <w:pStyle w:val="107"/>
        <w:jc w:val="center"/>
        <w:rPr>
          <w:rFonts w:hAnsi="宋体" w:cs="宋体"/>
          <w:color w:val="000000" w:themeColor="text1"/>
          <w:sz w:val="32"/>
          <w:szCs w:val="32"/>
          <w:highlight w:val="none"/>
          <w14:textFill>
            <w14:solidFill>
              <w14:schemeClr w14:val="tx1"/>
            </w14:solidFill>
          </w14:textFill>
        </w:rPr>
      </w:pPr>
    </w:p>
    <w:p w14:paraId="3AD034B8">
      <w:pPr>
        <w:pStyle w:val="107"/>
        <w:jc w:val="center"/>
        <w:rPr>
          <w:rFonts w:hAnsi="宋体" w:cs="宋体"/>
          <w:color w:val="000000" w:themeColor="text1"/>
          <w:sz w:val="32"/>
          <w:szCs w:val="32"/>
          <w:highlight w:val="none"/>
          <w14:textFill>
            <w14:solidFill>
              <w14:schemeClr w14:val="tx1"/>
            </w14:solidFill>
          </w14:textFill>
        </w:rPr>
      </w:pPr>
    </w:p>
    <w:p w14:paraId="0376E1CD">
      <w:pPr>
        <w:pStyle w:val="107"/>
        <w:jc w:val="center"/>
        <w:rPr>
          <w:rFonts w:hAnsi="宋体" w:cs="宋体"/>
          <w:color w:val="000000" w:themeColor="text1"/>
          <w:sz w:val="32"/>
          <w:szCs w:val="32"/>
          <w:highlight w:val="none"/>
          <w14:textFill>
            <w14:solidFill>
              <w14:schemeClr w14:val="tx1"/>
            </w14:solidFill>
          </w14:textFill>
        </w:rPr>
      </w:pPr>
    </w:p>
    <w:p w14:paraId="1F9946D3">
      <w:pPr>
        <w:pStyle w:val="107"/>
        <w:jc w:val="center"/>
        <w:rPr>
          <w:rFonts w:hAnsi="宋体" w:cs="宋体"/>
          <w:color w:val="000000" w:themeColor="text1"/>
          <w:sz w:val="32"/>
          <w:szCs w:val="32"/>
          <w:highlight w:val="none"/>
          <w14:textFill>
            <w14:solidFill>
              <w14:schemeClr w14:val="tx1"/>
            </w14:solidFill>
          </w14:textFill>
        </w:rPr>
      </w:pPr>
    </w:p>
    <w:p w14:paraId="5DE608F2">
      <w:pPr>
        <w:pStyle w:val="107"/>
        <w:jc w:val="center"/>
        <w:rPr>
          <w:rFonts w:hAnsi="宋体" w:cs="宋体"/>
          <w:color w:val="000000" w:themeColor="text1"/>
          <w:sz w:val="44"/>
          <w:szCs w:val="44"/>
          <w:highlight w:val="none"/>
          <w14:textFill>
            <w14:solidFill>
              <w14:schemeClr w14:val="tx1"/>
            </w14:solidFill>
          </w14:textFill>
        </w:rPr>
      </w:pPr>
    </w:p>
    <w:p w14:paraId="313561B1">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14:paraId="27DB24B7">
      <w:pPr>
        <w:pStyle w:val="107"/>
        <w:jc w:val="center"/>
        <w:rPr>
          <w:rFonts w:hAnsi="宋体" w:cs="宋体"/>
          <w:color w:val="000000" w:themeColor="text1"/>
          <w:sz w:val="28"/>
          <w:szCs w:val="28"/>
          <w:highlight w:val="none"/>
          <w14:textFill>
            <w14:solidFill>
              <w14:schemeClr w14:val="tx1"/>
            </w14:solidFill>
          </w14:textFill>
        </w:rPr>
      </w:pPr>
    </w:p>
    <w:p w14:paraId="2DE538DD">
      <w:pPr>
        <w:pStyle w:val="107"/>
        <w:jc w:val="left"/>
        <w:rPr>
          <w:rFonts w:hAnsi="宋体" w:cs="宋体"/>
          <w:color w:val="000000" w:themeColor="text1"/>
          <w:sz w:val="32"/>
          <w:szCs w:val="32"/>
          <w:highlight w:val="none"/>
          <w14:textFill>
            <w14:solidFill>
              <w14:schemeClr w14:val="tx1"/>
            </w14:solidFill>
          </w14:textFill>
        </w:rPr>
      </w:pPr>
    </w:p>
    <w:p w14:paraId="1E513ECF">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color w:val="000000" w:themeColor="text1"/>
          <w:sz w:val="32"/>
          <w:szCs w:val="32"/>
          <w:highlight w:val="none"/>
          <w14:textFill>
            <w14:solidFill>
              <w14:schemeClr w14:val="tx1"/>
            </w14:solidFill>
          </w14:textFill>
        </w:rPr>
        <w:t>公路工程施工劳务合作合同</w:t>
      </w:r>
    </w:p>
    <w:p w14:paraId="26571EC0">
      <w:pPr>
        <w:pStyle w:val="107"/>
        <w:spacing w:line="280" w:lineRule="exact"/>
        <w:ind w:right="630"/>
        <w:jc w:val="right"/>
        <w:rPr>
          <w:rFonts w:hAnsi="宋体" w:cs="宋体"/>
          <w:color w:val="000000" w:themeColor="text1"/>
          <w:szCs w:val="21"/>
          <w:highlight w:val="none"/>
          <w14:textFill>
            <w14:solidFill>
              <w14:schemeClr w14:val="tx1"/>
            </w14:solidFill>
          </w14:textFill>
        </w:rPr>
      </w:pPr>
    </w:p>
    <w:p w14:paraId="1EB56B3D">
      <w:pPr>
        <w:pStyle w:val="107"/>
        <w:ind w:right="-15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劳务合同编号：</w:t>
      </w:r>
    </w:p>
    <w:p w14:paraId="2C416156">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2D8EA71E">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 (承包人或专项工程分包人)：</w:t>
      </w:r>
    </w:p>
    <w:p w14:paraId="00E0A7BE">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乙方（劳务单位）：</w:t>
      </w:r>
    </w:p>
    <w:p w14:paraId="5314D04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14:paraId="63722A62">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工程名称、地点和劳务内容</w:t>
      </w:r>
    </w:p>
    <w:p w14:paraId="15D348AB">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工程名称</w:t>
      </w:r>
    </w:p>
    <w:p w14:paraId="3384FE75">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工程地点和范围</w:t>
      </w:r>
    </w:p>
    <w:p w14:paraId="3FC6FD9B">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劳务内容和方式：</w:t>
      </w:r>
    </w:p>
    <w:p w14:paraId="26A456DD">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劳务人员数量共计人。其中，技工人，普工人(劳务人员工种及花名册附后)。</w:t>
      </w:r>
    </w:p>
    <w:p w14:paraId="38045EB8">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劳务及管理费的结算支付</w:t>
      </w:r>
    </w:p>
    <w:p w14:paraId="718E2959">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2.1劳务承包项目实行工序劳务费用单价承包形式，计件单价和暂估数量见《劳务计价清单》（附表1）。劳务费用中的结算工程量按每月得到甲方项目经理部签认计量的工程量为准。 </w:t>
      </w:r>
    </w:p>
    <w:p w14:paraId="74AE27E2">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14:paraId="31454454">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2.3劳务计价清单未涉及的工程内容，或由于待料、停电、气候恶劣等非乙方的责任而造成的停工按计日工结算。计日工单价根据发生时的市场价由双方商定。</w:t>
      </w:r>
    </w:p>
    <w:p w14:paraId="712718E8">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2.4本合同劳务计价单价不含甲方提供的材料费用和机械设备费用，但含税金，税金由甲方代扣代缴（综合税率为%）。乙方办理劳务费结算支付时应提供符合要求的票据。</w:t>
      </w:r>
    </w:p>
    <w:p w14:paraId="45AB7B0B">
      <w:pPr>
        <w:pStyle w:val="107"/>
        <w:numPr>
          <w:ilvl w:val="1"/>
          <w:numId w:val="25"/>
        </w:numPr>
        <w:ind w:left="0"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有关款项的约定：</w:t>
      </w:r>
    </w:p>
    <w:p w14:paraId="35E95F9A">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2.5.1农民工工资支付保证金按项目总包合同专用条款或业主规定的比例在计量支付时提取，在乙方劳务作业全部完成并出具无拖欠农民工工资承诺后退还。</w:t>
      </w:r>
    </w:p>
    <w:p w14:paraId="3D4FAF9C">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2.5.2质量和进度考核基金按项目业主的考核办法的规定比例在中期计量支付时提取，并按考核办法的规定实施考核和奖惩。</w:t>
      </w:r>
    </w:p>
    <w:p w14:paraId="5ADD3C03">
      <w:pPr>
        <w:pStyle w:val="107"/>
        <w:ind w:firstLine="432" w:firstLineChars="180"/>
        <w:rPr>
          <w:rFonts w:hAnsi="宋体" w:cs="宋体"/>
          <w:b/>
          <w:color w:val="000000" w:themeColor="text1"/>
          <w:spacing w:val="-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2.6劳务承包合同总价为甲乙双方验工计量支付的各分项价款之和</w:t>
      </w:r>
      <w:r>
        <w:rPr>
          <w:rFonts w:hint="eastAsia" w:hAnsi="宋体" w:cs="宋体"/>
          <w:b/>
          <w:color w:val="000000" w:themeColor="text1"/>
          <w:spacing w:val="-8"/>
          <w:highlight w:val="none"/>
          <w14:textFill>
            <w14:solidFill>
              <w14:schemeClr w14:val="tx1"/>
            </w14:solidFill>
          </w14:textFill>
        </w:rPr>
        <w:t>。</w:t>
      </w:r>
    </w:p>
    <w:p w14:paraId="2BBEEF20">
      <w:pPr>
        <w:pStyle w:val="107"/>
        <w:numPr>
          <w:ilvl w:val="0"/>
          <w:numId w:val="23"/>
        </w:numPr>
        <w:rPr>
          <w:rFonts w:hAnsi="宋体" w:cs="宋体"/>
          <w:b/>
          <w:color w:val="000000" w:themeColor="text1"/>
          <w:spacing w:val="-8"/>
          <w:highlight w:val="none"/>
          <w14:textFill>
            <w14:solidFill>
              <w14:schemeClr w14:val="tx1"/>
            </w14:solidFill>
          </w14:textFill>
        </w:rPr>
      </w:pPr>
      <w:r>
        <w:rPr>
          <w:rFonts w:hint="eastAsia" w:hAnsi="宋体" w:cs="宋体"/>
          <w:b/>
          <w:color w:val="000000" w:themeColor="text1"/>
          <w:spacing w:val="-8"/>
          <w:highlight w:val="none"/>
          <w14:textFill>
            <w14:solidFill>
              <w14:schemeClr w14:val="tx1"/>
            </w14:solidFill>
          </w14:textFill>
        </w:rPr>
        <w:t>双方责任</w:t>
      </w:r>
    </w:p>
    <w:p w14:paraId="2F4662FE">
      <w:pPr>
        <w:pStyle w:val="107"/>
        <w:ind w:left="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3.1甲方责任</w:t>
      </w:r>
    </w:p>
    <w:p w14:paraId="594373EB">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3.1.1为加强对乙方劳务人员的组织与管理，甲方成立现场管理机构标段项目经理部，对工程施工全过程实施全面监控管理。</w:t>
      </w:r>
    </w:p>
    <w:p w14:paraId="0194D366">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3.1.2负责编制实施性施工组织设计，负责施工测量和技术管理。</w:t>
      </w:r>
    </w:p>
    <w:p w14:paraId="1C4F9786">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3.1.3按施工组织设计及时供应材料和提供机械设备，满足工程进度的需要。</w:t>
      </w:r>
    </w:p>
    <w:p w14:paraId="1EA06213">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3.1.4负责在施工前对乙方劳务人员进行技术交底，让乙方劳务人员熟练掌握有关操作规程和操作技术。</w:t>
      </w:r>
    </w:p>
    <w:p w14:paraId="17C77265">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3.1.5编制施工进度计划，人员、材料、设备等进场计划，并组织乙方劳务人员按规定程序进行劳务作业。</w:t>
      </w:r>
    </w:p>
    <w:p w14:paraId="70C97747">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3.1.6负责原材料、设备、构配件、半成品的检验和试验。</w:t>
      </w:r>
    </w:p>
    <w:p w14:paraId="1C0C58D6">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3.1.7对乙方安排的劳务人员进行岗前专业培训，并记录教育培训档案。</w:t>
      </w:r>
    </w:p>
    <w:p w14:paraId="6E9691E8">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3.1.8监督乙方劳务人员进行文明施工、安全生产，保证作业现场施工安全。</w:t>
      </w:r>
    </w:p>
    <w:p w14:paraId="2819320A">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3.1.9负责办理征地拆迁以及本协议作业项目的道路、用电、用水，以满足施工需要。</w:t>
      </w:r>
    </w:p>
    <w:p w14:paraId="2790F61C">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3.1.10、甲方负责对每道工序的质量进行检验，乙方完成每道工序须由甲方工程技术人员检验认可，否则乙方不能进入下一道工序的劳务作业。</w:t>
      </w:r>
    </w:p>
    <w:p w14:paraId="4E6E204B">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3.1.11对已完劳务作业项目组织验收，负责工程资料的收集和汇总并按协议规定办理劳务费用结算。</w:t>
      </w:r>
    </w:p>
    <w:p w14:paraId="0E54B42D">
      <w:pPr>
        <w:pStyle w:val="107"/>
        <w:ind w:firstLine="3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3.2乙方责任</w:t>
      </w:r>
    </w:p>
    <w:p w14:paraId="2FD6BE6D">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3.2.1按甲方要求安排符合施工需要的劳务作业人员。乙方必须安排与之有劳动合同关系的劳务作业人员，未签订劳动合同的不得进入施工现场从事劳务作业活动。</w:t>
      </w:r>
    </w:p>
    <w:p w14:paraId="6167939C">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3.2.2乙方应派出现场负责人协助甲方对劳务人员进行劳务作业管理。</w:t>
      </w:r>
    </w:p>
    <w:p w14:paraId="1E901DCD">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3.2.3乙方劳务人员应按甲方劳务培训计划参加相关工法、操作规程的学习，严格按规定程序进行劳务作业。</w:t>
      </w:r>
    </w:p>
    <w:p w14:paraId="7D8B0689">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3.2.4乙方应当建立、健全职业病防治责任制，加强对职业病防治的管理，对产生的职业病危害承担责任。</w:t>
      </w:r>
    </w:p>
    <w:p w14:paraId="096F10BA">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14:paraId="1B2BA068">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3.2.6乙方劳务人员在劳务作业中发生质量、安全责任事故，应及时报告甲方管理人员，不得擅自处理或隐瞒。</w:t>
      </w:r>
    </w:p>
    <w:p w14:paraId="3544A9F9">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3.2.7劳务作业过程中，乙方劳务人员与当地发生的债权债务及治安等问题由乙方负责处理，并承担相应责任和费用。</w:t>
      </w:r>
    </w:p>
    <w:p w14:paraId="0C99EB31">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3.2.8乙方劳务人员须认真按照行业技术规范和设计要求以及甲方的管理进行劳务作业，随时接受甲方管理人员的监督检查。</w:t>
      </w:r>
    </w:p>
    <w:p w14:paraId="000E440E">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3.2.9乙方不得将本工程转包或者分包给其他单位或个人施工，须自行完成本协议规定的施工作业项目；在施工过程中，不得偷工减料，不得倒卖或挪用甲方供应的材料、设备、构配件、成品、半成品。</w:t>
      </w:r>
    </w:p>
    <w:p w14:paraId="0C644305">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工期</w:t>
      </w:r>
    </w:p>
    <w:p w14:paraId="7161A29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  本劳务协议工期______日历天，自______年_______月______日开始至______年____月______日结束。乙方应按甲方安排的工作计划进场和退场，进、退场费用由______方承担。</w:t>
      </w:r>
    </w:p>
    <w:p w14:paraId="1FEDF411">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  在乙方工作期限期满之前，如需终止雇佣，甲方应在期满前_____天书面通知乙方。</w:t>
      </w:r>
    </w:p>
    <w:p w14:paraId="34AA4968">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 如需延长乙方工作期限，甲方应在期满前______天书面通知乙方。</w:t>
      </w:r>
    </w:p>
    <w:p w14:paraId="7D7B1CD5">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14:paraId="74576A46">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材料物资和机械设备</w:t>
      </w:r>
    </w:p>
    <w:p w14:paraId="540C2D45">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14:paraId="326B377F">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14:paraId="26F14C38">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 甲方提供的材料和机械设备到达工地或指定地点之后，发生的搬运、装卸、整理、清除等所有劳务工作均由方负责并承担费用。</w:t>
      </w:r>
    </w:p>
    <w:p w14:paraId="1AF7C03B">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劳务作业人员管理</w:t>
      </w:r>
    </w:p>
    <w:p w14:paraId="3976D19B">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14:paraId="2428011C">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 乙方提供的特种作业人员，应取得特种作业上岗操作证书。乙方应对劳务人员进行岗前的业务培训和安全生产教育。</w:t>
      </w:r>
    </w:p>
    <w:p w14:paraId="477CC57C">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5.3  乙方法定代表人应书面授权一名委托代理人实际履行合同义务并作为有效签字人，并配备相应的管理人员，加强对劳务人员的管理。 </w:t>
      </w:r>
    </w:p>
    <w:p w14:paraId="4549DBE3">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5.5 乙方应及时足额发放工资，发放清单经本人签字后交甲方留存备案，需由甲方统一代为发放的，乙方需出具书面委托，并在每月底报送员工考勤表及分包人签认的工资发放表给甲方，费用在月结算款中抵扣。</w:t>
      </w:r>
    </w:p>
    <w:p w14:paraId="548D4214">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highlight w:val="none"/>
          <w:u w:val="single"/>
          <w14:textFill>
            <w14:solidFill>
              <w14:schemeClr w14:val="tx1"/>
            </w14:solidFill>
          </w14:textFill>
        </w:rPr>
        <w:t xml:space="preserve">       . </w:t>
      </w:r>
      <w:r>
        <w:rPr>
          <w:rFonts w:hint="eastAsia" w:hAnsi="宋体" w:cs="宋体"/>
          <w:color w:val="000000" w:themeColor="text1"/>
          <w:highlight w:val="none"/>
          <w14:textFill>
            <w14:solidFill>
              <w14:schemeClr w14:val="tx1"/>
            </w14:solidFill>
          </w14:textFill>
        </w:rPr>
        <w:t>元。</w:t>
      </w:r>
    </w:p>
    <w:p w14:paraId="05944586">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劳务作业管理</w:t>
      </w:r>
    </w:p>
    <w:p w14:paraId="53184263">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6.1乙方承担的工程内容，不得再行转包或分包，否则视为乙方违约，由此引起的一切责任和损失均由乙方负责。</w:t>
      </w:r>
    </w:p>
    <w:p w14:paraId="5B71F741">
      <w:pPr>
        <w:pStyle w:val="107"/>
        <w:ind w:firstLine="49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 乙方违反合同约定，工程质量未达到合同约定要求的，甲方有权终止合同，并处以万元的违约金，并且由此引起的一切损失由乙方负责并赔偿甲方的损失。</w:t>
      </w:r>
    </w:p>
    <w:p w14:paraId="2A120D60">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6.3乙方应按甲方规定格式和要求及时报送完整的资料给甲方，配合甲方办理中期计量支付及交工验收。</w:t>
      </w:r>
    </w:p>
    <w:p w14:paraId="55DE791D">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安全管理</w:t>
      </w:r>
    </w:p>
    <w:p w14:paraId="2C287839">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 乙方应严格按施工方案和操作规程施工，因乙方原因导致的安全事故，由乙方承担主要责任，甲方承担连带责任。</w:t>
      </w:r>
    </w:p>
    <w:p w14:paraId="52144107">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 甲方的施工方案和现场指挥应符合安全施工要求，因甲方原因导致的安全事故，其责任与损失由甲方承担。</w:t>
      </w:r>
    </w:p>
    <w:p w14:paraId="305D1994">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 乙方应配备专职安全员，协助并服从甲方进行安全管理。</w:t>
      </w:r>
    </w:p>
    <w:p w14:paraId="629ABABB">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14:paraId="62142A7C">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7.5 乙方的特种作业人员应持证上岗，证件复印件留甲方备查。</w:t>
      </w:r>
    </w:p>
    <w:p w14:paraId="10398AF7">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7.6 因乙方原因，导致发生安全事故和治安事件等，整改不力的，甲方有权终止本合同，并追偿损失。</w:t>
      </w:r>
    </w:p>
    <w:p w14:paraId="548C93A0">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结算支付</w:t>
      </w:r>
    </w:p>
    <w:p w14:paraId="51470054">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8.1甲方每月在得到业主支付的计量款后按合同约定进行劳务费的结算和支付。</w:t>
      </w:r>
    </w:p>
    <w:p w14:paraId="3F508024">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8.2甲方无故未按时支付劳务款的，按同期中国人民银行贷款利率偿付给乙方逾期付款违约金。</w:t>
      </w:r>
    </w:p>
    <w:p w14:paraId="40CFC84D">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 xml:space="preserve"> 附则</w:t>
      </w:r>
    </w:p>
    <w:p w14:paraId="7A504847">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9.1本协议发生纠纷时，当事人双方应及时协商解决。若协商不成时，应按以下第(  )项解决：(a)向工程所在地的仲裁委员会申请仲裁，(b)向人民法院起诉。</w:t>
      </w:r>
    </w:p>
    <w:p w14:paraId="688DBD5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9.2本协议一式份，甲乙双方各执正本一份，副本份，其余副本报驻地监理办和发包人。合同经发包人备案后生效。</w:t>
      </w:r>
    </w:p>
    <w:p w14:paraId="54E177E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合同订立时间：年   月   日；签订合同地点：。</w:t>
      </w:r>
    </w:p>
    <w:p w14:paraId="43F9070E">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9.3双方商定的补充条款：</w:t>
      </w:r>
    </w:p>
    <w:p w14:paraId="33C3260C">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p w14:paraId="70698BA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p w14:paraId="240BC99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14:paraId="526301D1">
      <w:pPr>
        <w:pStyle w:val="107"/>
        <w:ind w:firstLine="480" w:firstLineChars="200"/>
        <w:rPr>
          <w:rFonts w:hAnsi="宋体" w:cs="宋体"/>
          <w:color w:val="000000" w:themeColor="text1"/>
          <w:highlight w:val="none"/>
          <w14:textFill>
            <w14:solidFill>
              <w14:schemeClr w14:val="tx1"/>
            </w14:solidFill>
          </w14:textFill>
        </w:rPr>
      </w:pPr>
    </w:p>
    <w:p w14:paraId="6C13EE7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四、本合同未尽事宜，业主与甲方签订的相关条款已有的，按其办理，未涉及的，双方协商解决。</w:t>
      </w:r>
    </w:p>
    <w:p w14:paraId="129A4FF3">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合同附件：</w:t>
      </w:r>
    </w:p>
    <w:p w14:paraId="30D21BD5">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劳务计价清单</w:t>
      </w:r>
    </w:p>
    <w:p w14:paraId="67380FAF">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甲方提供材料清单</w:t>
      </w:r>
    </w:p>
    <w:p w14:paraId="01D077E6">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甲方提供机械设备清单</w:t>
      </w:r>
    </w:p>
    <w:p w14:paraId="2B2E3B5C">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乙方投入关键人员表</w:t>
      </w:r>
    </w:p>
    <w:p w14:paraId="6372AB53">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 (盖章)                            乙  方：(盖章)</w:t>
      </w:r>
    </w:p>
    <w:p w14:paraId="250DACDC">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14:paraId="6DC83AE5">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14:paraId="35A86947">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14:paraId="19FBD2B1">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14:paraId="23DC87A7">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14:paraId="0B740216">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14:paraId="146D49E5">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14:paraId="0716F395">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14:paraId="468F293A">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14:paraId="260B6128">
      <w:pPr>
        <w:pStyle w:val="107"/>
        <w:rPr>
          <w:rFonts w:hAnsi="宋体" w:cs="宋体"/>
          <w:color w:val="000000" w:themeColor="text1"/>
          <w:highlight w:val="none"/>
          <w14:textFill>
            <w14:solidFill>
              <w14:schemeClr w14:val="tx1"/>
            </w14:solidFill>
          </w14:textFill>
        </w:rPr>
      </w:pPr>
    </w:p>
    <w:p w14:paraId="07E4B160">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附表1：劳务计价清单</w:t>
      </w:r>
    </w:p>
    <w:p w14:paraId="705DFAB8">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14:paraId="2D5A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52FE6FC0">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编号</w:t>
            </w:r>
          </w:p>
        </w:tc>
        <w:tc>
          <w:tcPr>
            <w:tcW w:w="1752" w:type="dxa"/>
          </w:tcPr>
          <w:p w14:paraId="66EC93CF">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工程项目名称</w:t>
            </w:r>
          </w:p>
        </w:tc>
        <w:tc>
          <w:tcPr>
            <w:tcW w:w="1122" w:type="dxa"/>
          </w:tcPr>
          <w:p w14:paraId="5B9271FA">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791" w:type="dxa"/>
          </w:tcPr>
          <w:p w14:paraId="663C383F">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1471" w:type="dxa"/>
          </w:tcPr>
          <w:p w14:paraId="295CE941">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 (元)</w:t>
            </w:r>
          </w:p>
        </w:tc>
        <w:tc>
          <w:tcPr>
            <w:tcW w:w="1140" w:type="dxa"/>
          </w:tcPr>
          <w:p w14:paraId="0FCB7C1D">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金额 (元)</w:t>
            </w:r>
          </w:p>
        </w:tc>
        <w:tc>
          <w:tcPr>
            <w:tcW w:w="1123" w:type="dxa"/>
          </w:tcPr>
          <w:p w14:paraId="6F33A331">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预定工期</w:t>
            </w:r>
          </w:p>
        </w:tc>
      </w:tr>
      <w:tr w14:paraId="76A1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14:paraId="2464BD0C">
            <w:pPr>
              <w:pStyle w:val="107"/>
              <w:rPr>
                <w:rFonts w:hAnsi="宋体" w:cs="宋体"/>
                <w:b/>
                <w:color w:val="000000" w:themeColor="text1"/>
                <w:szCs w:val="21"/>
                <w:highlight w:val="none"/>
                <w14:textFill>
                  <w14:solidFill>
                    <w14:schemeClr w14:val="tx1"/>
                  </w14:solidFill>
                </w14:textFill>
              </w:rPr>
            </w:pPr>
          </w:p>
        </w:tc>
        <w:tc>
          <w:tcPr>
            <w:tcW w:w="1752" w:type="dxa"/>
          </w:tcPr>
          <w:p w14:paraId="01872EE1">
            <w:pPr>
              <w:pStyle w:val="107"/>
              <w:rPr>
                <w:rFonts w:hAnsi="宋体" w:cs="宋体"/>
                <w:b/>
                <w:color w:val="000000" w:themeColor="text1"/>
                <w:szCs w:val="21"/>
                <w:highlight w:val="none"/>
                <w14:textFill>
                  <w14:solidFill>
                    <w14:schemeClr w14:val="tx1"/>
                  </w14:solidFill>
                </w14:textFill>
              </w:rPr>
            </w:pPr>
          </w:p>
        </w:tc>
        <w:tc>
          <w:tcPr>
            <w:tcW w:w="1122" w:type="dxa"/>
          </w:tcPr>
          <w:p w14:paraId="78843DD7">
            <w:pPr>
              <w:pStyle w:val="107"/>
              <w:rPr>
                <w:rFonts w:hAnsi="宋体" w:cs="宋体"/>
                <w:b/>
                <w:color w:val="000000" w:themeColor="text1"/>
                <w:szCs w:val="21"/>
                <w:highlight w:val="none"/>
                <w14:textFill>
                  <w14:solidFill>
                    <w14:schemeClr w14:val="tx1"/>
                  </w14:solidFill>
                </w14:textFill>
              </w:rPr>
            </w:pPr>
          </w:p>
        </w:tc>
        <w:tc>
          <w:tcPr>
            <w:tcW w:w="791" w:type="dxa"/>
          </w:tcPr>
          <w:p w14:paraId="256E1D55">
            <w:pPr>
              <w:pStyle w:val="107"/>
              <w:rPr>
                <w:rFonts w:hAnsi="宋体" w:cs="宋体"/>
                <w:b/>
                <w:color w:val="000000" w:themeColor="text1"/>
                <w:szCs w:val="21"/>
                <w:highlight w:val="none"/>
                <w14:textFill>
                  <w14:solidFill>
                    <w14:schemeClr w14:val="tx1"/>
                  </w14:solidFill>
                </w14:textFill>
              </w:rPr>
            </w:pPr>
          </w:p>
        </w:tc>
        <w:tc>
          <w:tcPr>
            <w:tcW w:w="1471" w:type="dxa"/>
          </w:tcPr>
          <w:p w14:paraId="7DE12B12">
            <w:pPr>
              <w:pStyle w:val="107"/>
              <w:rPr>
                <w:rFonts w:hAnsi="宋体" w:cs="宋体"/>
                <w:b/>
                <w:color w:val="000000" w:themeColor="text1"/>
                <w:szCs w:val="21"/>
                <w:highlight w:val="none"/>
                <w14:textFill>
                  <w14:solidFill>
                    <w14:schemeClr w14:val="tx1"/>
                  </w14:solidFill>
                </w14:textFill>
              </w:rPr>
            </w:pPr>
          </w:p>
        </w:tc>
        <w:tc>
          <w:tcPr>
            <w:tcW w:w="1140" w:type="dxa"/>
          </w:tcPr>
          <w:p w14:paraId="417CDC5B">
            <w:pPr>
              <w:pStyle w:val="107"/>
              <w:rPr>
                <w:rFonts w:hAnsi="宋体" w:cs="宋体"/>
                <w:b/>
                <w:color w:val="000000" w:themeColor="text1"/>
                <w:szCs w:val="21"/>
                <w:highlight w:val="none"/>
                <w14:textFill>
                  <w14:solidFill>
                    <w14:schemeClr w14:val="tx1"/>
                  </w14:solidFill>
                </w14:textFill>
              </w:rPr>
            </w:pPr>
          </w:p>
        </w:tc>
        <w:tc>
          <w:tcPr>
            <w:tcW w:w="1123" w:type="dxa"/>
          </w:tcPr>
          <w:p w14:paraId="79932BDF">
            <w:pPr>
              <w:pStyle w:val="107"/>
              <w:rPr>
                <w:rFonts w:hAnsi="宋体" w:cs="宋体"/>
                <w:b/>
                <w:color w:val="000000" w:themeColor="text1"/>
                <w:szCs w:val="21"/>
                <w:highlight w:val="none"/>
                <w14:textFill>
                  <w14:solidFill>
                    <w14:schemeClr w14:val="tx1"/>
                  </w14:solidFill>
                </w14:textFill>
              </w:rPr>
            </w:pPr>
          </w:p>
        </w:tc>
      </w:tr>
      <w:tr w14:paraId="0C17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14:paraId="6ED06B5D">
            <w:pPr>
              <w:pStyle w:val="107"/>
              <w:rPr>
                <w:rFonts w:hAnsi="宋体" w:cs="宋体"/>
                <w:b/>
                <w:color w:val="000000" w:themeColor="text1"/>
                <w:szCs w:val="21"/>
                <w:highlight w:val="none"/>
                <w14:textFill>
                  <w14:solidFill>
                    <w14:schemeClr w14:val="tx1"/>
                  </w14:solidFill>
                </w14:textFill>
              </w:rPr>
            </w:pPr>
          </w:p>
        </w:tc>
        <w:tc>
          <w:tcPr>
            <w:tcW w:w="1752" w:type="dxa"/>
          </w:tcPr>
          <w:p w14:paraId="4B628727">
            <w:pPr>
              <w:pStyle w:val="107"/>
              <w:rPr>
                <w:rFonts w:hAnsi="宋体" w:cs="宋体"/>
                <w:b/>
                <w:color w:val="000000" w:themeColor="text1"/>
                <w:szCs w:val="21"/>
                <w:highlight w:val="none"/>
                <w14:textFill>
                  <w14:solidFill>
                    <w14:schemeClr w14:val="tx1"/>
                  </w14:solidFill>
                </w14:textFill>
              </w:rPr>
            </w:pPr>
          </w:p>
        </w:tc>
        <w:tc>
          <w:tcPr>
            <w:tcW w:w="1122" w:type="dxa"/>
          </w:tcPr>
          <w:p w14:paraId="26E202AB">
            <w:pPr>
              <w:pStyle w:val="107"/>
              <w:rPr>
                <w:rFonts w:hAnsi="宋体" w:cs="宋体"/>
                <w:b/>
                <w:color w:val="000000" w:themeColor="text1"/>
                <w:szCs w:val="21"/>
                <w:highlight w:val="none"/>
                <w14:textFill>
                  <w14:solidFill>
                    <w14:schemeClr w14:val="tx1"/>
                  </w14:solidFill>
                </w14:textFill>
              </w:rPr>
            </w:pPr>
          </w:p>
        </w:tc>
        <w:tc>
          <w:tcPr>
            <w:tcW w:w="791" w:type="dxa"/>
          </w:tcPr>
          <w:p w14:paraId="6B1E32A3">
            <w:pPr>
              <w:pStyle w:val="107"/>
              <w:rPr>
                <w:rFonts w:hAnsi="宋体" w:cs="宋体"/>
                <w:b/>
                <w:color w:val="000000" w:themeColor="text1"/>
                <w:szCs w:val="21"/>
                <w:highlight w:val="none"/>
                <w14:textFill>
                  <w14:solidFill>
                    <w14:schemeClr w14:val="tx1"/>
                  </w14:solidFill>
                </w14:textFill>
              </w:rPr>
            </w:pPr>
          </w:p>
        </w:tc>
        <w:tc>
          <w:tcPr>
            <w:tcW w:w="1471" w:type="dxa"/>
          </w:tcPr>
          <w:p w14:paraId="44B0A497">
            <w:pPr>
              <w:pStyle w:val="107"/>
              <w:rPr>
                <w:rFonts w:hAnsi="宋体" w:cs="宋体"/>
                <w:b/>
                <w:color w:val="000000" w:themeColor="text1"/>
                <w:szCs w:val="21"/>
                <w:highlight w:val="none"/>
                <w14:textFill>
                  <w14:solidFill>
                    <w14:schemeClr w14:val="tx1"/>
                  </w14:solidFill>
                </w14:textFill>
              </w:rPr>
            </w:pPr>
          </w:p>
        </w:tc>
        <w:tc>
          <w:tcPr>
            <w:tcW w:w="1140" w:type="dxa"/>
          </w:tcPr>
          <w:p w14:paraId="5EEA171D">
            <w:pPr>
              <w:pStyle w:val="107"/>
              <w:rPr>
                <w:rFonts w:hAnsi="宋体" w:cs="宋体"/>
                <w:b/>
                <w:color w:val="000000" w:themeColor="text1"/>
                <w:szCs w:val="21"/>
                <w:highlight w:val="none"/>
                <w14:textFill>
                  <w14:solidFill>
                    <w14:schemeClr w14:val="tx1"/>
                  </w14:solidFill>
                </w14:textFill>
              </w:rPr>
            </w:pPr>
          </w:p>
        </w:tc>
        <w:tc>
          <w:tcPr>
            <w:tcW w:w="1123" w:type="dxa"/>
          </w:tcPr>
          <w:p w14:paraId="1EBB5E7E">
            <w:pPr>
              <w:pStyle w:val="107"/>
              <w:rPr>
                <w:rFonts w:hAnsi="宋体" w:cs="宋体"/>
                <w:b/>
                <w:color w:val="000000" w:themeColor="text1"/>
                <w:szCs w:val="21"/>
                <w:highlight w:val="none"/>
                <w14:textFill>
                  <w14:solidFill>
                    <w14:schemeClr w14:val="tx1"/>
                  </w14:solidFill>
                </w14:textFill>
              </w:rPr>
            </w:pPr>
          </w:p>
        </w:tc>
      </w:tr>
    </w:tbl>
    <w:p w14:paraId="59BA5859">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附表2：甲方提供材料清单</w:t>
      </w:r>
    </w:p>
    <w:p w14:paraId="6187AE1B">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14:paraId="440B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14:paraId="50F69296">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382" w:type="dxa"/>
            <w:vAlign w:val="center"/>
          </w:tcPr>
          <w:p w14:paraId="18BABA33">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品种</w:t>
            </w:r>
          </w:p>
        </w:tc>
        <w:tc>
          <w:tcPr>
            <w:tcW w:w="1242" w:type="dxa"/>
            <w:vAlign w:val="center"/>
          </w:tcPr>
          <w:p w14:paraId="06CB65E2">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684" w:type="dxa"/>
            <w:vAlign w:val="center"/>
          </w:tcPr>
          <w:p w14:paraId="604E80F0">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1206" w:type="dxa"/>
            <w:vAlign w:val="center"/>
          </w:tcPr>
          <w:p w14:paraId="3CC55D1F">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图纸数量</w:t>
            </w:r>
          </w:p>
        </w:tc>
        <w:tc>
          <w:tcPr>
            <w:tcW w:w="640" w:type="dxa"/>
            <w:vAlign w:val="center"/>
          </w:tcPr>
          <w:p w14:paraId="2A9AF847">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w:t>
            </w:r>
          </w:p>
        </w:tc>
        <w:tc>
          <w:tcPr>
            <w:tcW w:w="1601" w:type="dxa"/>
            <w:vAlign w:val="center"/>
          </w:tcPr>
          <w:p w14:paraId="631678A9">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损耗系数%</w:t>
            </w:r>
          </w:p>
        </w:tc>
        <w:tc>
          <w:tcPr>
            <w:tcW w:w="720" w:type="dxa"/>
            <w:vAlign w:val="center"/>
          </w:tcPr>
          <w:p w14:paraId="1548F88B">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交货</w:t>
            </w:r>
          </w:p>
          <w:p w14:paraId="072A1253">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时间</w:t>
            </w:r>
          </w:p>
        </w:tc>
        <w:tc>
          <w:tcPr>
            <w:tcW w:w="743" w:type="dxa"/>
            <w:vAlign w:val="center"/>
          </w:tcPr>
          <w:p w14:paraId="10F1FBEE">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14:paraId="24FC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14:paraId="62F30499">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14:paraId="0BCC15D2">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14:paraId="38D52ECE">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14:paraId="5305F566">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14:paraId="2BBA3942">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14:paraId="25F52D0B">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14:paraId="6FE75AD2">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14:paraId="0F1A5919">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14:paraId="7C3C4076">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r w14:paraId="0F89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14:paraId="78F6BF59">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14:paraId="6C33B3BA">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14:paraId="65B851FA">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14:paraId="31B7B633">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14:paraId="5DEDF444">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14:paraId="736AAFD1">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14:paraId="5C30FB69">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14:paraId="599967E2">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14:paraId="5C1CA70D">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bl>
    <w:p w14:paraId="3D877C20">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附表3：甲方提供机械设备清单</w:t>
      </w:r>
    </w:p>
    <w:p w14:paraId="5CFD2868">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工程及合同段名称：                               劳务单位：        </w:t>
      </w:r>
    </w:p>
    <w:tbl>
      <w:tblPr>
        <w:tblStyle w:val="4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14:paraId="30D5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7F88561B">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905" w:type="dxa"/>
            <w:vAlign w:val="center"/>
          </w:tcPr>
          <w:p w14:paraId="1F695FA4">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设备名称</w:t>
            </w:r>
          </w:p>
        </w:tc>
        <w:tc>
          <w:tcPr>
            <w:tcW w:w="1656" w:type="dxa"/>
            <w:vAlign w:val="center"/>
          </w:tcPr>
          <w:p w14:paraId="561E3094">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725" w:type="dxa"/>
            <w:vAlign w:val="center"/>
          </w:tcPr>
          <w:p w14:paraId="0DB68654">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895" w:type="dxa"/>
            <w:vAlign w:val="center"/>
          </w:tcPr>
          <w:p w14:paraId="06D7D978">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2114" w:type="dxa"/>
            <w:vAlign w:val="center"/>
          </w:tcPr>
          <w:p w14:paraId="47B63DBB">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849" w:type="dxa"/>
            <w:vAlign w:val="center"/>
          </w:tcPr>
          <w:p w14:paraId="437F5B95">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14:paraId="1D48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17824601">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14:paraId="776ECB6A">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14:paraId="0A35D5E7">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14:paraId="36D1BDC4">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14:paraId="7428451C">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14:paraId="39FC97B0">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14:paraId="0E96DE70">
            <w:pPr>
              <w:pStyle w:val="107"/>
              <w:jc w:val="center"/>
              <w:rPr>
                <w:rFonts w:hAnsi="宋体" w:cs="宋体"/>
                <w:b/>
                <w:bCs/>
                <w:color w:val="000000" w:themeColor="text1"/>
                <w:szCs w:val="21"/>
                <w:highlight w:val="none"/>
                <w14:textFill>
                  <w14:solidFill>
                    <w14:schemeClr w14:val="tx1"/>
                  </w14:solidFill>
                </w14:textFill>
              </w:rPr>
            </w:pPr>
          </w:p>
        </w:tc>
      </w:tr>
      <w:tr w14:paraId="061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296BE184">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14:paraId="1C083AEB">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14:paraId="12AD5AAD">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14:paraId="28523267">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14:paraId="469FBCD4">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14:paraId="0E7C2154">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14:paraId="4671BE76">
            <w:pPr>
              <w:pStyle w:val="107"/>
              <w:jc w:val="center"/>
              <w:rPr>
                <w:rFonts w:hAnsi="宋体" w:cs="宋体"/>
                <w:b/>
                <w:bCs/>
                <w:color w:val="000000" w:themeColor="text1"/>
                <w:szCs w:val="21"/>
                <w:highlight w:val="none"/>
                <w14:textFill>
                  <w14:solidFill>
                    <w14:schemeClr w14:val="tx1"/>
                  </w14:solidFill>
                </w14:textFill>
              </w:rPr>
            </w:pPr>
          </w:p>
        </w:tc>
      </w:tr>
    </w:tbl>
    <w:p w14:paraId="17E6F379">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附表4：乙方投入关键人员表</w:t>
      </w:r>
    </w:p>
    <w:p w14:paraId="4106898B">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5"/>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14:paraId="70CA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3F5565F8">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454" w:type="dxa"/>
            <w:vAlign w:val="center"/>
          </w:tcPr>
          <w:p w14:paraId="617E3B3D">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岗位或工种</w:t>
            </w:r>
          </w:p>
        </w:tc>
        <w:tc>
          <w:tcPr>
            <w:tcW w:w="1028" w:type="dxa"/>
            <w:vAlign w:val="center"/>
          </w:tcPr>
          <w:p w14:paraId="382D65E9">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姓名</w:t>
            </w:r>
          </w:p>
        </w:tc>
        <w:tc>
          <w:tcPr>
            <w:tcW w:w="1883" w:type="dxa"/>
            <w:vAlign w:val="center"/>
          </w:tcPr>
          <w:p w14:paraId="745E3DD0">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身份证号</w:t>
            </w:r>
          </w:p>
        </w:tc>
        <w:tc>
          <w:tcPr>
            <w:tcW w:w="1348" w:type="dxa"/>
            <w:vAlign w:val="center"/>
          </w:tcPr>
          <w:p w14:paraId="09D8D1CA">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劳动合同号</w:t>
            </w:r>
          </w:p>
        </w:tc>
        <w:tc>
          <w:tcPr>
            <w:tcW w:w="1409" w:type="dxa"/>
            <w:vAlign w:val="center"/>
          </w:tcPr>
          <w:p w14:paraId="15AD40DE">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679" w:type="dxa"/>
            <w:vAlign w:val="center"/>
          </w:tcPr>
          <w:p w14:paraId="35AACBA1">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14:paraId="516E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14:paraId="594E1AF3">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14:paraId="63712632">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14:paraId="19B770A7">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14:paraId="0A3456B9">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14:paraId="506D6E26">
            <w:pPr>
              <w:pStyle w:val="107"/>
              <w:jc w:val="center"/>
              <w:rPr>
                <w:rFonts w:hAnsi="宋体" w:cs="宋体"/>
                <w:color w:val="000000" w:themeColor="text1"/>
                <w:szCs w:val="21"/>
                <w:highlight w:val="none"/>
                <w14:textFill>
                  <w14:solidFill>
                    <w14:schemeClr w14:val="tx1"/>
                  </w14:solidFill>
                </w14:textFill>
              </w:rPr>
            </w:pPr>
          </w:p>
        </w:tc>
        <w:tc>
          <w:tcPr>
            <w:tcW w:w="1409" w:type="dxa"/>
          </w:tcPr>
          <w:p w14:paraId="469DC64F">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14:paraId="2AF63559">
            <w:pPr>
              <w:pStyle w:val="107"/>
              <w:jc w:val="center"/>
              <w:rPr>
                <w:rFonts w:hAnsi="宋体" w:cs="宋体"/>
                <w:color w:val="000000" w:themeColor="text1"/>
                <w:szCs w:val="21"/>
                <w:highlight w:val="none"/>
                <w14:textFill>
                  <w14:solidFill>
                    <w14:schemeClr w14:val="tx1"/>
                  </w14:solidFill>
                </w14:textFill>
              </w:rPr>
            </w:pPr>
          </w:p>
        </w:tc>
      </w:tr>
      <w:tr w14:paraId="5F1E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28EC92E9">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14:paraId="3E2BE869">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14:paraId="6CBDE6B3">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14:paraId="55052D93">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14:paraId="3A17ADAA">
            <w:pPr>
              <w:pStyle w:val="107"/>
              <w:jc w:val="center"/>
              <w:rPr>
                <w:rFonts w:hAnsi="宋体" w:cs="宋体"/>
                <w:color w:val="000000" w:themeColor="text1"/>
                <w:szCs w:val="21"/>
                <w:highlight w:val="none"/>
                <w14:textFill>
                  <w14:solidFill>
                    <w14:schemeClr w14:val="tx1"/>
                  </w14:solidFill>
                </w14:textFill>
              </w:rPr>
            </w:pPr>
          </w:p>
        </w:tc>
        <w:tc>
          <w:tcPr>
            <w:tcW w:w="1409" w:type="dxa"/>
          </w:tcPr>
          <w:p w14:paraId="5E2BCF9B">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14:paraId="30EF9CCF">
            <w:pPr>
              <w:pStyle w:val="107"/>
              <w:jc w:val="center"/>
              <w:rPr>
                <w:rFonts w:hAnsi="宋体" w:cs="宋体"/>
                <w:color w:val="000000" w:themeColor="text1"/>
                <w:szCs w:val="21"/>
                <w:highlight w:val="none"/>
                <w14:textFill>
                  <w14:solidFill>
                    <w14:schemeClr w14:val="tx1"/>
                  </w14:solidFill>
                </w14:textFill>
              </w:rPr>
            </w:pPr>
          </w:p>
        </w:tc>
      </w:tr>
    </w:tbl>
    <w:p w14:paraId="3AC6B04B">
      <w:pPr>
        <w:jc w:val="center"/>
        <w:rPr>
          <w:rFonts w:ascii="宋体" w:hAnsi="宋体"/>
          <w:color w:val="000000" w:themeColor="text1"/>
          <w:sz w:val="72"/>
          <w:szCs w:val="72"/>
          <w:highlight w:val="none"/>
          <w:u w:val="single"/>
          <w14:textFill>
            <w14:solidFill>
              <w14:schemeClr w14:val="tx1"/>
            </w14:solidFill>
          </w14:textFill>
        </w:rPr>
      </w:pPr>
    </w:p>
    <w:p w14:paraId="00DC39B8">
      <w:pPr>
        <w:pStyle w:val="55"/>
        <w:rPr>
          <w:rFonts w:ascii="宋体" w:hAnsi="宋体"/>
          <w:color w:val="000000" w:themeColor="text1"/>
          <w:sz w:val="72"/>
          <w:szCs w:val="72"/>
          <w:highlight w:val="none"/>
          <w:u w:val="single"/>
          <w14:textFill>
            <w14:solidFill>
              <w14:schemeClr w14:val="tx1"/>
            </w14:solidFill>
          </w14:textFill>
        </w:rPr>
      </w:pPr>
    </w:p>
    <w:p w14:paraId="31A9C15B">
      <w:pPr>
        <w:pStyle w:val="55"/>
        <w:rPr>
          <w:rFonts w:ascii="宋体" w:hAnsi="宋体"/>
          <w:color w:val="000000" w:themeColor="text1"/>
          <w:sz w:val="72"/>
          <w:szCs w:val="72"/>
          <w:highlight w:val="none"/>
          <w:u w:val="single"/>
          <w14:textFill>
            <w14:solidFill>
              <w14:schemeClr w14:val="tx1"/>
            </w14:solidFill>
          </w14:textFill>
        </w:rPr>
      </w:pPr>
    </w:p>
    <w:p w14:paraId="16C6C6B0">
      <w:pPr>
        <w:pStyle w:val="55"/>
        <w:rPr>
          <w:rFonts w:ascii="宋体" w:hAnsi="宋体"/>
          <w:color w:val="000000" w:themeColor="text1"/>
          <w:sz w:val="72"/>
          <w:szCs w:val="72"/>
          <w:highlight w:val="none"/>
          <w:u w:val="single"/>
          <w14:textFill>
            <w14:solidFill>
              <w14:schemeClr w14:val="tx1"/>
            </w14:solidFill>
          </w14:textFill>
        </w:rPr>
      </w:pPr>
    </w:p>
    <w:p w14:paraId="0995CA7F">
      <w:pPr>
        <w:jc w:val="center"/>
        <w:rPr>
          <w:rFonts w:ascii="宋体" w:hAnsi="宋体"/>
          <w:color w:val="000000" w:themeColor="text1"/>
          <w:sz w:val="72"/>
          <w:szCs w:val="72"/>
          <w:highlight w:val="none"/>
          <w:u w:val="single"/>
          <w14:textFill>
            <w14:solidFill>
              <w14:schemeClr w14:val="tx1"/>
            </w14:solidFill>
          </w14:textFill>
        </w:rPr>
      </w:pPr>
    </w:p>
    <w:p w14:paraId="37E722BF">
      <w:pPr>
        <w:pStyle w:val="55"/>
        <w:rPr>
          <w:rFonts w:ascii="宋体" w:hAnsi="宋体"/>
          <w:color w:val="000000" w:themeColor="text1"/>
          <w:sz w:val="72"/>
          <w:szCs w:val="72"/>
          <w:highlight w:val="none"/>
          <w:u w:val="single"/>
          <w14:textFill>
            <w14:solidFill>
              <w14:schemeClr w14:val="tx1"/>
            </w14:solidFill>
          </w14:textFill>
        </w:rPr>
      </w:pPr>
    </w:p>
    <w:p w14:paraId="1E52507F">
      <w:pPr>
        <w:pStyle w:val="55"/>
        <w:rPr>
          <w:rFonts w:ascii="宋体" w:hAnsi="宋体"/>
          <w:color w:val="000000" w:themeColor="text1"/>
          <w:sz w:val="72"/>
          <w:szCs w:val="72"/>
          <w:highlight w:val="none"/>
          <w:u w:val="single"/>
          <w14:textFill>
            <w14:solidFill>
              <w14:schemeClr w14:val="tx1"/>
            </w14:solidFill>
          </w14:textFill>
        </w:rPr>
      </w:pPr>
    </w:p>
    <w:p w14:paraId="47506B5D">
      <w:pPr>
        <w:pStyle w:val="55"/>
        <w:rPr>
          <w:rFonts w:ascii="宋体" w:hAnsi="宋体"/>
          <w:color w:val="000000" w:themeColor="text1"/>
          <w:sz w:val="72"/>
          <w:szCs w:val="72"/>
          <w:highlight w:val="none"/>
          <w:u w:val="single"/>
          <w14:textFill>
            <w14:solidFill>
              <w14:schemeClr w14:val="tx1"/>
            </w14:solidFill>
          </w14:textFill>
        </w:rPr>
      </w:pPr>
    </w:p>
    <w:p w14:paraId="48D6375B">
      <w:pPr>
        <w:pStyle w:val="55"/>
        <w:rPr>
          <w:rFonts w:ascii="宋体" w:hAnsi="宋体"/>
          <w:color w:val="000000" w:themeColor="text1"/>
          <w:sz w:val="72"/>
          <w:szCs w:val="72"/>
          <w:highlight w:val="none"/>
          <w:u w:val="single"/>
          <w14:textFill>
            <w14:solidFill>
              <w14:schemeClr w14:val="tx1"/>
            </w14:solidFill>
          </w14:textFill>
        </w:rPr>
      </w:pPr>
    </w:p>
    <w:p w14:paraId="199BFFD6">
      <w:pPr>
        <w:pStyle w:val="55"/>
        <w:rPr>
          <w:rFonts w:ascii="宋体" w:hAnsi="宋体"/>
          <w:color w:val="000000" w:themeColor="text1"/>
          <w:sz w:val="72"/>
          <w:szCs w:val="72"/>
          <w:highlight w:val="none"/>
          <w:u w:val="single"/>
          <w14:textFill>
            <w14:solidFill>
              <w14:schemeClr w14:val="tx1"/>
            </w14:solidFill>
          </w14:textFill>
        </w:rPr>
      </w:pPr>
    </w:p>
    <w:p w14:paraId="22C9F8CB">
      <w:pPr>
        <w:jc w:val="center"/>
        <w:rPr>
          <w:rFonts w:ascii="宋体" w:hAnsi="宋体"/>
          <w:color w:val="000000" w:themeColor="text1"/>
          <w:sz w:val="72"/>
          <w:szCs w:val="72"/>
          <w:highlight w:val="none"/>
          <w:u w:val="single"/>
          <w14:textFill>
            <w14:solidFill>
              <w14:schemeClr w14:val="tx1"/>
            </w14:solidFill>
          </w14:textFill>
        </w:rPr>
      </w:pPr>
    </w:p>
    <w:p w14:paraId="4538D820">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第五章  工程量清单</w:t>
      </w:r>
    </w:p>
    <w:p w14:paraId="20A34609">
      <w:pPr>
        <w:pStyle w:val="4"/>
        <w:spacing w:after="600" w:line="240" w:lineRule="auto"/>
        <w:jc w:val="center"/>
        <w:rPr>
          <w:rFonts w:ascii="宋体" w:hAnsi="宋体"/>
          <w:color w:val="000000" w:themeColor="text1"/>
          <w:sz w:val="36"/>
          <w:szCs w:val="36"/>
          <w:highlight w:val="none"/>
          <w14:textFill>
            <w14:solidFill>
              <w14:schemeClr w14:val="tx1"/>
            </w14:solidFill>
          </w14:textFill>
        </w:rPr>
      </w:pPr>
      <w:bookmarkStart w:id="1741" w:name="_Toc43476023"/>
      <w:bookmarkEnd w:id="1741"/>
      <w:bookmarkStart w:id="1742" w:name="_Toc234382953"/>
      <w:bookmarkEnd w:id="1742"/>
      <w:bookmarkStart w:id="1743" w:name="_Toc18365"/>
      <w:bookmarkEnd w:id="1743"/>
      <w:r>
        <w:rPr>
          <w:rFonts w:ascii="宋体" w:hAnsi="宋体"/>
          <w:color w:val="000000" w:themeColor="text1"/>
          <w:sz w:val="36"/>
          <w:szCs w:val="36"/>
          <w:highlight w:val="none"/>
          <w14:textFill>
            <w14:solidFill>
              <w14:schemeClr w14:val="tx1"/>
            </w14:solidFill>
          </w14:textFill>
        </w:rPr>
        <w:br w:type="page"/>
      </w:r>
      <w:r>
        <w:rPr>
          <w:rFonts w:ascii="宋体" w:hAnsi="宋体"/>
          <w:color w:val="000000" w:themeColor="text1"/>
          <w:sz w:val="36"/>
          <w:szCs w:val="36"/>
          <w:highlight w:val="none"/>
          <w14:textFill>
            <w14:solidFill>
              <w14:schemeClr w14:val="tx1"/>
            </w14:solidFill>
          </w14:textFill>
        </w:rPr>
        <w:t>第五章  工程量清单</w:t>
      </w:r>
    </w:p>
    <w:p w14:paraId="10A9BC16">
      <w:pPr>
        <w:pStyle w:val="5"/>
        <w:rPr>
          <w:color w:val="000000" w:themeColor="text1"/>
          <w:highlight w:val="none"/>
          <w14:textFill>
            <w14:solidFill>
              <w14:schemeClr w14:val="tx1"/>
            </w14:solidFill>
          </w14:textFill>
        </w:rPr>
      </w:pPr>
      <w:bookmarkStart w:id="1744" w:name="_Toc43476024"/>
      <w:bookmarkEnd w:id="1744"/>
      <w:r>
        <w:rPr>
          <w:rFonts w:hint="eastAsia"/>
          <w:color w:val="000000" w:themeColor="text1"/>
          <w:highlight w:val="none"/>
          <w14:textFill>
            <w14:solidFill>
              <w14:schemeClr w14:val="tx1"/>
            </w14:solidFill>
          </w14:textFill>
        </w:rPr>
        <w:t>工程量清单（另册）</w:t>
      </w:r>
    </w:p>
    <w:p w14:paraId="19BD6A46">
      <w:pPr>
        <w:spacing w:line="400" w:lineRule="exact"/>
        <w:rPr>
          <w:rFonts w:ascii="宋体" w:hAnsi="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14:paraId="6097FDCE">
      <w:pPr>
        <w:pStyle w:val="55"/>
        <w:rPr>
          <w:color w:val="000000" w:themeColor="text1"/>
          <w:highlight w:val="none"/>
          <w14:textFill>
            <w14:solidFill>
              <w14:schemeClr w14:val="tx1"/>
            </w14:solidFill>
          </w14:textFill>
        </w:rPr>
      </w:pPr>
    </w:p>
    <w:p w14:paraId="5B93EE5E">
      <w:pPr>
        <w:jc w:val="center"/>
        <w:rPr>
          <w:rFonts w:ascii="宋体" w:hAnsi="宋体"/>
          <w:color w:val="000000" w:themeColor="text1"/>
          <w:sz w:val="72"/>
          <w:szCs w:val="72"/>
          <w:highlight w:val="none"/>
          <w:u w:val="single"/>
          <w14:textFill>
            <w14:solidFill>
              <w14:schemeClr w14:val="tx1"/>
            </w14:solidFill>
          </w14:textFill>
        </w:rPr>
      </w:pPr>
    </w:p>
    <w:p w14:paraId="7D3BA737">
      <w:pPr>
        <w:jc w:val="center"/>
        <w:rPr>
          <w:rFonts w:ascii="宋体" w:hAnsi="宋体"/>
          <w:color w:val="000000" w:themeColor="text1"/>
          <w:sz w:val="72"/>
          <w:szCs w:val="72"/>
          <w:highlight w:val="none"/>
          <w:u w:val="single"/>
          <w14:textFill>
            <w14:solidFill>
              <w14:schemeClr w14:val="tx1"/>
            </w14:solidFill>
          </w14:textFill>
        </w:rPr>
      </w:pPr>
    </w:p>
    <w:p w14:paraId="671687F5">
      <w:pPr>
        <w:jc w:val="center"/>
        <w:rPr>
          <w:rFonts w:ascii="宋体" w:hAnsi="宋体"/>
          <w:color w:val="000000" w:themeColor="text1"/>
          <w:sz w:val="72"/>
          <w:szCs w:val="72"/>
          <w:highlight w:val="none"/>
          <w:u w:val="single"/>
          <w14:textFill>
            <w14:solidFill>
              <w14:schemeClr w14:val="tx1"/>
            </w14:solidFill>
          </w14:textFill>
        </w:rPr>
      </w:pPr>
    </w:p>
    <w:p w14:paraId="5F043DAD">
      <w:pPr>
        <w:pStyle w:val="4"/>
        <w:jc w:val="center"/>
        <w:rPr>
          <w:rFonts w:ascii="宋体" w:hAnsi="宋体"/>
          <w:color w:val="000000" w:themeColor="text1"/>
          <w:sz w:val="84"/>
          <w:szCs w:val="84"/>
          <w:highlight w:val="none"/>
          <w14:textFill>
            <w14:solidFill>
              <w14:schemeClr w14:val="tx1"/>
            </w14:solidFill>
          </w14:textFill>
        </w:rPr>
      </w:pPr>
      <w:bookmarkStart w:id="1745" w:name="_Toc43476025"/>
      <w:bookmarkEnd w:id="1745"/>
      <w:r>
        <w:rPr>
          <w:rFonts w:hint="eastAsia"/>
          <w:color w:val="000000" w:themeColor="text1"/>
          <w:sz w:val="84"/>
          <w:szCs w:val="84"/>
          <w:highlight w:val="none"/>
          <w14:textFill>
            <w14:solidFill>
              <w14:schemeClr w14:val="tx1"/>
            </w14:solidFill>
          </w14:textFill>
        </w:rPr>
        <w:t>第二卷</w:t>
      </w:r>
    </w:p>
    <w:p w14:paraId="7348BDD5">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570B41C8">
      <w:pPr>
        <w:jc w:val="center"/>
        <w:rPr>
          <w:rFonts w:ascii="宋体" w:hAnsi="宋体"/>
          <w:color w:val="000000" w:themeColor="text1"/>
          <w:sz w:val="72"/>
          <w:szCs w:val="72"/>
          <w:highlight w:val="none"/>
          <w:u w:val="single"/>
          <w14:textFill>
            <w14:solidFill>
              <w14:schemeClr w14:val="tx1"/>
            </w14:solidFill>
          </w14:textFill>
        </w:rPr>
      </w:pPr>
    </w:p>
    <w:p w14:paraId="6DDB3EBA">
      <w:pPr>
        <w:jc w:val="center"/>
        <w:rPr>
          <w:rFonts w:ascii="宋体" w:hAnsi="宋体"/>
          <w:color w:val="000000" w:themeColor="text1"/>
          <w:sz w:val="72"/>
          <w:szCs w:val="72"/>
          <w:highlight w:val="none"/>
          <w:u w:val="single"/>
          <w14:textFill>
            <w14:solidFill>
              <w14:schemeClr w14:val="tx1"/>
            </w14:solidFill>
          </w14:textFill>
        </w:rPr>
      </w:pPr>
    </w:p>
    <w:p w14:paraId="36EF4ECE">
      <w:pPr>
        <w:jc w:val="center"/>
        <w:rPr>
          <w:rFonts w:ascii="宋体" w:hAnsi="宋体"/>
          <w:color w:val="000000" w:themeColor="text1"/>
          <w:sz w:val="72"/>
          <w:szCs w:val="72"/>
          <w:highlight w:val="none"/>
          <w:u w:val="single"/>
          <w14:textFill>
            <w14:solidFill>
              <w14:schemeClr w14:val="tx1"/>
            </w14:solidFill>
          </w14:textFill>
        </w:rPr>
      </w:pPr>
    </w:p>
    <w:p w14:paraId="2ECBA2C8">
      <w:pPr>
        <w:jc w:val="center"/>
        <w:rPr>
          <w:rFonts w:ascii="宋体" w:hAnsi="宋体"/>
          <w:color w:val="000000" w:themeColor="text1"/>
          <w:sz w:val="72"/>
          <w:szCs w:val="72"/>
          <w:highlight w:val="none"/>
          <w:u w:val="single"/>
          <w14:textFill>
            <w14:solidFill>
              <w14:schemeClr w14:val="tx1"/>
            </w14:solidFill>
          </w14:textFill>
        </w:rPr>
      </w:pPr>
    </w:p>
    <w:p w14:paraId="4E4F1666">
      <w:pPr>
        <w:pStyle w:val="4"/>
        <w:jc w:val="center"/>
        <w:rPr>
          <w:color w:val="000000" w:themeColor="text1"/>
          <w:highlight w:val="none"/>
          <w14:textFill>
            <w14:solidFill>
              <w14:schemeClr w14:val="tx1"/>
            </w14:solidFill>
          </w14:textFill>
        </w:rPr>
      </w:pPr>
      <w:bookmarkStart w:id="1746" w:name="_Toc43476026"/>
      <w:bookmarkEnd w:id="1746"/>
      <w:r>
        <w:rPr>
          <w:rFonts w:hint="eastAsia"/>
          <w:color w:val="000000" w:themeColor="text1"/>
          <w:highlight w:val="none"/>
          <w14:textFill>
            <w14:solidFill>
              <w14:schemeClr w14:val="tx1"/>
            </w14:solidFill>
          </w14:textFill>
        </w:rPr>
        <w:t>第六章图纸（另册）</w:t>
      </w:r>
    </w:p>
    <w:p w14:paraId="61FBDEBE">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0D393798">
      <w:pPr>
        <w:jc w:val="center"/>
        <w:rPr>
          <w:rFonts w:ascii="宋体" w:hAnsi="宋体"/>
          <w:color w:val="000000" w:themeColor="text1"/>
          <w:sz w:val="72"/>
          <w:szCs w:val="72"/>
          <w:highlight w:val="none"/>
          <w:u w:val="single"/>
          <w14:textFill>
            <w14:solidFill>
              <w14:schemeClr w14:val="tx1"/>
            </w14:solidFill>
          </w14:textFill>
        </w:rPr>
      </w:pPr>
    </w:p>
    <w:p w14:paraId="556C3BC5">
      <w:pPr>
        <w:jc w:val="center"/>
        <w:rPr>
          <w:rFonts w:ascii="宋体" w:hAnsi="宋体"/>
          <w:color w:val="000000" w:themeColor="text1"/>
          <w:sz w:val="72"/>
          <w:szCs w:val="72"/>
          <w:highlight w:val="none"/>
          <w:u w:val="single"/>
          <w14:textFill>
            <w14:solidFill>
              <w14:schemeClr w14:val="tx1"/>
            </w14:solidFill>
          </w14:textFill>
        </w:rPr>
      </w:pPr>
    </w:p>
    <w:p w14:paraId="168EFE80">
      <w:pPr>
        <w:jc w:val="center"/>
        <w:rPr>
          <w:rFonts w:ascii="宋体" w:hAnsi="宋体"/>
          <w:color w:val="000000" w:themeColor="text1"/>
          <w:sz w:val="72"/>
          <w:szCs w:val="72"/>
          <w:highlight w:val="none"/>
          <w:u w:val="single"/>
          <w14:textFill>
            <w14:solidFill>
              <w14:schemeClr w14:val="tx1"/>
            </w14:solidFill>
          </w14:textFill>
        </w:rPr>
      </w:pPr>
    </w:p>
    <w:p w14:paraId="6675D146">
      <w:pPr>
        <w:jc w:val="center"/>
        <w:rPr>
          <w:rFonts w:ascii="宋体" w:hAnsi="宋体"/>
          <w:color w:val="000000" w:themeColor="text1"/>
          <w:sz w:val="72"/>
          <w:szCs w:val="72"/>
          <w:highlight w:val="none"/>
          <w:u w:val="single"/>
          <w14:textFill>
            <w14:solidFill>
              <w14:schemeClr w14:val="tx1"/>
            </w14:solidFill>
          </w14:textFill>
        </w:rPr>
      </w:pPr>
    </w:p>
    <w:p w14:paraId="36970931">
      <w:pPr>
        <w:pStyle w:val="4"/>
        <w:jc w:val="center"/>
        <w:rPr>
          <w:color w:val="000000" w:themeColor="text1"/>
          <w:sz w:val="84"/>
          <w:szCs w:val="84"/>
          <w:highlight w:val="none"/>
          <w14:textFill>
            <w14:solidFill>
              <w14:schemeClr w14:val="tx1"/>
            </w14:solidFill>
          </w14:textFill>
        </w:rPr>
      </w:pPr>
      <w:bookmarkStart w:id="1747" w:name="_Toc43476027"/>
      <w:bookmarkEnd w:id="1747"/>
      <w:r>
        <w:rPr>
          <w:rFonts w:hint="eastAsia"/>
          <w:color w:val="000000" w:themeColor="text1"/>
          <w:sz w:val="84"/>
          <w:szCs w:val="84"/>
          <w:highlight w:val="none"/>
          <w14:textFill>
            <w14:solidFill>
              <w14:schemeClr w14:val="tx1"/>
            </w14:solidFill>
          </w14:textFill>
        </w:rPr>
        <w:t>第三卷</w:t>
      </w:r>
    </w:p>
    <w:p w14:paraId="43861E93">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3024E05B">
      <w:pPr>
        <w:jc w:val="center"/>
        <w:rPr>
          <w:rFonts w:ascii="宋体" w:hAnsi="宋体"/>
          <w:color w:val="000000" w:themeColor="text1"/>
          <w:sz w:val="72"/>
          <w:szCs w:val="72"/>
          <w:highlight w:val="none"/>
          <w:u w:val="single"/>
          <w14:textFill>
            <w14:solidFill>
              <w14:schemeClr w14:val="tx1"/>
            </w14:solidFill>
          </w14:textFill>
        </w:rPr>
      </w:pPr>
    </w:p>
    <w:p w14:paraId="54466D79">
      <w:pPr>
        <w:jc w:val="center"/>
        <w:rPr>
          <w:rFonts w:ascii="宋体" w:hAnsi="宋体"/>
          <w:color w:val="000000" w:themeColor="text1"/>
          <w:sz w:val="72"/>
          <w:szCs w:val="72"/>
          <w:highlight w:val="none"/>
          <w:u w:val="single"/>
          <w14:textFill>
            <w14:solidFill>
              <w14:schemeClr w14:val="tx1"/>
            </w14:solidFill>
          </w14:textFill>
        </w:rPr>
      </w:pPr>
    </w:p>
    <w:p w14:paraId="67F2C4D3">
      <w:pPr>
        <w:jc w:val="center"/>
        <w:rPr>
          <w:rFonts w:ascii="宋体" w:hAnsi="宋体"/>
          <w:color w:val="000000" w:themeColor="text1"/>
          <w:sz w:val="72"/>
          <w:szCs w:val="72"/>
          <w:highlight w:val="none"/>
          <w:u w:val="single"/>
          <w14:textFill>
            <w14:solidFill>
              <w14:schemeClr w14:val="tx1"/>
            </w14:solidFill>
          </w14:textFill>
        </w:rPr>
      </w:pPr>
    </w:p>
    <w:p w14:paraId="53AED9F5">
      <w:pPr>
        <w:jc w:val="center"/>
        <w:rPr>
          <w:rFonts w:ascii="宋体" w:hAnsi="宋体"/>
          <w:color w:val="000000" w:themeColor="text1"/>
          <w:sz w:val="72"/>
          <w:szCs w:val="72"/>
          <w:highlight w:val="none"/>
          <w:u w:val="single"/>
          <w14:textFill>
            <w14:solidFill>
              <w14:schemeClr w14:val="tx1"/>
            </w14:solidFill>
          </w14:textFill>
        </w:rPr>
      </w:pPr>
    </w:p>
    <w:p w14:paraId="4679DB7F">
      <w:pPr>
        <w:pStyle w:val="4"/>
        <w:jc w:val="center"/>
        <w:rPr>
          <w:color w:val="000000" w:themeColor="text1"/>
          <w:highlight w:val="none"/>
          <w14:textFill>
            <w14:solidFill>
              <w14:schemeClr w14:val="tx1"/>
            </w14:solidFill>
          </w14:textFill>
        </w:rPr>
      </w:pPr>
      <w:bookmarkStart w:id="1748" w:name="_Toc43476028"/>
      <w:bookmarkEnd w:id="1748"/>
      <w:r>
        <w:rPr>
          <w:rFonts w:hint="eastAsia"/>
          <w:color w:val="000000" w:themeColor="text1"/>
          <w:highlight w:val="none"/>
          <w14:textFill>
            <w14:solidFill>
              <w14:schemeClr w14:val="tx1"/>
            </w14:solidFill>
          </w14:textFill>
        </w:rPr>
        <w:t>第七章技术规范（自行收集）</w:t>
      </w:r>
    </w:p>
    <w:p w14:paraId="7E554623">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5328532A">
      <w:pPr>
        <w:jc w:val="center"/>
        <w:rPr>
          <w:rFonts w:ascii="宋体" w:hAnsi="宋体"/>
          <w:color w:val="000000" w:themeColor="text1"/>
          <w:sz w:val="72"/>
          <w:szCs w:val="72"/>
          <w:highlight w:val="none"/>
          <w:u w:val="single"/>
          <w14:textFill>
            <w14:solidFill>
              <w14:schemeClr w14:val="tx1"/>
            </w14:solidFill>
          </w14:textFill>
        </w:rPr>
      </w:pPr>
    </w:p>
    <w:p w14:paraId="097E559D">
      <w:pPr>
        <w:jc w:val="center"/>
        <w:rPr>
          <w:rFonts w:ascii="宋体" w:hAnsi="宋体"/>
          <w:color w:val="000000" w:themeColor="text1"/>
          <w:sz w:val="72"/>
          <w:szCs w:val="72"/>
          <w:highlight w:val="none"/>
          <w:u w:val="single"/>
          <w14:textFill>
            <w14:solidFill>
              <w14:schemeClr w14:val="tx1"/>
            </w14:solidFill>
          </w14:textFill>
        </w:rPr>
      </w:pPr>
    </w:p>
    <w:p w14:paraId="0CC9DB80">
      <w:pPr>
        <w:jc w:val="center"/>
        <w:rPr>
          <w:rFonts w:ascii="宋体" w:hAnsi="宋体"/>
          <w:color w:val="000000" w:themeColor="text1"/>
          <w:sz w:val="72"/>
          <w:szCs w:val="72"/>
          <w:highlight w:val="none"/>
          <w:u w:val="single"/>
          <w14:textFill>
            <w14:solidFill>
              <w14:schemeClr w14:val="tx1"/>
            </w14:solidFill>
          </w14:textFill>
        </w:rPr>
      </w:pPr>
    </w:p>
    <w:p w14:paraId="00A69D7E">
      <w:pPr>
        <w:jc w:val="center"/>
        <w:rPr>
          <w:rFonts w:ascii="宋体" w:hAnsi="宋体"/>
          <w:color w:val="000000" w:themeColor="text1"/>
          <w:sz w:val="72"/>
          <w:szCs w:val="72"/>
          <w:highlight w:val="none"/>
          <w:u w:val="single"/>
          <w14:textFill>
            <w14:solidFill>
              <w14:schemeClr w14:val="tx1"/>
            </w14:solidFill>
          </w14:textFill>
        </w:rPr>
      </w:pPr>
    </w:p>
    <w:p w14:paraId="194D6006">
      <w:pPr>
        <w:pStyle w:val="4"/>
        <w:jc w:val="center"/>
        <w:rPr>
          <w:color w:val="000000" w:themeColor="text1"/>
          <w:highlight w:val="none"/>
          <w14:textFill>
            <w14:solidFill>
              <w14:schemeClr w14:val="tx1"/>
            </w14:solidFill>
          </w14:textFill>
        </w:rPr>
      </w:pPr>
      <w:bookmarkStart w:id="1749" w:name="_Toc43476029"/>
      <w:bookmarkEnd w:id="1749"/>
      <w:r>
        <w:rPr>
          <w:rFonts w:hint="eastAsia"/>
          <w:color w:val="000000" w:themeColor="text1"/>
          <w:highlight w:val="none"/>
          <w14:textFill>
            <w14:solidFill>
              <w14:schemeClr w14:val="tx1"/>
            </w14:solidFill>
          </w14:textFill>
        </w:rPr>
        <w:t>第八章  工程量清单计量规则</w:t>
      </w:r>
    </w:p>
    <w:p w14:paraId="2AD30C9D">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工程量清单计量规则具体应执行《广东省公路工程造价标准化管理指</w:t>
      </w:r>
    </w:p>
    <w:p w14:paraId="23226DC8">
      <w:pP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南》（粤交基〔2022〕483 号）及现行的相关补充规定</w:t>
      </w:r>
      <w:r>
        <w:rPr>
          <w:color w:val="000000" w:themeColor="text1"/>
          <w:sz w:val="24"/>
          <w:highlight w:val="none"/>
          <w14:textFill>
            <w14:solidFill>
              <w14:schemeClr w14:val="tx1"/>
            </w14:solidFill>
          </w14:textFill>
        </w:rPr>
        <w:t>）</w:t>
      </w:r>
    </w:p>
    <w:p w14:paraId="13155400">
      <w:pPr>
        <w:rPr>
          <w:color w:val="000000" w:themeColor="text1"/>
          <w:highlight w:val="none"/>
          <w14:textFill>
            <w14:solidFill>
              <w14:schemeClr w14:val="tx1"/>
            </w14:solidFill>
          </w14:textFill>
        </w:rPr>
      </w:pPr>
    </w:p>
    <w:p w14:paraId="18B0AD1B">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346DA73F">
      <w:pPr>
        <w:jc w:val="center"/>
        <w:rPr>
          <w:rFonts w:ascii="宋体" w:hAnsi="宋体"/>
          <w:color w:val="000000" w:themeColor="text1"/>
          <w:sz w:val="72"/>
          <w:szCs w:val="72"/>
          <w:highlight w:val="none"/>
          <w:u w:val="single"/>
          <w14:textFill>
            <w14:solidFill>
              <w14:schemeClr w14:val="tx1"/>
            </w14:solidFill>
          </w14:textFill>
        </w:rPr>
      </w:pPr>
    </w:p>
    <w:p w14:paraId="692532CA">
      <w:pPr>
        <w:jc w:val="center"/>
        <w:rPr>
          <w:rFonts w:ascii="宋体" w:hAnsi="宋体"/>
          <w:color w:val="000000" w:themeColor="text1"/>
          <w:sz w:val="72"/>
          <w:szCs w:val="72"/>
          <w:highlight w:val="none"/>
          <w:u w:val="single"/>
          <w14:textFill>
            <w14:solidFill>
              <w14:schemeClr w14:val="tx1"/>
            </w14:solidFill>
          </w14:textFill>
        </w:rPr>
      </w:pPr>
    </w:p>
    <w:p w14:paraId="4DD5FC24">
      <w:pPr>
        <w:jc w:val="center"/>
        <w:rPr>
          <w:rFonts w:ascii="宋体" w:hAnsi="宋体"/>
          <w:color w:val="000000" w:themeColor="text1"/>
          <w:sz w:val="72"/>
          <w:szCs w:val="72"/>
          <w:highlight w:val="none"/>
          <w:u w:val="single"/>
          <w14:textFill>
            <w14:solidFill>
              <w14:schemeClr w14:val="tx1"/>
            </w14:solidFill>
          </w14:textFill>
        </w:rPr>
      </w:pPr>
    </w:p>
    <w:p w14:paraId="243A3588">
      <w:pPr>
        <w:jc w:val="center"/>
        <w:rPr>
          <w:rFonts w:ascii="宋体" w:hAnsi="宋体"/>
          <w:color w:val="000000" w:themeColor="text1"/>
          <w:sz w:val="72"/>
          <w:szCs w:val="72"/>
          <w:highlight w:val="none"/>
          <w:u w:val="single"/>
          <w14:textFill>
            <w14:solidFill>
              <w14:schemeClr w14:val="tx1"/>
            </w14:solidFill>
          </w14:textFill>
        </w:rPr>
      </w:pPr>
    </w:p>
    <w:p w14:paraId="3225BA5A">
      <w:pPr>
        <w:pStyle w:val="4"/>
        <w:jc w:val="center"/>
        <w:rPr>
          <w:color w:val="000000" w:themeColor="text1"/>
          <w:sz w:val="84"/>
          <w:szCs w:val="84"/>
          <w:highlight w:val="none"/>
          <w14:textFill>
            <w14:solidFill>
              <w14:schemeClr w14:val="tx1"/>
            </w14:solidFill>
          </w14:textFill>
        </w:rPr>
      </w:pPr>
      <w:bookmarkStart w:id="1750" w:name="_Toc43476030"/>
      <w:bookmarkEnd w:id="1750"/>
      <w:r>
        <w:rPr>
          <w:rFonts w:hint="eastAsia"/>
          <w:color w:val="000000" w:themeColor="text1"/>
          <w:sz w:val="84"/>
          <w:szCs w:val="84"/>
          <w:highlight w:val="none"/>
          <w14:textFill>
            <w14:solidFill>
              <w14:schemeClr w14:val="tx1"/>
            </w14:solidFill>
          </w14:textFill>
        </w:rPr>
        <w:t>第四卷</w:t>
      </w:r>
    </w:p>
    <w:p w14:paraId="08AEFBC3">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51180A1B">
      <w:pPr>
        <w:jc w:val="center"/>
        <w:rPr>
          <w:rFonts w:ascii="宋体" w:hAnsi="宋体"/>
          <w:color w:val="000000" w:themeColor="text1"/>
          <w:sz w:val="72"/>
          <w:szCs w:val="72"/>
          <w:highlight w:val="none"/>
          <w:u w:val="single"/>
          <w14:textFill>
            <w14:solidFill>
              <w14:schemeClr w14:val="tx1"/>
            </w14:solidFill>
          </w14:textFill>
        </w:rPr>
      </w:pPr>
    </w:p>
    <w:p w14:paraId="765B1294">
      <w:pPr>
        <w:jc w:val="center"/>
        <w:rPr>
          <w:rFonts w:ascii="宋体" w:hAnsi="宋体"/>
          <w:color w:val="000000" w:themeColor="text1"/>
          <w:sz w:val="72"/>
          <w:szCs w:val="72"/>
          <w:highlight w:val="none"/>
          <w:u w:val="single"/>
          <w14:textFill>
            <w14:solidFill>
              <w14:schemeClr w14:val="tx1"/>
            </w14:solidFill>
          </w14:textFill>
        </w:rPr>
      </w:pPr>
    </w:p>
    <w:p w14:paraId="1088E91E">
      <w:pPr>
        <w:jc w:val="center"/>
        <w:rPr>
          <w:rFonts w:ascii="宋体" w:hAnsi="宋体"/>
          <w:color w:val="000000" w:themeColor="text1"/>
          <w:sz w:val="72"/>
          <w:szCs w:val="72"/>
          <w:highlight w:val="none"/>
          <w:u w:val="single"/>
          <w14:textFill>
            <w14:solidFill>
              <w14:schemeClr w14:val="tx1"/>
            </w14:solidFill>
          </w14:textFill>
        </w:rPr>
      </w:pPr>
    </w:p>
    <w:p w14:paraId="6EB6ACEA">
      <w:pPr>
        <w:jc w:val="center"/>
        <w:rPr>
          <w:rFonts w:ascii="宋体" w:hAnsi="宋体"/>
          <w:color w:val="000000" w:themeColor="text1"/>
          <w:sz w:val="72"/>
          <w:szCs w:val="72"/>
          <w:highlight w:val="none"/>
          <w:u w:val="single"/>
          <w14:textFill>
            <w14:solidFill>
              <w14:schemeClr w14:val="tx1"/>
            </w14:solidFill>
          </w14:textFill>
        </w:rPr>
      </w:pPr>
    </w:p>
    <w:p w14:paraId="3E1EF72C">
      <w:pPr>
        <w:pStyle w:val="4"/>
        <w:jc w:val="center"/>
        <w:rPr>
          <w:color w:val="000000" w:themeColor="text1"/>
          <w:highlight w:val="none"/>
          <w14:textFill>
            <w14:solidFill>
              <w14:schemeClr w14:val="tx1"/>
            </w14:solidFill>
          </w14:textFill>
        </w:rPr>
      </w:pPr>
      <w:bookmarkStart w:id="1751" w:name="_Toc43476031"/>
      <w:bookmarkEnd w:id="1751"/>
      <w:r>
        <w:rPr>
          <w:rFonts w:hint="eastAsia"/>
          <w:color w:val="000000" w:themeColor="text1"/>
          <w:highlight w:val="none"/>
          <w14:textFill>
            <w14:solidFill>
              <w14:schemeClr w14:val="tx1"/>
            </w14:solidFill>
          </w14:textFill>
        </w:rPr>
        <w:t>第九章投标文件格式</w:t>
      </w:r>
    </w:p>
    <w:p w14:paraId="266C1A3D">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26C73D4B">
      <w:pPr>
        <w:spacing w:line="360" w:lineRule="auto"/>
        <w:ind w:firstLine="643" w:firstLineChars="200"/>
        <w:jc w:val="center"/>
        <w:rPr>
          <w:rFonts w:ascii="宋体" w:hAnsi="宋体"/>
          <w:b/>
          <w:color w:val="000000" w:themeColor="text1"/>
          <w:sz w:val="32"/>
          <w:szCs w:val="32"/>
          <w:highlight w:val="none"/>
          <w:u w:val="single"/>
          <w14:textFill>
            <w14:solidFill>
              <w14:schemeClr w14:val="tx1"/>
            </w14:solidFill>
          </w14:textFill>
        </w:rPr>
      </w:pPr>
    </w:p>
    <w:p w14:paraId="519B04C7">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广东省</w:t>
      </w:r>
    </w:p>
    <w:p w14:paraId="77B7E690">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14:paraId="3F78CD00">
      <w:pPr>
        <w:spacing w:line="360" w:lineRule="auto"/>
        <w:ind w:firstLine="883" w:firstLineChars="20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14:paraId="5D5064B2">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2FD5272D">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79F80A07">
      <w:pPr>
        <w:spacing w:line="360" w:lineRule="auto"/>
        <w:jc w:val="center"/>
        <w:rPr>
          <w:rFonts w:ascii="宋体" w:hAnsi="宋体"/>
          <w:b/>
          <w:color w:val="000000" w:themeColor="text1"/>
          <w:sz w:val="52"/>
          <w:szCs w:val="52"/>
          <w:highlight w:val="none"/>
          <w14:textFill>
            <w14:solidFill>
              <w14:schemeClr w14:val="tx1"/>
            </w14:solidFill>
          </w14:textFill>
        </w:rPr>
      </w:pPr>
    </w:p>
    <w:p w14:paraId="564B8236">
      <w:pPr>
        <w:spacing w:line="360" w:lineRule="auto"/>
        <w:jc w:val="center"/>
        <w:rPr>
          <w:rFonts w:ascii="宋体" w:hAnsi="宋体"/>
          <w:b/>
          <w:color w:val="000000" w:themeColor="text1"/>
          <w:sz w:val="52"/>
          <w:szCs w:val="52"/>
          <w:highlight w:val="none"/>
          <w14:textFill>
            <w14:solidFill>
              <w14:schemeClr w14:val="tx1"/>
            </w14:solidFill>
          </w14:textFill>
        </w:rPr>
      </w:pPr>
    </w:p>
    <w:p w14:paraId="7156A9B3">
      <w:pPr>
        <w:jc w:val="center"/>
        <w:rPr>
          <w:rFonts w:ascii="宋体" w:hAns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投 标 文 件</w:t>
      </w:r>
    </w:p>
    <w:p w14:paraId="315EEB56">
      <w:pPr>
        <w:pStyle w:val="55"/>
        <w:rPr>
          <w:color w:val="000000" w:themeColor="text1"/>
          <w:highlight w:val="none"/>
          <w14:textFill>
            <w14:solidFill>
              <w14:schemeClr w14:val="tx1"/>
            </w14:solidFill>
          </w14:textFill>
        </w:rPr>
      </w:pPr>
    </w:p>
    <w:p w14:paraId="7BAB234C">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（第一信封：商务及技术文件）</w:t>
      </w:r>
    </w:p>
    <w:p w14:paraId="66F0371F">
      <w:pPr>
        <w:spacing w:line="360" w:lineRule="auto"/>
        <w:rPr>
          <w:rFonts w:ascii="宋体" w:hAnsi="宋体"/>
          <w:b/>
          <w:color w:val="000000" w:themeColor="text1"/>
          <w:sz w:val="32"/>
          <w:szCs w:val="32"/>
          <w:highlight w:val="none"/>
          <w14:textFill>
            <w14:solidFill>
              <w14:schemeClr w14:val="tx1"/>
            </w14:solidFill>
          </w14:textFill>
        </w:rPr>
      </w:pPr>
    </w:p>
    <w:p w14:paraId="6561C693">
      <w:pPr>
        <w:spacing w:line="360" w:lineRule="auto"/>
        <w:rPr>
          <w:rFonts w:ascii="宋体" w:hAnsi="宋体"/>
          <w:b/>
          <w:color w:val="000000" w:themeColor="text1"/>
          <w:sz w:val="32"/>
          <w:szCs w:val="32"/>
          <w:highlight w:val="none"/>
          <w14:textFill>
            <w14:solidFill>
              <w14:schemeClr w14:val="tx1"/>
            </w14:solidFill>
          </w14:textFill>
        </w:rPr>
      </w:pPr>
    </w:p>
    <w:p w14:paraId="2826AC62">
      <w:pPr>
        <w:spacing w:line="360" w:lineRule="auto"/>
        <w:rPr>
          <w:rFonts w:ascii="宋体" w:hAnsi="宋体"/>
          <w:b/>
          <w:color w:val="000000" w:themeColor="text1"/>
          <w:sz w:val="32"/>
          <w:szCs w:val="32"/>
          <w:highlight w:val="none"/>
          <w14:textFill>
            <w14:solidFill>
              <w14:schemeClr w14:val="tx1"/>
            </w14:solidFill>
          </w14:textFill>
        </w:rPr>
      </w:pPr>
    </w:p>
    <w:p w14:paraId="73EE8530">
      <w:pPr>
        <w:spacing w:line="360" w:lineRule="auto"/>
        <w:rPr>
          <w:rFonts w:ascii="宋体" w:hAnsi="宋体"/>
          <w:b/>
          <w:color w:val="000000" w:themeColor="text1"/>
          <w:sz w:val="32"/>
          <w:szCs w:val="32"/>
          <w:highlight w:val="none"/>
          <w14:textFill>
            <w14:solidFill>
              <w14:schemeClr w14:val="tx1"/>
            </w14:solidFill>
          </w14:textFill>
        </w:rPr>
      </w:pPr>
    </w:p>
    <w:p w14:paraId="41F0A524">
      <w:pPr>
        <w:spacing w:line="360" w:lineRule="auto"/>
        <w:rPr>
          <w:rFonts w:ascii="宋体" w:hAnsi="宋体"/>
          <w:b/>
          <w:color w:val="000000" w:themeColor="text1"/>
          <w:sz w:val="32"/>
          <w:szCs w:val="32"/>
          <w:highlight w:val="none"/>
          <w14:textFill>
            <w14:solidFill>
              <w14:schemeClr w14:val="tx1"/>
            </w14:solidFill>
          </w14:textFill>
        </w:rPr>
      </w:pPr>
    </w:p>
    <w:p w14:paraId="2DDBB739">
      <w:pPr>
        <w:spacing w:line="360" w:lineRule="auto"/>
        <w:rPr>
          <w:rFonts w:ascii="宋体" w:hAnsi="宋体"/>
          <w:b/>
          <w:color w:val="000000" w:themeColor="text1"/>
          <w:sz w:val="32"/>
          <w:szCs w:val="32"/>
          <w:highlight w:val="none"/>
          <w14:textFill>
            <w14:solidFill>
              <w14:schemeClr w14:val="tx1"/>
            </w14:solidFill>
          </w14:textFill>
        </w:rPr>
      </w:pPr>
    </w:p>
    <w:p w14:paraId="1E11A42F">
      <w:pPr>
        <w:spacing w:line="360" w:lineRule="auto"/>
        <w:rPr>
          <w:rFonts w:ascii="宋体" w:hAnsi="宋体"/>
          <w:b/>
          <w:color w:val="000000" w:themeColor="text1"/>
          <w:sz w:val="32"/>
          <w:szCs w:val="32"/>
          <w:highlight w:val="none"/>
          <w14:textFill>
            <w14:solidFill>
              <w14:schemeClr w14:val="tx1"/>
            </w14:solidFill>
          </w14:textFill>
        </w:rPr>
      </w:pPr>
    </w:p>
    <w:p w14:paraId="7D5F3833">
      <w:pPr>
        <w:tabs>
          <w:tab w:val="left" w:pos="3848"/>
        </w:tabs>
        <w:spacing w:before="101" w:line="380" w:lineRule="auto"/>
        <w:ind w:left="2555" w:right="776" w:hanging="1614"/>
        <w:rPr>
          <w:rFonts w:ascii="宋体" w:hAnsi="宋体" w:cs="宋体"/>
          <w:b/>
          <w:bCs/>
          <w:color w:val="000000" w:themeColor="text1"/>
          <w:sz w:val="31"/>
          <w:szCs w:val="31"/>
          <w:highlight w:val="none"/>
          <w14:textFill>
            <w14:solidFill>
              <w14:schemeClr w14:val="tx1"/>
            </w14:solidFill>
          </w14:textFill>
        </w:rPr>
      </w:pPr>
      <w:r>
        <w:rPr>
          <w:rFonts w:ascii="宋体" w:hAnsi="宋体" w:cs="宋体"/>
          <w:b/>
          <w:bCs/>
          <w:color w:val="000000" w:themeColor="text1"/>
          <w:spacing w:val="-4"/>
          <w:sz w:val="31"/>
          <w:szCs w:val="31"/>
          <w:highlight w:val="none"/>
          <w14:textFill>
            <w14:solidFill>
              <w14:schemeClr w14:val="tx1"/>
            </w14:solidFill>
          </w14:textFill>
        </w:rPr>
        <w:t>投标人：</w:t>
      </w:r>
      <w:r>
        <w:rPr>
          <w:rFonts w:ascii="宋体" w:hAnsi="宋体" w:cs="宋体"/>
          <w:b/>
          <w:bCs/>
          <w:color w:val="000000" w:themeColor="text1"/>
          <w:spacing w:val="-4"/>
          <w:sz w:val="31"/>
          <w:szCs w:val="31"/>
          <w:highlight w:val="none"/>
          <w:u w:val="single"/>
          <w14:textFill>
            <w14:solidFill>
              <w14:schemeClr w14:val="tx1"/>
            </w14:solidFill>
          </w14:textFill>
        </w:rPr>
        <w:t xml:space="preserve">           </w:t>
      </w:r>
      <w:r>
        <w:rPr>
          <w:rFonts w:ascii="宋体" w:hAnsi="宋体" w:cs="宋体"/>
          <w:b/>
          <w:bCs/>
          <w:color w:val="000000" w:themeColor="text1"/>
          <w:spacing w:val="-3"/>
          <w:sz w:val="31"/>
          <w:szCs w:val="31"/>
          <w:highlight w:val="none"/>
          <w:u w:val="single"/>
          <w14:textFill>
            <w14:solidFill>
              <w14:schemeClr w14:val="tx1"/>
            </w14:solidFill>
          </w14:textFill>
        </w:rPr>
        <w:t xml:space="preserve"> </w:t>
      </w:r>
      <w:r>
        <w:rPr>
          <w:rFonts w:ascii="宋体" w:hAnsi="宋体" w:cs="宋体"/>
          <w:b/>
          <w:bCs/>
          <w:color w:val="000000" w:themeColor="text1"/>
          <w:spacing w:val="-2"/>
          <w:sz w:val="31"/>
          <w:szCs w:val="31"/>
          <w:highlight w:val="none"/>
          <w:u w:val="single"/>
          <w14:textFill>
            <w14:solidFill>
              <w14:schemeClr w14:val="tx1"/>
            </w14:solidFill>
          </w14:textFill>
        </w:rPr>
        <w:t xml:space="preserve">              </w:t>
      </w:r>
      <w:r>
        <w:rPr>
          <w:rFonts w:ascii="宋体" w:hAnsi="宋体" w:cs="宋体"/>
          <w:b/>
          <w:bCs/>
          <w:color w:val="000000" w:themeColor="text1"/>
          <w:spacing w:val="-2"/>
          <w:sz w:val="31"/>
          <w:szCs w:val="31"/>
          <w:highlight w:val="none"/>
          <w14:textFill>
            <w14:solidFill>
              <w14:schemeClr w14:val="tx1"/>
            </w14:solidFill>
          </w14:textFill>
        </w:rPr>
        <w:t>(盖单位章)</w:t>
      </w:r>
      <w:r>
        <w:rPr>
          <w:rFonts w:ascii="宋体" w:hAnsi="宋体" w:cs="宋体"/>
          <w:b/>
          <w:bCs/>
          <w:color w:val="000000" w:themeColor="text1"/>
          <w:sz w:val="31"/>
          <w:szCs w:val="31"/>
          <w:highlight w:val="none"/>
          <w14:textFill>
            <w14:solidFill>
              <w14:schemeClr w14:val="tx1"/>
            </w14:solidFill>
          </w14:textFill>
        </w:rPr>
        <w:t xml:space="preserve"> </w:t>
      </w:r>
    </w:p>
    <w:p w14:paraId="0B361ACA">
      <w:pPr>
        <w:tabs>
          <w:tab w:val="left" w:pos="3848"/>
        </w:tabs>
        <w:spacing w:before="101" w:line="380" w:lineRule="auto"/>
        <w:ind w:left="2587" w:leftChars="1232" w:right="776" w:firstLine="103" w:firstLineChars="33"/>
        <w:rPr>
          <w:rFonts w:ascii="宋体" w:hAnsi="宋体" w:cs="宋体"/>
          <w:b/>
          <w:bCs/>
          <w:color w:val="000000" w:themeColor="text1"/>
          <w:sz w:val="31"/>
          <w:szCs w:val="31"/>
          <w:highlight w:val="none"/>
          <w14:textFill>
            <w14:solidFill>
              <w14:schemeClr w14:val="tx1"/>
            </w14:solidFill>
          </w14:textFill>
        </w:rPr>
      </w:pPr>
      <w:r>
        <w:rPr>
          <w:rFonts w:ascii="宋体" w:hAnsi="宋体" w:cs="宋体"/>
          <w:b/>
          <w:bCs/>
          <w:color w:val="000000" w:themeColor="text1"/>
          <w:sz w:val="31"/>
          <w:szCs w:val="31"/>
          <w:highlight w:val="none"/>
          <w:u w:val="single"/>
          <w14:textFill>
            <w14:solidFill>
              <w14:schemeClr w14:val="tx1"/>
            </w14:solidFill>
          </w14:textFill>
        </w:rPr>
        <w:tab/>
      </w:r>
      <w:r>
        <w:rPr>
          <w:rFonts w:ascii="宋体" w:hAnsi="宋体" w:cs="宋体"/>
          <w:b/>
          <w:bCs/>
          <w:color w:val="000000" w:themeColor="text1"/>
          <w:spacing w:val="-2"/>
          <w:sz w:val="31"/>
          <w:szCs w:val="31"/>
          <w:highlight w:val="none"/>
          <w14:textFill>
            <w14:solidFill>
              <w14:schemeClr w14:val="tx1"/>
            </w14:solidFill>
          </w14:textFill>
        </w:rPr>
        <w:t>年</w:t>
      </w:r>
      <w:r>
        <w:rPr>
          <w:rFonts w:ascii="宋体" w:hAnsi="宋体" w:cs="宋体"/>
          <w:b/>
          <w:bCs/>
          <w:color w:val="000000" w:themeColor="text1"/>
          <w:spacing w:val="-2"/>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14:textFill>
            <w14:solidFill>
              <w14:schemeClr w14:val="tx1"/>
            </w14:solidFill>
          </w14:textFill>
        </w:rPr>
        <w:t>月</w:t>
      </w:r>
      <w:r>
        <w:rPr>
          <w:rFonts w:ascii="宋体" w:hAnsi="宋体" w:cs="宋体"/>
          <w:b/>
          <w:bCs/>
          <w:color w:val="000000" w:themeColor="text1"/>
          <w:spacing w:val="-1"/>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14:textFill>
            <w14:solidFill>
              <w14:schemeClr w14:val="tx1"/>
            </w14:solidFill>
          </w14:textFill>
        </w:rPr>
        <w:t xml:space="preserve"> 日</w:t>
      </w:r>
    </w:p>
    <w:p w14:paraId="59C28BBD">
      <w:pPr>
        <w:rPr>
          <w:b/>
          <w:bCs/>
          <w:color w:val="000000" w:themeColor="text1"/>
          <w:highlight w:val="none"/>
          <w14:textFill>
            <w14:solidFill>
              <w14:schemeClr w14:val="tx1"/>
            </w14:solidFill>
          </w14:textFill>
        </w:rPr>
        <w:sectPr>
          <w:headerReference r:id="rId11" w:type="default"/>
          <w:footerReference r:id="rId12" w:type="default"/>
          <w:pgSz w:w="11900" w:h="16839"/>
          <w:pgMar w:top="947" w:right="1125" w:bottom="1134" w:left="1420" w:header="707" w:footer="974" w:gutter="0"/>
          <w:pgNumType w:fmt="decimal"/>
          <w:cols w:space="720" w:num="1"/>
        </w:sectPr>
      </w:pPr>
    </w:p>
    <w:p w14:paraId="69EE2A74">
      <w:pPr>
        <w:spacing w:line="360" w:lineRule="auto"/>
        <w:ind w:firstLine="4498" w:firstLineChars="1400"/>
        <w:rPr>
          <w:rFonts w:ascii="宋体" w:hAnsi="宋体"/>
          <w:b/>
          <w:color w:val="000000" w:themeColor="text1"/>
          <w:sz w:val="32"/>
          <w:szCs w:val="32"/>
          <w:highlight w:val="none"/>
          <w14:textFill>
            <w14:solidFill>
              <w14:schemeClr w14:val="tx1"/>
            </w14:solidFill>
          </w14:textFill>
        </w:rPr>
      </w:pPr>
    </w:p>
    <w:p w14:paraId="0B7DCC11">
      <w:pPr>
        <w:spacing w:line="360" w:lineRule="auto"/>
        <w:jc w:val="center"/>
        <w:rPr>
          <w:rFonts w:ascii="宋体" w:hAnsi="宋体"/>
          <w:b/>
          <w:color w:val="000000" w:themeColor="text1"/>
          <w:sz w:val="36"/>
          <w:szCs w:val="36"/>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6"/>
          <w:szCs w:val="36"/>
          <w:highlight w:val="none"/>
          <w14:textFill>
            <w14:solidFill>
              <w14:schemeClr w14:val="tx1"/>
            </w14:solidFill>
          </w14:textFill>
        </w:rPr>
        <w:t xml:space="preserve">目  </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录</w:t>
      </w:r>
    </w:p>
    <w:p w14:paraId="747171C2">
      <w:pPr>
        <w:pStyle w:val="55"/>
        <w:rPr>
          <w:color w:val="000000" w:themeColor="text1"/>
          <w:highlight w:val="none"/>
          <w14:textFill>
            <w14:solidFill>
              <w14:schemeClr w14:val="tx1"/>
            </w14:solidFill>
          </w14:textFill>
        </w:rPr>
      </w:pPr>
    </w:p>
    <w:p w14:paraId="0961D25A">
      <w:pPr>
        <w:spacing w:line="48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第一信封</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商务及技术文件</w:t>
      </w:r>
      <w:r>
        <w:rPr>
          <w:rFonts w:hint="eastAsia"/>
          <w:color w:val="000000" w:themeColor="text1"/>
          <w:sz w:val="24"/>
          <w:highlight w:val="none"/>
          <w14:textFill>
            <w14:solidFill>
              <w14:schemeClr w14:val="tx1"/>
            </w14:solidFill>
          </w14:textFill>
        </w:rPr>
        <w:t>）</w:t>
      </w:r>
    </w:p>
    <w:p w14:paraId="786B7507">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一、投标函及投标函附录</w:t>
      </w:r>
    </w:p>
    <w:p w14:paraId="12A0D9B2">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二、授权委托书或法定代表人身份证明</w:t>
      </w:r>
    </w:p>
    <w:p w14:paraId="309369C4">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三、投标保证金</w:t>
      </w:r>
    </w:p>
    <w:p w14:paraId="2032ACEB">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四、施工组织设计</w:t>
      </w:r>
    </w:p>
    <w:p w14:paraId="1E935C3E">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五、项目管理机构</w:t>
      </w:r>
    </w:p>
    <w:p w14:paraId="19FC6899">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六、拟分包项目情况表</w:t>
      </w:r>
    </w:p>
    <w:p w14:paraId="1F1816CA">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七、资格审查资料</w:t>
      </w:r>
    </w:p>
    <w:p w14:paraId="591D9909">
      <w:pPr>
        <w:spacing w:line="480" w:lineRule="auto"/>
        <w:rPr>
          <w:rFonts w:cs="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八、其他资料</w:t>
      </w:r>
    </w:p>
    <w:p w14:paraId="6548BC72">
      <w:pPr>
        <w:adjustRightInd w:val="0"/>
        <w:snapToGrid w:val="0"/>
        <w:spacing w:line="360" w:lineRule="auto"/>
        <w:jc w:val="center"/>
        <w:rPr>
          <w:rFonts w:ascii="宋体" w:hAnsi="宋体"/>
          <w:b/>
          <w:color w:val="000000" w:themeColor="text1"/>
          <w:sz w:val="28"/>
          <w:szCs w:val="28"/>
          <w:highlight w:val="none"/>
          <w14:textFill>
            <w14:solidFill>
              <w14:schemeClr w14:val="tx1"/>
            </w14:solidFill>
          </w14:textFill>
        </w:rPr>
      </w:pPr>
      <w:bookmarkStart w:id="1752" w:name="_Toc234382957"/>
      <w:bookmarkEnd w:id="1752"/>
      <w:r>
        <w:rPr>
          <w:rFonts w:hint="eastAsia" w:ascii="宋体" w:hAnsi="宋体"/>
          <w:color w:val="000000" w:themeColor="text1"/>
          <w:sz w:val="24"/>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一、投标函及投标函附录</w:t>
      </w:r>
    </w:p>
    <w:p w14:paraId="0C18B90D">
      <w:pPr>
        <w:jc w:val="center"/>
        <w:rPr>
          <w:rFonts w:ascii="宋体" w:hAnsi="宋体"/>
          <w:b/>
          <w:color w:val="000000" w:themeColor="text1"/>
          <w:sz w:val="28"/>
          <w:szCs w:val="28"/>
          <w:highlight w:val="none"/>
          <w14:textFill>
            <w14:solidFill>
              <w14:schemeClr w14:val="tx1"/>
            </w14:solidFill>
          </w14:textFill>
        </w:rPr>
      </w:pPr>
      <w:bookmarkStart w:id="1753" w:name="_Toc234382958"/>
      <w:bookmarkEnd w:id="1753"/>
      <w:r>
        <w:rPr>
          <w:rFonts w:ascii="宋体" w:hAnsi="宋体"/>
          <w:b/>
          <w:color w:val="000000" w:themeColor="text1"/>
          <w:sz w:val="28"/>
          <w:szCs w:val="28"/>
          <w:highlight w:val="none"/>
          <w14:textFill>
            <w14:solidFill>
              <w14:schemeClr w14:val="tx1"/>
            </w14:solidFill>
          </w14:textFill>
        </w:rPr>
        <w:t>（一）投  标  函</w:t>
      </w:r>
    </w:p>
    <w:p w14:paraId="01780192">
      <w:pPr>
        <w:spacing w:line="360" w:lineRule="exact"/>
        <w:rPr>
          <w:rFonts w:ascii="宋体" w:hAnsi="宋体"/>
          <w:color w:val="000000" w:themeColor="text1"/>
          <w:sz w:val="24"/>
          <w:highlight w:val="none"/>
          <w14:textFill>
            <w14:solidFill>
              <w14:schemeClr w14:val="tx1"/>
            </w14:solidFill>
          </w14:textFill>
        </w:rPr>
      </w:pPr>
    </w:p>
    <w:p w14:paraId="43391315">
      <w:pPr>
        <w:spacing w:line="36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（招标人名称）：</w:t>
      </w:r>
    </w:p>
    <w:p w14:paraId="02DC760C">
      <w:pPr>
        <w:spacing w:line="360" w:lineRule="exact"/>
        <w:rPr>
          <w:rFonts w:ascii="宋体" w:hAnsi="宋体"/>
          <w:color w:val="000000" w:themeColor="text1"/>
          <w:szCs w:val="21"/>
          <w:highlight w:val="none"/>
          <w14:textFill>
            <w14:solidFill>
              <w14:schemeClr w14:val="tx1"/>
            </w14:solidFill>
          </w14:textFill>
        </w:rPr>
      </w:pPr>
    </w:p>
    <w:p w14:paraId="67BFD0B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1.我方已仔细研究了</w:t>
      </w:r>
      <w:r>
        <w:rPr>
          <w:rFonts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施工招标</w:t>
      </w:r>
      <w:r>
        <w:rPr>
          <w:rFonts w:ascii="宋体" w:hAnsi="宋体"/>
          <w:color w:val="000000" w:themeColor="text1"/>
          <w:szCs w:val="21"/>
          <w:highlight w:val="none"/>
          <w14:textFill>
            <w14:solidFill>
              <w14:schemeClr w14:val="tx1"/>
            </w14:solidFill>
          </w14:textFill>
        </w:rPr>
        <w:t>文件的全部内容（含补遗书第</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号至第</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号），在考察工程现场后，</w:t>
      </w:r>
      <w:r>
        <w:rPr>
          <w:rFonts w:hint="eastAsia" w:ascii="宋体" w:hAnsi="宋体"/>
          <w:color w:val="000000" w:themeColor="text1"/>
          <w:szCs w:val="21"/>
          <w:highlight w:val="none"/>
          <w14:textFill>
            <w14:solidFill>
              <w14:schemeClr w14:val="tx1"/>
            </w14:solidFill>
          </w14:textFill>
        </w:rPr>
        <w:t>愿意以第二个信封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报价文件</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中的投标总报价</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或根据招标文件规定修正核实后确定的另一金额</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按合同约定实施和完成承包工程</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修补工程中的任何缺陷。</w:t>
      </w:r>
    </w:p>
    <w:p w14:paraId="4625E8B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我方承诺在招标文件规定的投标有效期内不撤销投标文件。</w:t>
      </w:r>
    </w:p>
    <w:p w14:paraId="66D9350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工程质量</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，安全目标：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，工期</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w:t>
      </w:r>
    </w:p>
    <w:p w14:paraId="1EF24FF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如我方中标，我方承诺</w:t>
      </w:r>
      <w:r>
        <w:rPr>
          <w:rFonts w:ascii="宋体" w:hAnsi="宋体"/>
          <w:color w:val="000000" w:themeColor="text1"/>
          <w:szCs w:val="21"/>
          <w:highlight w:val="none"/>
          <w14:textFill>
            <w14:solidFill>
              <w14:schemeClr w14:val="tx1"/>
            </w14:solidFill>
          </w14:textFill>
        </w:rPr>
        <w:t>：</w:t>
      </w:r>
    </w:p>
    <w:p w14:paraId="2C822CB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在收到中标通知书后</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在规定的期限内与你方签订合同；</w:t>
      </w:r>
    </w:p>
    <w:p w14:paraId="656EEA3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在签订合同时不向你方提出附加条件；</w:t>
      </w:r>
    </w:p>
    <w:p w14:paraId="567BF2D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按照招标文件要求提交履约保证金；</w:t>
      </w:r>
    </w:p>
    <w:p w14:paraId="74E16A9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在合同约定的期限内完成合同规定的全部义务；</w:t>
      </w:r>
    </w:p>
    <w:p w14:paraId="380F06B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29EC96E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5.我方在此声明，所递交的投标文件及有关资料内容完整、真实和准确，且不存在招标文件第二章“投标人须知”第 1.4.3 项和第 1.4.4 项规定的任何一种情形。</w:t>
      </w:r>
    </w:p>
    <w:p w14:paraId="4BA6F7A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14:paraId="732E9E0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7.我方在此承诺：权利义务满足招标文件规定。</w:t>
      </w:r>
    </w:p>
    <w:p w14:paraId="3083C79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8.在合同协议书正式签署生效之前，本投标函连同你方的中标通知书将构成我们双方之间共同遵守的文件，对双方具有约束力。</w:t>
      </w:r>
    </w:p>
    <w:p w14:paraId="4062A8F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9.（其他补充说明）。</w:t>
      </w:r>
    </w:p>
    <w:p w14:paraId="1C531F69">
      <w:pPr>
        <w:pStyle w:val="18"/>
        <w:rPr>
          <w:rFonts w:ascii="宋体" w:hAnsi="宋体"/>
          <w:color w:val="000000" w:themeColor="text1"/>
          <w:szCs w:val="21"/>
          <w:highlight w:val="none"/>
          <w14:textFill>
            <w14:solidFill>
              <w14:schemeClr w14:val="tx1"/>
            </w14:solidFill>
          </w14:textFill>
        </w:rPr>
      </w:pPr>
    </w:p>
    <w:p w14:paraId="0B2D3B6E">
      <w:pPr>
        <w:pStyle w:val="18"/>
        <w:rPr>
          <w:rFonts w:ascii="宋体" w:hAnsi="宋体"/>
          <w:color w:val="000000" w:themeColor="text1"/>
          <w:szCs w:val="21"/>
          <w:highlight w:val="none"/>
          <w14:textFill>
            <w14:solidFill>
              <w14:schemeClr w14:val="tx1"/>
            </w14:solidFill>
          </w14:textFill>
        </w:rPr>
      </w:pPr>
    </w:p>
    <w:p w14:paraId="3CA9F9AC">
      <w:pPr>
        <w:tabs>
          <w:tab w:val="left" w:pos="2977"/>
          <w:tab w:val="left" w:pos="3261"/>
        </w:tabs>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 标 人：（盖单位章）</w:t>
      </w:r>
    </w:p>
    <w:p w14:paraId="2C3A1C45">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14:paraId="664AF30F">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p>
    <w:p w14:paraId="4A81152A">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14:paraId="7FBF2F19">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14:paraId="75641D58">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14:paraId="6E4B687E">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14:paraId="2446792E">
      <w:pPr>
        <w:spacing w:line="360" w:lineRule="exact"/>
        <w:rPr>
          <w:rFonts w:ascii="宋体" w:hAnsi="宋体"/>
          <w:color w:val="000000" w:themeColor="text1"/>
          <w:szCs w:val="21"/>
          <w:highlight w:val="none"/>
          <w14:textFill>
            <w14:solidFill>
              <w14:schemeClr w14:val="tx1"/>
            </w14:solidFill>
          </w14:textFill>
        </w:rPr>
      </w:pPr>
    </w:p>
    <w:p w14:paraId="49A1CBD6">
      <w:pPr>
        <w:spacing w:line="360" w:lineRule="exact"/>
        <w:ind w:firstLine="3780" w:firstLineChars="1800"/>
        <w:rPr>
          <w:rFonts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14:paraId="0088FC88">
      <w:pPr>
        <w:jc w:val="center"/>
        <w:rPr>
          <w:rFonts w:ascii="宋体" w:hAnsi="宋体"/>
          <w:color w:val="000000" w:themeColor="text1"/>
          <w:sz w:val="24"/>
          <w:highlight w:val="none"/>
          <w14:textFill>
            <w14:solidFill>
              <w14:schemeClr w14:val="tx1"/>
            </w14:solidFill>
          </w14:textFill>
        </w:rPr>
      </w:pPr>
      <w:bookmarkStart w:id="1754" w:name="_Toc234382959"/>
      <w:bookmarkEnd w:id="1754"/>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（二）投标函附录</w:t>
      </w:r>
    </w:p>
    <w:tbl>
      <w:tblPr>
        <w:tblStyle w:val="4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14:paraId="1156D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F69427B">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2693" w:type="dxa"/>
            <w:vAlign w:val="center"/>
          </w:tcPr>
          <w:p w14:paraId="76B1D80C">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1417" w:type="dxa"/>
            <w:vAlign w:val="center"/>
          </w:tcPr>
          <w:p w14:paraId="067F3482">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合同条目号</w:t>
            </w:r>
          </w:p>
        </w:tc>
        <w:tc>
          <w:tcPr>
            <w:tcW w:w="3686" w:type="dxa"/>
            <w:vAlign w:val="center"/>
          </w:tcPr>
          <w:p w14:paraId="450D70E5">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约定内容</w:t>
            </w:r>
          </w:p>
        </w:tc>
        <w:tc>
          <w:tcPr>
            <w:tcW w:w="1190" w:type="dxa"/>
            <w:vAlign w:val="center"/>
          </w:tcPr>
          <w:p w14:paraId="0323AD6B">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备注</w:t>
            </w:r>
          </w:p>
        </w:tc>
      </w:tr>
      <w:tr w14:paraId="05ED5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31A3DC51">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693" w:type="dxa"/>
            <w:vAlign w:val="center"/>
          </w:tcPr>
          <w:p w14:paraId="2C4C8CB9">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w:t>
            </w:r>
          </w:p>
        </w:tc>
        <w:tc>
          <w:tcPr>
            <w:tcW w:w="1417" w:type="dxa"/>
            <w:vAlign w:val="center"/>
          </w:tcPr>
          <w:p w14:paraId="5176521B">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1.1.4.5</w:t>
            </w:r>
          </w:p>
        </w:tc>
        <w:tc>
          <w:tcPr>
            <w:tcW w:w="3686" w:type="dxa"/>
            <w:vAlign w:val="center"/>
          </w:tcPr>
          <w:p w14:paraId="10158D05">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自实际</w:t>
            </w:r>
            <w:r>
              <w:rPr>
                <w:rFonts w:hint="eastAsia" w:ascii="宋体" w:hAnsi="宋体"/>
                <w:color w:val="000000" w:themeColor="text1"/>
                <w:szCs w:val="21"/>
                <w:highlight w:val="none"/>
                <w14:textFill>
                  <w14:solidFill>
                    <w14:schemeClr w14:val="tx1"/>
                  </w14:solidFill>
                </w14:textFill>
              </w:rPr>
              <w:t>交工</w:t>
            </w:r>
            <w:r>
              <w:rPr>
                <w:rFonts w:ascii="宋体" w:hAnsi="宋体"/>
                <w:color w:val="000000" w:themeColor="text1"/>
                <w:szCs w:val="21"/>
                <w:highlight w:val="none"/>
                <w14:textFill>
                  <w14:solidFill>
                    <w14:schemeClr w14:val="tx1"/>
                  </w14:solidFill>
                </w14:textFill>
              </w:rPr>
              <w:t>日期起计算</w:t>
            </w:r>
            <w:r>
              <w:rPr>
                <w:rFonts w:hint="eastAsia" w:ascii="宋体" w:hAnsi="宋体"/>
                <w:color w:val="000000" w:themeColor="text1"/>
                <w:szCs w:val="21"/>
                <w:highlight w:val="none"/>
                <w:u w:val="single"/>
                <w:lang w:val="en-US" w:eastAsia="zh-CN"/>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个月</w:t>
            </w:r>
          </w:p>
        </w:tc>
        <w:tc>
          <w:tcPr>
            <w:tcW w:w="1190" w:type="dxa"/>
            <w:vAlign w:val="center"/>
          </w:tcPr>
          <w:p w14:paraId="7136F6B0">
            <w:pPr>
              <w:jc w:val="center"/>
              <w:rPr>
                <w:rFonts w:ascii="Calibri" w:hAnsi="Calibri"/>
                <w:color w:val="000000" w:themeColor="text1"/>
                <w:szCs w:val="21"/>
                <w:highlight w:val="none"/>
                <w14:textFill>
                  <w14:solidFill>
                    <w14:schemeClr w14:val="tx1"/>
                  </w14:solidFill>
                </w14:textFill>
              </w:rPr>
            </w:pPr>
          </w:p>
        </w:tc>
      </w:tr>
      <w:tr w14:paraId="0C6AC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7B96FFF4">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693" w:type="dxa"/>
            <w:vAlign w:val="center"/>
          </w:tcPr>
          <w:p w14:paraId="00609AEA">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w:t>
            </w:r>
          </w:p>
        </w:tc>
        <w:tc>
          <w:tcPr>
            <w:tcW w:w="1417" w:type="dxa"/>
            <w:vAlign w:val="center"/>
          </w:tcPr>
          <w:p w14:paraId="4BA791D4">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14:paraId="23549A98">
            <w:pPr>
              <w:jc w:val="left"/>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1000元/天</w:t>
            </w:r>
          </w:p>
        </w:tc>
        <w:tc>
          <w:tcPr>
            <w:tcW w:w="1190" w:type="dxa"/>
            <w:vAlign w:val="center"/>
          </w:tcPr>
          <w:p w14:paraId="2BB1A4DF">
            <w:pPr>
              <w:jc w:val="center"/>
              <w:rPr>
                <w:rFonts w:ascii="Calibri" w:hAnsi="Calibri"/>
                <w:color w:val="000000" w:themeColor="text1"/>
                <w:szCs w:val="21"/>
                <w:highlight w:val="none"/>
                <w14:textFill>
                  <w14:solidFill>
                    <w14:schemeClr w14:val="tx1"/>
                  </w14:solidFill>
                </w14:textFill>
              </w:rPr>
            </w:pPr>
          </w:p>
        </w:tc>
      </w:tr>
      <w:tr w14:paraId="4AF0E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6F740B6">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2693" w:type="dxa"/>
            <w:vAlign w:val="center"/>
          </w:tcPr>
          <w:p w14:paraId="020F3182">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逾期交工违约金限额</w:t>
            </w:r>
          </w:p>
        </w:tc>
        <w:tc>
          <w:tcPr>
            <w:tcW w:w="1417" w:type="dxa"/>
            <w:vAlign w:val="center"/>
          </w:tcPr>
          <w:p w14:paraId="51A03779">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14:paraId="6D9F83C4">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10 </w:t>
            </w:r>
            <w:r>
              <w:rPr>
                <w:rFonts w:ascii="宋体" w:hAnsi="宋体"/>
                <w:color w:val="000000" w:themeColor="text1"/>
                <w:szCs w:val="21"/>
                <w:highlight w:val="none"/>
                <w14:textFill>
                  <w14:solidFill>
                    <w14:schemeClr w14:val="tx1"/>
                  </w14:solidFill>
                </w14:textFill>
              </w:rPr>
              <w:t>%签约合同价</w:t>
            </w:r>
          </w:p>
        </w:tc>
        <w:tc>
          <w:tcPr>
            <w:tcW w:w="1190" w:type="dxa"/>
            <w:vAlign w:val="center"/>
          </w:tcPr>
          <w:p w14:paraId="1AB72A44">
            <w:pPr>
              <w:jc w:val="center"/>
              <w:rPr>
                <w:rFonts w:ascii="Calibri" w:hAnsi="Calibri"/>
                <w:color w:val="000000" w:themeColor="text1"/>
                <w:szCs w:val="21"/>
                <w:highlight w:val="none"/>
                <w14:textFill>
                  <w14:solidFill>
                    <w14:schemeClr w14:val="tx1"/>
                  </w14:solidFill>
                </w14:textFill>
              </w:rPr>
            </w:pPr>
          </w:p>
        </w:tc>
      </w:tr>
      <w:tr w14:paraId="527AE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C7699DA">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2693" w:type="dxa"/>
            <w:vAlign w:val="center"/>
          </w:tcPr>
          <w:p w14:paraId="4EDE698D">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w:t>
            </w:r>
          </w:p>
        </w:tc>
        <w:tc>
          <w:tcPr>
            <w:tcW w:w="1417" w:type="dxa"/>
            <w:vAlign w:val="center"/>
          </w:tcPr>
          <w:p w14:paraId="5EA103BD">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14:paraId="064EA0D9">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元/天</w:t>
            </w:r>
          </w:p>
        </w:tc>
        <w:tc>
          <w:tcPr>
            <w:tcW w:w="1190" w:type="dxa"/>
            <w:vAlign w:val="center"/>
          </w:tcPr>
          <w:p w14:paraId="45FB0DCF">
            <w:pPr>
              <w:jc w:val="center"/>
              <w:rPr>
                <w:rFonts w:ascii="Calibri" w:hAnsi="Calibri"/>
                <w:color w:val="000000" w:themeColor="text1"/>
                <w:szCs w:val="21"/>
                <w:highlight w:val="none"/>
                <w14:textFill>
                  <w14:solidFill>
                    <w14:schemeClr w14:val="tx1"/>
                  </w14:solidFill>
                </w14:textFill>
              </w:rPr>
            </w:pPr>
          </w:p>
        </w:tc>
      </w:tr>
      <w:tr w14:paraId="50907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CB29311">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2693" w:type="dxa"/>
            <w:vAlign w:val="center"/>
          </w:tcPr>
          <w:p w14:paraId="15FA0AC5">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提前交工的奖金限额</w:t>
            </w:r>
          </w:p>
        </w:tc>
        <w:tc>
          <w:tcPr>
            <w:tcW w:w="1417" w:type="dxa"/>
            <w:vAlign w:val="center"/>
          </w:tcPr>
          <w:p w14:paraId="7DBDDB12">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14:paraId="2EB8F87F">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14:paraId="241414E4">
            <w:pPr>
              <w:jc w:val="center"/>
              <w:rPr>
                <w:rFonts w:ascii="Calibri" w:hAnsi="Calibri"/>
                <w:color w:val="000000" w:themeColor="text1"/>
                <w:szCs w:val="21"/>
                <w:highlight w:val="none"/>
                <w14:textFill>
                  <w14:solidFill>
                    <w14:schemeClr w14:val="tx1"/>
                  </w14:solidFill>
                </w14:textFill>
              </w:rPr>
            </w:pPr>
          </w:p>
        </w:tc>
      </w:tr>
      <w:tr w14:paraId="3BEE0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73F5D9E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693" w:type="dxa"/>
            <w:vAlign w:val="center"/>
          </w:tcPr>
          <w:p w14:paraId="2A2216A5">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因物价波动引起的价格调整</w:t>
            </w:r>
          </w:p>
        </w:tc>
        <w:tc>
          <w:tcPr>
            <w:tcW w:w="1417" w:type="dxa"/>
            <w:vAlign w:val="center"/>
          </w:tcPr>
          <w:p w14:paraId="44D6E509">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w:t>
            </w:r>
          </w:p>
        </w:tc>
        <w:tc>
          <w:tcPr>
            <w:tcW w:w="3686" w:type="dxa"/>
            <w:vAlign w:val="center"/>
          </w:tcPr>
          <w:p w14:paraId="06D4274A">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14:paraId="3771C477">
            <w:pPr>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eq \o\ac(□,√)</w:instrText>
            </w:r>
            <w:r>
              <w:rPr>
                <w:rFonts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c>
          <w:tcPr>
            <w:tcW w:w="1190" w:type="dxa"/>
            <w:vAlign w:val="center"/>
          </w:tcPr>
          <w:p w14:paraId="4930FCE0">
            <w:pPr>
              <w:jc w:val="center"/>
              <w:rPr>
                <w:rFonts w:ascii="宋体" w:hAnsi="宋体"/>
                <w:color w:val="000000" w:themeColor="text1"/>
                <w:szCs w:val="21"/>
                <w:highlight w:val="none"/>
                <w14:textFill>
                  <w14:solidFill>
                    <w14:schemeClr w14:val="tx1"/>
                  </w14:solidFill>
                </w14:textFill>
              </w:rPr>
            </w:pPr>
          </w:p>
        </w:tc>
      </w:tr>
      <w:tr w14:paraId="11D6B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25E59EB">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2693" w:type="dxa"/>
            <w:vAlign w:val="center"/>
          </w:tcPr>
          <w:p w14:paraId="01026402">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开工预付款金额</w:t>
            </w:r>
          </w:p>
        </w:tc>
        <w:tc>
          <w:tcPr>
            <w:tcW w:w="1417" w:type="dxa"/>
            <w:vAlign w:val="center"/>
          </w:tcPr>
          <w:p w14:paraId="3500394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14:textFill>
                  <w14:solidFill>
                    <w14:schemeClr w14:val="tx1"/>
                  </w14:solidFill>
                </w14:textFill>
              </w:rPr>
              <w:t>（1）</w:t>
            </w:r>
          </w:p>
        </w:tc>
        <w:tc>
          <w:tcPr>
            <w:tcW w:w="3686" w:type="dxa"/>
            <w:vAlign w:val="center"/>
          </w:tcPr>
          <w:p w14:paraId="4228F4E9">
            <w:pPr>
              <w:ind w:firstLine="25" w:firstLineChars="1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14:paraId="451AB97E">
            <w:pPr>
              <w:jc w:val="center"/>
              <w:rPr>
                <w:rFonts w:ascii="Calibri" w:hAnsi="Calibri"/>
                <w:color w:val="000000" w:themeColor="text1"/>
                <w:szCs w:val="21"/>
                <w:highlight w:val="none"/>
                <w14:textFill>
                  <w14:solidFill>
                    <w14:schemeClr w14:val="tx1"/>
                  </w14:solidFill>
                </w14:textFill>
              </w:rPr>
            </w:pPr>
          </w:p>
        </w:tc>
      </w:tr>
      <w:tr w14:paraId="55649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1AAEF1BC">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2693" w:type="dxa"/>
            <w:vAlign w:val="center"/>
          </w:tcPr>
          <w:p w14:paraId="5032A290">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材料、设备预付款比例</w:t>
            </w:r>
          </w:p>
        </w:tc>
        <w:tc>
          <w:tcPr>
            <w:tcW w:w="1417" w:type="dxa"/>
            <w:vAlign w:val="center"/>
          </w:tcPr>
          <w:p w14:paraId="778680B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14:textFill>
                  <w14:solidFill>
                    <w14:schemeClr w14:val="tx1"/>
                  </w14:solidFill>
                </w14:textFill>
              </w:rPr>
              <w:t>（2）</w:t>
            </w:r>
          </w:p>
        </w:tc>
        <w:tc>
          <w:tcPr>
            <w:tcW w:w="3686" w:type="dxa"/>
            <w:vAlign w:val="center"/>
          </w:tcPr>
          <w:p w14:paraId="51D205BC">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 xml:space="preserve"> %</w:t>
            </w:r>
          </w:p>
        </w:tc>
        <w:tc>
          <w:tcPr>
            <w:tcW w:w="1190" w:type="dxa"/>
            <w:vAlign w:val="center"/>
          </w:tcPr>
          <w:p w14:paraId="26C0D5C1">
            <w:pPr>
              <w:jc w:val="center"/>
              <w:rPr>
                <w:rFonts w:ascii="Calibri" w:hAnsi="Calibri"/>
                <w:color w:val="000000" w:themeColor="text1"/>
                <w:szCs w:val="21"/>
                <w:highlight w:val="none"/>
                <w14:textFill>
                  <w14:solidFill>
                    <w14:schemeClr w14:val="tx1"/>
                  </w14:solidFill>
                </w14:textFill>
              </w:rPr>
            </w:pPr>
          </w:p>
        </w:tc>
      </w:tr>
      <w:tr w14:paraId="209B2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F6A52E6">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2693" w:type="dxa"/>
            <w:vAlign w:val="center"/>
          </w:tcPr>
          <w:p w14:paraId="3AD13F83">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进度付款证书最低限额</w:t>
            </w:r>
          </w:p>
        </w:tc>
        <w:tc>
          <w:tcPr>
            <w:tcW w:w="1417" w:type="dxa"/>
            <w:vAlign w:val="center"/>
          </w:tcPr>
          <w:p w14:paraId="23B2E57F">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17.3.3(1)</w:t>
            </w:r>
          </w:p>
        </w:tc>
        <w:tc>
          <w:tcPr>
            <w:tcW w:w="3686" w:type="dxa"/>
            <w:vAlign w:val="center"/>
          </w:tcPr>
          <w:p w14:paraId="502C7F86">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u w:val="single"/>
                <w14:textFill>
                  <w14:solidFill>
                    <w14:schemeClr w14:val="tx1"/>
                  </w14:solidFill>
                </w14:textFill>
              </w:rPr>
              <w:t>0</w:t>
            </w:r>
            <w:r>
              <w:rPr>
                <w:rFonts w:ascii="宋体" w:hAnsi="宋体"/>
                <w:color w:val="000000" w:themeColor="text1"/>
                <w:szCs w:val="21"/>
                <w:highlight w:val="none"/>
                <w14:textFill>
                  <w14:solidFill>
                    <w14:schemeClr w14:val="tx1"/>
                  </w14:solidFill>
                </w14:textFill>
              </w:rPr>
              <w:t>万元</w:t>
            </w:r>
          </w:p>
        </w:tc>
        <w:tc>
          <w:tcPr>
            <w:tcW w:w="1190" w:type="dxa"/>
            <w:vAlign w:val="center"/>
          </w:tcPr>
          <w:p w14:paraId="253F616E">
            <w:pPr>
              <w:jc w:val="center"/>
              <w:rPr>
                <w:rFonts w:ascii="Calibri" w:hAnsi="Calibri"/>
                <w:color w:val="000000" w:themeColor="text1"/>
                <w:szCs w:val="21"/>
                <w:highlight w:val="none"/>
                <w14:textFill>
                  <w14:solidFill>
                    <w14:schemeClr w14:val="tx1"/>
                  </w14:solidFill>
                </w14:textFill>
              </w:rPr>
            </w:pPr>
          </w:p>
        </w:tc>
      </w:tr>
      <w:tr w14:paraId="529C0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4C923AB">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2693" w:type="dxa"/>
            <w:vAlign w:val="center"/>
          </w:tcPr>
          <w:p w14:paraId="1DE36627">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逾期付款违约金的利率</w:t>
            </w:r>
          </w:p>
        </w:tc>
        <w:tc>
          <w:tcPr>
            <w:tcW w:w="1417" w:type="dxa"/>
            <w:vAlign w:val="center"/>
          </w:tcPr>
          <w:p w14:paraId="4896C2B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17.3.3(2)</w:t>
            </w:r>
          </w:p>
        </w:tc>
        <w:tc>
          <w:tcPr>
            <w:tcW w:w="3686" w:type="dxa"/>
            <w:vAlign w:val="center"/>
          </w:tcPr>
          <w:p w14:paraId="58126C41">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‰/天 </w:t>
            </w:r>
          </w:p>
        </w:tc>
        <w:tc>
          <w:tcPr>
            <w:tcW w:w="1190" w:type="dxa"/>
            <w:vAlign w:val="center"/>
          </w:tcPr>
          <w:p w14:paraId="2EC2DC0D">
            <w:pPr>
              <w:jc w:val="center"/>
              <w:rPr>
                <w:rFonts w:ascii="Calibri" w:hAnsi="Calibri"/>
                <w:color w:val="000000" w:themeColor="text1"/>
                <w:szCs w:val="21"/>
                <w:highlight w:val="none"/>
                <w14:textFill>
                  <w14:solidFill>
                    <w14:schemeClr w14:val="tx1"/>
                  </w14:solidFill>
                </w14:textFill>
              </w:rPr>
            </w:pPr>
          </w:p>
        </w:tc>
      </w:tr>
      <w:tr w14:paraId="6FD44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53" w:type="dxa"/>
            <w:vAlign w:val="center"/>
          </w:tcPr>
          <w:p w14:paraId="799226C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693" w:type="dxa"/>
            <w:vAlign w:val="center"/>
          </w:tcPr>
          <w:p w14:paraId="384CE1FF">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w:t>
            </w:r>
            <w:r>
              <w:rPr>
                <w:rFonts w:hint="eastAsia" w:ascii="宋体" w:hAnsi="宋体"/>
                <w:color w:val="000000" w:themeColor="text1"/>
                <w:szCs w:val="21"/>
                <w:highlight w:val="none"/>
                <w14:textFill>
                  <w14:solidFill>
                    <w14:schemeClr w14:val="tx1"/>
                  </w14:solidFill>
                </w14:textFill>
              </w:rPr>
              <w:t>限额</w:t>
            </w:r>
          </w:p>
        </w:tc>
        <w:tc>
          <w:tcPr>
            <w:tcW w:w="1417" w:type="dxa"/>
            <w:vAlign w:val="center"/>
          </w:tcPr>
          <w:p w14:paraId="7A7DF82A">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17.4.1</w:t>
            </w:r>
          </w:p>
        </w:tc>
        <w:tc>
          <w:tcPr>
            <w:tcW w:w="3686" w:type="dxa"/>
            <w:vAlign w:val="center"/>
          </w:tcPr>
          <w:p w14:paraId="2DC73F44">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%合同价格</w:t>
            </w:r>
          </w:p>
        </w:tc>
        <w:tc>
          <w:tcPr>
            <w:tcW w:w="1190" w:type="dxa"/>
            <w:vAlign w:val="center"/>
          </w:tcPr>
          <w:p w14:paraId="1ED11A76">
            <w:pPr>
              <w:jc w:val="center"/>
              <w:rPr>
                <w:rFonts w:ascii="Calibri" w:hAnsi="Calibri"/>
                <w:color w:val="000000" w:themeColor="text1"/>
                <w:szCs w:val="21"/>
                <w:highlight w:val="none"/>
                <w14:textFill>
                  <w14:solidFill>
                    <w14:schemeClr w14:val="tx1"/>
                  </w14:solidFill>
                </w14:textFill>
              </w:rPr>
            </w:pPr>
          </w:p>
        </w:tc>
      </w:tr>
      <w:tr w14:paraId="47F21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7C38B7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2693" w:type="dxa"/>
            <w:vAlign w:val="center"/>
          </w:tcPr>
          <w:p w14:paraId="5D50FE7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保修期</w:t>
            </w:r>
          </w:p>
        </w:tc>
        <w:tc>
          <w:tcPr>
            <w:tcW w:w="1417" w:type="dxa"/>
            <w:vAlign w:val="center"/>
          </w:tcPr>
          <w:p w14:paraId="7B6CB723">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19.7</w:t>
            </w:r>
          </w:p>
        </w:tc>
        <w:tc>
          <w:tcPr>
            <w:tcW w:w="3686" w:type="dxa"/>
            <w:vAlign w:val="center"/>
          </w:tcPr>
          <w:p w14:paraId="1BA15DF5">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自本项目实际交工日期之日起计算</w:t>
            </w:r>
            <w:r>
              <w:rPr>
                <w:rFonts w:hint="eastAsia" w:ascii="宋体" w:hAnsi="宋体"/>
                <w:color w:val="000000" w:themeColor="text1"/>
                <w:szCs w:val="21"/>
                <w:highlight w:val="none"/>
                <w:u w:val="single"/>
                <w14:textFill>
                  <w14:solidFill>
                    <w14:schemeClr w14:val="tx1"/>
                  </w14:solidFill>
                </w14:textFill>
              </w:rPr>
              <w:t>1年</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14:paraId="08E1AC3D">
            <w:pPr>
              <w:jc w:val="center"/>
              <w:rPr>
                <w:rFonts w:ascii="Calibri" w:hAnsi="Calibri"/>
                <w:color w:val="000000" w:themeColor="text1"/>
                <w:szCs w:val="21"/>
                <w:highlight w:val="none"/>
                <w14:textFill>
                  <w14:solidFill>
                    <w14:schemeClr w14:val="tx1"/>
                  </w14:solidFill>
                </w14:textFill>
              </w:rPr>
            </w:pPr>
          </w:p>
        </w:tc>
      </w:tr>
    </w:tbl>
    <w:p w14:paraId="74C326B5">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14:paraId="03321B59">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14:paraId="4C7A44C6">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14:paraId="31C8FF37">
      <w:pPr>
        <w:spacing w:line="500" w:lineRule="exact"/>
        <w:ind w:right="480"/>
        <w:rPr>
          <w:rFonts w:ascii="宋体" w:hAnsi="宋体"/>
          <w:color w:val="000000" w:themeColor="text1"/>
          <w:sz w:val="24"/>
          <w:highlight w:val="none"/>
          <w14:textFill>
            <w14:solidFill>
              <w14:schemeClr w14:val="tx1"/>
            </w14:solidFill>
          </w14:textFill>
        </w:rPr>
      </w:pPr>
    </w:p>
    <w:p w14:paraId="3524FBE5">
      <w:pPr>
        <w:jc w:val="center"/>
        <w:rPr>
          <w:rFonts w:ascii="宋体" w:hAnsi="宋体"/>
          <w:color w:val="000000" w:themeColor="text1"/>
          <w:sz w:val="28"/>
          <w:szCs w:val="28"/>
          <w:highlight w:val="none"/>
          <w14:textFill>
            <w14:solidFill>
              <w14:schemeClr w14:val="tx1"/>
            </w14:solidFill>
          </w14:textFill>
        </w:rPr>
      </w:pPr>
      <w:bookmarkStart w:id="1755" w:name="_Toc234382961"/>
      <w:bookmarkEnd w:id="1755"/>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二、授权委托书</w:t>
      </w:r>
      <w:r>
        <w:rPr>
          <w:rFonts w:hint="eastAsia" w:ascii="宋体" w:hAnsi="宋体"/>
          <w:b/>
          <w:color w:val="000000" w:themeColor="text1"/>
          <w:sz w:val="28"/>
          <w:szCs w:val="28"/>
          <w:highlight w:val="none"/>
          <w14:textFill>
            <w14:solidFill>
              <w14:schemeClr w14:val="tx1"/>
            </w14:solidFill>
          </w14:textFill>
        </w:rPr>
        <w:t>或</w:t>
      </w:r>
      <w:r>
        <w:rPr>
          <w:rFonts w:ascii="宋体" w:hAnsi="宋体"/>
          <w:b/>
          <w:color w:val="000000" w:themeColor="text1"/>
          <w:sz w:val="28"/>
          <w:szCs w:val="28"/>
          <w:highlight w:val="none"/>
          <w14:textFill>
            <w14:solidFill>
              <w14:schemeClr w14:val="tx1"/>
            </w14:solidFill>
          </w14:textFill>
        </w:rPr>
        <w:t>法定代表人身份证明</w:t>
      </w:r>
    </w:p>
    <w:p w14:paraId="477FD69A">
      <w:pPr>
        <w:jc w:val="center"/>
        <w:rPr>
          <w:rFonts w:ascii="宋体" w:hAnsi="宋体"/>
          <w:color w:val="000000" w:themeColor="text1"/>
          <w:highlight w:val="none"/>
          <w14:textFill>
            <w14:solidFill>
              <w14:schemeClr w14:val="tx1"/>
            </w14:solidFill>
          </w14:textFill>
        </w:rPr>
      </w:pPr>
    </w:p>
    <w:p w14:paraId="0024A1A2">
      <w:pPr>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kern w:val="44"/>
          <w:sz w:val="28"/>
          <w:szCs w:val="28"/>
          <w:highlight w:val="none"/>
          <w14:textFill>
            <w14:solidFill>
              <w14:schemeClr w14:val="tx1"/>
            </w14:solidFill>
          </w14:textFill>
        </w:rPr>
        <w:t>（</w:t>
      </w:r>
      <w:r>
        <w:rPr>
          <w:rFonts w:hint="eastAsia" w:ascii="宋体" w:hAnsi="宋体"/>
          <w:b/>
          <w:bCs/>
          <w:color w:val="000000" w:themeColor="text1"/>
          <w:kern w:val="44"/>
          <w:sz w:val="28"/>
          <w:szCs w:val="28"/>
          <w:highlight w:val="none"/>
          <w14:textFill>
            <w14:solidFill>
              <w14:schemeClr w14:val="tx1"/>
            </w14:solidFill>
          </w14:textFill>
        </w:rPr>
        <w:t>一</w:t>
      </w:r>
      <w:r>
        <w:rPr>
          <w:rFonts w:ascii="宋体" w:hAnsi="宋体"/>
          <w:b/>
          <w:bCs/>
          <w:color w:val="000000" w:themeColor="text1"/>
          <w:kern w:val="44"/>
          <w:sz w:val="28"/>
          <w:szCs w:val="28"/>
          <w:highlight w:val="none"/>
          <w14:textFill>
            <w14:solidFill>
              <w14:schemeClr w14:val="tx1"/>
            </w14:solidFill>
          </w14:textFill>
        </w:rPr>
        <w:t>）授权委托书</w:t>
      </w:r>
    </w:p>
    <w:p w14:paraId="66D22DFE">
      <w:pPr>
        <w:spacing w:line="500" w:lineRule="exact"/>
        <w:rPr>
          <w:rFonts w:ascii="宋体" w:hAnsi="宋体"/>
          <w:color w:val="000000" w:themeColor="text1"/>
          <w:sz w:val="24"/>
          <w:highlight w:val="none"/>
          <w14:textFill>
            <w14:solidFill>
              <w14:schemeClr w14:val="tx1"/>
            </w14:solidFill>
          </w14:textFill>
        </w:rPr>
      </w:pPr>
    </w:p>
    <w:p w14:paraId="004F1AE5">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本人</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系</w:t>
      </w:r>
      <w:r>
        <w:rPr>
          <w:rFonts w:ascii="宋体" w:hAnsi="宋体"/>
          <w:color w:val="000000" w:themeColor="text1"/>
          <w:sz w:val="24"/>
          <w:highlight w:val="none"/>
          <w:u w:val="single"/>
          <w14:textFill>
            <w14:solidFill>
              <w14:schemeClr w14:val="tx1"/>
            </w14:solidFill>
          </w14:textFill>
        </w:rPr>
        <w:t>（投标人名称）</w:t>
      </w:r>
      <w:r>
        <w:rPr>
          <w:rFonts w:ascii="宋体" w:hAnsi="宋体"/>
          <w:color w:val="000000" w:themeColor="text1"/>
          <w:sz w:val="24"/>
          <w:highlight w:val="none"/>
          <w14:textFill>
            <w14:solidFill>
              <w14:schemeClr w14:val="tx1"/>
            </w14:solidFill>
          </w14:textFill>
        </w:rPr>
        <w:t>的法定代表人，现委托</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为我方代理人。代理人根据授权，以我方名义签署、澄清</w:t>
      </w:r>
      <w:r>
        <w:rPr>
          <w:rFonts w:hint="eastAsia" w:ascii="宋体" w:hAnsi="宋体"/>
          <w:color w:val="000000" w:themeColor="text1"/>
          <w:sz w:val="24"/>
          <w:highlight w:val="none"/>
          <w14:textFill>
            <w14:solidFill>
              <w14:schemeClr w14:val="tx1"/>
            </w14:solidFill>
          </w14:textFill>
        </w:rPr>
        <w:t>确认</w:t>
      </w:r>
      <w:r>
        <w:rPr>
          <w:rFonts w:ascii="宋体" w:hAnsi="宋体"/>
          <w:color w:val="000000" w:themeColor="text1"/>
          <w:sz w:val="24"/>
          <w:highlight w:val="none"/>
          <w14:textFill>
            <w14:solidFill>
              <w14:schemeClr w14:val="tx1"/>
            </w14:solidFill>
          </w14:textFill>
        </w:rPr>
        <w:t>、递交、撤回、修改</w:t>
      </w:r>
      <w:r>
        <w:rPr>
          <w:rFonts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施工</w:t>
      </w:r>
      <w:r>
        <w:rPr>
          <w:rFonts w:ascii="宋体" w:hAnsi="宋体"/>
          <w:color w:val="000000" w:themeColor="text1"/>
          <w:sz w:val="24"/>
          <w:highlight w:val="none"/>
          <w14:textFill>
            <w14:solidFill>
              <w14:schemeClr w14:val="tx1"/>
            </w14:solidFill>
          </w14:textFill>
        </w:rPr>
        <w:t>投标文件、签订合同和处理有关事宜，其法律后果由我方承担。</w:t>
      </w:r>
    </w:p>
    <w:p w14:paraId="527CA3BB">
      <w:pPr>
        <w:snapToGrid w:val="0"/>
        <w:spacing w:line="440" w:lineRule="exact"/>
        <w:ind w:firstLine="480" w:firstLineChars="200"/>
        <w:rPr>
          <w:rFonts w:hAnsi="宋体" w:cs="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14:textFill>
            <w14:solidFill>
              <w14:schemeClr w14:val="tx1"/>
            </w14:solidFill>
          </w14:textFill>
        </w:rPr>
        <w:t>自本委托书签署之日起至投标有效期期满。</w:t>
      </w:r>
    </w:p>
    <w:p w14:paraId="7AC86E8B">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代理人无转委托权。</w:t>
      </w:r>
    </w:p>
    <w:p w14:paraId="1A16ACBE">
      <w:pPr>
        <w:spacing w:line="500" w:lineRule="exact"/>
        <w:ind w:firstLine="480" w:firstLineChars="200"/>
        <w:rPr>
          <w:rFonts w:ascii="宋体" w:hAnsi="宋体"/>
          <w:color w:val="000000" w:themeColor="text1"/>
          <w:sz w:val="24"/>
          <w:highlight w:val="none"/>
          <w14:textFill>
            <w14:solidFill>
              <w14:schemeClr w14:val="tx1"/>
            </w14:solidFill>
          </w14:textFill>
        </w:rPr>
      </w:pPr>
    </w:p>
    <w:p w14:paraId="59145936">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附：法定代表人身份证复印件及委托代理人身份证复印件。</w:t>
      </w:r>
    </w:p>
    <w:p w14:paraId="0687C918">
      <w:pPr>
        <w:spacing w:line="500" w:lineRule="exact"/>
        <w:rPr>
          <w:rFonts w:ascii="宋体" w:hAnsi="宋体"/>
          <w:color w:val="000000" w:themeColor="text1"/>
          <w:sz w:val="24"/>
          <w:highlight w:val="none"/>
          <w14:textFill>
            <w14:solidFill>
              <w14:schemeClr w14:val="tx1"/>
            </w14:solidFill>
          </w14:textFill>
        </w:rPr>
      </w:pPr>
    </w:p>
    <w:p w14:paraId="06F37319">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投  标  人</w:t>
      </w:r>
      <w:r>
        <w:rPr>
          <w:rFonts w:ascii="宋体" w:hAnsi="宋体"/>
          <w:color w:val="000000" w:themeColor="text1"/>
          <w:sz w:val="24"/>
          <w:highlight w:val="none"/>
          <w14:textFill>
            <w14:solidFill>
              <w14:schemeClr w14:val="tx1"/>
            </w14:solidFill>
          </w14:textFill>
        </w:rPr>
        <w:t>：（盖单位章）</w:t>
      </w:r>
    </w:p>
    <w:p w14:paraId="661213A8">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法定代表人：（签字）</w:t>
      </w:r>
    </w:p>
    <w:p w14:paraId="70E09DF3">
      <w:pPr>
        <w:spacing w:line="5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14:paraId="14337F8E">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委托代理人：（签字）</w:t>
      </w:r>
    </w:p>
    <w:p w14:paraId="3D40FFEF">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14:paraId="68E7F251">
      <w:pPr>
        <w:spacing w:line="500" w:lineRule="exact"/>
        <w:rPr>
          <w:rFonts w:ascii="宋体" w:hAnsi="宋体"/>
          <w:color w:val="000000" w:themeColor="text1"/>
          <w:sz w:val="24"/>
          <w:highlight w:val="none"/>
          <w14:textFill>
            <w14:solidFill>
              <w14:schemeClr w14:val="tx1"/>
            </w14:solidFill>
          </w14:textFill>
        </w:rPr>
      </w:pPr>
    </w:p>
    <w:p w14:paraId="4A26F7A1">
      <w:pPr>
        <w:spacing w:line="5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14:paraId="0B983B61">
      <w:pPr>
        <w:spacing w:line="500" w:lineRule="exact"/>
        <w:rPr>
          <w:rFonts w:ascii="宋体" w:hAnsi="宋体"/>
          <w:color w:val="000000" w:themeColor="text1"/>
          <w:sz w:val="24"/>
          <w:highlight w:val="none"/>
          <w14:textFill>
            <w14:solidFill>
              <w14:schemeClr w14:val="tx1"/>
            </w14:solidFill>
          </w14:textFill>
        </w:rPr>
      </w:pPr>
    </w:p>
    <w:p w14:paraId="2E1097F1">
      <w:pPr>
        <w:rPr>
          <w:rFonts w:ascii="宋体" w:hAnsi="宋体"/>
          <w:color w:val="000000" w:themeColor="text1"/>
          <w:sz w:val="24"/>
          <w:highlight w:val="none"/>
          <w14:textFill>
            <w14:solidFill>
              <w14:schemeClr w14:val="tx1"/>
            </w14:solidFill>
          </w14:textFill>
        </w:rPr>
      </w:pPr>
    </w:p>
    <w:p w14:paraId="722E4310">
      <w:pPr>
        <w:spacing w:line="400" w:lineRule="exact"/>
        <w:rPr>
          <w:rFonts w:ascii="宋体" w:hAnsi="宋体"/>
          <w:color w:val="000000" w:themeColor="text1"/>
          <w:sz w:val="24"/>
          <w:highlight w:val="none"/>
          <w14:textFill>
            <w14:solidFill>
              <w14:schemeClr w14:val="tx1"/>
            </w14:solidFill>
          </w14:textFill>
        </w:rPr>
      </w:pPr>
    </w:p>
    <w:p w14:paraId="1B2CAE63">
      <w:pPr>
        <w:spacing w:line="400" w:lineRule="exact"/>
        <w:rPr>
          <w:rFonts w:ascii="宋体" w:hAnsi="宋体"/>
          <w:color w:val="000000" w:themeColor="text1"/>
          <w:sz w:val="24"/>
          <w:highlight w:val="none"/>
          <w14:textFill>
            <w14:solidFill>
              <w14:schemeClr w14:val="tx1"/>
            </w14:solidFill>
          </w14:textFill>
        </w:rPr>
      </w:pPr>
    </w:p>
    <w:p w14:paraId="2753A11E">
      <w:pPr>
        <w:pStyle w:val="55"/>
        <w:spacing w:line="360" w:lineRule="auto"/>
        <w:rPr>
          <w:rFonts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注：1. 法定代表人和委托代理人必须在授权书上亲笔签名，不得使用印章、签名章或其他电子制版签名；如果由投标人的委托代理人签署投标文件，则不需提交（二）法定代表人身份证明。</w:t>
      </w:r>
    </w:p>
    <w:p w14:paraId="2C325C71">
      <w:pPr>
        <w:pStyle w:val="55"/>
        <w:rPr>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14:paraId="4FED5252">
      <w:pPr>
        <w:jc w:val="center"/>
        <w:rPr>
          <w:rFonts w:ascii="宋体" w:hAnsi="宋体"/>
          <w:color w:val="000000" w:themeColor="text1"/>
          <w:highlight w:val="none"/>
          <w14:textFill>
            <w14:solidFill>
              <w14:schemeClr w14:val="tx1"/>
            </w14:solidFill>
          </w14:textFill>
        </w:rPr>
      </w:pPr>
    </w:p>
    <w:p w14:paraId="3A6086D4">
      <w:pPr>
        <w:jc w:val="center"/>
        <w:rPr>
          <w:rFonts w:ascii="宋体" w:hAnsi="宋体"/>
          <w:color w:val="000000" w:themeColor="text1"/>
          <w:highlight w:val="none"/>
          <w14:textFill>
            <w14:solidFill>
              <w14:schemeClr w14:val="tx1"/>
            </w14:solidFill>
          </w14:textFill>
        </w:rPr>
      </w:pPr>
    </w:p>
    <w:p w14:paraId="2BBBF86D">
      <w:pPr>
        <w:spacing w:line="360" w:lineRule="auto"/>
        <w:ind w:firstLine="560" w:firstLineChars="200"/>
        <w:jc w:val="center"/>
        <w:rPr>
          <w:rFonts w:ascii="宋体" w:hAnsi="宋体" w:cs="宋体"/>
          <w:b/>
          <w:color w:val="000000" w:themeColor="text1"/>
          <w:sz w:val="32"/>
          <w:szCs w:val="32"/>
          <w:highlight w:val="none"/>
          <w14:textFill>
            <w14:solidFill>
              <w14:schemeClr w14:val="tx1"/>
            </w14:solidFill>
          </w14:textFill>
        </w:rPr>
      </w:pPr>
      <w:bookmarkStart w:id="1756" w:name="_Toc453057211"/>
      <w:bookmarkEnd w:id="1756"/>
      <w:r>
        <w:rPr>
          <w:rFonts w:hint="eastAsia" w:ascii="宋体" w:hAnsi="宋体" w:cs="宋体"/>
          <w:color w:val="000000" w:themeColor="text1"/>
          <w:sz w:val="28"/>
          <w:szCs w:val="28"/>
          <w:highlight w:val="none"/>
          <w14:textFill>
            <w14:solidFill>
              <w14:schemeClr w14:val="tx1"/>
            </w14:solidFill>
          </w14:textFill>
        </w:rPr>
        <w:t>（二）</w:t>
      </w:r>
      <w:r>
        <w:rPr>
          <w:rFonts w:hint="eastAsia" w:ascii="宋体" w:hAnsi="宋体" w:cs="宋体"/>
          <w:color w:val="000000" w:themeColor="text1"/>
          <w:sz w:val="28"/>
          <w:highlight w:val="none"/>
          <w14:textFill>
            <w14:solidFill>
              <w14:schemeClr w14:val="tx1"/>
            </w14:solidFill>
          </w14:textFill>
        </w:rPr>
        <w:t>法定代表人身份证明</w:t>
      </w:r>
    </w:p>
    <w:p w14:paraId="4B8EB1BD">
      <w:pPr>
        <w:spacing w:line="500" w:lineRule="exact"/>
        <w:rPr>
          <w:rFonts w:ascii="宋体" w:hAnsi="宋体" w:cs="宋体"/>
          <w:color w:val="000000" w:themeColor="text1"/>
          <w:sz w:val="24"/>
          <w:highlight w:val="none"/>
          <w14:textFill>
            <w14:solidFill>
              <w14:schemeClr w14:val="tx1"/>
            </w14:solidFill>
          </w14:textFill>
        </w:rPr>
      </w:pPr>
    </w:p>
    <w:p w14:paraId="0CC3908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7FBB1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0D4D3BE8">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（法定代表人亲笔签名）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p>
    <w:p w14:paraId="62B4E71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w:t>
      </w:r>
    </w:p>
    <w:p w14:paraId="0B33E2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44A6E213">
      <w:pPr>
        <w:spacing w:line="360" w:lineRule="auto"/>
        <w:rPr>
          <w:rFonts w:ascii="宋体" w:hAnsi="宋体" w:cs="宋体"/>
          <w:color w:val="000000" w:themeColor="text1"/>
          <w:sz w:val="24"/>
          <w:highlight w:val="none"/>
          <w14:textFill>
            <w14:solidFill>
              <w14:schemeClr w14:val="tx1"/>
            </w14:solidFill>
          </w14:textFill>
        </w:rPr>
      </w:pPr>
    </w:p>
    <w:p w14:paraId="32E39AE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附：法定代表人身份证复印件。</w:t>
      </w:r>
    </w:p>
    <w:p w14:paraId="7DD5EAD1">
      <w:pPr>
        <w:pStyle w:val="18"/>
        <w:rPr>
          <w:rFonts w:ascii="宋体" w:hAnsi="宋体" w:cs="宋体"/>
          <w:color w:val="000000" w:themeColor="text1"/>
          <w:sz w:val="20"/>
          <w:highlight w:val="none"/>
          <w14:textFill>
            <w14:solidFill>
              <w14:schemeClr w14:val="tx1"/>
            </w14:solidFill>
          </w14:textFill>
        </w:rPr>
      </w:pPr>
    </w:p>
    <w:p w14:paraId="04E00344">
      <w:pPr>
        <w:pStyle w:val="18"/>
        <w:spacing w:before="3"/>
        <w:rPr>
          <w:rFonts w:ascii="宋体" w:hAnsi="宋体" w:cs="宋体"/>
          <w:color w:val="000000" w:themeColor="text1"/>
          <w:sz w:val="28"/>
          <w:highlight w:val="none"/>
          <w14:textFill>
            <w14:solidFill>
              <w14:schemeClr w14:val="tx1"/>
            </w14:solidFill>
          </w14:textFill>
        </w:rPr>
      </w:pPr>
    </w:p>
    <w:p w14:paraId="7AB2FF76">
      <w:pPr>
        <w:tabs>
          <w:tab w:val="left" w:pos="6918"/>
        </w:tabs>
        <w:spacing w:before="75"/>
        <w:ind w:left="43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（盖单位章）</w:t>
      </w:r>
    </w:p>
    <w:p w14:paraId="5B0A5A1D">
      <w:pPr>
        <w:tabs>
          <w:tab w:val="left" w:pos="6558"/>
          <w:tab w:val="left" w:pos="7278"/>
          <w:tab w:val="left" w:pos="7998"/>
        </w:tabs>
        <w:spacing w:before="113"/>
        <w:ind w:left="55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日</w:t>
      </w:r>
    </w:p>
    <w:p w14:paraId="25427C10">
      <w:pPr>
        <w:spacing w:line="500" w:lineRule="exact"/>
        <w:rPr>
          <w:rFonts w:ascii="宋体" w:hAnsi="宋体" w:cs="宋体"/>
          <w:color w:val="000000" w:themeColor="text1"/>
          <w:sz w:val="24"/>
          <w:highlight w:val="none"/>
          <w14:textFill>
            <w14:solidFill>
              <w14:schemeClr w14:val="tx1"/>
            </w14:solidFill>
          </w14:textFill>
        </w:rPr>
      </w:pPr>
    </w:p>
    <w:p w14:paraId="4ED89F6A">
      <w:pPr>
        <w:spacing w:line="500" w:lineRule="exact"/>
        <w:rPr>
          <w:rFonts w:ascii="宋体" w:hAnsi="宋体" w:cs="宋体"/>
          <w:color w:val="000000" w:themeColor="text1"/>
          <w:sz w:val="24"/>
          <w:highlight w:val="none"/>
          <w14:textFill>
            <w14:solidFill>
              <w14:schemeClr w14:val="tx1"/>
            </w14:solidFill>
          </w14:textFill>
        </w:rPr>
      </w:pPr>
    </w:p>
    <w:p w14:paraId="4A75CA02">
      <w:pPr>
        <w:rPr>
          <w:rFonts w:ascii="宋体" w:hAnsi="宋体" w:cs="宋体"/>
          <w:color w:val="000000" w:themeColor="text1"/>
          <w:sz w:val="24"/>
          <w:highlight w:val="none"/>
          <w14:textFill>
            <w14:solidFill>
              <w14:schemeClr w14:val="tx1"/>
            </w14:solidFill>
          </w14:textFill>
        </w:rPr>
      </w:pPr>
    </w:p>
    <w:p w14:paraId="287F1714">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注：法定代表人的签字必须是亲笔签名，不得使用印章、签名章或其他电子制版签名代替。</w:t>
      </w:r>
    </w:p>
    <w:p w14:paraId="0FB90286">
      <w:pPr>
        <w:jc w:val="center"/>
        <w:rPr>
          <w:rFonts w:ascii="宋体" w:hAnsi="宋体"/>
          <w:b/>
          <w:color w:val="000000" w:themeColor="text1"/>
          <w:sz w:val="28"/>
          <w:szCs w:val="28"/>
          <w:highlight w:val="none"/>
          <w14:textFill>
            <w14:solidFill>
              <w14:schemeClr w14:val="tx1"/>
            </w14:solidFill>
          </w14:textFill>
        </w:rPr>
      </w:pPr>
    </w:p>
    <w:p w14:paraId="113C8F3F">
      <w:pPr>
        <w:jc w:val="center"/>
        <w:rPr>
          <w:rFonts w:ascii="宋体" w:hAnsi="宋体"/>
          <w:b/>
          <w:color w:val="000000" w:themeColor="text1"/>
          <w:sz w:val="28"/>
          <w:szCs w:val="28"/>
          <w:highlight w:val="none"/>
          <w14:textFill>
            <w14:solidFill>
              <w14:schemeClr w14:val="tx1"/>
            </w14:solidFill>
          </w14:textFill>
        </w:rPr>
      </w:pPr>
    </w:p>
    <w:p w14:paraId="59232A75">
      <w:pPr>
        <w:jc w:val="center"/>
        <w:rPr>
          <w:rFonts w:ascii="宋体" w:hAnsi="宋体"/>
          <w:b/>
          <w:color w:val="000000" w:themeColor="text1"/>
          <w:sz w:val="28"/>
          <w:szCs w:val="28"/>
          <w:highlight w:val="none"/>
          <w14:textFill>
            <w14:solidFill>
              <w14:schemeClr w14:val="tx1"/>
            </w14:solidFill>
          </w14:textFill>
        </w:rPr>
      </w:pPr>
    </w:p>
    <w:p w14:paraId="06164E9F">
      <w:pPr>
        <w:jc w:val="center"/>
        <w:rPr>
          <w:rFonts w:ascii="宋体" w:hAnsi="宋体"/>
          <w:b/>
          <w:color w:val="000000" w:themeColor="text1"/>
          <w:sz w:val="28"/>
          <w:szCs w:val="28"/>
          <w:highlight w:val="none"/>
          <w14:textFill>
            <w14:solidFill>
              <w14:schemeClr w14:val="tx1"/>
            </w14:solidFill>
          </w14:textFill>
        </w:rPr>
      </w:pPr>
    </w:p>
    <w:p w14:paraId="56496AFC">
      <w:pPr>
        <w:jc w:val="center"/>
        <w:rPr>
          <w:rFonts w:ascii="宋体" w:hAnsi="宋体"/>
          <w:b/>
          <w:color w:val="000000" w:themeColor="text1"/>
          <w:sz w:val="28"/>
          <w:szCs w:val="28"/>
          <w:highlight w:val="none"/>
          <w14:textFill>
            <w14:solidFill>
              <w14:schemeClr w14:val="tx1"/>
            </w14:solidFill>
          </w14:textFill>
        </w:rPr>
      </w:pPr>
    </w:p>
    <w:p w14:paraId="7BE807A0">
      <w:pPr>
        <w:jc w:val="center"/>
        <w:rPr>
          <w:rFonts w:ascii="宋体" w:hAnsi="宋体"/>
          <w:b/>
          <w:color w:val="000000" w:themeColor="text1"/>
          <w:sz w:val="28"/>
          <w:szCs w:val="28"/>
          <w:highlight w:val="none"/>
          <w14:textFill>
            <w14:solidFill>
              <w14:schemeClr w14:val="tx1"/>
            </w14:solidFill>
          </w14:textFill>
        </w:rPr>
      </w:pPr>
    </w:p>
    <w:p w14:paraId="5D08CDA2">
      <w:pPr>
        <w:jc w:val="center"/>
        <w:rPr>
          <w:rFonts w:ascii="宋体" w:hAnsi="宋体"/>
          <w:b/>
          <w:color w:val="000000" w:themeColor="text1"/>
          <w:sz w:val="28"/>
          <w:szCs w:val="28"/>
          <w:highlight w:val="none"/>
          <w14:textFill>
            <w14:solidFill>
              <w14:schemeClr w14:val="tx1"/>
            </w14:solidFill>
          </w14:textFill>
        </w:rPr>
      </w:pPr>
    </w:p>
    <w:p w14:paraId="1DE7AEBD">
      <w:pPr>
        <w:jc w:val="center"/>
        <w:rPr>
          <w:rFonts w:ascii="宋体" w:hAnsi="宋体"/>
          <w:b/>
          <w:color w:val="000000" w:themeColor="text1"/>
          <w:sz w:val="28"/>
          <w:szCs w:val="28"/>
          <w:highlight w:val="none"/>
          <w14:textFill>
            <w14:solidFill>
              <w14:schemeClr w14:val="tx1"/>
            </w14:solidFill>
          </w14:textFill>
        </w:rPr>
      </w:pPr>
    </w:p>
    <w:p w14:paraId="1B049DCE">
      <w:pPr>
        <w:jc w:val="center"/>
        <w:rPr>
          <w:rFonts w:ascii="宋体" w:hAnsi="宋体"/>
          <w:b/>
          <w:color w:val="000000" w:themeColor="text1"/>
          <w:sz w:val="28"/>
          <w:szCs w:val="28"/>
          <w:highlight w:val="none"/>
          <w14:textFill>
            <w14:solidFill>
              <w14:schemeClr w14:val="tx1"/>
            </w14:solidFill>
          </w14:textFill>
        </w:rPr>
      </w:pPr>
    </w:p>
    <w:p w14:paraId="41537E16">
      <w:pPr>
        <w:jc w:val="center"/>
        <w:rPr>
          <w:rFonts w:ascii="宋体" w:hAnsi="宋体"/>
          <w:b/>
          <w:color w:val="000000" w:themeColor="text1"/>
          <w:sz w:val="28"/>
          <w:szCs w:val="28"/>
          <w:highlight w:val="none"/>
          <w14:textFill>
            <w14:solidFill>
              <w14:schemeClr w14:val="tx1"/>
            </w14:solidFill>
          </w14:textFill>
        </w:rPr>
      </w:pPr>
    </w:p>
    <w:p w14:paraId="02CFA6E2">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三、投标保证金</w:t>
      </w:r>
    </w:p>
    <w:p w14:paraId="63D35331">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p>
    <w:p w14:paraId="43D91FB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如采用银行转账，投标人应在此提供汇款凭证的彩色扫描件。</w:t>
      </w:r>
    </w:p>
    <w:p w14:paraId="2194375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如采用电子保函，投标人应在此提供电子保函彩色扫描件。</w:t>
      </w:r>
    </w:p>
    <w:p w14:paraId="2D1DA82F">
      <w:pPr>
        <w:pStyle w:val="59"/>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如采用投标保证金保险，投标人应在此提供保单</w:t>
      </w:r>
      <w:r>
        <w:rPr>
          <w:rFonts w:hint="eastAsia" w:ascii="宋体" w:hAnsi="宋体" w:cs="宋体"/>
          <w:color w:val="000000" w:themeColor="text1"/>
          <w:highlight w:val="none"/>
          <w:lang w:val="zh-CN"/>
          <w14:textFill>
            <w14:solidFill>
              <w14:schemeClr w14:val="tx1"/>
            </w14:solidFill>
          </w14:textFill>
        </w:rPr>
        <w:t>彩色扫描件</w:t>
      </w:r>
      <w:r>
        <w:rPr>
          <w:rFonts w:hint="eastAsia" w:ascii="宋体" w:hAnsi="宋体" w:cs="宋体"/>
          <w:color w:val="000000" w:themeColor="text1"/>
          <w:highlight w:val="none"/>
          <w14:textFill>
            <w14:solidFill>
              <w14:schemeClr w14:val="tx1"/>
            </w14:solidFill>
          </w14:textFill>
        </w:rPr>
        <w:t>。</w:t>
      </w:r>
    </w:p>
    <w:p w14:paraId="5C71477D">
      <w:pPr>
        <w:spacing w:line="360" w:lineRule="exact"/>
        <w:rPr>
          <w:rFonts w:ascii="宋体" w:hAnsi="宋体"/>
          <w:color w:val="000000" w:themeColor="text1"/>
          <w:sz w:val="24"/>
          <w:highlight w:val="none"/>
          <w14:textFill>
            <w14:solidFill>
              <w14:schemeClr w14:val="tx1"/>
            </w14:solidFill>
          </w14:textFill>
        </w:rPr>
      </w:pPr>
    </w:p>
    <w:p w14:paraId="6FC56507">
      <w:pPr>
        <w:adjustRightInd w:val="0"/>
        <w:snapToGrid w:val="0"/>
        <w:spacing w:line="360" w:lineRule="auto"/>
        <w:rPr>
          <w:rFonts w:ascii="宋体" w:hAnsi="宋体"/>
          <w:color w:val="000000" w:themeColor="text1"/>
          <w:sz w:val="24"/>
          <w:highlight w:val="none"/>
          <w14:textFill>
            <w14:solidFill>
              <w14:schemeClr w14:val="tx1"/>
            </w14:solidFill>
          </w14:textFill>
        </w:rPr>
      </w:pPr>
    </w:p>
    <w:p w14:paraId="7FB117AA">
      <w:pPr>
        <w:widowControl/>
        <w:jc w:val="left"/>
        <w:rPr>
          <w:rFonts w:ascii="宋体" w:hAnsi="宋体"/>
          <w:color w:val="000000" w:themeColor="text1"/>
          <w:sz w:val="24"/>
          <w:highlight w:val="none"/>
          <w14:textFill>
            <w14:solidFill>
              <w14:schemeClr w14:val="tx1"/>
            </w14:solidFill>
          </w14:textFill>
        </w:rPr>
      </w:pPr>
    </w:p>
    <w:p w14:paraId="3E6ABB44">
      <w:pPr>
        <w:rPr>
          <w:rFonts w:ascii="宋体" w:hAnsi="宋体" w:cs="宋体"/>
          <w:b/>
          <w:color w:val="000000" w:themeColor="text1"/>
          <w:sz w:val="28"/>
          <w:szCs w:val="28"/>
          <w:highlight w:val="none"/>
          <w14:textFill>
            <w14:solidFill>
              <w14:schemeClr w14:val="tx1"/>
            </w14:solidFill>
          </w14:textFill>
        </w:rPr>
      </w:pPr>
      <w:bookmarkStart w:id="1757" w:name="_Toc24192"/>
      <w:bookmarkStart w:id="1758" w:name="_Toc453057237"/>
      <w:bookmarkStart w:id="1759" w:name="_Toc451261419"/>
      <w:r>
        <w:rPr>
          <w:rFonts w:hint="eastAsia" w:ascii="宋体" w:hAnsi="宋体" w:cs="宋体"/>
          <w:b/>
          <w:color w:val="000000" w:themeColor="text1"/>
          <w:sz w:val="28"/>
          <w:szCs w:val="28"/>
          <w:highlight w:val="none"/>
          <w14:textFill>
            <w14:solidFill>
              <w14:schemeClr w14:val="tx1"/>
            </w14:solidFill>
          </w14:textFill>
        </w:rPr>
        <w:br w:type="page"/>
      </w:r>
    </w:p>
    <w:p w14:paraId="583CE65D">
      <w:pPr>
        <w:jc w:val="center"/>
        <w:rPr>
          <w:rFonts w:ascii="宋体" w:hAnsi="宋体"/>
          <w:b/>
          <w:color w:val="000000" w:themeColor="text1"/>
          <w:sz w:val="28"/>
          <w:szCs w:val="28"/>
          <w:highlight w:val="none"/>
          <w14:textFill>
            <w14:solidFill>
              <w14:schemeClr w14:val="tx1"/>
            </w14:solidFill>
          </w14:textFill>
        </w:rPr>
      </w:pPr>
    </w:p>
    <w:p w14:paraId="6521D505">
      <w:pPr>
        <w:numPr>
          <w:ilvl w:val="0"/>
          <w:numId w:val="27"/>
        </w:num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施工组织设计</w:t>
      </w:r>
    </w:p>
    <w:p w14:paraId="68A70D6C">
      <w:pPr>
        <w:spacing w:line="480" w:lineRule="auto"/>
        <w:ind w:right="263" w:firstLine="560" w:firstLineChars="200"/>
        <w:rPr>
          <w:color w:val="000000" w:themeColor="text1"/>
          <w:sz w:val="28"/>
          <w:highlight w:val="none"/>
          <w14:textFill>
            <w14:solidFill>
              <w14:schemeClr w14:val="tx1"/>
            </w14:solidFill>
          </w14:textFill>
        </w:rPr>
      </w:pPr>
    </w:p>
    <w:p w14:paraId="59D5F248">
      <w:pPr>
        <w:spacing w:before="66" w:line="379" w:lineRule="auto"/>
        <w:ind w:left="7" w:right="382" w:firstLine="420"/>
        <w:rPr>
          <w:rFonts w:hint="eastAsia" w:ascii="宋体" w:hAnsi="宋体" w:cs="宋体"/>
          <w:color w:val="000000" w:themeColor="text1"/>
          <w:spacing w:val="16"/>
          <w:sz w:val="24"/>
          <w:szCs w:val="24"/>
          <w:highlight w:val="none"/>
          <w14:textFill>
            <w14:solidFill>
              <w14:schemeClr w14:val="tx1"/>
            </w14:solidFill>
          </w14:textFill>
        </w:rPr>
      </w:pPr>
      <w:r>
        <w:rPr>
          <w:rFonts w:hint="eastAsia" w:ascii="宋体" w:hAnsi="宋体" w:cs="宋体"/>
          <w:color w:val="000000" w:themeColor="text1"/>
          <w:spacing w:val="16"/>
          <w:sz w:val="24"/>
          <w:szCs w:val="24"/>
          <w:highlight w:val="none"/>
          <w14:textFill>
            <w14:solidFill>
              <w14:schemeClr w14:val="tx1"/>
            </w14:solidFill>
          </w14:textFill>
        </w:rPr>
        <w:t>投标人应按以下要点编制施工组织设计（文字宜精炼、内容具有针对性</w:t>
      </w:r>
      <w:r>
        <w:rPr>
          <w:rFonts w:hint="eastAsia" w:ascii="宋体" w:hAnsi="宋体" w:cs="宋体"/>
          <w:color w:val="000000" w:themeColor="text1"/>
          <w:spacing w:val="16"/>
          <w:sz w:val="24"/>
          <w:szCs w:val="24"/>
          <w:highlight w:val="none"/>
          <w:lang w:eastAsia="zh-CN"/>
          <w14:textFill>
            <w14:solidFill>
              <w14:schemeClr w14:val="tx1"/>
            </w14:solidFill>
          </w14:textFill>
        </w:rPr>
        <w:t>）：</w:t>
      </w:r>
    </w:p>
    <w:p w14:paraId="7F2926E0">
      <w:pPr>
        <w:spacing w:before="66" w:line="379" w:lineRule="auto"/>
        <w:ind w:left="7" w:right="382" w:firstLine="420"/>
        <w:rPr>
          <w:rFonts w:hint="eastAsia" w:ascii="宋体" w:hAnsi="宋体" w:cs="宋体"/>
          <w:color w:val="000000" w:themeColor="text1"/>
          <w:spacing w:val="16"/>
          <w:sz w:val="24"/>
          <w:szCs w:val="24"/>
          <w:highlight w:val="none"/>
          <w14:textFill>
            <w14:solidFill>
              <w14:schemeClr w14:val="tx1"/>
            </w14:solidFill>
          </w14:textFill>
        </w:rPr>
      </w:pPr>
      <w:r>
        <w:rPr>
          <w:rFonts w:hint="eastAsia" w:ascii="宋体" w:hAnsi="宋体" w:cs="宋体"/>
          <w:color w:val="000000" w:themeColor="text1"/>
          <w:spacing w:val="16"/>
          <w:sz w:val="24"/>
          <w:szCs w:val="24"/>
          <w:highlight w:val="none"/>
          <w:lang w:eastAsia="zh-CN"/>
          <w14:textFill>
            <w14:solidFill>
              <w14:schemeClr w14:val="tx1"/>
            </w14:solidFill>
          </w14:textFill>
        </w:rPr>
        <w:t>（</w:t>
      </w:r>
      <w:r>
        <w:rPr>
          <w:rFonts w:hint="eastAsia" w:ascii="宋体" w:hAnsi="宋体" w:cs="宋体"/>
          <w:color w:val="000000" w:themeColor="text1"/>
          <w:spacing w:val="16"/>
          <w:sz w:val="24"/>
          <w:szCs w:val="24"/>
          <w:highlight w:val="none"/>
          <w:lang w:val="en-US" w:eastAsia="zh-CN"/>
          <w14:textFill>
            <w14:solidFill>
              <w14:schemeClr w14:val="tx1"/>
            </w14:solidFill>
          </w14:textFill>
        </w:rPr>
        <w:t>1</w:t>
      </w:r>
      <w:r>
        <w:rPr>
          <w:rFonts w:hint="eastAsia" w:ascii="宋体" w:hAnsi="宋体" w:cs="宋体"/>
          <w:color w:val="000000" w:themeColor="text1"/>
          <w:spacing w:val="16"/>
          <w:sz w:val="24"/>
          <w:szCs w:val="24"/>
          <w:highlight w:val="none"/>
          <w:lang w:eastAsia="zh-CN"/>
          <w14:textFill>
            <w14:solidFill>
              <w14:schemeClr w14:val="tx1"/>
            </w14:solidFill>
          </w14:textFill>
        </w:rPr>
        <w:t>）总体施工组织布置及规划；</w:t>
      </w:r>
    </w:p>
    <w:p w14:paraId="08C34CD5">
      <w:pPr>
        <w:spacing w:before="66" w:line="379" w:lineRule="auto"/>
        <w:ind w:left="7" w:right="382" w:firstLine="420"/>
        <w:rPr>
          <w:rFonts w:hint="eastAsia" w:ascii="宋体" w:hAnsi="宋体" w:cs="宋体"/>
          <w:color w:val="000000" w:themeColor="text1"/>
          <w:spacing w:val="16"/>
          <w:sz w:val="24"/>
          <w:szCs w:val="24"/>
          <w:highlight w:val="none"/>
          <w14:textFill>
            <w14:solidFill>
              <w14:schemeClr w14:val="tx1"/>
            </w14:solidFill>
          </w14:textFill>
        </w:rPr>
      </w:pPr>
      <w:r>
        <w:rPr>
          <w:rFonts w:hint="eastAsia" w:ascii="宋体" w:hAnsi="宋体" w:cs="宋体"/>
          <w:color w:val="000000" w:themeColor="text1"/>
          <w:spacing w:val="16"/>
          <w:sz w:val="24"/>
          <w:szCs w:val="24"/>
          <w:highlight w:val="none"/>
          <w:lang w:eastAsia="zh-CN"/>
          <w14:textFill>
            <w14:solidFill>
              <w14:schemeClr w14:val="tx1"/>
            </w14:solidFill>
          </w14:textFill>
        </w:rPr>
        <w:t>（</w:t>
      </w:r>
      <w:r>
        <w:rPr>
          <w:rFonts w:hint="eastAsia" w:ascii="宋体" w:hAnsi="宋体" w:cs="宋体"/>
          <w:color w:val="000000" w:themeColor="text1"/>
          <w:spacing w:val="16"/>
          <w:sz w:val="24"/>
          <w:szCs w:val="24"/>
          <w:highlight w:val="none"/>
          <w:lang w:val="en-US" w:eastAsia="zh-CN"/>
          <w14:textFill>
            <w14:solidFill>
              <w14:schemeClr w14:val="tx1"/>
            </w14:solidFill>
          </w14:textFill>
        </w:rPr>
        <w:t>2</w:t>
      </w:r>
      <w:r>
        <w:rPr>
          <w:rFonts w:hint="eastAsia" w:ascii="宋体" w:hAnsi="宋体" w:cs="宋体"/>
          <w:color w:val="000000" w:themeColor="text1"/>
          <w:spacing w:val="16"/>
          <w:sz w:val="24"/>
          <w:szCs w:val="24"/>
          <w:highlight w:val="none"/>
          <w:lang w:eastAsia="zh-CN"/>
          <w14:textFill>
            <w14:solidFill>
              <w14:schemeClr w14:val="tx1"/>
            </w14:solidFill>
          </w14:textFill>
        </w:rPr>
        <w:t>）重点、难点和关键工程的施工方案与技术措施；</w:t>
      </w:r>
    </w:p>
    <w:p w14:paraId="50681DDB">
      <w:pPr>
        <w:spacing w:before="66" w:line="379" w:lineRule="auto"/>
        <w:ind w:left="7" w:right="382" w:firstLine="420"/>
        <w:rPr>
          <w:rFonts w:ascii="宋体" w:hAnsi="宋体" w:cs="宋体"/>
          <w:color w:val="000000" w:themeColor="text1"/>
          <w:spacing w:val="16"/>
          <w:sz w:val="24"/>
          <w:szCs w:val="24"/>
          <w:highlight w:val="none"/>
          <w14:textFill>
            <w14:solidFill>
              <w14:schemeClr w14:val="tx1"/>
            </w14:solidFill>
          </w14:textFill>
        </w:rPr>
      </w:pPr>
      <w:r>
        <w:rPr>
          <w:rFonts w:hint="eastAsia" w:ascii="宋体" w:hAnsi="宋体" w:cs="宋体"/>
          <w:color w:val="000000" w:themeColor="text1"/>
          <w:spacing w:val="16"/>
          <w:sz w:val="24"/>
          <w:szCs w:val="24"/>
          <w:highlight w:val="none"/>
          <w:lang w:eastAsia="zh-CN"/>
          <w14:textFill>
            <w14:solidFill>
              <w14:schemeClr w14:val="tx1"/>
            </w14:solidFill>
          </w14:textFill>
        </w:rPr>
        <w:t>（</w:t>
      </w:r>
      <w:r>
        <w:rPr>
          <w:rFonts w:hint="eastAsia" w:ascii="宋体" w:hAnsi="宋体" w:cs="宋体"/>
          <w:color w:val="000000" w:themeColor="text1"/>
          <w:spacing w:val="16"/>
          <w:sz w:val="24"/>
          <w:szCs w:val="24"/>
          <w:highlight w:val="none"/>
          <w:lang w:val="en-US" w:eastAsia="zh-CN"/>
          <w14:textFill>
            <w14:solidFill>
              <w14:schemeClr w14:val="tx1"/>
            </w14:solidFill>
          </w14:textFill>
        </w:rPr>
        <w:t>3</w:t>
      </w:r>
      <w:r>
        <w:rPr>
          <w:rFonts w:hint="eastAsia" w:ascii="宋体" w:hAnsi="宋体" w:cs="宋体"/>
          <w:color w:val="000000" w:themeColor="text1"/>
          <w:spacing w:val="16"/>
          <w:sz w:val="24"/>
          <w:szCs w:val="24"/>
          <w:highlight w:val="none"/>
          <w:lang w:eastAsia="zh-CN"/>
          <w14:textFill>
            <w14:solidFill>
              <w14:schemeClr w14:val="tx1"/>
            </w14:solidFill>
          </w14:textFill>
        </w:rPr>
        <w:t>）工期、质量、安全、环保水保、文明施工保证措施</w:t>
      </w:r>
    </w:p>
    <w:p w14:paraId="04F06F4B">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14:paraId="3F3BDACD">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14:paraId="7717282C">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14:paraId="33D32262">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14:paraId="6A811ACE">
      <w:pPr>
        <w:rPr>
          <w:rFonts w:ascii="宋体" w:hAnsi="宋体" w:cs="宋体"/>
          <w:color w:val="000000" w:themeColor="text1"/>
          <w:spacing w:val="9"/>
          <w:sz w:val="20"/>
          <w:szCs w:val="20"/>
          <w:highlight w:val="none"/>
          <w14:textFill>
            <w14:solidFill>
              <w14:schemeClr w14:val="tx1"/>
            </w14:solidFill>
          </w14:textFill>
        </w:rPr>
      </w:pPr>
      <w:r>
        <w:rPr>
          <w:rFonts w:ascii="宋体" w:hAnsi="宋体" w:cs="宋体"/>
          <w:color w:val="000000" w:themeColor="text1"/>
          <w:spacing w:val="9"/>
          <w:sz w:val="20"/>
          <w:szCs w:val="20"/>
          <w:highlight w:val="none"/>
          <w14:textFill>
            <w14:solidFill>
              <w14:schemeClr w14:val="tx1"/>
            </w14:solidFill>
          </w14:textFill>
        </w:rPr>
        <w:br w:type="page"/>
      </w:r>
    </w:p>
    <w:p w14:paraId="32EC3955">
      <w:pPr>
        <w:spacing w:before="66" w:line="379" w:lineRule="auto"/>
        <w:ind w:left="7" w:right="382" w:firstLine="420"/>
        <w:rPr>
          <w:rFonts w:ascii="宋体" w:hAnsi="宋体" w:cs="宋体"/>
          <w:color w:val="000000" w:themeColor="text1"/>
          <w:spacing w:val="9"/>
          <w:sz w:val="20"/>
          <w:szCs w:val="20"/>
          <w:highlight w:val="none"/>
          <w14:textFill>
            <w14:solidFill>
              <w14:schemeClr w14:val="tx1"/>
            </w14:solidFill>
          </w14:textFill>
        </w:rPr>
      </w:pPr>
    </w:p>
    <w:p w14:paraId="1E3734FB">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五、项目管理机构</w:t>
      </w:r>
    </w:p>
    <w:tbl>
      <w:tblPr>
        <w:tblStyle w:val="4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46378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14:paraId="48125EBE">
            <w:pPr>
              <w:rPr>
                <w:rFonts w:ascii="宋体" w:hAnsi="宋体" w:cs="宋体"/>
                <w:color w:val="000000" w:themeColor="text1"/>
                <w:szCs w:val="21"/>
                <w:highlight w:val="none"/>
                <w14:textFill>
                  <w14:solidFill>
                    <w14:schemeClr w14:val="tx1"/>
                  </w14:solidFill>
                </w14:textFill>
              </w:rPr>
            </w:pPr>
          </w:p>
          <w:p w14:paraId="1986B4E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拟为承包本标段工程设立的组织机构以框图方式表示。</w:t>
            </w:r>
          </w:p>
        </w:tc>
      </w:tr>
      <w:tr w14:paraId="4987B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14:paraId="461D76B5">
            <w:pPr>
              <w:rPr>
                <w:rFonts w:ascii="宋体" w:hAnsi="宋体" w:cs="宋体"/>
                <w:color w:val="000000" w:themeColor="text1"/>
                <w:szCs w:val="21"/>
                <w:highlight w:val="none"/>
                <w14:textFill>
                  <w14:solidFill>
                    <w14:schemeClr w14:val="tx1"/>
                  </w14:solidFill>
                </w14:textFill>
              </w:rPr>
            </w:pPr>
          </w:p>
          <w:p w14:paraId="4F3F83F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tc>
      </w:tr>
    </w:tbl>
    <w:p w14:paraId="3E4BFC3B">
      <w:pPr>
        <w:pStyle w:val="55"/>
        <w:ind w:left="15" w:leftChars="7" w:firstLine="403" w:firstLineChars="168"/>
        <w:rPr>
          <w:rFonts w:ascii="宋体" w:hAnsi="宋体" w:cs="宋体"/>
          <w:color w:val="000000" w:themeColor="text1"/>
          <w:sz w:val="24"/>
          <w:szCs w:val="24"/>
          <w:highlight w:val="none"/>
          <w14:textFill>
            <w14:solidFill>
              <w14:schemeClr w14:val="tx1"/>
            </w14:solidFill>
          </w14:textFill>
        </w:rPr>
        <w:sectPr>
          <w:headerReference r:id="rId13" w:type="default"/>
          <w:footerReference r:id="rId14"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6A9603DE">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六、拟分包项目情况表</w:t>
      </w:r>
    </w:p>
    <w:tbl>
      <w:tblPr>
        <w:tblStyle w:val="45"/>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14:paraId="051B0F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14:paraId="02B8901C">
            <w:pPr>
              <w:pStyle w:val="80"/>
              <w:spacing w:before="46" w:line="242" w:lineRule="auto"/>
              <w:ind w:left="964" w:right="461" w:hanging="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拟分包的工程项目</w:t>
            </w:r>
          </w:p>
        </w:tc>
        <w:tc>
          <w:tcPr>
            <w:tcW w:w="2409" w:type="dxa"/>
            <w:tcBorders>
              <w:left w:val="single" w:color="000000" w:sz="6" w:space="0"/>
              <w:bottom w:val="single" w:color="000000" w:sz="6" w:space="0"/>
              <w:right w:val="single" w:color="000000" w:sz="6" w:space="0"/>
            </w:tcBorders>
          </w:tcPr>
          <w:p w14:paraId="0A2DED16">
            <w:pPr>
              <w:pStyle w:val="80"/>
              <w:spacing w:before="201"/>
              <w:ind w:left="4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主要工程内容</w:t>
            </w:r>
          </w:p>
        </w:tc>
        <w:tc>
          <w:tcPr>
            <w:tcW w:w="2409" w:type="dxa"/>
            <w:tcBorders>
              <w:left w:val="single" w:color="000000" w:sz="6" w:space="0"/>
              <w:bottom w:val="single" w:color="000000" w:sz="6" w:space="0"/>
              <w:right w:val="single" w:color="000000" w:sz="6" w:space="0"/>
            </w:tcBorders>
          </w:tcPr>
          <w:p w14:paraId="556BF43C">
            <w:pPr>
              <w:pStyle w:val="80"/>
              <w:spacing w:before="201"/>
              <w:ind w:left="25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预计造价（万元）</w:t>
            </w:r>
          </w:p>
        </w:tc>
        <w:tc>
          <w:tcPr>
            <w:tcW w:w="2410" w:type="dxa"/>
            <w:tcBorders>
              <w:left w:val="single" w:color="000000" w:sz="6" w:space="0"/>
              <w:bottom w:val="single" w:color="000000" w:sz="6" w:space="0"/>
            </w:tcBorders>
          </w:tcPr>
          <w:p w14:paraId="7197E033">
            <w:pPr>
              <w:pStyle w:val="80"/>
              <w:spacing w:before="201"/>
              <w:ind w:left="130"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07CBA7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14:paraId="137E7B3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F3B5CC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298DE44A">
            <w:pPr>
              <w:pStyle w:val="80"/>
              <w:rPr>
                <w:rFonts w:ascii="宋体" w:hAnsi="宋体" w:cs="宋体"/>
                <w:color w:val="000000" w:themeColor="text1"/>
                <w:sz w:val="20"/>
                <w:highlight w:val="none"/>
                <w14:textFill>
                  <w14:solidFill>
                    <w14:schemeClr w14:val="tx1"/>
                  </w14:solidFill>
                </w14:textFill>
              </w:rPr>
            </w:pPr>
          </w:p>
        </w:tc>
        <w:tc>
          <w:tcPr>
            <w:tcW w:w="2410" w:type="dxa"/>
            <w:vMerge w:val="restart"/>
            <w:tcBorders>
              <w:top w:val="single" w:color="000000" w:sz="6" w:space="0"/>
              <w:left w:val="single" w:color="000000" w:sz="6" w:space="0"/>
            </w:tcBorders>
          </w:tcPr>
          <w:p w14:paraId="7939D00B">
            <w:pPr>
              <w:pStyle w:val="80"/>
              <w:rPr>
                <w:rFonts w:ascii="宋体" w:hAnsi="宋体" w:cs="宋体"/>
                <w:color w:val="000000" w:themeColor="text1"/>
                <w:sz w:val="24"/>
                <w:highlight w:val="none"/>
                <w14:textFill>
                  <w14:solidFill>
                    <w14:schemeClr w14:val="tx1"/>
                  </w14:solidFill>
                </w14:textFill>
              </w:rPr>
            </w:pPr>
          </w:p>
          <w:p w14:paraId="7B1A0E4A">
            <w:pPr>
              <w:pStyle w:val="80"/>
              <w:rPr>
                <w:rFonts w:ascii="宋体" w:hAnsi="宋体" w:cs="宋体"/>
                <w:color w:val="000000" w:themeColor="text1"/>
                <w:sz w:val="24"/>
                <w:highlight w:val="none"/>
                <w14:textFill>
                  <w14:solidFill>
                    <w14:schemeClr w14:val="tx1"/>
                  </w14:solidFill>
                </w14:textFill>
              </w:rPr>
            </w:pPr>
          </w:p>
          <w:p w14:paraId="6B11C26E">
            <w:pPr>
              <w:pStyle w:val="80"/>
              <w:rPr>
                <w:rFonts w:ascii="宋体" w:hAnsi="宋体" w:cs="宋体"/>
                <w:color w:val="000000" w:themeColor="text1"/>
                <w:sz w:val="24"/>
                <w:highlight w:val="none"/>
                <w14:textFill>
                  <w14:solidFill>
                    <w14:schemeClr w14:val="tx1"/>
                  </w14:solidFill>
                </w14:textFill>
              </w:rPr>
            </w:pPr>
          </w:p>
          <w:p w14:paraId="02B1B662">
            <w:pPr>
              <w:pStyle w:val="80"/>
              <w:rPr>
                <w:rFonts w:ascii="宋体" w:hAnsi="宋体" w:cs="宋体"/>
                <w:color w:val="000000" w:themeColor="text1"/>
                <w:sz w:val="24"/>
                <w:highlight w:val="none"/>
                <w14:textFill>
                  <w14:solidFill>
                    <w14:schemeClr w14:val="tx1"/>
                  </w14:solidFill>
                </w14:textFill>
              </w:rPr>
            </w:pPr>
          </w:p>
          <w:p w14:paraId="4634E51A">
            <w:pPr>
              <w:pStyle w:val="80"/>
              <w:rPr>
                <w:rFonts w:ascii="宋体" w:hAnsi="宋体" w:cs="宋体"/>
                <w:color w:val="000000" w:themeColor="text1"/>
                <w:sz w:val="24"/>
                <w:highlight w:val="none"/>
                <w14:textFill>
                  <w14:solidFill>
                    <w14:schemeClr w14:val="tx1"/>
                  </w14:solidFill>
                </w14:textFill>
              </w:rPr>
            </w:pPr>
          </w:p>
          <w:p w14:paraId="1D0F9115">
            <w:pPr>
              <w:pStyle w:val="80"/>
              <w:rPr>
                <w:rFonts w:ascii="宋体" w:hAnsi="宋体" w:cs="宋体"/>
                <w:color w:val="000000" w:themeColor="text1"/>
                <w:sz w:val="24"/>
                <w:highlight w:val="none"/>
                <w14:textFill>
                  <w14:solidFill>
                    <w14:schemeClr w14:val="tx1"/>
                  </w14:solidFill>
                </w14:textFill>
              </w:rPr>
            </w:pPr>
          </w:p>
          <w:p w14:paraId="2B240A3F">
            <w:pPr>
              <w:pStyle w:val="80"/>
              <w:rPr>
                <w:rFonts w:ascii="宋体" w:hAnsi="宋体" w:cs="宋体"/>
                <w:color w:val="000000" w:themeColor="text1"/>
                <w:sz w:val="24"/>
                <w:highlight w:val="none"/>
                <w14:textFill>
                  <w14:solidFill>
                    <w14:schemeClr w14:val="tx1"/>
                  </w14:solidFill>
                </w14:textFill>
              </w:rPr>
            </w:pPr>
          </w:p>
          <w:p w14:paraId="6EE951B8">
            <w:pPr>
              <w:pStyle w:val="80"/>
              <w:rPr>
                <w:rFonts w:ascii="宋体" w:hAnsi="宋体" w:cs="宋体"/>
                <w:color w:val="000000" w:themeColor="text1"/>
                <w:sz w:val="24"/>
                <w:highlight w:val="none"/>
                <w14:textFill>
                  <w14:solidFill>
                    <w14:schemeClr w14:val="tx1"/>
                  </w14:solidFill>
                </w14:textFill>
              </w:rPr>
            </w:pPr>
          </w:p>
          <w:p w14:paraId="6B282E8C">
            <w:pPr>
              <w:pStyle w:val="80"/>
              <w:rPr>
                <w:rFonts w:ascii="宋体" w:hAnsi="宋体" w:cs="宋体"/>
                <w:color w:val="000000" w:themeColor="text1"/>
                <w:sz w:val="24"/>
                <w:highlight w:val="none"/>
                <w14:textFill>
                  <w14:solidFill>
                    <w14:schemeClr w14:val="tx1"/>
                  </w14:solidFill>
                </w14:textFill>
              </w:rPr>
            </w:pPr>
          </w:p>
          <w:p w14:paraId="2A51E224">
            <w:pPr>
              <w:pStyle w:val="80"/>
              <w:rPr>
                <w:rFonts w:ascii="宋体" w:hAnsi="宋体" w:cs="宋体"/>
                <w:color w:val="000000" w:themeColor="text1"/>
                <w:sz w:val="24"/>
                <w:highlight w:val="none"/>
                <w14:textFill>
                  <w14:solidFill>
                    <w14:schemeClr w14:val="tx1"/>
                  </w14:solidFill>
                </w14:textFill>
              </w:rPr>
            </w:pPr>
          </w:p>
          <w:p w14:paraId="4EFF2B34">
            <w:pPr>
              <w:pStyle w:val="80"/>
              <w:rPr>
                <w:rFonts w:ascii="宋体" w:hAnsi="宋体" w:cs="宋体"/>
                <w:color w:val="000000" w:themeColor="text1"/>
                <w:sz w:val="24"/>
                <w:highlight w:val="none"/>
                <w14:textFill>
                  <w14:solidFill>
                    <w14:schemeClr w14:val="tx1"/>
                  </w14:solidFill>
                </w14:textFill>
              </w:rPr>
            </w:pPr>
          </w:p>
          <w:p w14:paraId="715C6F0F">
            <w:pPr>
              <w:pStyle w:val="80"/>
              <w:rPr>
                <w:rFonts w:ascii="宋体" w:hAnsi="宋体" w:cs="宋体"/>
                <w:color w:val="000000" w:themeColor="text1"/>
                <w:sz w:val="24"/>
                <w:highlight w:val="none"/>
                <w14:textFill>
                  <w14:solidFill>
                    <w14:schemeClr w14:val="tx1"/>
                  </w14:solidFill>
                </w14:textFill>
              </w:rPr>
            </w:pPr>
          </w:p>
          <w:p w14:paraId="73117EFA">
            <w:pPr>
              <w:pStyle w:val="80"/>
              <w:spacing w:before="1"/>
              <w:rPr>
                <w:rFonts w:ascii="宋体" w:hAnsi="宋体" w:cs="宋体"/>
                <w:color w:val="000000" w:themeColor="text1"/>
                <w:sz w:val="29"/>
                <w:highlight w:val="none"/>
                <w14:textFill>
                  <w14:solidFill>
                    <w14:schemeClr w14:val="tx1"/>
                  </w14:solidFill>
                </w14:textFill>
              </w:rPr>
            </w:pPr>
          </w:p>
          <w:p w14:paraId="42913B59">
            <w:pPr>
              <w:pStyle w:val="80"/>
              <w:spacing w:line="242" w:lineRule="auto"/>
              <w:ind w:left="133"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注：若无分包计划， 则投标人应在本表填写“无”。</w:t>
            </w:r>
          </w:p>
        </w:tc>
      </w:tr>
      <w:tr w14:paraId="71879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8332573">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DC88D59">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6C1CEC37">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2AB401E2">
            <w:pPr>
              <w:rPr>
                <w:rFonts w:ascii="宋体" w:hAnsi="宋体" w:cs="宋体"/>
                <w:color w:val="000000" w:themeColor="text1"/>
                <w:sz w:val="2"/>
                <w:szCs w:val="2"/>
                <w:highlight w:val="none"/>
                <w14:textFill>
                  <w14:solidFill>
                    <w14:schemeClr w14:val="tx1"/>
                  </w14:solidFill>
                </w14:textFill>
              </w:rPr>
            </w:pPr>
          </w:p>
        </w:tc>
      </w:tr>
      <w:tr w14:paraId="0D08F1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65D0B1C0">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0FECB20">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224537E">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23CECE9A">
            <w:pPr>
              <w:rPr>
                <w:rFonts w:ascii="宋体" w:hAnsi="宋体" w:cs="宋体"/>
                <w:color w:val="000000" w:themeColor="text1"/>
                <w:sz w:val="2"/>
                <w:szCs w:val="2"/>
                <w:highlight w:val="none"/>
                <w14:textFill>
                  <w14:solidFill>
                    <w14:schemeClr w14:val="tx1"/>
                  </w14:solidFill>
                </w14:textFill>
              </w:rPr>
            </w:pPr>
          </w:p>
        </w:tc>
      </w:tr>
      <w:tr w14:paraId="769902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39C729EC">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86260C0">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DF577CD">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5F6ABFDB">
            <w:pPr>
              <w:rPr>
                <w:rFonts w:ascii="宋体" w:hAnsi="宋体" w:cs="宋体"/>
                <w:color w:val="000000" w:themeColor="text1"/>
                <w:sz w:val="2"/>
                <w:szCs w:val="2"/>
                <w:highlight w:val="none"/>
                <w14:textFill>
                  <w14:solidFill>
                    <w14:schemeClr w14:val="tx1"/>
                  </w14:solidFill>
                </w14:textFill>
              </w:rPr>
            </w:pPr>
          </w:p>
        </w:tc>
      </w:tr>
      <w:tr w14:paraId="58DF05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58855BCB">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7E54DA5">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C15C0D8">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E69EE5A">
            <w:pPr>
              <w:rPr>
                <w:rFonts w:ascii="宋体" w:hAnsi="宋体" w:cs="宋体"/>
                <w:color w:val="000000" w:themeColor="text1"/>
                <w:sz w:val="2"/>
                <w:szCs w:val="2"/>
                <w:highlight w:val="none"/>
                <w14:textFill>
                  <w14:solidFill>
                    <w14:schemeClr w14:val="tx1"/>
                  </w14:solidFill>
                </w14:textFill>
              </w:rPr>
            </w:pPr>
          </w:p>
        </w:tc>
      </w:tr>
      <w:tr w14:paraId="6D9BA3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54E6C5B8">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69DB1BB">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37D72D1">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C45E5D2">
            <w:pPr>
              <w:rPr>
                <w:rFonts w:ascii="宋体" w:hAnsi="宋体" w:cs="宋体"/>
                <w:color w:val="000000" w:themeColor="text1"/>
                <w:sz w:val="2"/>
                <w:szCs w:val="2"/>
                <w:highlight w:val="none"/>
                <w14:textFill>
                  <w14:solidFill>
                    <w14:schemeClr w14:val="tx1"/>
                  </w14:solidFill>
                </w14:textFill>
              </w:rPr>
            </w:pPr>
          </w:p>
        </w:tc>
      </w:tr>
      <w:tr w14:paraId="47EB78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2E8E70F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F603CE6">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F998ABD">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73B83491">
            <w:pPr>
              <w:rPr>
                <w:rFonts w:ascii="宋体" w:hAnsi="宋体" w:cs="宋体"/>
                <w:color w:val="000000" w:themeColor="text1"/>
                <w:sz w:val="2"/>
                <w:szCs w:val="2"/>
                <w:highlight w:val="none"/>
                <w14:textFill>
                  <w14:solidFill>
                    <w14:schemeClr w14:val="tx1"/>
                  </w14:solidFill>
                </w14:textFill>
              </w:rPr>
            </w:pPr>
          </w:p>
        </w:tc>
      </w:tr>
      <w:tr w14:paraId="212482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63FCDB28">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C668BD3">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8D7E2A2">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5042A1B9">
            <w:pPr>
              <w:rPr>
                <w:rFonts w:ascii="宋体" w:hAnsi="宋体" w:cs="宋体"/>
                <w:color w:val="000000" w:themeColor="text1"/>
                <w:sz w:val="2"/>
                <w:szCs w:val="2"/>
                <w:highlight w:val="none"/>
                <w14:textFill>
                  <w14:solidFill>
                    <w14:schemeClr w14:val="tx1"/>
                  </w14:solidFill>
                </w14:textFill>
              </w:rPr>
            </w:pPr>
          </w:p>
        </w:tc>
      </w:tr>
      <w:tr w14:paraId="52BDB5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0D25A18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698A727A">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CE170CC">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0A784865">
            <w:pPr>
              <w:rPr>
                <w:rFonts w:ascii="宋体" w:hAnsi="宋体" w:cs="宋体"/>
                <w:color w:val="000000" w:themeColor="text1"/>
                <w:sz w:val="2"/>
                <w:szCs w:val="2"/>
                <w:highlight w:val="none"/>
                <w14:textFill>
                  <w14:solidFill>
                    <w14:schemeClr w14:val="tx1"/>
                  </w14:solidFill>
                </w14:textFill>
              </w:rPr>
            </w:pPr>
          </w:p>
        </w:tc>
      </w:tr>
      <w:tr w14:paraId="00B3F8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9EE372C">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BCD20D5">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876582F">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6996BB47">
            <w:pPr>
              <w:rPr>
                <w:rFonts w:ascii="宋体" w:hAnsi="宋体" w:cs="宋体"/>
                <w:color w:val="000000" w:themeColor="text1"/>
                <w:sz w:val="2"/>
                <w:szCs w:val="2"/>
                <w:highlight w:val="none"/>
                <w14:textFill>
                  <w14:solidFill>
                    <w14:schemeClr w14:val="tx1"/>
                  </w14:solidFill>
                </w14:textFill>
              </w:rPr>
            </w:pPr>
          </w:p>
        </w:tc>
      </w:tr>
      <w:tr w14:paraId="61302E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755F1565">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9483EA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481B0D5">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73F6A182">
            <w:pPr>
              <w:rPr>
                <w:rFonts w:ascii="宋体" w:hAnsi="宋体" w:cs="宋体"/>
                <w:color w:val="000000" w:themeColor="text1"/>
                <w:sz w:val="2"/>
                <w:szCs w:val="2"/>
                <w:highlight w:val="none"/>
                <w14:textFill>
                  <w14:solidFill>
                    <w14:schemeClr w14:val="tx1"/>
                  </w14:solidFill>
                </w14:textFill>
              </w:rPr>
            </w:pPr>
          </w:p>
        </w:tc>
      </w:tr>
      <w:tr w14:paraId="7B951D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5BCB407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2BD516F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2F0938F2">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3F303DB7">
            <w:pPr>
              <w:rPr>
                <w:rFonts w:ascii="宋体" w:hAnsi="宋体" w:cs="宋体"/>
                <w:color w:val="000000" w:themeColor="text1"/>
                <w:sz w:val="2"/>
                <w:szCs w:val="2"/>
                <w:highlight w:val="none"/>
                <w14:textFill>
                  <w14:solidFill>
                    <w14:schemeClr w14:val="tx1"/>
                  </w14:solidFill>
                </w14:textFill>
              </w:rPr>
            </w:pPr>
          </w:p>
        </w:tc>
      </w:tr>
      <w:tr w14:paraId="5EC89D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625D570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93201C5">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57B74D4">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33E5EE12">
            <w:pPr>
              <w:rPr>
                <w:rFonts w:ascii="宋体" w:hAnsi="宋体" w:cs="宋体"/>
                <w:color w:val="000000" w:themeColor="text1"/>
                <w:sz w:val="2"/>
                <w:szCs w:val="2"/>
                <w:highlight w:val="none"/>
                <w14:textFill>
                  <w14:solidFill>
                    <w14:schemeClr w14:val="tx1"/>
                  </w14:solidFill>
                </w14:textFill>
              </w:rPr>
            </w:pPr>
          </w:p>
        </w:tc>
      </w:tr>
      <w:tr w14:paraId="41306A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692C304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E5CBE2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F543BA5">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FFA16E2">
            <w:pPr>
              <w:rPr>
                <w:rFonts w:ascii="宋体" w:hAnsi="宋体" w:cs="宋体"/>
                <w:color w:val="000000" w:themeColor="text1"/>
                <w:sz w:val="2"/>
                <w:szCs w:val="2"/>
                <w:highlight w:val="none"/>
                <w14:textFill>
                  <w14:solidFill>
                    <w14:schemeClr w14:val="tx1"/>
                  </w14:solidFill>
                </w14:textFill>
              </w:rPr>
            </w:pPr>
          </w:p>
        </w:tc>
      </w:tr>
      <w:tr w14:paraId="3AF48B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2835B249">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47C665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ABF2875">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477DB5CD">
            <w:pPr>
              <w:rPr>
                <w:rFonts w:ascii="宋体" w:hAnsi="宋体" w:cs="宋体"/>
                <w:color w:val="000000" w:themeColor="text1"/>
                <w:sz w:val="2"/>
                <w:szCs w:val="2"/>
                <w:highlight w:val="none"/>
                <w14:textFill>
                  <w14:solidFill>
                    <w14:schemeClr w14:val="tx1"/>
                  </w14:solidFill>
                </w14:textFill>
              </w:rPr>
            </w:pPr>
          </w:p>
        </w:tc>
      </w:tr>
      <w:tr w14:paraId="33A058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14:paraId="6C6827CC">
            <w:pPr>
              <w:pStyle w:val="80"/>
              <w:spacing w:before="140"/>
              <w:ind w:left="1109"/>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拟分包工程造价合计（万元）</w:t>
            </w:r>
          </w:p>
        </w:tc>
        <w:tc>
          <w:tcPr>
            <w:tcW w:w="2409" w:type="dxa"/>
            <w:tcBorders>
              <w:top w:val="single" w:color="000000" w:sz="6" w:space="0"/>
              <w:left w:val="single" w:color="000000" w:sz="6" w:space="0"/>
              <w:right w:val="single" w:color="000000" w:sz="6" w:space="0"/>
            </w:tcBorders>
          </w:tcPr>
          <w:p w14:paraId="2C6E93AD">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68EBB70E">
            <w:pPr>
              <w:rPr>
                <w:rFonts w:ascii="宋体" w:hAnsi="宋体" w:cs="宋体"/>
                <w:color w:val="000000" w:themeColor="text1"/>
                <w:sz w:val="2"/>
                <w:szCs w:val="2"/>
                <w:highlight w:val="none"/>
                <w14:textFill>
                  <w14:solidFill>
                    <w14:schemeClr w14:val="tx1"/>
                  </w14:solidFill>
                </w14:textFill>
              </w:rPr>
            </w:pPr>
          </w:p>
        </w:tc>
      </w:tr>
    </w:tbl>
    <w:p w14:paraId="795A8359">
      <w:pPr>
        <w:pStyle w:val="18"/>
        <w:spacing w:before="4"/>
        <w:rPr>
          <w:rFonts w:ascii="宋体" w:hAnsi="宋体" w:cs="宋体"/>
          <w:color w:val="000000" w:themeColor="text1"/>
          <w:sz w:val="24"/>
          <w:highlight w:val="none"/>
          <w14:textFill>
            <w14:solidFill>
              <w14:schemeClr w14:val="tx1"/>
            </w14:solidFill>
          </w14:textFill>
        </w:rPr>
      </w:pPr>
    </w:p>
    <w:p w14:paraId="6FE1A4C4">
      <w:pPr>
        <w:pStyle w:val="18"/>
        <w:spacing w:before="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注：1、若投标人中标须按本招标文件的约定执行。</w:t>
      </w:r>
    </w:p>
    <w:p w14:paraId="704C50EA">
      <w:pPr>
        <w:pStyle w:val="18"/>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2、本表填写的造价不属于投标报价的内容。</w:t>
      </w:r>
    </w:p>
    <w:p w14:paraId="372DB626">
      <w:pPr>
        <w:pStyle w:val="18"/>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3、如投标人不具备拟分包工程所需的某专项工程相应资质或投标人如有分包计划，应符合招标文件第二章“投标人须知” 第 1.11 款规定，且按本表的要求填写。</w:t>
      </w:r>
    </w:p>
    <w:p w14:paraId="6DD98176">
      <w:pPr>
        <w:jc w:val="center"/>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482C6488">
      <w:pPr>
        <w:numPr>
          <w:ilvl w:val="0"/>
          <w:numId w:val="28"/>
        </w:num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资格审查资料</w:t>
      </w:r>
    </w:p>
    <w:p w14:paraId="79212E67">
      <w:pPr>
        <w:pStyle w:val="55"/>
        <w:ind w:firstLine="0"/>
        <w:rPr>
          <w:color w:val="000000" w:themeColor="text1"/>
          <w:highlight w:val="none"/>
          <w14:textFill>
            <w14:solidFill>
              <w14:schemeClr w14:val="tx1"/>
            </w14:solidFill>
          </w14:textFill>
        </w:rPr>
      </w:pPr>
    </w:p>
    <w:p w14:paraId="1BDD67A7">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(一)投标人基本情况表</w:t>
      </w:r>
    </w:p>
    <w:p w14:paraId="2432B6BD">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(二)投标人企业组织机构框图</w:t>
      </w:r>
    </w:p>
    <w:p w14:paraId="234C8BAF">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(三)近年财务状况表</w:t>
      </w:r>
    </w:p>
    <w:p w14:paraId="5CB96AB4">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 近年完成的类似项目情况表</w:t>
      </w:r>
    </w:p>
    <w:p w14:paraId="1BE267AB">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(四)-1完成的类似项目情况表</w:t>
      </w:r>
    </w:p>
    <w:p w14:paraId="769EAA4F">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(四)-2 完成的类似项目情况汇总表</w:t>
      </w:r>
    </w:p>
    <w:p w14:paraId="55CEF034">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（五）投标人的信誉情况表</w:t>
      </w:r>
    </w:p>
    <w:p w14:paraId="40F111D7">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（六）拟委任的项目经理和项目总工情况表</w:t>
      </w:r>
    </w:p>
    <w:p w14:paraId="6F766BAB">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（六）-1 拟委任的项目经理和项目总工汇总表</w:t>
      </w:r>
    </w:p>
    <w:p w14:paraId="3A86C10A">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（六）-2拟委任的项目经理和项目总工资历表</w:t>
      </w:r>
    </w:p>
    <w:p w14:paraId="448D407C">
      <w:pP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3D298273">
      <w:pPr>
        <w:jc w:val="center"/>
        <w:rPr>
          <w:rFonts w:ascii="宋体" w:hAnsi="宋体" w:cs="宋体"/>
          <w:b/>
          <w:color w:val="000000" w:themeColor="text1"/>
          <w:sz w:val="24"/>
          <w:highlight w:val="none"/>
          <w14:textFill>
            <w14:solidFill>
              <w14:schemeClr w14:val="tx1"/>
            </w14:solidFill>
          </w14:textFill>
        </w:rPr>
      </w:pPr>
    </w:p>
    <w:p w14:paraId="113CD95B">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（一）投标人基本情况表</w:t>
      </w:r>
    </w:p>
    <w:tbl>
      <w:tblPr>
        <w:tblStyle w:val="45"/>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14:paraId="40A1A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3A1A01FF">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75C4EE7F">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444F8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AE0AFB1">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14:paraId="1BB82DAD">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14:paraId="5E52683A">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066E9212">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2A940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14:paraId="75ACEE0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14:paraId="41E4F3E5">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5FA18F17">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14:paraId="4E2AA6E7">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034A5EC3">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317B3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14:paraId="788AEF22">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14:paraId="466F12DE">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6B336135">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14:paraId="1B270D9F">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02E8C9B4">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5B477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253AF01F">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14:paraId="4DBF1F22">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525516A7">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1B813AF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4DE1A50D">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5E7BC596">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19BB91A4">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51BA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5F59245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14:paraId="76C8560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7521C34F">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5229B34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37974293">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5A831E4A">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3AA2D4EA">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04DC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29E38F43">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D9BE9DD">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14:paraId="2BE269D6">
            <w:pPr>
              <w:topLinePunct/>
              <w:spacing w:line="320" w:lineRule="exact"/>
              <w:ind w:firstLine="1200" w:firstLineChars="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14:paraId="59DCE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47760E86">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D30152B">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14:paraId="681A828C">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w:t>
            </w:r>
          </w:p>
          <w:p w14:paraId="69034CF7">
            <w:pPr>
              <w:topLinePunct/>
              <w:spacing w:line="320" w:lineRule="exact"/>
              <w:jc w:val="center"/>
              <w:rPr>
                <w:rFonts w:ascii="宋体" w:hAnsi="宋体" w:cs="宋体"/>
                <w:color w:val="000000" w:themeColor="text1"/>
                <w:sz w:val="24"/>
                <w:highlight w:val="none"/>
                <w14:textFill>
                  <w14:solidFill>
                    <w14:schemeClr w14:val="tx1"/>
                  </w14:solidFill>
                </w14:textFill>
              </w:rPr>
            </w:pPr>
          </w:p>
          <w:p w14:paraId="0535CCD9">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56E45AA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738909E6">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013A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739DC6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69DDE46">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6B11ADDA">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1BDC3FBC">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4A39D375">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26734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AF9EC26">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7188664B">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64F5BE81">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2EBA574C">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49C4B61D">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62A1F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70877D3">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0A17BABA">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0084DCD6">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7BF25771">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39AB7A9C">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1F5A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6A14A293">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2A6F3F2B">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3006197A">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33FC864D">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5D7610F4">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054A7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14:paraId="2F368A0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25EB5257">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49D49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14:paraId="1A78F861">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投标人关联企业</w:t>
            </w:r>
          </w:p>
          <w:p w14:paraId="5742132F">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情况</w:t>
            </w:r>
          </w:p>
        </w:tc>
        <w:tc>
          <w:tcPr>
            <w:tcW w:w="7127" w:type="dxa"/>
            <w:gridSpan w:val="8"/>
            <w:tcBorders>
              <w:top w:val="single" w:color="auto" w:sz="4" w:space="0"/>
              <w:left w:val="single" w:color="auto" w:sz="4" w:space="0"/>
              <w:right w:val="single" w:color="auto" w:sz="4" w:space="0"/>
            </w:tcBorders>
            <w:vAlign w:val="center"/>
          </w:tcPr>
          <w:p w14:paraId="39D1A3DF">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投标人应提供关联企业情况，包括：</w:t>
            </w:r>
          </w:p>
          <w:p w14:paraId="50216B4A">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（1）投标人的所有股东名称及相应股权（出资额）比例；如投标人为上市公司，投标人应提供股权占公司股份总数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以上的所有股东名称及相应股权比例；</w:t>
            </w:r>
          </w:p>
          <w:p w14:paraId="2A4ECFFA">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（2）投标人投资（控股）或管理的下属企业名称、持有股权（出资额）比例；</w:t>
            </w:r>
          </w:p>
          <w:p w14:paraId="114286F1">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（3）与投标人单位负责人（即法定代表人）为同一人的其他单位名称。</w:t>
            </w:r>
          </w:p>
        </w:tc>
      </w:tr>
      <w:tr w14:paraId="7EA65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B555552">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738CBD09">
            <w:pPr>
              <w:topLinePunct/>
              <w:spacing w:line="320" w:lineRule="exact"/>
              <w:jc w:val="center"/>
              <w:rPr>
                <w:rFonts w:ascii="宋体" w:hAnsi="宋体" w:cs="宋体"/>
                <w:color w:val="000000" w:themeColor="text1"/>
                <w:sz w:val="24"/>
                <w:highlight w:val="none"/>
                <w14:textFill>
                  <w14:solidFill>
                    <w14:schemeClr w14:val="tx1"/>
                  </w14:solidFill>
                </w14:textFill>
              </w:rPr>
            </w:pPr>
          </w:p>
        </w:tc>
      </w:tr>
    </w:tbl>
    <w:p w14:paraId="3429FBA5">
      <w:pPr>
        <w:spacing w:line="400" w:lineRule="exact"/>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投标人应根据招标文件第二章“投标人须知”第3.5.1项的要求在本表后附相关证明材料。</w:t>
      </w:r>
    </w:p>
    <w:p w14:paraId="14142C6A">
      <w:pPr>
        <w:spacing w:line="4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2.上述信息如经调查核实未如实填写的，按提供虚假材料对待。</w:t>
      </w:r>
    </w:p>
    <w:p w14:paraId="6E45F59D">
      <w:pPr>
        <w:jc w:val="center"/>
        <w:rPr>
          <w:rFonts w:ascii="宋体" w:hAnsi="宋体" w:cs="宋体"/>
          <w:b/>
          <w:color w:val="000000" w:themeColor="text1"/>
          <w:sz w:val="28"/>
          <w:szCs w:val="28"/>
          <w:highlight w:val="none"/>
          <w14:textFill>
            <w14:solidFill>
              <w14:schemeClr w14:val="tx1"/>
            </w14:solidFill>
          </w14:textFill>
        </w:rPr>
      </w:pPr>
      <w:bookmarkStart w:id="1760" w:name="_Toc238804116"/>
      <w:bookmarkEnd w:id="1760"/>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（二）投标人企业组织机构框图</w:t>
      </w:r>
    </w:p>
    <w:p w14:paraId="6B21B508">
      <w:pPr>
        <w:spacing w:line="400" w:lineRule="exact"/>
        <w:rPr>
          <w:rFonts w:ascii="宋体" w:hAnsi="宋体" w:cs="宋体"/>
          <w:color w:val="000000" w:themeColor="text1"/>
          <w:highlight w:val="none"/>
          <w14:textFill>
            <w14:solidFill>
              <w14:schemeClr w14:val="tx1"/>
            </w14:solidFill>
          </w14:textFill>
        </w:rPr>
      </w:pPr>
    </w:p>
    <w:tbl>
      <w:tblPr>
        <w:tblStyle w:val="45"/>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14:paraId="25E8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14:paraId="7AB84DDD">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以框图方式表示</w:t>
            </w:r>
          </w:p>
        </w:tc>
      </w:tr>
      <w:tr w14:paraId="621DB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14:paraId="477F676D">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bl>
    <w:p w14:paraId="289E97AD">
      <w:pPr>
        <w:jc w:val="center"/>
        <w:rPr>
          <w:rFonts w:ascii="宋体" w:hAnsi="宋体" w:cs="宋体"/>
          <w:b/>
          <w:color w:val="000000" w:themeColor="text1"/>
          <w:sz w:val="28"/>
          <w:szCs w:val="28"/>
          <w:highlight w:val="none"/>
          <w14:textFill>
            <w14:solidFill>
              <w14:schemeClr w14:val="tx1"/>
            </w14:solidFill>
          </w14:textFill>
        </w:rPr>
      </w:pPr>
      <w:bookmarkStart w:id="1761" w:name="_Toc238804117"/>
      <w:bookmarkEnd w:id="1761"/>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（三）近年财务状况表</w:t>
      </w:r>
    </w:p>
    <w:tbl>
      <w:tblPr>
        <w:tblStyle w:val="45"/>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14:paraId="70A3F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CBD5C79">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项目或指标</w:t>
            </w:r>
          </w:p>
        </w:tc>
        <w:tc>
          <w:tcPr>
            <w:tcW w:w="1276" w:type="dxa"/>
          </w:tcPr>
          <w:p w14:paraId="5B55BA25">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730" w:type="dxa"/>
          </w:tcPr>
          <w:p w14:paraId="084470BE">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672" w:type="dxa"/>
          </w:tcPr>
          <w:p w14:paraId="325A900D">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701" w:type="dxa"/>
          </w:tcPr>
          <w:p w14:paraId="5032840E">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r>
      <w:tr w14:paraId="6386D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0FD61F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一、注册资金</w:t>
            </w:r>
          </w:p>
        </w:tc>
        <w:tc>
          <w:tcPr>
            <w:tcW w:w="1276" w:type="dxa"/>
          </w:tcPr>
          <w:p w14:paraId="0B0E8729">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07F83543">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74785964">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1654B8F0">
            <w:pPr>
              <w:spacing w:line="400" w:lineRule="exact"/>
              <w:rPr>
                <w:rFonts w:ascii="宋体" w:hAnsi="宋体" w:cs="宋体"/>
                <w:color w:val="000000" w:themeColor="text1"/>
                <w:sz w:val="24"/>
                <w:highlight w:val="none"/>
                <w14:textFill>
                  <w14:solidFill>
                    <w14:schemeClr w14:val="tx1"/>
                  </w14:solidFill>
                </w14:textFill>
              </w:rPr>
            </w:pPr>
          </w:p>
        </w:tc>
      </w:tr>
      <w:tr w14:paraId="1D5AC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72979B3">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二、净资产</w:t>
            </w:r>
          </w:p>
        </w:tc>
        <w:tc>
          <w:tcPr>
            <w:tcW w:w="1276" w:type="dxa"/>
          </w:tcPr>
          <w:p w14:paraId="2F74EFF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560F6DF5">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71295C5B">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29327FE6">
            <w:pPr>
              <w:spacing w:line="400" w:lineRule="exact"/>
              <w:rPr>
                <w:rFonts w:ascii="宋体" w:hAnsi="宋体" w:cs="宋体"/>
                <w:color w:val="000000" w:themeColor="text1"/>
                <w:sz w:val="24"/>
                <w:highlight w:val="none"/>
                <w14:textFill>
                  <w14:solidFill>
                    <w14:schemeClr w14:val="tx1"/>
                  </w14:solidFill>
                </w14:textFill>
              </w:rPr>
            </w:pPr>
          </w:p>
        </w:tc>
      </w:tr>
      <w:tr w14:paraId="335BF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7B18E6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三、总资产</w:t>
            </w:r>
          </w:p>
        </w:tc>
        <w:tc>
          <w:tcPr>
            <w:tcW w:w="1276" w:type="dxa"/>
          </w:tcPr>
          <w:p w14:paraId="684A2C7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33FD023B">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6475A9B1">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691DA1B5">
            <w:pPr>
              <w:spacing w:line="400" w:lineRule="exact"/>
              <w:rPr>
                <w:rFonts w:ascii="宋体" w:hAnsi="宋体" w:cs="宋体"/>
                <w:color w:val="000000" w:themeColor="text1"/>
                <w:sz w:val="24"/>
                <w:highlight w:val="none"/>
                <w14:textFill>
                  <w14:solidFill>
                    <w14:schemeClr w14:val="tx1"/>
                  </w14:solidFill>
                </w14:textFill>
              </w:rPr>
            </w:pPr>
          </w:p>
        </w:tc>
      </w:tr>
      <w:tr w14:paraId="518BD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E75B079">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四、固定资产</w:t>
            </w:r>
          </w:p>
        </w:tc>
        <w:tc>
          <w:tcPr>
            <w:tcW w:w="1276" w:type="dxa"/>
          </w:tcPr>
          <w:p w14:paraId="198A6E28">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36382589">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0E5A7300">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0EFDA22F">
            <w:pPr>
              <w:spacing w:line="400" w:lineRule="exact"/>
              <w:rPr>
                <w:rFonts w:ascii="宋体" w:hAnsi="宋体" w:cs="宋体"/>
                <w:color w:val="000000" w:themeColor="text1"/>
                <w:sz w:val="24"/>
                <w:highlight w:val="none"/>
                <w14:textFill>
                  <w14:solidFill>
                    <w14:schemeClr w14:val="tx1"/>
                  </w14:solidFill>
                </w14:textFill>
              </w:rPr>
            </w:pPr>
          </w:p>
        </w:tc>
      </w:tr>
      <w:tr w14:paraId="00238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D50B714">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五、流动资产</w:t>
            </w:r>
          </w:p>
        </w:tc>
        <w:tc>
          <w:tcPr>
            <w:tcW w:w="1276" w:type="dxa"/>
          </w:tcPr>
          <w:p w14:paraId="53D3187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380C62E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5FDEE93D">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48512865">
            <w:pPr>
              <w:spacing w:line="400" w:lineRule="exact"/>
              <w:rPr>
                <w:rFonts w:ascii="宋体" w:hAnsi="宋体" w:cs="宋体"/>
                <w:color w:val="000000" w:themeColor="text1"/>
                <w:sz w:val="24"/>
                <w:highlight w:val="none"/>
                <w14:textFill>
                  <w14:solidFill>
                    <w14:schemeClr w14:val="tx1"/>
                  </w14:solidFill>
                </w14:textFill>
              </w:rPr>
            </w:pPr>
          </w:p>
        </w:tc>
      </w:tr>
      <w:tr w14:paraId="7A4EF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522EA4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六、流动负债</w:t>
            </w:r>
          </w:p>
        </w:tc>
        <w:tc>
          <w:tcPr>
            <w:tcW w:w="1276" w:type="dxa"/>
          </w:tcPr>
          <w:p w14:paraId="4BC47AE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61F3969A">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43FE65A3">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F4FC840">
            <w:pPr>
              <w:spacing w:line="400" w:lineRule="exact"/>
              <w:rPr>
                <w:rFonts w:ascii="宋体" w:hAnsi="宋体" w:cs="宋体"/>
                <w:color w:val="000000" w:themeColor="text1"/>
                <w:sz w:val="24"/>
                <w:highlight w:val="none"/>
                <w14:textFill>
                  <w14:solidFill>
                    <w14:schemeClr w14:val="tx1"/>
                  </w14:solidFill>
                </w14:textFill>
              </w:rPr>
            </w:pPr>
          </w:p>
        </w:tc>
      </w:tr>
      <w:tr w14:paraId="005FF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040B998">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七、负债合计</w:t>
            </w:r>
          </w:p>
        </w:tc>
        <w:tc>
          <w:tcPr>
            <w:tcW w:w="1276" w:type="dxa"/>
          </w:tcPr>
          <w:p w14:paraId="729E78C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1CCEDFB1">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4E7AF65D">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56639D65">
            <w:pPr>
              <w:spacing w:line="400" w:lineRule="exact"/>
              <w:rPr>
                <w:rFonts w:ascii="宋体" w:hAnsi="宋体" w:cs="宋体"/>
                <w:color w:val="000000" w:themeColor="text1"/>
                <w:sz w:val="24"/>
                <w:highlight w:val="none"/>
                <w14:textFill>
                  <w14:solidFill>
                    <w14:schemeClr w14:val="tx1"/>
                  </w14:solidFill>
                </w14:textFill>
              </w:rPr>
            </w:pPr>
          </w:p>
        </w:tc>
      </w:tr>
      <w:tr w14:paraId="050C2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8A7789F">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八、营业收入</w:t>
            </w:r>
          </w:p>
        </w:tc>
        <w:tc>
          <w:tcPr>
            <w:tcW w:w="1276" w:type="dxa"/>
          </w:tcPr>
          <w:p w14:paraId="5C3951B4">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5543DE2D">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3E05895A">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B086FB6">
            <w:pPr>
              <w:spacing w:line="400" w:lineRule="exact"/>
              <w:rPr>
                <w:rFonts w:ascii="宋体" w:hAnsi="宋体" w:cs="宋体"/>
                <w:color w:val="000000" w:themeColor="text1"/>
                <w:sz w:val="24"/>
                <w:highlight w:val="none"/>
                <w14:textFill>
                  <w14:solidFill>
                    <w14:schemeClr w14:val="tx1"/>
                  </w14:solidFill>
                </w14:textFill>
              </w:rPr>
            </w:pPr>
          </w:p>
        </w:tc>
      </w:tr>
      <w:tr w14:paraId="575CC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589FD57">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九、净利润</w:t>
            </w:r>
          </w:p>
        </w:tc>
        <w:tc>
          <w:tcPr>
            <w:tcW w:w="1276" w:type="dxa"/>
          </w:tcPr>
          <w:p w14:paraId="6FEC21B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0BD398E9">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03E2374C">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1FBA6195">
            <w:pPr>
              <w:spacing w:line="400" w:lineRule="exact"/>
              <w:rPr>
                <w:rFonts w:ascii="宋体" w:hAnsi="宋体" w:cs="宋体"/>
                <w:color w:val="000000" w:themeColor="text1"/>
                <w:sz w:val="24"/>
                <w:highlight w:val="none"/>
                <w14:textFill>
                  <w14:solidFill>
                    <w14:schemeClr w14:val="tx1"/>
                  </w14:solidFill>
                </w14:textFill>
              </w:rPr>
            </w:pPr>
          </w:p>
        </w:tc>
      </w:tr>
      <w:tr w14:paraId="7226D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31933C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十、现金流量净额</w:t>
            </w:r>
          </w:p>
        </w:tc>
        <w:tc>
          <w:tcPr>
            <w:tcW w:w="1276" w:type="dxa"/>
          </w:tcPr>
          <w:p w14:paraId="6E2B883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34C4F262">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24D987B7">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46371BE">
            <w:pPr>
              <w:spacing w:line="400" w:lineRule="exact"/>
              <w:rPr>
                <w:rFonts w:ascii="宋体" w:hAnsi="宋体" w:cs="宋体"/>
                <w:color w:val="000000" w:themeColor="text1"/>
                <w:sz w:val="24"/>
                <w:highlight w:val="none"/>
                <w14:textFill>
                  <w14:solidFill>
                    <w14:schemeClr w14:val="tx1"/>
                  </w14:solidFill>
                </w14:textFill>
              </w:rPr>
            </w:pPr>
          </w:p>
        </w:tc>
      </w:tr>
      <w:tr w14:paraId="76F7C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2ACC81D">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十一、主要财务指标</w:t>
            </w:r>
          </w:p>
        </w:tc>
        <w:tc>
          <w:tcPr>
            <w:tcW w:w="1276" w:type="dxa"/>
          </w:tcPr>
          <w:p w14:paraId="614936F1">
            <w:pPr>
              <w:spacing w:line="400" w:lineRule="exact"/>
              <w:jc w:val="center"/>
              <w:rPr>
                <w:rFonts w:ascii="宋体" w:hAnsi="宋体" w:cs="宋体"/>
                <w:color w:val="000000" w:themeColor="text1"/>
                <w:sz w:val="24"/>
                <w:highlight w:val="none"/>
                <w14:textFill>
                  <w14:solidFill>
                    <w14:schemeClr w14:val="tx1"/>
                  </w14:solidFill>
                </w14:textFill>
              </w:rPr>
            </w:pPr>
          </w:p>
        </w:tc>
        <w:tc>
          <w:tcPr>
            <w:tcW w:w="1730" w:type="dxa"/>
          </w:tcPr>
          <w:p w14:paraId="5A959716">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4DF0D53D">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4E75565E">
            <w:pPr>
              <w:spacing w:line="400" w:lineRule="exact"/>
              <w:rPr>
                <w:rFonts w:ascii="宋体" w:hAnsi="宋体" w:cs="宋体"/>
                <w:color w:val="000000" w:themeColor="text1"/>
                <w:sz w:val="24"/>
                <w:highlight w:val="none"/>
                <w14:textFill>
                  <w14:solidFill>
                    <w14:schemeClr w14:val="tx1"/>
                  </w14:solidFill>
                </w14:textFill>
              </w:rPr>
            </w:pPr>
          </w:p>
        </w:tc>
      </w:tr>
      <w:tr w14:paraId="331E4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FA48728">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1.净资产收益率</w:t>
            </w:r>
          </w:p>
        </w:tc>
        <w:tc>
          <w:tcPr>
            <w:tcW w:w="1276" w:type="dxa"/>
          </w:tcPr>
          <w:p w14:paraId="0910E13A">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1E36DF27">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1BC97CA3">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7849E35">
            <w:pPr>
              <w:spacing w:line="400" w:lineRule="exact"/>
              <w:rPr>
                <w:rFonts w:ascii="宋体" w:hAnsi="宋体" w:cs="宋体"/>
                <w:color w:val="000000" w:themeColor="text1"/>
                <w:sz w:val="24"/>
                <w:highlight w:val="none"/>
                <w14:textFill>
                  <w14:solidFill>
                    <w14:schemeClr w14:val="tx1"/>
                  </w14:solidFill>
                </w14:textFill>
              </w:rPr>
            </w:pPr>
          </w:p>
        </w:tc>
      </w:tr>
      <w:tr w14:paraId="59152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CB0EE07">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2.总资产报酬率</w:t>
            </w:r>
          </w:p>
        </w:tc>
        <w:tc>
          <w:tcPr>
            <w:tcW w:w="1276" w:type="dxa"/>
          </w:tcPr>
          <w:p w14:paraId="39938AE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706FEF37">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654D182B">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248CB6CC">
            <w:pPr>
              <w:spacing w:line="400" w:lineRule="exact"/>
              <w:rPr>
                <w:rFonts w:ascii="宋体" w:hAnsi="宋体" w:cs="宋体"/>
                <w:color w:val="000000" w:themeColor="text1"/>
                <w:sz w:val="24"/>
                <w:highlight w:val="none"/>
                <w14:textFill>
                  <w14:solidFill>
                    <w14:schemeClr w14:val="tx1"/>
                  </w14:solidFill>
                </w14:textFill>
              </w:rPr>
            </w:pPr>
          </w:p>
        </w:tc>
      </w:tr>
      <w:tr w14:paraId="5E0C1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ABD5B03">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3.主营业务利润率</w:t>
            </w:r>
          </w:p>
        </w:tc>
        <w:tc>
          <w:tcPr>
            <w:tcW w:w="1276" w:type="dxa"/>
          </w:tcPr>
          <w:p w14:paraId="6A24C8B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5160855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2D64A5E5">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5C2A7A28">
            <w:pPr>
              <w:spacing w:line="400" w:lineRule="exact"/>
              <w:rPr>
                <w:rFonts w:ascii="宋体" w:hAnsi="宋体" w:cs="宋体"/>
                <w:color w:val="000000" w:themeColor="text1"/>
                <w:sz w:val="24"/>
                <w:highlight w:val="none"/>
                <w14:textFill>
                  <w14:solidFill>
                    <w14:schemeClr w14:val="tx1"/>
                  </w14:solidFill>
                </w14:textFill>
              </w:rPr>
            </w:pPr>
          </w:p>
        </w:tc>
      </w:tr>
      <w:tr w14:paraId="6120C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9A9689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4.资产负债率</w:t>
            </w:r>
          </w:p>
        </w:tc>
        <w:tc>
          <w:tcPr>
            <w:tcW w:w="1276" w:type="dxa"/>
          </w:tcPr>
          <w:p w14:paraId="0DE64D9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2AEC6D4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3AFF64E1">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6059CE1F">
            <w:pPr>
              <w:spacing w:line="400" w:lineRule="exact"/>
              <w:rPr>
                <w:rFonts w:ascii="宋体" w:hAnsi="宋体" w:cs="宋体"/>
                <w:color w:val="000000" w:themeColor="text1"/>
                <w:sz w:val="24"/>
                <w:highlight w:val="none"/>
                <w14:textFill>
                  <w14:solidFill>
                    <w14:schemeClr w14:val="tx1"/>
                  </w14:solidFill>
                </w14:textFill>
              </w:rPr>
            </w:pPr>
          </w:p>
        </w:tc>
      </w:tr>
      <w:tr w14:paraId="732FE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DFFD219">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5.流动比率</w:t>
            </w:r>
          </w:p>
        </w:tc>
        <w:tc>
          <w:tcPr>
            <w:tcW w:w="1276" w:type="dxa"/>
          </w:tcPr>
          <w:p w14:paraId="005F3E8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7C52767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301B7467">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26A348E">
            <w:pPr>
              <w:spacing w:line="400" w:lineRule="exact"/>
              <w:rPr>
                <w:rFonts w:ascii="宋体" w:hAnsi="宋体" w:cs="宋体"/>
                <w:color w:val="000000" w:themeColor="text1"/>
                <w:sz w:val="24"/>
                <w:highlight w:val="none"/>
                <w14:textFill>
                  <w14:solidFill>
                    <w14:schemeClr w14:val="tx1"/>
                  </w14:solidFill>
                </w14:textFill>
              </w:rPr>
            </w:pPr>
          </w:p>
        </w:tc>
      </w:tr>
      <w:tr w14:paraId="62403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0EEFB2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6.速动比率</w:t>
            </w:r>
          </w:p>
        </w:tc>
        <w:tc>
          <w:tcPr>
            <w:tcW w:w="1276" w:type="dxa"/>
          </w:tcPr>
          <w:p w14:paraId="1A7019D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07E16DA8">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32945576">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4950F205">
            <w:pPr>
              <w:spacing w:line="400" w:lineRule="exact"/>
              <w:rPr>
                <w:rFonts w:ascii="宋体" w:hAnsi="宋体" w:cs="宋体"/>
                <w:color w:val="000000" w:themeColor="text1"/>
                <w:sz w:val="24"/>
                <w:highlight w:val="none"/>
                <w14:textFill>
                  <w14:solidFill>
                    <w14:schemeClr w14:val="tx1"/>
                  </w14:solidFill>
                </w14:textFill>
              </w:rPr>
            </w:pPr>
          </w:p>
        </w:tc>
      </w:tr>
      <w:tr w14:paraId="5389E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58E6E1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近三个年度的年平均营业总收入</w:t>
            </w:r>
          </w:p>
        </w:tc>
        <w:tc>
          <w:tcPr>
            <w:tcW w:w="1276" w:type="dxa"/>
            <w:vAlign w:val="center"/>
          </w:tcPr>
          <w:p w14:paraId="10BDE634">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14:paraId="17D4E9BB">
            <w:pPr>
              <w:spacing w:line="400" w:lineRule="exact"/>
              <w:rPr>
                <w:rFonts w:ascii="宋体" w:hAnsi="宋体" w:cs="宋体"/>
                <w:color w:val="000000" w:themeColor="text1"/>
                <w:sz w:val="24"/>
                <w:highlight w:val="none"/>
                <w14:textFill>
                  <w14:solidFill>
                    <w14:schemeClr w14:val="tx1"/>
                  </w14:solidFill>
                </w14:textFill>
              </w:rPr>
            </w:pPr>
          </w:p>
        </w:tc>
      </w:tr>
      <w:tr w14:paraId="18DA2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3BD864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最新年度具有的营运资金（流动资产-流动负债）</w:t>
            </w:r>
          </w:p>
        </w:tc>
        <w:tc>
          <w:tcPr>
            <w:tcW w:w="1276" w:type="dxa"/>
            <w:vAlign w:val="center"/>
          </w:tcPr>
          <w:p w14:paraId="76E708F9">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14:paraId="260CA3CF">
            <w:pPr>
              <w:spacing w:line="400" w:lineRule="exact"/>
              <w:rPr>
                <w:rFonts w:ascii="宋体" w:hAnsi="宋体" w:cs="宋体"/>
                <w:color w:val="000000" w:themeColor="text1"/>
                <w:sz w:val="24"/>
                <w:highlight w:val="none"/>
                <w14:textFill>
                  <w14:solidFill>
                    <w14:schemeClr w14:val="tx1"/>
                  </w14:solidFill>
                </w14:textFill>
              </w:rPr>
            </w:pPr>
          </w:p>
        </w:tc>
      </w:tr>
    </w:tbl>
    <w:p w14:paraId="6B123098">
      <w:pPr>
        <w:ind w:left="810" w:leftChars="100" w:hanging="600" w:hangingChars="2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 3.5.2 项的要求在本表后附相关证明材料。</w:t>
      </w:r>
    </w:p>
    <w:p w14:paraId="7887BCEB">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07E22324">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 近年完成的类似项目情况表</w:t>
      </w:r>
    </w:p>
    <w:p w14:paraId="670E7E06">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bCs/>
          <w:color w:val="000000" w:themeColor="text1"/>
          <w:sz w:val="28"/>
          <w:szCs w:val="28"/>
          <w:highlight w:val="none"/>
          <w14:textFill>
            <w14:solidFill>
              <w14:schemeClr w14:val="tx1"/>
            </w14:solidFill>
          </w14:textFill>
        </w:rPr>
        <w:t>-1完成的类似项目情况表</w:t>
      </w:r>
    </w:p>
    <w:tbl>
      <w:tblPr>
        <w:tblStyle w:val="45"/>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554"/>
      </w:tblGrid>
      <w:tr w14:paraId="1ECB7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0960EBF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    号</w:t>
            </w:r>
          </w:p>
        </w:tc>
        <w:tc>
          <w:tcPr>
            <w:tcW w:w="6554" w:type="dxa"/>
            <w:vAlign w:val="center"/>
          </w:tcPr>
          <w:p w14:paraId="414B7197">
            <w:pPr>
              <w:spacing w:line="400" w:lineRule="exact"/>
              <w:jc w:val="center"/>
              <w:rPr>
                <w:rFonts w:ascii="宋体" w:hAnsi="宋体" w:cs="宋体"/>
                <w:color w:val="000000" w:themeColor="text1"/>
                <w:sz w:val="24"/>
                <w:highlight w:val="none"/>
                <w14:textFill>
                  <w14:solidFill>
                    <w14:schemeClr w14:val="tx1"/>
                  </w14:solidFill>
                </w14:textFill>
              </w:rPr>
            </w:pPr>
          </w:p>
        </w:tc>
      </w:tr>
      <w:tr w14:paraId="5DE9B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B974EE4">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54" w:type="dxa"/>
            <w:vAlign w:val="center"/>
          </w:tcPr>
          <w:p w14:paraId="05809B0D">
            <w:pPr>
              <w:spacing w:line="400" w:lineRule="exact"/>
              <w:jc w:val="center"/>
              <w:rPr>
                <w:rFonts w:ascii="宋体" w:hAnsi="宋体" w:cs="宋体"/>
                <w:color w:val="000000" w:themeColor="text1"/>
                <w:sz w:val="24"/>
                <w:highlight w:val="none"/>
                <w14:textFill>
                  <w14:solidFill>
                    <w14:schemeClr w14:val="tx1"/>
                  </w14:solidFill>
                </w14:textFill>
              </w:rPr>
            </w:pPr>
          </w:p>
        </w:tc>
      </w:tr>
      <w:tr w14:paraId="5E289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28BEEB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项目所在地</w:t>
            </w:r>
          </w:p>
        </w:tc>
        <w:tc>
          <w:tcPr>
            <w:tcW w:w="6554" w:type="dxa"/>
            <w:vAlign w:val="center"/>
          </w:tcPr>
          <w:p w14:paraId="1993500A">
            <w:pPr>
              <w:spacing w:line="400" w:lineRule="exact"/>
              <w:jc w:val="center"/>
              <w:rPr>
                <w:rFonts w:ascii="宋体" w:hAnsi="宋体" w:cs="宋体"/>
                <w:color w:val="000000" w:themeColor="text1"/>
                <w:sz w:val="24"/>
                <w:highlight w:val="none"/>
                <w14:textFill>
                  <w14:solidFill>
                    <w14:schemeClr w14:val="tx1"/>
                  </w14:solidFill>
                </w14:textFill>
              </w:rPr>
            </w:pPr>
          </w:p>
        </w:tc>
      </w:tr>
      <w:tr w14:paraId="753F3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7A6F253">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w:t>
            </w:r>
          </w:p>
        </w:tc>
        <w:tc>
          <w:tcPr>
            <w:tcW w:w="6554" w:type="dxa"/>
            <w:vAlign w:val="center"/>
          </w:tcPr>
          <w:p w14:paraId="5A054414">
            <w:pPr>
              <w:spacing w:line="400" w:lineRule="exact"/>
              <w:jc w:val="center"/>
              <w:rPr>
                <w:rFonts w:ascii="宋体" w:hAnsi="宋体" w:cs="宋体"/>
                <w:color w:val="000000" w:themeColor="text1"/>
                <w:sz w:val="24"/>
                <w:highlight w:val="none"/>
                <w14:textFill>
                  <w14:solidFill>
                    <w14:schemeClr w14:val="tx1"/>
                  </w14:solidFill>
                </w14:textFill>
              </w:rPr>
            </w:pPr>
          </w:p>
        </w:tc>
      </w:tr>
      <w:tr w14:paraId="334F8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2E7AD4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发包人地址</w:t>
            </w:r>
          </w:p>
        </w:tc>
        <w:tc>
          <w:tcPr>
            <w:tcW w:w="6554" w:type="dxa"/>
            <w:vAlign w:val="center"/>
          </w:tcPr>
          <w:p w14:paraId="402F7B8C">
            <w:pPr>
              <w:spacing w:line="400" w:lineRule="exact"/>
              <w:jc w:val="center"/>
              <w:rPr>
                <w:rFonts w:ascii="宋体" w:hAnsi="宋体" w:cs="宋体"/>
                <w:color w:val="000000" w:themeColor="text1"/>
                <w:sz w:val="24"/>
                <w:highlight w:val="none"/>
                <w14:textFill>
                  <w14:solidFill>
                    <w14:schemeClr w14:val="tx1"/>
                  </w14:solidFill>
                </w14:textFill>
              </w:rPr>
            </w:pPr>
          </w:p>
        </w:tc>
      </w:tr>
      <w:tr w14:paraId="131BC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65AAB2A">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发包人电话</w:t>
            </w:r>
          </w:p>
        </w:tc>
        <w:tc>
          <w:tcPr>
            <w:tcW w:w="6554" w:type="dxa"/>
            <w:vAlign w:val="center"/>
          </w:tcPr>
          <w:p w14:paraId="3C658924">
            <w:pPr>
              <w:spacing w:line="400" w:lineRule="exact"/>
              <w:jc w:val="center"/>
              <w:rPr>
                <w:rFonts w:ascii="宋体" w:hAnsi="宋体" w:cs="宋体"/>
                <w:color w:val="000000" w:themeColor="text1"/>
                <w:sz w:val="24"/>
                <w:highlight w:val="none"/>
                <w14:textFill>
                  <w14:solidFill>
                    <w14:schemeClr w14:val="tx1"/>
                  </w14:solidFill>
                </w14:textFill>
              </w:rPr>
            </w:pPr>
          </w:p>
        </w:tc>
      </w:tr>
      <w:tr w14:paraId="2A271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2C633BE9">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合同价格</w:t>
            </w:r>
          </w:p>
        </w:tc>
        <w:tc>
          <w:tcPr>
            <w:tcW w:w="6554" w:type="dxa"/>
            <w:vAlign w:val="center"/>
          </w:tcPr>
          <w:p w14:paraId="67C3092C">
            <w:pPr>
              <w:spacing w:line="400" w:lineRule="exact"/>
              <w:jc w:val="center"/>
              <w:rPr>
                <w:rFonts w:ascii="宋体" w:hAnsi="宋体" w:cs="宋体"/>
                <w:color w:val="000000" w:themeColor="text1"/>
                <w:sz w:val="24"/>
                <w:highlight w:val="none"/>
                <w14:textFill>
                  <w14:solidFill>
                    <w14:schemeClr w14:val="tx1"/>
                  </w14:solidFill>
                </w14:textFill>
              </w:rPr>
            </w:pPr>
          </w:p>
        </w:tc>
      </w:tr>
      <w:tr w14:paraId="55488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1FA10EB8">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开工日期</w:t>
            </w:r>
          </w:p>
        </w:tc>
        <w:tc>
          <w:tcPr>
            <w:tcW w:w="6554" w:type="dxa"/>
            <w:vAlign w:val="center"/>
          </w:tcPr>
          <w:p w14:paraId="5EAB2DD2">
            <w:pPr>
              <w:spacing w:line="400" w:lineRule="exact"/>
              <w:jc w:val="center"/>
              <w:rPr>
                <w:rFonts w:ascii="宋体" w:hAnsi="宋体" w:cs="宋体"/>
                <w:color w:val="000000" w:themeColor="text1"/>
                <w:sz w:val="24"/>
                <w:highlight w:val="none"/>
                <w14:textFill>
                  <w14:solidFill>
                    <w14:schemeClr w14:val="tx1"/>
                  </w14:solidFill>
                </w14:textFill>
              </w:rPr>
            </w:pPr>
          </w:p>
        </w:tc>
      </w:tr>
      <w:tr w14:paraId="3A774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0A814B2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交工（或一次性竣</w:t>
            </w:r>
          </w:p>
          <w:p w14:paraId="4614418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工）日期</w:t>
            </w:r>
          </w:p>
        </w:tc>
        <w:tc>
          <w:tcPr>
            <w:tcW w:w="6554" w:type="dxa"/>
            <w:vAlign w:val="center"/>
          </w:tcPr>
          <w:p w14:paraId="7F9A274E">
            <w:pPr>
              <w:spacing w:line="400" w:lineRule="exact"/>
              <w:jc w:val="center"/>
              <w:rPr>
                <w:rFonts w:ascii="宋体" w:hAnsi="宋体" w:cs="宋体"/>
                <w:color w:val="000000" w:themeColor="text1"/>
                <w:sz w:val="24"/>
                <w:highlight w:val="none"/>
                <w14:textFill>
                  <w14:solidFill>
                    <w14:schemeClr w14:val="tx1"/>
                  </w14:solidFill>
                </w14:textFill>
              </w:rPr>
            </w:pPr>
          </w:p>
        </w:tc>
      </w:tr>
      <w:tr w14:paraId="62EFD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400C443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承担的工作</w:t>
            </w:r>
          </w:p>
        </w:tc>
        <w:tc>
          <w:tcPr>
            <w:tcW w:w="6554" w:type="dxa"/>
            <w:vAlign w:val="center"/>
          </w:tcPr>
          <w:p w14:paraId="5D356199">
            <w:pPr>
              <w:spacing w:line="400" w:lineRule="exact"/>
              <w:jc w:val="center"/>
              <w:rPr>
                <w:rFonts w:ascii="宋体" w:hAnsi="宋体" w:cs="宋体"/>
                <w:color w:val="000000" w:themeColor="text1"/>
                <w:sz w:val="24"/>
                <w:highlight w:val="none"/>
                <w14:textFill>
                  <w14:solidFill>
                    <w14:schemeClr w14:val="tx1"/>
                  </w14:solidFill>
                </w14:textFill>
              </w:rPr>
            </w:pPr>
          </w:p>
        </w:tc>
      </w:tr>
      <w:tr w14:paraId="18636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29FFD90D">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工程质量评分（或</w:t>
            </w:r>
          </w:p>
          <w:p w14:paraId="743F55DF">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6554" w:type="dxa"/>
            <w:vAlign w:val="center"/>
          </w:tcPr>
          <w:p w14:paraId="6728068F">
            <w:pPr>
              <w:spacing w:line="400" w:lineRule="exact"/>
              <w:jc w:val="center"/>
              <w:rPr>
                <w:rFonts w:ascii="宋体" w:hAnsi="宋体" w:cs="宋体"/>
                <w:color w:val="000000" w:themeColor="text1"/>
                <w:sz w:val="24"/>
                <w:highlight w:val="none"/>
                <w14:textFill>
                  <w14:solidFill>
                    <w14:schemeClr w14:val="tx1"/>
                  </w14:solidFill>
                </w14:textFill>
              </w:rPr>
            </w:pPr>
          </w:p>
        </w:tc>
      </w:tr>
      <w:tr w14:paraId="3A58D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C23A9E7">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6554" w:type="dxa"/>
            <w:vAlign w:val="center"/>
          </w:tcPr>
          <w:p w14:paraId="00153BC1">
            <w:pPr>
              <w:spacing w:line="400" w:lineRule="exact"/>
              <w:jc w:val="center"/>
              <w:rPr>
                <w:rFonts w:ascii="宋体" w:hAnsi="宋体" w:cs="宋体"/>
                <w:color w:val="000000" w:themeColor="text1"/>
                <w:sz w:val="24"/>
                <w:highlight w:val="none"/>
                <w14:textFill>
                  <w14:solidFill>
                    <w14:schemeClr w14:val="tx1"/>
                  </w14:solidFill>
                </w14:textFill>
              </w:rPr>
            </w:pPr>
          </w:p>
        </w:tc>
      </w:tr>
      <w:tr w14:paraId="48CD3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061D203">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6554" w:type="dxa"/>
            <w:vAlign w:val="center"/>
          </w:tcPr>
          <w:p w14:paraId="291B05A7">
            <w:pPr>
              <w:spacing w:line="400" w:lineRule="exact"/>
              <w:jc w:val="center"/>
              <w:rPr>
                <w:rFonts w:ascii="宋体" w:hAnsi="宋体" w:cs="宋体"/>
                <w:color w:val="000000" w:themeColor="text1"/>
                <w:sz w:val="24"/>
                <w:highlight w:val="none"/>
                <w14:textFill>
                  <w14:solidFill>
                    <w14:schemeClr w14:val="tx1"/>
                  </w14:solidFill>
                </w14:textFill>
              </w:rPr>
            </w:pPr>
          </w:p>
        </w:tc>
      </w:tr>
      <w:tr w14:paraId="0036B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BC1A89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总监理工程师及电话</w:t>
            </w:r>
          </w:p>
        </w:tc>
        <w:tc>
          <w:tcPr>
            <w:tcW w:w="6554" w:type="dxa"/>
            <w:vAlign w:val="center"/>
          </w:tcPr>
          <w:p w14:paraId="0F42A43A">
            <w:pPr>
              <w:spacing w:line="400" w:lineRule="exact"/>
              <w:jc w:val="center"/>
              <w:rPr>
                <w:rFonts w:ascii="宋体" w:hAnsi="宋体" w:cs="宋体"/>
                <w:color w:val="000000" w:themeColor="text1"/>
                <w:sz w:val="24"/>
                <w:highlight w:val="none"/>
                <w14:textFill>
                  <w14:solidFill>
                    <w14:schemeClr w14:val="tx1"/>
                  </w14:solidFill>
                </w14:textFill>
              </w:rPr>
            </w:pPr>
          </w:p>
        </w:tc>
      </w:tr>
      <w:tr w14:paraId="3C016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802" w:type="dxa"/>
            <w:vAlign w:val="center"/>
          </w:tcPr>
          <w:p w14:paraId="122D6F9C">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项目描述</w:t>
            </w:r>
          </w:p>
        </w:tc>
        <w:tc>
          <w:tcPr>
            <w:tcW w:w="6554" w:type="dxa"/>
            <w:vAlign w:val="center"/>
          </w:tcPr>
          <w:p w14:paraId="05B0CE95">
            <w:pPr>
              <w:spacing w:line="400" w:lineRule="exact"/>
              <w:jc w:val="center"/>
              <w:rPr>
                <w:rFonts w:ascii="宋体" w:hAnsi="宋体" w:cs="宋体"/>
                <w:color w:val="000000" w:themeColor="text1"/>
                <w:sz w:val="24"/>
                <w:highlight w:val="none"/>
                <w14:textFill>
                  <w14:solidFill>
                    <w14:schemeClr w14:val="tx1"/>
                  </w14:solidFill>
                </w14:textFill>
              </w:rPr>
            </w:pPr>
          </w:p>
        </w:tc>
      </w:tr>
      <w:tr w14:paraId="0490B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48D861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554" w:type="dxa"/>
            <w:vAlign w:val="center"/>
          </w:tcPr>
          <w:p w14:paraId="23541334">
            <w:pPr>
              <w:spacing w:line="400" w:lineRule="exact"/>
              <w:jc w:val="center"/>
              <w:rPr>
                <w:rFonts w:ascii="宋体" w:hAnsi="宋体" w:cs="宋体"/>
                <w:color w:val="000000" w:themeColor="text1"/>
                <w:sz w:val="24"/>
                <w:highlight w:val="none"/>
                <w14:textFill>
                  <w14:solidFill>
                    <w14:schemeClr w14:val="tx1"/>
                  </w14:solidFill>
                </w14:textFill>
              </w:rPr>
            </w:pPr>
          </w:p>
        </w:tc>
      </w:tr>
    </w:tbl>
    <w:p w14:paraId="6BF0D76C">
      <w:pPr>
        <w:pStyle w:val="5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注：1.每张表格只填写一个项目，并标明序号。</w:t>
      </w:r>
    </w:p>
    <w:p w14:paraId="0A51D36F">
      <w:pPr>
        <w:pStyle w:val="59"/>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投标人应根据招标文件第二章“投标人须知”第 3.5.3 项的要求在本表后附相关证明材料。</w:t>
      </w:r>
    </w:p>
    <w:p w14:paraId="10066F0B">
      <w:pPr>
        <w:pStyle w:val="59"/>
        <w:ind w:firstLine="562" w:firstLineChars="200"/>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71E612A3">
      <w:pPr>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（四）-2 完成的类似项目情况汇总表</w:t>
      </w:r>
    </w:p>
    <w:tbl>
      <w:tblPr>
        <w:tblStyle w:val="4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14:paraId="6653E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28F44C14">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064" w:type="dxa"/>
            <w:vAlign w:val="center"/>
          </w:tcPr>
          <w:p w14:paraId="4AC4762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w:t>
            </w:r>
          </w:p>
          <w:p w14:paraId="4E5DC688">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86" w:type="dxa"/>
            <w:vAlign w:val="center"/>
          </w:tcPr>
          <w:p w14:paraId="35506284">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路基桥涵里程</w:t>
            </w:r>
          </w:p>
          <w:p w14:paraId="00CA2BD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（km）</w:t>
            </w:r>
          </w:p>
        </w:tc>
        <w:tc>
          <w:tcPr>
            <w:tcW w:w="1286" w:type="dxa"/>
            <w:vAlign w:val="center"/>
          </w:tcPr>
          <w:p w14:paraId="26E8ECAD">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路面类型及里程（km）</w:t>
            </w:r>
          </w:p>
        </w:tc>
        <w:tc>
          <w:tcPr>
            <w:tcW w:w="936" w:type="dxa"/>
            <w:vAlign w:val="center"/>
          </w:tcPr>
          <w:p w14:paraId="775B83CD">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大桥（座）</w:t>
            </w:r>
          </w:p>
        </w:tc>
        <w:tc>
          <w:tcPr>
            <w:tcW w:w="1034" w:type="dxa"/>
            <w:vAlign w:val="center"/>
          </w:tcPr>
          <w:p w14:paraId="0CA2F47B">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特大桥</w:t>
            </w:r>
          </w:p>
          <w:p w14:paraId="1B909D9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36" w:type="dxa"/>
            <w:vAlign w:val="center"/>
          </w:tcPr>
          <w:p w14:paraId="78A41AAB">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长隧道</w:t>
            </w:r>
          </w:p>
          <w:p w14:paraId="77E33AF4">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78" w:type="dxa"/>
            <w:vAlign w:val="center"/>
          </w:tcPr>
          <w:p w14:paraId="0044B448">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特长隧道（座）</w:t>
            </w:r>
          </w:p>
        </w:tc>
        <w:tc>
          <w:tcPr>
            <w:tcW w:w="805" w:type="dxa"/>
            <w:vAlign w:val="center"/>
          </w:tcPr>
          <w:p w14:paraId="6BFDF87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805" w:type="dxa"/>
            <w:vAlign w:val="center"/>
          </w:tcPr>
          <w:p w14:paraId="150654D3">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14:paraId="5E9D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6BA86B2F">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064" w:type="dxa"/>
            <w:vAlign w:val="center"/>
          </w:tcPr>
          <w:p w14:paraId="02DE62AE">
            <w:pPr>
              <w:pStyle w:val="59"/>
              <w:jc w:val="center"/>
              <w:rPr>
                <w:rFonts w:ascii="宋体" w:hAnsi="宋体" w:cs="宋体"/>
                <w:color w:val="000000" w:themeColor="text1"/>
                <w:highlight w:val="none"/>
                <w14:textFill>
                  <w14:solidFill>
                    <w14:schemeClr w14:val="tx1"/>
                  </w14:solidFill>
                </w14:textFill>
              </w:rPr>
            </w:pPr>
          </w:p>
        </w:tc>
        <w:tc>
          <w:tcPr>
            <w:tcW w:w="1286" w:type="dxa"/>
          </w:tcPr>
          <w:p w14:paraId="7B99F9F9">
            <w:pPr>
              <w:pStyle w:val="59"/>
              <w:jc w:val="center"/>
              <w:rPr>
                <w:rFonts w:ascii="宋体" w:hAnsi="宋体" w:cs="宋体"/>
                <w:color w:val="000000" w:themeColor="text1"/>
                <w:highlight w:val="none"/>
                <w14:textFill>
                  <w14:solidFill>
                    <w14:schemeClr w14:val="tx1"/>
                  </w14:solidFill>
                </w14:textFill>
              </w:rPr>
            </w:pPr>
          </w:p>
        </w:tc>
        <w:tc>
          <w:tcPr>
            <w:tcW w:w="1286" w:type="dxa"/>
          </w:tcPr>
          <w:p w14:paraId="50A27EF8">
            <w:pPr>
              <w:pStyle w:val="59"/>
              <w:jc w:val="center"/>
              <w:rPr>
                <w:rFonts w:ascii="宋体" w:hAnsi="宋体" w:cs="宋体"/>
                <w:color w:val="000000" w:themeColor="text1"/>
                <w:highlight w:val="none"/>
                <w14:textFill>
                  <w14:solidFill>
                    <w14:schemeClr w14:val="tx1"/>
                  </w14:solidFill>
                </w14:textFill>
              </w:rPr>
            </w:pPr>
          </w:p>
        </w:tc>
        <w:tc>
          <w:tcPr>
            <w:tcW w:w="936" w:type="dxa"/>
          </w:tcPr>
          <w:p w14:paraId="4B863BE6">
            <w:pPr>
              <w:pStyle w:val="59"/>
              <w:jc w:val="center"/>
              <w:rPr>
                <w:rFonts w:ascii="宋体" w:hAnsi="宋体" w:cs="宋体"/>
                <w:color w:val="000000" w:themeColor="text1"/>
                <w:highlight w:val="none"/>
                <w14:textFill>
                  <w14:solidFill>
                    <w14:schemeClr w14:val="tx1"/>
                  </w14:solidFill>
                </w14:textFill>
              </w:rPr>
            </w:pPr>
          </w:p>
        </w:tc>
        <w:tc>
          <w:tcPr>
            <w:tcW w:w="1034" w:type="dxa"/>
          </w:tcPr>
          <w:p w14:paraId="1A652A0F">
            <w:pPr>
              <w:pStyle w:val="59"/>
              <w:jc w:val="center"/>
              <w:rPr>
                <w:rFonts w:ascii="宋体" w:hAnsi="宋体" w:cs="宋体"/>
                <w:color w:val="000000" w:themeColor="text1"/>
                <w:highlight w:val="none"/>
                <w14:textFill>
                  <w14:solidFill>
                    <w14:schemeClr w14:val="tx1"/>
                  </w14:solidFill>
                </w14:textFill>
              </w:rPr>
            </w:pPr>
          </w:p>
        </w:tc>
        <w:tc>
          <w:tcPr>
            <w:tcW w:w="936" w:type="dxa"/>
          </w:tcPr>
          <w:p w14:paraId="7074542D">
            <w:pPr>
              <w:pStyle w:val="59"/>
              <w:jc w:val="center"/>
              <w:rPr>
                <w:rFonts w:ascii="宋体" w:hAnsi="宋体" w:cs="宋体"/>
                <w:color w:val="000000" w:themeColor="text1"/>
                <w:highlight w:val="none"/>
                <w14:textFill>
                  <w14:solidFill>
                    <w14:schemeClr w14:val="tx1"/>
                  </w14:solidFill>
                </w14:textFill>
              </w:rPr>
            </w:pPr>
          </w:p>
        </w:tc>
        <w:tc>
          <w:tcPr>
            <w:tcW w:w="978" w:type="dxa"/>
          </w:tcPr>
          <w:p w14:paraId="2F262A31">
            <w:pPr>
              <w:pStyle w:val="59"/>
              <w:jc w:val="center"/>
              <w:rPr>
                <w:rFonts w:ascii="宋体" w:hAnsi="宋体" w:cs="宋体"/>
                <w:color w:val="000000" w:themeColor="text1"/>
                <w:highlight w:val="none"/>
                <w14:textFill>
                  <w14:solidFill>
                    <w14:schemeClr w14:val="tx1"/>
                  </w14:solidFill>
                </w14:textFill>
              </w:rPr>
            </w:pPr>
          </w:p>
        </w:tc>
        <w:tc>
          <w:tcPr>
            <w:tcW w:w="805" w:type="dxa"/>
          </w:tcPr>
          <w:p w14:paraId="48B7A1E9">
            <w:pPr>
              <w:pStyle w:val="59"/>
              <w:jc w:val="center"/>
              <w:rPr>
                <w:rFonts w:ascii="宋体" w:hAnsi="宋体" w:cs="宋体"/>
                <w:color w:val="000000" w:themeColor="text1"/>
                <w:highlight w:val="none"/>
                <w14:textFill>
                  <w14:solidFill>
                    <w14:schemeClr w14:val="tx1"/>
                  </w14:solidFill>
                </w14:textFill>
              </w:rPr>
            </w:pPr>
          </w:p>
        </w:tc>
        <w:tc>
          <w:tcPr>
            <w:tcW w:w="805" w:type="dxa"/>
          </w:tcPr>
          <w:p w14:paraId="6C96A134">
            <w:pPr>
              <w:pStyle w:val="59"/>
              <w:jc w:val="center"/>
              <w:rPr>
                <w:rFonts w:ascii="宋体" w:hAnsi="宋体" w:cs="宋体"/>
                <w:color w:val="000000" w:themeColor="text1"/>
                <w:highlight w:val="none"/>
                <w14:textFill>
                  <w14:solidFill>
                    <w14:schemeClr w14:val="tx1"/>
                  </w14:solidFill>
                </w14:textFill>
              </w:rPr>
            </w:pPr>
          </w:p>
        </w:tc>
      </w:tr>
      <w:tr w14:paraId="21757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789E8D4E">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064" w:type="dxa"/>
            <w:vAlign w:val="center"/>
          </w:tcPr>
          <w:p w14:paraId="6C8F3428">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C5A8BB1">
            <w:pPr>
              <w:pStyle w:val="59"/>
              <w:jc w:val="center"/>
              <w:rPr>
                <w:rFonts w:ascii="宋体" w:hAnsi="宋体" w:cs="宋体"/>
                <w:color w:val="000000" w:themeColor="text1"/>
                <w:highlight w:val="none"/>
                <w14:textFill>
                  <w14:solidFill>
                    <w14:schemeClr w14:val="tx1"/>
                  </w14:solidFill>
                </w14:textFill>
              </w:rPr>
            </w:pPr>
          </w:p>
        </w:tc>
        <w:tc>
          <w:tcPr>
            <w:tcW w:w="1286" w:type="dxa"/>
          </w:tcPr>
          <w:p w14:paraId="62037552">
            <w:pPr>
              <w:pStyle w:val="59"/>
              <w:jc w:val="center"/>
              <w:rPr>
                <w:rFonts w:ascii="宋体" w:hAnsi="宋体" w:cs="宋体"/>
                <w:color w:val="000000" w:themeColor="text1"/>
                <w:highlight w:val="none"/>
                <w14:textFill>
                  <w14:solidFill>
                    <w14:schemeClr w14:val="tx1"/>
                  </w14:solidFill>
                </w14:textFill>
              </w:rPr>
            </w:pPr>
          </w:p>
        </w:tc>
        <w:tc>
          <w:tcPr>
            <w:tcW w:w="936" w:type="dxa"/>
          </w:tcPr>
          <w:p w14:paraId="14EC4DB8">
            <w:pPr>
              <w:pStyle w:val="59"/>
              <w:jc w:val="center"/>
              <w:rPr>
                <w:rFonts w:ascii="宋体" w:hAnsi="宋体" w:cs="宋体"/>
                <w:color w:val="000000" w:themeColor="text1"/>
                <w:highlight w:val="none"/>
                <w14:textFill>
                  <w14:solidFill>
                    <w14:schemeClr w14:val="tx1"/>
                  </w14:solidFill>
                </w14:textFill>
              </w:rPr>
            </w:pPr>
          </w:p>
        </w:tc>
        <w:tc>
          <w:tcPr>
            <w:tcW w:w="1034" w:type="dxa"/>
          </w:tcPr>
          <w:p w14:paraId="3C9EA03C">
            <w:pPr>
              <w:pStyle w:val="59"/>
              <w:jc w:val="center"/>
              <w:rPr>
                <w:rFonts w:ascii="宋体" w:hAnsi="宋体" w:cs="宋体"/>
                <w:color w:val="000000" w:themeColor="text1"/>
                <w:highlight w:val="none"/>
                <w14:textFill>
                  <w14:solidFill>
                    <w14:schemeClr w14:val="tx1"/>
                  </w14:solidFill>
                </w14:textFill>
              </w:rPr>
            </w:pPr>
          </w:p>
        </w:tc>
        <w:tc>
          <w:tcPr>
            <w:tcW w:w="936" w:type="dxa"/>
          </w:tcPr>
          <w:p w14:paraId="20E85026">
            <w:pPr>
              <w:pStyle w:val="59"/>
              <w:jc w:val="center"/>
              <w:rPr>
                <w:rFonts w:ascii="宋体" w:hAnsi="宋体" w:cs="宋体"/>
                <w:color w:val="000000" w:themeColor="text1"/>
                <w:highlight w:val="none"/>
                <w14:textFill>
                  <w14:solidFill>
                    <w14:schemeClr w14:val="tx1"/>
                  </w14:solidFill>
                </w14:textFill>
              </w:rPr>
            </w:pPr>
          </w:p>
        </w:tc>
        <w:tc>
          <w:tcPr>
            <w:tcW w:w="978" w:type="dxa"/>
          </w:tcPr>
          <w:p w14:paraId="68C66FB6">
            <w:pPr>
              <w:pStyle w:val="59"/>
              <w:jc w:val="center"/>
              <w:rPr>
                <w:rFonts w:ascii="宋体" w:hAnsi="宋体" w:cs="宋体"/>
                <w:color w:val="000000" w:themeColor="text1"/>
                <w:highlight w:val="none"/>
                <w14:textFill>
                  <w14:solidFill>
                    <w14:schemeClr w14:val="tx1"/>
                  </w14:solidFill>
                </w14:textFill>
              </w:rPr>
            </w:pPr>
          </w:p>
        </w:tc>
        <w:tc>
          <w:tcPr>
            <w:tcW w:w="805" w:type="dxa"/>
          </w:tcPr>
          <w:p w14:paraId="5645C0FE">
            <w:pPr>
              <w:pStyle w:val="59"/>
              <w:jc w:val="center"/>
              <w:rPr>
                <w:rFonts w:ascii="宋体" w:hAnsi="宋体" w:cs="宋体"/>
                <w:color w:val="000000" w:themeColor="text1"/>
                <w:highlight w:val="none"/>
                <w14:textFill>
                  <w14:solidFill>
                    <w14:schemeClr w14:val="tx1"/>
                  </w14:solidFill>
                </w14:textFill>
              </w:rPr>
            </w:pPr>
          </w:p>
        </w:tc>
        <w:tc>
          <w:tcPr>
            <w:tcW w:w="805" w:type="dxa"/>
          </w:tcPr>
          <w:p w14:paraId="566D66AD">
            <w:pPr>
              <w:pStyle w:val="59"/>
              <w:jc w:val="center"/>
              <w:rPr>
                <w:rFonts w:ascii="宋体" w:hAnsi="宋体" w:cs="宋体"/>
                <w:color w:val="000000" w:themeColor="text1"/>
                <w:highlight w:val="none"/>
                <w14:textFill>
                  <w14:solidFill>
                    <w14:schemeClr w14:val="tx1"/>
                  </w14:solidFill>
                </w14:textFill>
              </w:rPr>
            </w:pPr>
          </w:p>
        </w:tc>
      </w:tr>
      <w:tr w14:paraId="4FB15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348D44AC">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064" w:type="dxa"/>
            <w:vAlign w:val="center"/>
          </w:tcPr>
          <w:p w14:paraId="0854A349">
            <w:pPr>
              <w:pStyle w:val="59"/>
              <w:jc w:val="center"/>
              <w:rPr>
                <w:rFonts w:ascii="宋体" w:hAnsi="宋体" w:cs="宋体"/>
                <w:color w:val="000000" w:themeColor="text1"/>
                <w:highlight w:val="none"/>
                <w14:textFill>
                  <w14:solidFill>
                    <w14:schemeClr w14:val="tx1"/>
                  </w14:solidFill>
                </w14:textFill>
              </w:rPr>
            </w:pPr>
          </w:p>
        </w:tc>
        <w:tc>
          <w:tcPr>
            <w:tcW w:w="1286" w:type="dxa"/>
          </w:tcPr>
          <w:p w14:paraId="2D843B8E">
            <w:pPr>
              <w:pStyle w:val="59"/>
              <w:jc w:val="center"/>
              <w:rPr>
                <w:rFonts w:ascii="宋体" w:hAnsi="宋体" w:cs="宋体"/>
                <w:color w:val="000000" w:themeColor="text1"/>
                <w:highlight w:val="none"/>
                <w14:textFill>
                  <w14:solidFill>
                    <w14:schemeClr w14:val="tx1"/>
                  </w14:solidFill>
                </w14:textFill>
              </w:rPr>
            </w:pPr>
          </w:p>
        </w:tc>
        <w:tc>
          <w:tcPr>
            <w:tcW w:w="1286" w:type="dxa"/>
          </w:tcPr>
          <w:p w14:paraId="2EB6C079">
            <w:pPr>
              <w:pStyle w:val="59"/>
              <w:jc w:val="center"/>
              <w:rPr>
                <w:rFonts w:ascii="宋体" w:hAnsi="宋体" w:cs="宋体"/>
                <w:color w:val="000000" w:themeColor="text1"/>
                <w:highlight w:val="none"/>
                <w14:textFill>
                  <w14:solidFill>
                    <w14:schemeClr w14:val="tx1"/>
                  </w14:solidFill>
                </w14:textFill>
              </w:rPr>
            </w:pPr>
          </w:p>
        </w:tc>
        <w:tc>
          <w:tcPr>
            <w:tcW w:w="936" w:type="dxa"/>
          </w:tcPr>
          <w:p w14:paraId="3E5F4993">
            <w:pPr>
              <w:pStyle w:val="59"/>
              <w:jc w:val="center"/>
              <w:rPr>
                <w:rFonts w:ascii="宋体" w:hAnsi="宋体" w:cs="宋体"/>
                <w:color w:val="000000" w:themeColor="text1"/>
                <w:highlight w:val="none"/>
                <w14:textFill>
                  <w14:solidFill>
                    <w14:schemeClr w14:val="tx1"/>
                  </w14:solidFill>
                </w14:textFill>
              </w:rPr>
            </w:pPr>
          </w:p>
        </w:tc>
        <w:tc>
          <w:tcPr>
            <w:tcW w:w="1034" w:type="dxa"/>
          </w:tcPr>
          <w:p w14:paraId="78F352ED">
            <w:pPr>
              <w:pStyle w:val="59"/>
              <w:jc w:val="center"/>
              <w:rPr>
                <w:rFonts w:ascii="宋体" w:hAnsi="宋体" w:cs="宋体"/>
                <w:color w:val="000000" w:themeColor="text1"/>
                <w:highlight w:val="none"/>
                <w14:textFill>
                  <w14:solidFill>
                    <w14:schemeClr w14:val="tx1"/>
                  </w14:solidFill>
                </w14:textFill>
              </w:rPr>
            </w:pPr>
          </w:p>
        </w:tc>
        <w:tc>
          <w:tcPr>
            <w:tcW w:w="936" w:type="dxa"/>
          </w:tcPr>
          <w:p w14:paraId="292BC582">
            <w:pPr>
              <w:pStyle w:val="59"/>
              <w:jc w:val="center"/>
              <w:rPr>
                <w:rFonts w:ascii="宋体" w:hAnsi="宋体" w:cs="宋体"/>
                <w:color w:val="000000" w:themeColor="text1"/>
                <w:highlight w:val="none"/>
                <w14:textFill>
                  <w14:solidFill>
                    <w14:schemeClr w14:val="tx1"/>
                  </w14:solidFill>
                </w14:textFill>
              </w:rPr>
            </w:pPr>
          </w:p>
        </w:tc>
        <w:tc>
          <w:tcPr>
            <w:tcW w:w="978" w:type="dxa"/>
          </w:tcPr>
          <w:p w14:paraId="1FC04C35">
            <w:pPr>
              <w:pStyle w:val="59"/>
              <w:jc w:val="center"/>
              <w:rPr>
                <w:rFonts w:ascii="宋体" w:hAnsi="宋体" w:cs="宋体"/>
                <w:color w:val="000000" w:themeColor="text1"/>
                <w:highlight w:val="none"/>
                <w14:textFill>
                  <w14:solidFill>
                    <w14:schemeClr w14:val="tx1"/>
                  </w14:solidFill>
                </w14:textFill>
              </w:rPr>
            </w:pPr>
          </w:p>
        </w:tc>
        <w:tc>
          <w:tcPr>
            <w:tcW w:w="805" w:type="dxa"/>
          </w:tcPr>
          <w:p w14:paraId="587C3B35">
            <w:pPr>
              <w:pStyle w:val="59"/>
              <w:jc w:val="center"/>
              <w:rPr>
                <w:rFonts w:ascii="宋体" w:hAnsi="宋体" w:cs="宋体"/>
                <w:color w:val="000000" w:themeColor="text1"/>
                <w:highlight w:val="none"/>
                <w14:textFill>
                  <w14:solidFill>
                    <w14:schemeClr w14:val="tx1"/>
                  </w14:solidFill>
                </w14:textFill>
              </w:rPr>
            </w:pPr>
          </w:p>
        </w:tc>
        <w:tc>
          <w:tcPr>
            <w:tcW w:w="805" w:type="dxa"/>
          </w:tcPr>
          <w:p w14:paraId="330B8C99">
            <w:pPr>
              <w:pStyle w:val="59"/>
              <w:jc w:val="center"/>
              <w:rPr>
                <w:rFonts w:ascii="宋体" w:hAnsi="宋体" w:cs="宋体"/>
                <w:color w:val="000000" w:themeColor="text1"/>
                <w:highlight w:val="none"/>
                <w14:textFill>
                  <w14:solidFill>
                    <w14:schemeClr w14:val="tx1"/>
                  </w14:solidFill>
                </w14:textFill>
              </w:rPr>
            </w:pPr>
          </w:p>
        </w:tc>
      </w:tr>
      <w:tr w14:paraId="49754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4C65D05A">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064" w:type="dxa"/>
            <w:vAlign w:val="center"/>
          </w:tcPr>
          <w:p w14:paraId="6F4F608E">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A2EC38A">
            <w:pPr>
              <w:pStyle w:val="59"/>
              <w:jc w:val="center"/>
              <w:rPr>
                <w:rFonts w:ascii="宋体" w:hAnsi="宋体" w:cs="宋体"/>
                <w:color w:val="000000" w:themeColor="text1"/>
                <w:highlight w:val="none"/>
                <w14:textFill>
                  <w14:solidFill>
                    <w14:schemeClr w14:val="tx1"/>
                  </w14:solidFill>
                </w14:textFill>
              </w:rPr>
            </w:pPr>
          </w:p>
        </w:tc>
        <w:tc>
          <w:tcPr>
            <w:tcW w:w="1286" w:type="dxa"/>
          </w:tcPr>
          <w:p w14:paraId="746CB700">
            <w:pPr>
              <w:pStyle w:val="59"/>
              <w:jc w:val="center"/>
              <w:rPr>
                <w:rFonts w:ascii="宋体" w:hAnsi="宋体" w:cs="宋体"/>
                <w:color w:val="000000" w:themeColor="text1"/>
                <w:highlight w:val="none"/>
                <w14:textFill>
                  <w14:solidFill>
                    <w14:schemeClr w14:val="tx1"/>
                  </w14:solidFill>
                </w14:textFill>
              </w:rPr>
            </w:pPr>
          </w:p>
        </w:tc>
        <w:tc>
          <w:tcPr>
            <w:tcW w:w="936" w:type="dxa"/>
          </w:tcPr>
          <w:p w14:paraId="327084AA">
            <w:pPr>
              <w:pStyle w:val="59"/>
              <w:jc w:val="center"/>
              <w:rPr>
                <w:rFonts w:ascii="宋体" w:hAnsi="宋体" w:cs="宋体"/>
                <w:color w:val="000000" w:themeColor="text1"/>
                <w:highlight w:val="none"/>
                <w14:textFill>
                  <w14:solidFill>
                    <w14:schemeClr w14:val="tx1"/>
                  </w14:solidFill>
                </w14:textFill>
              </w:rPr>
            </w:pPr>
          </w:p>
        </w:tc>
        <w:tc>
          <w:tcPr>
            <w:tcW w:w="1034" w:type="dxa"/>
          </w:tcPr>
          <w:p w14:paraId="075652ED">
            <w:pPr>
              <w:pStyle w:val="59"/>
              <w:jc w:val="center"/>
              <w:rPr>
                <w:rFonts w:ascii="宋体" w:hAnsi="宋体" w:cs="宋体"/>
                <w:color w:val="000000" w:themeColor="text1"/>
                <w:highlight w:val="none"/>
                <w14:textFill>
                  <w14:solidFill>
                    <w14:schemeClr w14:val="tx1"/>
                  </w14:solidFill>
                </w14:textFill>
              </w:rPr>
            </w:pPr>
          </w:p>
        </w:tc>
        <w:tc>
          <w:tcPr>
            <w:tcW w:w="936" w:type="dxa"/>
          </w:tcPr>
          <w:p w14:paraId="76298EC5">
            <w:pPr>
              <w:pStyle w:val="59"/>
              <w:jc w:val="center"/>
              <w:rPr>
                <w:rFonts w:ascii="宋体" w:hAnsi="宋体" w:cs="宋体"/>
                <w:color w:val="000000" w:themeColor="text1"/>
                <w:highlight w:val="none"/>
                <w14:textFill>
                  <w14:solidFill>
                    <w14:schemeClr w14:val="tx1"/>
                  </w14:solidFill>
                </w14:textFill>
              </w:rPr>
            </w:pPr>
          </w:p>
        </w:tc>
        <w:tc>
          <w:tcPr>
            <w:tcW w:w="978" w:type="dxa"/>
          </w:tcPr>
          <w:p w14:paraId="33ED0154">
            <w:pPr>
              <w:pStyle w:val="59"/>
              <w:jc w:val="center"/>
              <w:rPr>
                <w:rFonts w:ascii="宋体" w:hAnsi="宋体" w:cs="宋体"/>
                <w:color w:val="000000" w:themeColor="text1"/>
                <w:highlight w:val="none"/>
                <w14:textFill>
                  <w14:solidFill>
                    <w14:schemeClr w14:val="tx1"/>
                  </w14:solidFill>
                </w14:textFill>
              </w:rPr>
            </w:pPr>
          </w:p>
        </w:tc>
        <w:tc>
          <w:tcPr>
            <w:tcW w:w="805" w:type="dxa"/>
          </w:tcPr>
          <w:p w14:paraId="448F4CCB">
            <w:pPr>
              <w:pStyle w:val="59"/>
              <w:jc w:val="center"/>
              <w:rPr>
                <w:rFonts w:ascii="宋体" w:hAnsi="宋体" w:cs="宋体"/>
                <w:color w:val="000000" w:themeColor="text1"/>
                <w:highlight w:val="none"/>
                <w14:textFill>
                  <w14:solidFill>
                    <w14:schemeClr w14:val="tx1"/>
                  </w14:solidFill>
                </w14:textFill>
              </w:rPr>
            </w:pPr>
          </w:p>
        </w:tc>
        <w:tc>
          <w:tcPr>
            <w:tcW w:w="805" w:type="dxa"/>
          </w:tcPr>
          <w:p w14:paraId="55076E98">
            <w:pPr>
              <w:pStyle w:val="59"/>
              <w:jc w:val="center"/>
              <w:rPr>
                <w:rFonts w:ascii="宋体" w:hAnsi="宋体" w:cs="宋体"/>
                <w:color w:val="000000" w:themeColor="text1"/>
                <w:highlight w:val="none"/>
                <w14:textFill>
                  <w14:solidFill>
                    <w14:schemeClr w14:val="tx1"/>
                  </w14:solidFill>
                </w14:textFill>
              </w:rPr>
            </w:pPr>
          </w:p>
        </w:tc>
      </w:tr>
      <w:tr w14:paraId="15EBA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2039E9D0">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064" w:type="dxa"/>
            <w:vAlign w:val="center"/>
          </w:tcPr>
          <w:p w14:paraId="6B6230D5">
            <w:pPr>
              <w:pStyle w:val="59"/>
              <w:jc w:val="center"/>
              <w:rPr>
                <w:rFonts w:ascii="宋体" w:hAnsi="宋体" w:cs="宋体"/>
                <w:color w:val="000000" w:themeColor="text1"/>
                <w:highlight w:val="none"/>
                <w14:textFill>
                  <w14:solidFill>
                    <w14:schemeClr w14:val="tx1"/>
                  </w14:solidFill>
                </w14:textFill>
              </w:rPr>
            </w:pPr>
          </w:p>
        </w:tc>
        <w:tc>
          <w:tcPr>
            <w:tcW w:w="1286" w:type="dxa"/>
          </w:tcPr>
          <w:p w14:paraId="008AFD34">
            <w:pPr>
              <w:pStyle w:val="59"/>
              <w:jc w:val="center"/>
              <w:rPr>
                <w:rFonts w:ascii="宋体" w:hAnsi="宋体" w:cs="宋体"/>
                <w:color w:val="000000" w:themeColor="text1"/>
                <w:highlight w:val="none"/>
                <w14:textFill>
                  <w14:solidFill>
                    <w14:schemeClr w14:val="tx1"/>
                  </w14:solidFill>
                </w14:textFill>
              </w:rPr>
            </w:pPr>
          </w:p>
        </w:tc>
        <w:tc>
          <w:tcPr>
            <w:tcW w:w="1286" w:type="dxa"/>
          </w:tcPr>
          <w:p w14:paraId="03DE18B3">
            <w:pPr>
              <w:pStyle w:val="59"/>
              <w:jc w:val="center"/>
              <w:rPr>
                <w:rFonts w:ascii="宋体" w:hAnsi="宋体" w:cs="宋体"/>
                <w:color w:val="000000" w:themeColor="text1"/>
                <w:highlight w:val="none"/>
                <w14:textFill>
                  <w14:solidFill>
                    <w14:schemeClr w14:val="tx1"/>
                  </w14:solidFill>
                </w14:textFill>
              </w:rPr>
            </w:pPr>
          </w:p>
        </w:tc>
        <w:tc>
          <w:tcPr>
            <w:tcW w:w="936" w:type="dxa"/>
          </w:tcPr>
          <w:p w14:paraId="147986F6">
            <w:pPr>
              <w:pStyle w:val="59"/>
              <w:jc w:val="center"/>
              <w:rPr>
                <w:rFonts w:ascii="宋体" w:hAnsi="宋体" w:cs="宋体"/>
                <w:color w:val="000000" w:themeColor="text1"/>
                <w:highlight w:val="none"/>
                <w14:textFill>
                  <w14:solidFill>
                    <w14:schemeClr w14:val="tx1"/>
                  </w14:solidFill>
                </w14:textFill>
              </w:rPr>
            </w:pPr>
          </w:p>
        </w:tc>
        <w:tc>
          <w:tcPr>
            <w:tcW w:w="1034" w:type="dxa"/>
          </w:tcPr>
          <w:p w14:paraId="5F8B8991">
            <w:pPr>
              <w:pStyle w:val="59"/>
              <w:jc w:val="center"/>
              <w:rPr>
                <w:rFonts w:ascii="宋体" w:hAnsi="宋体" w:cs="宋体"/>
                <w:color w:val="000000" w:themeColor="text1"/>
                <w:highlight w:val="none"/>
                <w14:textFill>
                  <w14:solidFill>
                    <w14:schemeClr w14:val="tx1"/>
                  </w14:solidFill>
                </w14:textFill>
              </w:rPr>
            </w:pPr>
          </w:p>
        </w:tc>
        <w:tc>
          <w:tcPr>
            <w:tcW w:w="936" w:type="dxa"/>
          </w:tcPr>
          <w:p w14:paraId="4279812B">
            <w:pPr>
              <w:pStyle w:val="59"/>
              <w:jc w:val="center"/>
              <w:rPr>
                <w:rFonts w:ascii="宋体" w:hAnsi="宋体" w:cs="宋体"/>
                <w:color w:val="000000" w:themeColor="text1"/>
                <w:highlight w:val="none"/>
                <w14:textFill>
                  <w14:solidFill>
                    <w14:schemeClr w14:val="tx1"/>
                  </w14:solidFill>
                </w14:textFill>
              </w:rPr>
            </w:pPr>
          </w:p>
        </w:tc>
        <w:tc>
          <w:tcPr>
            <w:tcW w:w="978" w:type="dxa"/>
          </w:tcPr>
          <w:p w14:paraId="32D2E713">
            <w:pPr>
              <w:pStyle w:val="59"/>
              <w:jc w:val="center"/>
              <w:rPr>
                <w:rFonts w:ascii="宋体" w:hAnsi="宋体" w:cs="宋体"/>
                <w:color w:val="000000" w:themeColor="text1"/>
                <w:highlight w:val="none"/>
                <w14:textFill>
                  <w14:solidFill>
                    <w14:schemeClr w14:val="tx1"/>
                  </w14:solidFill>
                </w14:textFill>
              </w:rPr>
            </w:pPr>
          </w:p>
        </w:tc>
        <w:tc>
          <w:tcPr>
            <w:tcW w:w="805" w:type="dxa"/>
          </w:tcPr>
          <w:p w14:paraId="6EBDE0FC">
            <w:pPr>
              <w:pStyle w:val="59"/>
              <w:jc w:val="center"/>
              <w:rPr>
                <w:rFonts w:ascii="宋体" w:hAnsi="宋体" w:cs="宋体"/>
                <w:color w:val="000000" w:themeColor="text1"/>
                <w:highlight w:val="none"/>
                <w14:textFill>
                  <w14:solidFill>
                    <w14:schemeClr w14:val="tx1"/>
                  </w14:solidFill>
                </w14:textFill>
              </w:rPr>
            </w:pPr>
          </w:p>
        </w:tc>
        <w:tc>
          <w:tcPr>
            <w:tcW w:w="805" w:type="dxa"/>
          </w:tcPr>
          <w:p w14:paraId="410DCB5A">
            <w:pPr>
              <w:pStyle w:val="59"/>
              <w:jc w:val="center"/>
              <w:rPr>
                <w:rFonts w:ascii="宋体" w:hAnsi="宋体" w:cs="宋体"/>
                <w:color w:val="000000" w:themeColor="text1"/>
                <w:highlight w:val="none"/>
                <w14:textFill>
                  <w14:solidFill>
                    <w14:schemeClr w14:val="tx1"/>
                  </w14:solidFill>
                </w14:textFill>
              </w:rPr>
            </w:pPr>
          </w:p>
        </w:tc>
      </w:tr>
      <w:tr w14:paraId="42B90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15629833">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064" w:type="dxa"/>
            <w:vAlign w:val="center"/>
          </w:tcPr>
          <w:p w14:paraId="6B24FA54">
            <w:pPr>
              <w:pStyle w:val="59"/>
              <w:jc w:val="center"/>
              <w:rPr>
                <w:rFonts w:ascii="宋体" w:hAnsi="宋体" w:cs="宋体"/>
                <w:color w:val="000000" w:themeColor="text1"/>
                <w:highlight w:val="none"/>
                <w14:textFill>
                  <w14:solidFill>
                    <w14:schemeClr w14:val="tx1"/>
                  </w14:solidFill>
                </w14:textFill>
              </w:rPr>
            </w:pPr>
          </w:p>
        </w:tc>
        <w:tc>
          <w:tcPr>
            <w:tcW w:w="1286" w:type="dxa"/>
          </w:tcPr>
          <w:p w14:paraId="11D698EF">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7F3ECE9">
            <w:pPr>
              <w:pStyle w:val="59"/>
              <w:jc w:val="center"/>
              <w:rPr>
                <w:rFonts w:ascii="宋体" w:hAnsi="宋体" w:cs="宋体"/>
                <w:color w:val="000000" w:themeColor="text1"/>
                <w:highlight w:val="none"/>
                <w14:textFill>
                  <w14:solidFill>
                    <w14:schemeClr w14:val="tx1"/>
                  </w14:solidFill>
                </w14:textFill>
              </w:rPr>
            </w:pPr>
          </w:p>
        </w:tc>
        <w:tc>
          <w:tcPr>
            <w:tcW w:w="936" w:type="dxa"/>
          </w:tcPr>
          <w:p w14:paraId="0FB9AC3A">
            <w:pPr>
              <w:pStyle w:val="59"/>
              <w:jc w:val="center"/>
              <w:rPr>
                <w:rFonts w:ascii="宋体" w:hAnsi="宋体" w:cs="宋体"/>
                <w:color w:val="000000" w:themeColor="text1"/>
                <w:highlight w:val="none"/>
                <w14:textFill>
                  <w14:solidFill>
                    <w14:schemeClr w14:val="tx1"/>
                  </w14:solidFill>
                </w14:textFill>
              </w:rPr>
            </w:pPr>
          </w:p>
        </w:tc>
        <w:tc>
          <w:tcPr>
            <w:tcW w:w="1034" w:type="dxa"/>
          </w:tcPr>
          <w:p w14:paraId="402067D3">
            <w:pPr>
              <w:pStyle w:val="59"/>
              <w:jc w:val="center"/>
              <w:rPr>
                <w:rFonts w:ascii="宋体" w:hAnsi="宋体" w:cs="宋体"/>
                <w:color w:val="000000" w:themeColor="text1"/>
                <w:highlight w:val="none"/>
                <w14:textFill>
                  <w14:solidFill>
                    <w14:schemeClr w14:val="tx1"/>
                  </w14:solidFill>
                </w14:textFill>
              </w:rPr>
            </w:pPr>
          </w:p>
        </w:tc>
        <w:tc>
          <w:tcPr>
            <w:tcW w:w="936" w:type="dxa"/>
          </w:tcPr>
          <w:p w14:paraId="0F9ED7EA">
            <w:pPr>
              <w:pStyle w:val="59"/>
              <w:jc w:val="center"/>
              <w:rPr>
                <w:rFonts w:ascii="宋体" w:hAnsi="宋体" w:cs="宋体"/>
                <w:color w:val="000000" w:themeColor="text1"/>
                <w:highlight w:val="none"/>
                <w14:textFill>
                  <w14:solidFill>
                    <w14:schemeClr w14:val="tx1"/>
                  </w14:solidFill>
                </w14:textFill>
              </w:rPr>
            </w:pPr>
          </w:p>
        </w:tc>
        <w:tc>
          <w:tcPr>
            <w:tcW w:w="978" w:type="dxa"/>
          </w:tcPr>
          <w:p w14:paraId="6013B804">
            <w:pPr>
              <w:pStyle w:val="59"/>
              <w:jc w:val="center"/>
              <w:rPr>
                <w:rFonts w:ascii="宋体" w:hAnsi="宋体" w:cs="宋体"/>
                <w:color w:val="000000" w:themeColor="text1"/>
                <w:highlight w:val="none"/>
                <w14:textFill>
                  <w14:solidFill>
                    <w14:schemeClr w14:val="tx1"/>
                  </w14:solidFill>
                </w14:textFill>
              </w:rPr>
            </w:pPr>
          </w:p>
        </w:tc>
        <w:tc>
          <w:tcPr>
            <w:tcW w:w="805" w:type="dxa"/>
          </w:tcPr>
          <w:p w14:paraId="2CCFB464">
            <w:pPr>
              <w:pStyle w:val="59"/>
              <w:jc w:val="center"/>
              <w:rPr>
                <w:rFonts w:ascii="宋体" w:hAnsi="宋体" w:cs="宋体"/>
                <w:color w:val="000000" w:themeColor="text1"/>
                <w:highlight w:val="none"/>
                <w14:textFill>
                  <w14:solidFill>
                    <w14:schemeClr w14:val="tx1"/>
                  </w14:solidFill>
                </w14:textFill>
              </w:rPr>
            </w:pPr>
          </w:p>
        </w:tc>
        <w:tc>
          <w:tcPr>
            <w:tcW w:w="805" w:type="dxa"/>
          </w:tcPr>
          <w:p w14:paraId="794D4C71">
            <w:pPr>
              <w:pStyle w:val="59"/>
              <w:jc w:val="center"/>
              <w:rPr>
                <w:rFonts w:ascii="宋体" w:hAnsi="宋体" w:cs="宋体"/>
                <w:color w:val="000000" w:themeColor="text1"/>
                <w:highlight w:val="none"/>
                <w14:textFill>
                  <w14:solidFill>
                    <w14:schemeClr w14:val="tx1"/>
                  </w14:solidFill>
                </w14:textFill>
              </w:rPr>
            </w:pPr>
          </w:p>
        </w:tc>
      </w:tr>
      <w:tr w14:paraId="71389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4AB90D1D">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064" w:type="dxa"/>
            <w:vAlign w:val="center"/>
          </w:tcPr>
          <w:p w14:paraId="371BDABE">
            <w:pPr>
              <w:pStyle w:val="59"/>
              <w:jc w:val="center"/>
              <w:rPr>
                <w:rFonts w:ascii="宋体" w:hAnsi="宋体" w:cs="宋体"/>
                <w:color w:val="000000" w:themeColor="text1"/>
                <w:highlight w:val="none"/>
                <w14:textFill>
                  <w14:solidFill>
                    <w14:schemeClr w14:val="tx1"/>
                  </w14:solidFill>
                </w14:textFill>
              </w:rPr>
            </w:pPr>
          </w:p>
        </w:tc>
        <w:tc>
          <w:tcPr>
            <w:tcW w:w="1286" w:type="dxa"/>
          </w:tcPr>
          <w:p w14:paraId="76E0BC04">
            <w:pPr>
              <w:pStyle w:val="59"/>
              <w:jc w:val="center"/>
              <w:rPr>
                <w:rFonts w:ascii="宋体" w:hAnsi="宋体" w:cs="宋体"/>
                <w:color w:val="000000" w:themeColor="text1"/>
                <w:highlight w:val="none"/>
                <w14:textFill>
                  <w14:solidFill>
                    <w14:schemeClr w14:val="tx1"/>
                  </w14:solidFill>
                </w14:textFill>
              </w:rPr>
            </w:pPr>
          </w:p>
        </w:tc>
        <w:tc>
          <w:tcPr>
            <w:tcW w:w="1286" w:type="dxa"/>
          </w:tcPr>
          <w:p w14:paraId="2200A104">
            <w:pPr>
              <w:pStyle w:val="59"/>
              <w:jc w:val="center"/>
              <w:rPr>
                <w:rFonts w:ascii="宋体" w:hAnsi="宋体" w:cs="宋体"/>
                <w:color w:val="000000" w:themeColor="text1"/>
                <w:highlight w:val="none"/>
                <w14:textFill>
                  <w14:solidFill>
                    <w14:schemeClr w14:val="tx1"/>
                  </w14:solidFill>
                </w14:textFill>
              </w:rPr>
            </w:pPr>
          </w:p>
        </w:tc>
        <w:tc>
          <w:tcPr>
            <w:tcW w:w="936" w:type="dxa"/>
          </w:tcPr>
          <w:p w14:paraId="386FCC5B">
            <w:pPr>
              <w:pStyle w:val="59"/>
              <w:jc w:val="center"/>
              <w:rPr>
                <w:rFonts w:ascii="宋体" w:hAnsi="宋体" w:cs="宋体"/>
                <w:color w:val="000000" w:themeColor="text1"/>
                <w:highlight w:val="none"/>
                <w14:textFill>
                  <w14:solidFill>
                    <w14:schemeClr w14:val="tx1"/>
                  </w14:solidFill>
                </w14:textFill>
              </w:rPr>
            </w:pPr>
          </w:p>
        </w:tc>
        <w:tc>
          <w:tcPr>
            <w:tcW w:w="1034" w:type="dxa"/>
          </w:tcPr>
          <w:p w14:paraId="19180B19">
            <w:pPr>
              <w:pStyle w:val="59"/>
              <w:jc w:val="center"/>
              <w:rPr>
                <w:rFonts w:ascii="宋体" w:hAnsi="宋体" w:cs="宋体"/>
                <w:color w:val="000000" w:themeColor="text1"/>
                <w:highlight w:val="none"/>
                <w14:textFill>
                  <w14:solidFill>
                    <w14:schemeClr w14:val="tx1"/>
                  </w14:solidFill>
                </w14:textFill>
              </w:rPr>
            </w:pPr>
          </w:p>
        </w:tc>
        <w:tc>
          <w:tcPr>
            <w:tcW w:w="936" w:type="dxa"/>
          </w:tcPr>
          <w:p w14:paraId="62491E6B">
            <w:pPr>
              <w:pStyle w:val="59"/>
              <w:jc w:val="center"/>
              <w:rPr>
                <w:rFonts w:ascii="宋体" w:hAnsi="宋体" w:cs="宋体"/>
                <w:color w:val="000000" w:themeColor="text1"/>
                <w:highlight w:val="none"/>
                <w14:textFill>
                  <w14:solidFill>
                    <w14:schemeClr w14:val="tx1"/>
                  </w14:solidFill>
                </w14:textFill>
              </w:rPr>
            </w:pPr>
          </w:p>
        </w:tc>
        <w:tc>
          <w:tcPr>
            <w:tcW w:w="978" w:type="dxa"/>
          </w:tcPr>
          <w:p w14:paraId="597E9D67">
            <w:pPr>
              <w:pStyle w:val="59"/>
              <w:jc w:val="center"/>
              <w:rPr>
                <w:rFonts w:ascii="宋体" w:hAnsi="宋体" w:cs="宋体"/>
                <w:color w:val="000000" w:themeColor="text1"/>
                <w:highlight w:val="none"/>
                <w14:textFill>
                  <w14:solidFill>
                    <w14:schemeClr w14:val="tx1"/>
                  </w14:solidFill>
                </w14:textFill>
              </w:rPr>
            </w:pPr>
          </w:p>
        </w:tc>
        <w:tc>
          <w:tcPr>
            <w:tcW w:w="805" w:type="dxa"/>
          </w:tcPr>
          <w:p w14:paraId="0F987662">
            <w:pPr>
              <w:pStyle w:val="59"/>
              <w:jc w:val="center"/>
              <w:rPr>
                <w:rFonts w:ascii="宋体" w:hAnsi="宋体" w:cs="宋体"/>
                <w:color w:val="000000" w:themeColor="text1"/>
                <w:highlight w:val="none"/>
                <w14:textFill>
                  <w14:solidFill>
                    <w14:schemeClr w14:val="tx1"/>
                  </w14:solidFill>
                </w14:textFill>
              </w:rPr>
            </w:pPr>
          </w:p>
        </w:tc>
        <w:tc>
          <w:tcPr>
            <w:tcW w:w="805" w:type="dxa"/>
          </w:tcPr>
          <w:p w14:paraId="12F1F43B">
            <w:pPr>
              <w:pStyle w:val="59"/>
              <w:jc w:val="center"/>
              <w:rPr>
                <w:rFonts w:ascii="宋体" w:hAnsi="宋体" w:cs="宋体"/>
                <w:color w:val="000000" w:themeColor="text1"/>
                <w:highlight w:val="none"/>
                <w14:textFill>
                  <w14:solidFill>
                    <w14:schemeClr w14:val="tx1"/>
                  </w14:solidFill>
                </w14:textFill>
              </w:rPr>
            </w:pPr>
          </w:p>
        </w:tc>
      </w:tr>
      <w:tr w14:paraId="4617A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2A75BC97">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064" w:type="dxa"/>
            <w:vAlign w:val="center"/>
          </w:tcPr>
          <w:p w14:paraId="09D76F38">
            <w:pPr>
              <w:pStyle w:val="59"/>
              <w:jc w:val="center"/>
              <w:rPr>
                <w:rFonts w:ascii="宋体" w:hAnsi="宋体" w:cs="宋体"/>
                <w:color w:val="000000" w:themeColor="text1"/>
                <w:highlight w:val="none"/>
                <w14:textFill>
                  <w14:solidFill>
                    <w14:schemeClr w14:val="tx1"/>
                  </w14:solidFill>
                </w14:textFill>
              </w:rPr>
            </w:pPr>
          </w:p>
        </w:tc>
        <w:tc>
          <w:tcPr>
            <w:tcW w:w="1286" w:type="dxa"/>
          </w:tcPr>
          <w:p w14:paraId="0BCCEC04">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3F82792">
            <w:pPr>
              <w:pStyle w:val="59"/>
              <w:jc w:val="center"/>
              <w:rPr>
                <w:rFonts w:ascii="宋体" w:hAnsi="宋体" w:cs="宋体"/>
                <w:color w:val="000000" w:themeColor="text1"/>
                <w:highlight w:val="none"/>
                <w14:textFill>
                  <w14:solidFill>
                    <w14:schemeClr w14:val="tx1"/>
                  </w14:solidFill>
                </w14:textFill>
              </w:rPr>
            </w:pPr>
          </w:p>
        </w:tc>
        <w:tc>
          <w:tcPr>
            <w:tcW w:w="936" w:type="dxa"/>
          </w:tcPr>
          <w:p w14:paraId="567BEA98">
            <w:pPr>
              <w:pStyle w:val="59"/>
              <w:jc w:val="center"/>
              <w:rPr>
                <w:rFonts w:ascii="宋体" w:hAnsi="宋体" w:cs="宋体"/>
                <w:color w:val="000000" w:themeColor="text1"/>
                <w:highlight w:val="none"/>
                <w14:textFill>
                  <w14:solidFill>
                    <w14:schemeClr w14:val="tx1"/>
                  </w14:solidFill>
                </w14:textFill>
              </w:rPr>
            </w:pPr>
          </w:p>
        </w:tc>
        <w:tc>
          <w:tcPr>
            <w:tcW w:w="1034" w:type="dxa"/>
          </w:tcPr>
          <w:p w14:paraId="2DA691F3">
            <w:pPr>
              <w:pStyle w:val="59"/>
              <w:jc w:val="center"/>
              <w:rPr>
                <w:rFonts w:ascii="宋体" w:hAnsi="宋体" w:cs="宋体"/>
                <w:color w:val="000000" w:themeColor="text1"/>
                <w:highlight w:val="none"/>
                <w14:textFill>
                  <w14:solidFill>
                    <w14:schemeClr w14:val="tx1"/>
                  </w14:solidFill>
                </w14:textFill>
              </w:rPr>
            </w:pPr>
          </w:p>
        </w:tc>
        <w:tc>
          <w:tcPr>
            <w:tcW w:w="936" w:type="dxa"/>
          </w:tcPr>
          <w:p w14:paraId="449438BA">
            <w:pPr>
              <w:pStyle w:val="59"/>
              <w:jc w:val="center"/>
              <w:rPr>
                <w:rFonts w:ascii="宋体" w:hAnsi="宋体" w:cs="宋体"/>
                <w:color w:val="000000" w:themeColor="text1"/>
                <w:highlight w:val="none"/>
                <w14:textFill>
                  <w14:solidFill>
                    <w14:schemeClr w14:val="tx1"/>
                  </w14:solidFill>
                </w14:textFill>
              </w:rPr>
            </w:pPr>
          </w:p>
        </w:tc>
        <w:tc>
          <w:tcPr>
            <w:tcW w:w="978" w:type="dxa"/>
          </w:tcPr>
          <w:p w14:paraId="4B7C5731">
            <w:pPr>
              <w:pStyle w:val="59"/>
              <w:jc w:val="center"/>
              <w:rPr>
                <w:rFonts w:ascii="宋体" w:hAnsi="宋体" w:cs="宋体"/>
                <w:color w:val="000000" w:themeColor="text1"/>
                <w:highlight w:val="none"/>
                <w14:textFill>
                  <w14:solidFill>
                    <w14:schemeClr w14:val="tx1"/>
                  </w14:solidFill>
                </w14:textFill>
              </w:rPr>
            </w:pPr>
          </w:p>
        </w:tc>
        <w:tc>
          <w:tcPr>
            <w:tcW w:w="805" w:type="dxa"/>
          </w:tcPr>
          <w:p w14:paraId="58809D59">
            <w:pPr>
              <w:pStyle w:val="59"/>
              <w:jc w:val="center"/>
              <w:rPr>
                <w:rFonts w:ascii="宋体" w:hAnsi="宋体" w:cs="宋体"/>
                <w:color w:val="000000" w:themeColor="text1"/>
                <w:highlight w:val="none"/>
                <w14:textFill>
                  <w14:solidFill>
                    <w14:schemeClr w14:val="tx1"/>
                  </w14:solidFill>
                </w14:textFill>
              </w:rPr>
            </w:pPr>
          </w:p>
        </w:tc>
        <w:tc>
          <w:tcPr>
            <w:tcW w:w="805" w:type="dxa"/>
          </w:tcPr>
          <w:p w14:paraId="2BFCB1DA">
            <w:pPr>
              <w:pStyle w:val="59"/>
              <w:jc w:val="center"/>
              <w:rPr>
                <w:rFonts w:ascii="宋体" w:hAnsi="宋体" w:cs="宋体"/>
                <w:color w:val="000000" w:themeColor="text1"/>
                <w:highlight w:val="none"/>
                <w14:textFill>
                  <w14:solidFill>
                    <w14:schemeClr w14:val="tx1"/>
                  </w14:solidFill>
                </w14:textFill>
              </w:rPr>
            </w:pPr>
          </w:p>
        </w:tc>
      </w:tr>
      <w:tr w14:paraId="0BAA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14:paraId="4D580AB3">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业绩合计</w:t>
            </w:r>
          </w:p>
        </w:tc>
        <w:tc>
          <w:tcPr>
            <w:tcW w:w="1286" w:type="dxa"/>
          </w:tcPr>
          <w:p w14:paraId="0CDC155D">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D25C111">
            <w:pPr>
              <w:pStyle w:val="59"/>
              <w:jc w:val="center"/>
              <w:rPr>
                <w:rFonts w:ascii="宋体" w:hAnsi="宋体" w:cs="宋体"/>
                <w:color w:val="000000" w:themeColor="text1"/>
                <w:highlight w:val="none"/>
                <w14:textFill>
                  <w14:solidFill>
                    <w14:schemeClr w14:val="tx1"/>
                  </w14:solidFill>
                </w14:textFill>
              </w:rPr>
            </w:pPr>
          </w:p>
        </w:tc>
        <w:tc>
          <w:tcPr>
            <w:tcW w:w="936" w:type="dxa"/>
          </w:tcPr>
          <w:p w14:paraId="276B9AB7">
            <w:pPr>
              <w:pStyle w:val="59"/>
              <w:jc w:val="center"/>
              <w:rPr>
                <w:rFonts w:ascii="宋体" w:hAnsi="宋体" w:cs="宋体"/>
                <w:color w:val="000000" w:themeColor="text1"/>
                <w:highlight w:val="none"/>
                <w14:textFill>
                  <w14:solidFill>
                    <w14:schemeClr w14:val="tx1"/>
                  </w14:solidFill>
                </w14:textFill>
              </w:rPr>
            </w:pPr>
          </w:p>
        </w:tc>
        <w:tc>
          <w:tcPr>
            <w:tcW w:w="1034" w:type="dxa"/>
          </w:tcPr>
          <w:p w14:paraId="1B956433">
            <w:pPr>
              <w:pStyle w:val="59"/>
              <w:jc w:val="center"/>
              <w:rPr>
                <w:rFonts w:ascii="宋体" w:hAnsi="宋体" w:cs="宋体"/>
                <w:color w:val="000000" w:themeColor="text1"/>
                <w:highlight w:val="none"/>
                <w14:textFill>
                  <w14:solidFill>
                    <w14:schemeClr w14:val="tx1"/>
                  </w14:solidFill>
                </w14:textFill>
              </w:rPr>
            </w:pPr>
          </w:p>
        </w:tc>
        <w:tc>
          <w:tcPr>
            <w:tcW w:w="936" w:type="dxa"/>
          </w:tcPr>
          <w:p w14:paraId="1AF979F6">
            <w:pPr>
              <w:pStyle w:val="59"/>
              <w:jc w:val="center"/>
              <w:rPr>
                <w:rFonts w:ascii="宋体" w:hAnsi="宋体" w:cs="宋体"/>
                <w:color w:val="000000" w:themeColor="text1"/>
                <w:highlight w:val="none"/>
                <w14:textFill>
                  <w14:solidFill>
                    <w14:schemeClr w14:val="tx1"/>
                  </w14:solidFill>
                </w14:textFill>
              </w:rPr>
            </w:pPr>
          </w:p>
        </w:tc>
        <w:tc>
          <w:tcPr>
            <w:tcW w:w="978" w:type="dxa"/>
          </w:tcPr>
          <w:p w14:paraId="4861BFCA">
            <w:pPr>
              <w:pStyle w:val="59"/>
              <w:jc w:val="center"/>
              <w:rPr>
                <w:rFonts w:ascii="宋体" w:hAnsi="宋体" w:cs="宋体"/>
                <w:color w:val="000000" w:themeColor="text1"/>
                <w:highlight w:val="none"/>
                <w14:textFill>
                  <w14:solidFill>
                    <w14:schemeClr w14:val="tx1"/>
                  </w14:solidFill>
                </w14:textFill>
              </w:rPr>
            </w:pPr>
          </w:p>
        </w:tc>
        <w:tc>
          <w:tcPr>
            <w:tcW w:w="805" w:type="dxa"/>
          </w:tcPr>
          <w:p w14:paraId="21E92043">
            <w:pPr>
              <w:pStyle w:val="59"/>
              <w:jc w:val="center"/>
              <w:rPr>
                <w:rFonts w:ascii="宋体" w:hAnsi="宋体" w:cs="宋体"/>
                <w:color w:val="000000" w:themeColor="text1"/>
                <w:highlight w:val="none"/>
                <w14:textFill>
                  <w14:solidFill>
                    <w14:schemeClr w14:val="tx1"/>
                  </w14:solidFill>
                </w14:textFill>
              </w:rPr>
            </w:pPr>
          </w:p>
        </w:tc>
        <w:tc>
          <w:tcPr>
            <w:tcW w:w="805" w:type="dxa"/>
          </w:tcPr>
          <w:p w14:paraId="712C9D5B">
            <w:pPr>
              <w:pStyle w:val="59"/>
              <w:jc w:val="center"/>
              <w:rPr>
                <w:rFonts w:ascii="宋体" w:hAnsi="宋体" w:cs="宋体"/>
                <w:color w:val="000000" w:themeColor="text1"/>
                <w:highlight w:val="none"/>
                <w14:textFill>
                  <w14:solidFill>
                    <w14:schemeClr w14:val="tx1"/>
                  </w14:solidFill>
                </w14:textFill>
              </w:rPr>
            </w:pPr>
          </w:p>
        </w:tc>
      </w:tr>
    </w:tbl>
    <w:p w14:paraId="0E50DD98">
      <w:pPr>
        <w:spacing w:line="360" w:lineRule="auto"/>
        <w:ind w:left="621" w:leftChars="-13" w:hanging="648" w:hangingChars="30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注：业绩要求应符合投标人须知前附表 3.5.3、10.6 及 10.7 款的要求。</w:t>
      </w:r>
    </w:p>
    <w:p w14:paraId="63B9509A">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（五）投标人的信誉情况表</w:t>
      </w:r>
    </w:p>
    <w:p w14:paraId="7EBC6833">
      <w:pPr>
        <w:spacing w:line="300" w:lineRule="exact"/>
        <w:rPr>
          <w:rFonts w:ascii="宋体" w:hAnsi="宋体" w:cs="宋体"/>
          <w:color w:val="000000" w:themeColor="text1"/>
          <w:sz w:val="24"/>
          <w:highlight w:val="none"/>
          <w14:textFill>
            <w14:solidFill>
              <w14:schemeClr w14:val="tx1"/>
            </w14:solidFill>
          </w14:textFill>
        </w:rPr>
      </w:pPr>
    </w:p>
    <w:tbl>
      <w:tblPr>
        <w:tblStyle w:val="4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14:paraId="7994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14:paraId="7EA571F0">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4890" w:type="dxa"/>
            <w:vAlign w:val="center"/>
          </w:tcPr>
          <w:p w14:paraId="5E34A615">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投标人情况说明</w:t>
            </w:r>
          </w:p>
        </w:tc>
      </w:tr>
      <w:tr w14:paraId="3B49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14:paraId="66ADA03A">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14:paraId="1B700133">
            <w:pPr>
              <w:spacing w:line="300" w:lineRule="exact"/>
              <w:jc w:val="center"/>
              <w:rPr>
                <w:rFonts w:ascii="宋体" w:hAnsi="宋体" w:cs="宋体"/>
                <w:color w:val="000000" w:themeColor="text1"/>
                <w:sz w:val="24"/>
                <w:highlight w:val="none"/>
                <w14:textFill>
                  <w14:solidFill>
                    <w14:schemeClr w14:val="tx1"/>
                  </w14:solidFill>
                </w14:textFill>
              </w:rPr>
            </w:pPr>
          </w:p>
        </w:tc>
      </w:tr>
      <w:tr w14:paraId="3E21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14:paraId="2401B46E">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（2）被省级及以上交通运输主管部门取消招标项目所在地的投标资格且处于有效期内；</w:t>
            </w:r>
          </w:p>
        </w:tc>
        <w:tc>
          <w:tcPr>
            <w:tcW w:w="4890" w:type="dxa"/>
            <w:vAlign w:val="center"/>
          </w:tcPr>
          <w:p w14:paraId="76E8B744">
            <w:pPr>
              <w:spacing w:line="300" w:lineRule="exact"/>
              <w:jc w:val="center"/>
              <w:rPr>
                <w:rFonts w:ascii="宋体" w:hAnsi="宋体" w:cs="宋体"/>
                <w:color w:val="000000" w:themeColor="text1"/>
                <w:sz w:val="24"/>
                <w:highlight w:val="none"/>
                <w14:textFill>
                  <w14:solidFill>
                    <w14:schemeClr w14:val="tx1"/>
                  </w14:solidFill>
                </w14:textFill>
              </w:rPr>
            </w:pPr>
          </w:p>
        </w:tc>
      </w:tr>
      <w:tr w14:paraId="61B4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14:paraId="4E045617">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（3）被责令停业，暂扣或吊销执照，或吊销资质证书；</w:t>
            </w:r>
          </w:p>
        </w:tc>
        <w:tc>
          <w:tcPr>
            <w:tcW w:w="4890" w:type="dxa"/>
            <w:vAlign w:val="center"/>
          </w:tcPr>
          <w:p w14:paraId="2529DB54">
            <w:pPr>
              <w:spacing w:line="300" w:lineRule="exact"/>
              <w:jc w:val="center"/>
              <w:rPr>
                <w:rFonts w:ascii="宋体" w:hAnsi="宋体" w:cs="宋体"/>
                <w:color w:val="000000" w:themeColor="text1"/>
                <w:sz w:val="24"/>
                <w:highlight w:val="none"/>
                <w14:textFill>
                  <w14:solidFill>
                    <w14:schemeClr w14:val="tx1"/>
                  </w14:solidFill>
                </w14:textFill>
              </w:rPr>
            </w:pPr>
          </w:p>
        </w:tc>
      </w:tr>
      <w:tr w14:paraId="7EE4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468917B9">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（4）进入清算程序，或被宣告破产，或其他丧失履约能力的情形；</w:t>
            </w:r>
          </w:p>
        </w:tc>
        <w:tc>
          <w:tcPr>
            <w:tcW w:w="4890" w:type="dxa"/>
            <w:vAlign w:val="center"/>
          </w:tcPr>
          <w:p w14:paraId="5629CB66">
            <w:pPr>
              <w:spacing w:line="300" w:lineRule="exact"/>
              <w:jc w:val="center"/>
              <w:rPr>
                <w:rFonts w:ascii="宋体" w:hAnsi="宋体" w:cs="宋体"/>
                <w:color w:val="000000" w:themeColor="text1"/>
                <w:sz w:val="24"/>
                <w:highlight w:val="none"/>
                <w14:textFill>
                  <w14:solidFill>
                    <w14:schemeClr w14:val="tx1"/>
                  </w14:solidFill>
                </w14:textFill>
              </w:rPr>
            </w:pPr>
          </w:p>
        </w:tc>
      </w:tr>
      <w:tr w14:paraId="603F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14:paraId="542C4568">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（5）在国家企业信用信息公示系统中被列入严重违法失信企业名单；</w:t>
            </w:r>
          </w:p>
        </w:tc>
        <w:tc>
          <w:tcPr>
            <w:tcW w:w="4890" w:type="dxa"/>
            <w:vAlign w:val="center"/>
          </w:tcPr>
          <w:p w14:paraId="73650D80">
            <w:pPr>
              <w:spacing w:line="300" w:lineRule="exact"/>
              <w:jc w:val="center"/>
              <w:rPr>
                <w:rFonts w:ascii="宋体" w:hAnsi="宋体" w:cs="宋体"/>
                <w:color w:val="000000" w:themeColor="text1"/>
                <w:sz w:val="24"/>
                <w:highlight w:val="none"/>
                <w14:textFill>
                  <w14:solidFill>
                    <w14:schemeClr w14:val="tx1"/>
                  </w14:solidFill>
                </w14:textFill>
              </w:rPr>
            </w:pPr>
          </w:p>
        </w:tc>
      </w:tr>
      <w:tr w14:paraId="2A09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14:paraId="4A2C71C3">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（6）在“信用中国”网站中被列入失信被执行人名单；</w:t>
            </w:r>
          </w:p>
        </w:tc>
        <w:tc>
          <w:tcPr>
            <w:tcW w:w="4890" w:type="dxa"/>
            <w:vAlign w:val="center"/>
          </w:tcPr>
          <w:p w14:paraId="2492D8DC">
            <w:pPr>
              <w:spacing w:line="300" w:lineRule="exact"/>
              <w:jc w:val="center"/>
              <w:rPr>
                <w:rFonts w:ascii="宋体" w:hAnsi="宋体" w:cs="宋体"/>
                <w:color w:val="000000" w:themeColor="text1"/>
                <w:sz w:val="24"/>
                <w:highlight w:val="none"/>
                <w14:textFill>
                  <w14:solidFill>
                    <w14:schemeClr w14:val="tx1"/>
                  </w14:solidFill>
                </w14:textFill>
              </w:rPr>
            </w:pPr>
          </w:p>
        </w:tc>
      </w:tr>
      <w:tr w14:paraId="251A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14:paraId="5418C7D6">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（7）投标人及其法定代表人、拟委任的项目经理（以及备选人，如有）、项目总工（以及备选人，如有）在近三年内有行贿犯罪行为的（以投标人投标函中的承诺为准）；</w:t>
            </w:r>
          </w:p>
        </w:tc>
        <w:tc>
          <w:tcPr>
            <w:tcW w:w="4890" w:type="dxa"/>
            <w:vAlign w:val="center"/>
          </w:tcPr>
          <w:p w14:paraId="0071CD1A">
            <w:pPr>
              <w:spacing w:line="300" w:lineRule="exact"/>
              <w:jc w:val="center"/>
              <w:rPr>
                <w:rFonts w:ascii="宋体" w:hAnsi="宋体" w:cs="宋体"/>
                <w:color w:val="000000" w:themeColor="text1"/>
                <w:sz w:val="24"/>
                <w:highlight w:val="none"/>
                <w14:textFill>
                  <w14:solidFill>
                    <w14:schemeClr w14:val="tx1"/>
                  </w14:solidFill>
                </w14:textFill>
              </w:rPr>
            </w:pPr>
          </w:p>
        </w:tc>
      </w:tr>
      <w:tr w14:paraId="1A9C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14:paraId="59868AC8">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（8）法律法规或投标人须知前附表规定的其他情形。</w:t>
            </w:r>
          </w:p>
        </w:tc>
        <w:tc>
          <w:tcPr>
            <w:tcW w:w="4890" w:type="dxa"/>
            <w:vAlign w:val="center"/>
          </w:tcPr>
          <w:p w14:paraId="37D1930C">
            <w:pPr>
              <w:spacing w:line="300" w:lineRule="exact"/>
              <w:jc w:val="center"/>
              <w:rPr>
                <w:rFonts w:ascii="宋体" w:hAnsi="宋体" w:cs="宋体"/>
                <w:color w:val="000000" w:themeColor="text1"/>
                <w:sz w:val="24"/>
                <w:highlight w:val="none"/>
                <w14:textFill>
                  <w14:solidFill>
                    <w14:schemeClr w14:val="tx1"/>
                  </w14:solidFill>
                </w14:textFill>
              </w:rPr>
            </w:pPr>
          </w:p>
        </w:tc>
      </w:tr>
      <w:tr w14:paraId="7A66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02A6A4B5">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890" w:type="dxa"/>
            <w:vAlign w:val="center"/>
          </w:tcPr>
          <w:p w14:paraId="4B9D0083">
            <w:pPr>
              <w:spacing w:line="300" w:lineRule="exact"/>
              <w:jc w:val="center"/>
              <w:rPr>
                <w:rFonts w:ascii="宋体" w:hAnsi="宋体" w:cs="宋体"/>
                <w:color w:val="000000" w:themeColor="text1"/>
                <w:sz w:val="24"/>
                <w:highlight w:val="none"/>
                <w14:textFill>
                  <w14:solidFill>
                    <w14:schemeClr w14:val="tx1"/>
                  </w14:solidFill>
                </w14:textFill>
              </w:rPr>
            </w:pPr>
          </w:p>
        </w:tc>
      </w:tr>
    </w:tbl>
    <w:p w14:paraId="63D040FA">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注：1.投标人应按照招标文件第二章“投标人须知”前附表附录 4 和“投标人须知”第</w:t>
      </w:r>
    </w:p>
    <w:p w14:paraId="3DEC01A5">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条款号中的各项规定，逐条说明其信誉情况。</w:t>
      </w:r>
    </w:p>
    <w:p w14:paraId="60844CE1">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3.5.4 项的要求在本表后附相关</w:t>
      </w:r>
    </w:p>
    <w:p w14:paraId="74D3CE69">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w:t>
      </w:r>
    </w:p>
    <w:p w14:paraId="2412D8C5">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p>
    <w:p w14:paraId="431818E8">
      <w:pPr>
        <w:spacing w:line="360" w:lineRule="auto"/>
        <w:ind w:left="643" w:leftChars="226" w:hanging="168" w:hangingChars="70"/>
        <w:rPr>
          <w:rFonts w:ascii="宋体" w:hAnsi="宋体" w:cs="宋体"/>
          <w:color w:val="000000" w:themeColor="text1"/>
          <w:sz w:val="24"/>
          <w:highlight w:val="none"/>
          <w14:textFill>
            <w14:solidFill>
              <w14:schemeClr w14:val="tx1"/>
            </w14:solidFill>
          </w14:textFill>
        </w:rPr>
      </w:pPr>
    </w:p>
    <w:p w14:paraId="6E82DC72">
      <w:pPr>
        <w:spacing w:line="300" w:lineRule="exact"/>
        <w:rPr>
          <w:rFonts w:ascii="宋体" w:hAnsi="宋体" w:cs="宋体"/>
          <w:color w:val="000000" w:themeColor="text1"/>
          <w:sz w:val="24"/>
          <w:highlight w:val="none"/>
          <w14:textFill>
            <w14:solidFill>
              <w14:schemeClr w14:val="tx1"/>
            </w14:solidFill>
          </w14:textFill>
        </w:rPr>
        <w:sectPr>
          <w:footerReference r:id="rId16" w:type="first"/>
          <w:footerReference r:id="rId15"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3527A18D">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（六）拟委任的项目经理和项目总工情况表</w:t>
      </w:r>
    </w:p>
    <w:p w14:paraId="302C2979">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（六）-1拟委任的项目经理和项目总工汇总表</w:t>
      </w:r>
    </w:p>
    <w:p w14:paraId="3138CABA">
      <w:pPr>
        <w:pStyle w:val="55"/>
        <w:rPr>
          <w:rFonts w:ascii="宋体" w:hAnsi="宋体" w:cs="宋体"/>
          <w:b/>
          <w:color w:val="000000" w:themeColor="text1"/>
          <w:highlight w:val="none"/>
          <w14:textFill>
            <w14:solidFill>
              <w14:schemeClr w14:val="tx1"/>
            </w14:solidFill>
          </w14:textFill>
        </w:rPr>
      </w:pPr>
    </w:p>
    <w:tbl>
      <w:tblPr>
        <w:tblStyle w:val="46"/>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14:paraId="650C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14:paraId="35B5A8F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姓名</w:t>
            </w:r>
          </w:p>
        </w:tc>
        <w:tc>
          <w:tcPr>
            <w:tcW w:w="1397" w:type="dxa"/>
            <w:vAlign w:val="center"/>
          </w:tcPr>
          <w:p w14:paraId="12AF075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年龄</w:t>
            </w:r>
          </w:p>
        </w:tc>
        <w:tc>
          <w:tcPr>
            <w:tcW w:w="1397" w:type="dxa"/>
            <w:vAlign w:val="center"/>
          </w:tcPr>
          <w:p w14:paraId="7471510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拟在本项目中担任的职务</w:t>
            </w:r>
          </w:p>
        </w:tc>
        <w:tc>
          <w:tcPr>
            <w:tcW w:w="1397" w:type="dxa"/>
            <w:vAlign w:val="center"/>
          </w:tcPr>
          <w:p w14:paraId="4D38FCD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w:t>
            </w:r>
          </w:p>
          <w:p w14:paraId="3E1DEF4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职称</w:t>
            </w:r>
          </w:p>
        </w:tc>
        <w:tc>
          <w:tcPr>
            <w:tcW w:w="1397" w:type="dxa"/>
            <w:vAlign w:val="center"/>
          </w:tcPr>
          <w:p w14:paraId="6F9F380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建造师类别及注册号</w:t>
            </w:r>
          </w:p>
        </w:tc>
        <w:tc>
          <w:tcPr>
            <w:tcW w:w="1397" w:type="dxa"/>
            <w:vAlign w:val="center"/>
          </w:tcPr>
          <w:p w14:paraId="49B0A0E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累计对应岗位的工作年限（月）</w:t>
            </w:r>
          </w:p>
        </w:tc>
        <w:tc>
          <w:tcPr>
            <w:tcW w:w="1398" w:type="dxa"/>
            <w:vAlign w:val="center"/>
          </w:tcPr>
          <w:p w14:paraId="09BD41E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439B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705FB36A">
            <w:pPr>
              <w:pStyle w:val="55"/>
              <w:rPr>
                <w:rFonts w:ascii="宋体" w:hAnsi="宋体" w:cs="宋体"/>
                <w:b/>
                <w:color w:val="000000" w:themeColor="text1"/>
                <w:highlight w:val="none"/>
                <w14:textFill>
                  <w14:solidFill>
                    <w14:schemeClr w14:val="tx1"/>
                  </w14:solidFill>
                </w14:textFill>
              </w:rPr>
            </w:pPr>
          </w:p>
        </w:tc>
        <w:tc>
          <w:tcPr>
            <w:tcW w:w="1397" w:type="dxa"/>
          </w:tcPr>
          <w:p w14:paraId="3C895525">
            <w:pPr>
              <w:pStyle w:val="55"/>
              <w:rPr>
                <w:rFonts w:ascii="宋体" w:hAnsi="宋体" w:cs="宋体"/>
                <w:b/>
                <w:color w:val="000000" w:themeColor="text1"/>
                <w:highlight w:val="none"/>
                <w14:textFill>
                  <w14:solidFill>
                    <w14:schemeClr w14:val="tx1"/>
                  </w14:solidFill>
                </w14:textFill>
              </w:rPr>
            </w:pPr>
          </w:p>
        </w:tc>
        <w:tc>
          <w:tcPr>
            <w:tcW w:w="1397" w:type="dxa"/>
          </w:tcPr>
          <w:p w14:paraId="0564D8CF">
            <w:pPr>
              <w:pStyle w:val="55"/>
              <w:rPr>
                <w:rFonts w:ascii="宋体" w:hAnsi="宋体" w:cs="宋体"/>
                <w:b/>
                <w:color w:val="000000" w:themeColor="text1"/>
                <w:highlight w:val="none"/>
                <w14:textFill>
                  <w14:solidFill>
                    <w14:schemeClr w14:val="tx1"/>
                  </w14:solidFill>
                </w14:textFill>
              </w:rPr>
            </w:pPr>
          </w:p>
        </w:tc>
        <w:tc>
          <w:tcPr>
            <w:tcW w:w="1397" w:type="dxa"/>
          </w:tcPr>
          <w:p w14:paraId="3664E0E4">
            <w:pPr>
              <w:pStyle w:val="55"/>
              <w:rPr>
                <w:rFonts w:ascii="宋体" w:hAnsi="宋体" w:cs="宋体"/>
                <w:b/>
                <w:color w:val="000000" w:themeColor="text1"/>
                <w:highlight w:val="none"/>
                <w14:textFill>
                  <w14:solidFill>
                    <w14:schemeClr w14:val="tx1"/>
                  </w14:solidFill>
                </w14:textFill>
              </w:rPr>
            </w:pPr>
          </w:p>
        </w:tc>
        <w:tc>
          <w:tcPr>
            <w:tcW w:w="1397" w:type="dxa"/>
          </w:tcPr>
          <w:p w14:paraId="6243EB72">
            <w:pPr>
              <w:pStyle w:val="55"/>
              <w:rPr>
                <w:rFonts w:ascii="宋体" w:hAnsi="宋体" w:cs="宋体"/>
                <w:b/>
                <w:color w:val="000000" w:themeColor="text1"/>
                <w:highlight w:val="none"/>
                <w14:textFill>
                  <w14:solidFill>
                    <w14:schemeClr w14:val="tx1"/>
                  </w14:solidFill>
                </w14:textFill>
              </w:rPr>
            </w:pPr>
          </w:p>
        </w:tc>
        <w:tc>
          <w:tcPr>
            <w:tcW w:w="1397" w:type="dxa"/>
          </w:tcPr>
          <w:p w14:paraId="5755DBAA">
            <w:pPr>
              <w:pStyle w:val="55"/>
              <w:rPr>
                <w:rFonts w:ascii="宋体" w:hAnsi="宋体" w:cs="宋体"/>
                <w:b/>
                <w:color w:val="000000" w:themeColor="text1"/>
                <w:highlight w:val="none"/>
                <w14:textFill>
                  <w14:solidFill>
                    <w14:schemeClr w14:val="tx1"/>
                  </w14:solidFill>
                </w14:textFill>
              </w:rPr>
            </w:pPr>
          </w:p>
        </w:tc>
        <w:tc>
          <w:tcPr>
            <w:tcW w:w="1398" w:type="dxa"/>
          </w:tcPr>
          <w:p w14:paraId="4141AEF3">
            <w:pPr>
              <w:pStyle w:val="55"/>
              <w:rPr>
                <w:rFonts w:ascii="宋体" w:hAnsi="宋体" w:cs="宋体"/>
                <w:b/>
                <w:color w:val="000000" w:themeColor="text1"/>
                <w:highlight w:val="none"/>
                <w14:textFill>
                  <w14:solidFill>
                    <w14:schemeClr w14:val="tx1"/>
                  </w14:solidFill>
                </w14:textFill>
              </w:rPr>
            </w:pPr>
          </w:p>
        </w:tc>
      </w:tr>
      <w:tr w14:paraId="2E10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57E080DA">
            <w:pPr>
              <w:pStyle w:val="55"/>
              <w:rPr>
                <w:rFonts w:ascii="宋体" w:hAnsi="宋体" w:cs="宋体"/>
                <w:b/>
                <w:color w:val="000000" w:themeColor="text1"/>
                <w:highlight w:val="none"/>
                <w14:textFill>
                  <w14:solidFill>
                    <w14:schemeClr w14:val="tx1"/>
                  </w14:solidFill>
                </w14:textFill>
              </w:rPr>
            </w:pPr>
          </w:p>
        </w:tc>
        <w:tc>
          <w:tcPr>
            <w:tcW w:w="1397" w:type="dxa"/>
          </w:tcPr>
          <w:p w14:paraId="03CD8D0B">
            <w:pPr>
              <w:pStyle w:val="55"/>
              <w:rPr>
                <w:rFonts w:ascii="宋体" w:hAnsi="宋体" w:cs="宋体"/>
                <w:b/>
                <w:color w:val="000000" w:themeColor="text1"/>
                <w:highlight w:val="none"/>
                <w14:textFill>
                  <w14:solidFill>
                    <w14:schemeClr w14:val="tx1"/>
                  </w14:solidFill>
                </w14:textFill>
              </w:rPr>
            </w:pPr>
          </w:p>
        </w:tc>
        <w:tc>
          <w:tcPr>
            <w:tcW w:w="1397" w:type="dxa"/>
          </w:tcPr>
          <w:p w14:paraId="70C3D116">
            <w:pPr>
              <w:pStyle w:val="55"/>
              <w:rPr>
                <w:rFonts w:ascii="宋体" w:hAnsi="宋体" w:cs="宋体"/>
                <w:b/>
                <w:color w:val="000000" w:themeColor="text1"/>
                <w:highlight w:val="none"/>
                <w14:textFill>
                  <w14:solidFill>
                    <w14:schemeClr w14:val="tx1"/>
                  </w14:solidFill>
                </w14:textFill>
              </w:rPr>
            </w:pPr>
          </w:p>
        </w:tc>
        <w:tc>
          <w:tcPr>
            <w:tcW w:w="1397" w:type="dxa"/>
          </w:tcPr>
          <w:p w14:paraId="0A450A3B">
            <w:pPr>
              <w:pStyle w:val="55"/>
              <w:rPr>
                <w:rFonts w:ascii="宋体" w:hAnsi="宋体" w:cs="宋体"/>
                <w:b/>
                <w:color w:val="000000" w:themeColor="text1"/>
                <w:highlight w:val="none"/>
                <w14:textFill>
                  <w14:solidFill>
                    <w14:schemeClr w14:val="tx1"/>
                  </w14:solidFill>
                </w14:textFill>
              </w:rPr>
            </w:pPr>
          </w:p>
        </w:tc>
        <w:tc>
          <w:tcPr>
            <w:tcW w:w="1397" w:type="dxa"/>
          </w:tcPr>
          <w:p w14:paraId="019444B6">
            <w:pPr>
              <w:pStyle w:val="55"/>
              <w:rPr>
                <w:rFonts w:ascii="宋体" w:hAnsi="宋体" w:cs="宋体"/>
                <w:b/>
                <w:color w:val="000000" w:themeColor="text1"/>
                <w:highlight w:val="none"/>
                <w14:textFill>
                  <w14:solidFill>
                    <w14:schemeClr w14:val="tx1"/>
                  </w14:solidFill>
                </w14:textFill>
              </w:rPr>
            </w:pPr>
          </w:p>
        </w:tc>
        <w:tc>
          <w:tcPr>
            <w:tcW w:w="1397" w:type="dxa"/>
          </w:tcPr>
          <w:p w14:paraId="15FB79E4">
            <w:pPr>
              <w:pStyle w:val="55"/>
              <w:rPr>
                <w:rFonts w:ascii="宋体" w:hAnsi="宋体" w:cs="宋体"/>
                <w:b/>
                <w:color w:val="000000" w:themeColor="text1"/>
                <w:highlight w:val="none"/>
                <w14:textFill>
                  <w14:solidFill>
                    <w14:schemeClr w14:val="tx1"/>
                  </w14:solidFill>
                </w14:textFill>
              </w:rPr>
            </w:pPr>
          </w:p>
        </w:tc>
        <w:tc>
          <w:tcPr>
            <w:tcW w:w="1398" w:type="dxa"/>
          </w:tcPr>
          <w:p w14:paraId="18A3F835">
            <w:pPr>
              <w:pStyle w:val="55"/>
              <w:rPr>
                <w:rFonts w:ascii="宋体" w:hAnsi="宋体" w:cs="宋体"/>
                <w:b/>
                <w:color w:val="000000" w:themeColor="text1"/>
                <w:highlight w:val="none"/>
                <w14:textFill>
                  <w14:solidFill>
                    <w14:schemeClr w14:val="tx1"/>
                  </w14:solidFill>
                </w14:textFill>
              </w:rPr>
            </w:pPr>
          </w:p>
        </w:tc>
      </w:tr>
      <w:tr w14:paraId="5D9E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6474AA06">
            <w:pPr>
              <w:pStyle w:val="55"/>
              <w:rPr>
                <w:rFonts w:ascii="宋体" w:hAnsi="宋体" w:cs="宋体"/>
                <w:b/>
                <w:color w:val="000000" w:themeColor="text1"/>
                <w:highlight w:val="none"/>
                <w14:textFill>
                  <w14:solidFill>
                    <w14:schemeClr w14:val="tx1"/>
                  </w14:solidFill>
                </w14:textFill>
              </w:rPr>
            </w:pPr>
          </w:p>
        </w:tc>
        <w:tc>
          <w:tcPr>
            <w:tcW w:w="1397" w:type="dxa"/>
          </w:tcPr>
          <w:p w14:paraId="0E6C9000">
            <w:pPr>
              <w:pStyle w:val="55"/>
              <w:rPr>
                <w:rFonts w:ascii="宋体" w:hAnsi="宋体" w:cs="宋体"/>
                <w:b/>
                <w:color w:val="000000" w:themeColor="text1"/>
                <w:highlight w:val="none"/>
                <w14:textFill>
                  <w14:solidFill>
                    <w14:schemeClr w14:val="tx1"/>
                  </w14:solidFill>
                </w14:textFill>
              </w:rPr>
            </w:pPr>
          </w:p>
        </w:tc>
        <w:tc>
          <w:tcPr>
            <w:tcW w:w="1397" w:type="dxa"/>
          </w:tcPr>
          <w:p w14:paraId="6D89CB64">
            <w:pPr>
              <w:pStyle w:val="55"/>
              <w:rPr>
                <w:rFonts w:ascii="宋体" w:hAnsi="宋体" w:cs="宋体"/>
                <w:b/>
                <w:color w:val="000000" w:themeColor="text1"/>
                <w:highlight w:val="none"/>
                <w14:textFill>
                  <w14:solidFill>
                    <w14:schemeClr w14:val="tx1"/>
                  </w14:solidFill>
                </w14:textFill>
              </w:rPr>
            </w:pPr>
          </w:p>
        </w:tc>
        <w:tc>
          <w:tcPr>
            <w:tcW w:w="1397" w:type="dxa"/>
          </w:tcPr>
          <w:p w14:paraId="2950C3CD">
            <w:pPr>
              <w:pStyle w:val="55"/>
              <w:rPr>
                <w:rFonts w:ascii="宋体" w:hAnsi="宋体" w:cs="宋体"/>
                <w:b/>
                <w:color w:val="000000" w:themeColor="text1"/>
                <w:highlight w:val="none"/>
                <w14:textFill>
                  <w14:solidFill>
                    <w14:schemeClr w14:val="tx1"/>
                  </w14:solidFill>
                </w14:textFill>
              </w:rPr>
            </w:pPr>
          </w:p>
        </w:tc>
        <w:tc>
          <w:tcPr>
            <w:tcW w:w="1397" w:type="dxa"/>
          </w:tcPr>
          <w:p w14:paraId="261F8F08">
            <w:pPr>
              <w:pStyle w:val="55"/>
              <w:rPr>
                <w:rFonts w:ascii="宋体" w:hAnsi="宋体" w:cs="宋体"/>
                <w:b/>
                <w:color w:val="000000" w:themeColor="text1"/>
                <w:highlight w:val="none"/>
                <w14:textFill>
                  <w14:solidFill>
                    <w14:schemeClr w14:val="tx1"/>
                  </w14:solidFill>
                </w14:textFill>
              </w:rPr>
            </w:pPr>
          </w:p>
        </w:tc>
        <w:tc>
          <w:tcPr>
            <w:tcW w:w="1397" w:type="dxa"/>
          </w:tcPr>
          <w:p w14:paraId="766634F3">
            <w:pPr>
              <w:pStyle w:val="55"/>
              <w:rPr>
                <w:rFonts w:ascii="宋体" w:hAnsi="宋体" w:cs="宋体"/>
                <w:b/>
                <w:color w:val="000000" w:themeColor="text1"/>
                <w:highlight w:val="none"/>
                <w14:textFill>
                  <w14:solidFill>
                    <w14:schemeClr w14:val="tx1"/>
                  </w14:solidFill>
                </w14:textFill>
              </w:rPr>
            </w:pPr>
          </w:p>
        </w:tc>
        <w:tc>
          <w:tcPr>
            <w:tcW w:w="1398" w:type="dxa"/>
          </w:tcPr>
          <w:p w14:paraId="29B8C6F2">
            <w:pPr>
              <w:pStyle w:val="55"/>
              <w:rPr>
                <w:rFonts w:ascii="宋体" w:hAnsi="宋体" w:cs="宋体"/>
                <w:b/>
                <w:color w:val="000000" w:themeColor="text1"/>
                <w:highlight w:val="none"/>
                <w14:textFill>
                  <w14:solidFill>
                    <w14:schemeClr w14:val="tx1"/>
                  </w14:solidFill>
                </w14:textFill>
              </w:rPr>
            </w:pPr>
          </w:p>
        </w:tc>
      </w:tr>
      <w:tr w14:paraId="0AC1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736C1DFF">
            <w:pPr>
              <w:pStyle w:val="55"/>
              <w:rPr>
                <w:rFonts w:ascii="宋体" w:hAnsi="宋体" w:cs="宋体"/>
                <w:b/>
                <w:color w:val="000000" w:themeColor="text1"/>
                <w:highlight w:val="none"/>
                <w14:textFill>
                  <w14:solidFill>
                    <w14:schemeClr w14:val="tx1"/>
                  </w14:solidFill>
                </w14:textFill>
              </w:rPr>
            </w:pPr>
          </w:p>
        </w:tc>
        <w:tc>
          <w:tcPr>
            <w:tcW w:w="1397" w:type="dxa"/>
          </w:tcPr>
          <w:p w14:paraId="7597B0EA">
            <w:pPr>
              <w:pStyle w:val="55"/>
              <w:rPr>
                <w:rFonts w:ascii="宋体" w:hAnsi="宋体" w:cs="宋体"/>
                <w:b/>
                <w:color w:val="000000" w:themeColor="text1"/>
                <w:highlight w:val="none"/>
                <w14:textFill>
                  <w14:solidFill>
                    <w14:schemeClr w14:val="tx1"/>
                  </w14:solidFill>
                </w14:textFill>
              </w:rPr>
            </w:pPr>
          </w:p>
        </w:tc>
        <w:tc>
          <w:tcPr>
            <w:tcW w:w="1397" w:type="dxa"/>
          </w:tcPr>
          <w:p w14:paraId="651B92E2">
            <w:pPr>
              <w:pStyle w:val="55"/>
              <w:rPr>
                <w:rFonts w:ascii="宋体" w:hAnsi="宋体" w:cs="宋体"/>
                <w:b/>
                <w:color w:val="000000" w:themeColor="text1"/>
                <w:highlight w:val="none"/>
                <w14:textFill>
                  <w14:solidFill>
                    <w14:schemeClr w14:val="tx1"/>
                  </w14:solidFill>
                </w14:textFill>
              </w:rPr>
            </w:pPr>
          </w:p>
        </w:tc>
        <w:tc>
          <w:tcPr>
            <w:tcW w:w="1397" w:type="dxa"/>
          </w:tcPr>
          <w:p w14:paraId="77F1AE96">
            <w:pPr>
              <w:pStyle w:val="55"/>
              <w:rPr>
                <w:rFonts w:ascii="宋体" w:hAnsi="宋体" w:cs="宋体"/>
                <w:b/>
                <w:color w:val="000000" w:themeColor="text1"/>
                <w:highlight w:val="none"/>
                <w14:textFill>
                  <w14:solidFill>
                    <w14:schemeClr w14:val="tx1"/>
                  </w14:solidFill>
                </w14:textFill>
              </w:rPr>
            </w:pPr>
          </w:p>
        </w:tc>
        <w:tc>
          <w:tcPr>
            <w:tcW w:w="1397" w:type="dxa"/>
          </w:tcPr>
          <w:p w14:paraId="59E114C5">
            <w:pPr>
              <w:pStyle w:val="55"/>
              <w:rPr>
                <w:rFonts w:ascii="宋体" w:hAnsi="宋体" w:cs="宋体"/>
                <w:b/>
                <w:color w:val="000000" w:themeColor="text1"/>
                <w:highlight w:val="none"/>
                <w14:textFill>
                  <w14:solidFill>
                    <w14:schemeClr w14:val="tx1"/>
                  </w14:solidFill>
                </w14:textFill>
              </w:rPr>
            </w:pPr>
          </w:p>
        </w:tc>
        <w:tc>
          <w:tcPr>
            <w:tcW w:w="1397" w:type="dxa"/>
          </w:tcPr>
          <w:p w14:paraId="547ABEFB">
            <w:pPr>
              <w:pStyle w:val="55"/>
              <w:rPr>
                <w:rFonts w:ascii="宋体" w:hAnsi="宋体" w:cs="宋体"/>
                <w:b/>
                <w:color w:val="000000" w:themeColor="text1"/>
                <w:highlight w:val="none"/>
                <w14:textFill>
                  <w14:solidFill>
                    <w14:schemeClr w14:val="tx1"/>
                  </w14:solidFill>
                </w14:textFill>
              </w:rPr>
            </w:pPr>
          </w:p>
        </w:tc>
        <w:tc>
          <w:tcPr>
            <w:tcW w:w="1398" w:type="dxa"/>
          </w:tcPr>
          <w:p w14:paraId="73EAB13F">
            <w:pPr>
              <w:pStyle w:val="55"/>
              <w:rPr>
                <w:rFonts w:ascii="宋体" w:hAnsi="宋体" w:cs="宋体"/>
                <w:b/>
                <w:color w:val="000000" w:themeColor="text1"/>
                <w:highlight w:val="none"/>
                <w14:textFill>
                  <w14:solidFill>
                    <w14:schemeClr w14:val="tx1"/>
                  </w14:solidFill>
                </w14:textFill>
              </w:rPr>
            </w:pPr>
          </w:p>
        </w:tc>
      </w:tr>
      <w:tr w14:paraId="7942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54E88130">
            <w:pPr>
              <w:pStyle w:val="55"/>
              <w:rPr>
                <w:rFonts w:ascii="宋体" w:hAnsi="宋体" w:cs="宋体"/>
                <w:b/>
                <w:color w:val="000000" w:themeColor="text1"/>
                <w:highlight w:val="none"/>
                <w14:textFill>
                  <w14:solidFill>
                    <w14:schemeClr w14:val="tx1"/>
                  </w14:solidFill>
                </w14:textFill>
              </w:rPr>
            </w:pPr>
          </w:p>
        </w:tc>
        <w:tc>
          <w:tcPr>
            <w:tcW w:w="1397" w:type="dxa"/>
          </w:tcPr>
          <w:p w14:paraId="6FEB912C">
            <w:pPr>
              <w:pStyle w:val="55"/>
              <w:rPr>
                <w:rFonts w:ascii="宋体" w:hAnsi="宋体" w:cs="宋体"/>
                <w:b/>
                <w:color w:val="000000" w:themeColor="text1"/>
                <w:highlight w:val="none"/>
                <w14:textFill>
                  <w14:solidFill>
                    <w14:schemeClr w14:val="tx1"/>
                  </w14:solidFill>
                </w14:textFill>
              </w:rPr>
            </w:pPr>
          </w:p>
        </w:tc>
        <w:tc>
          <w:tcPr>
            <w:tcW w:w="1397" w:type="dxa"/>
          </w:tcPr>
          <w:p w14:paraId="29FE5394">
            <w:pPr>
              <w:pStyle w:val="55"/>
              <w:rPr>
                <w:rFonts w:ascii="宋体" w:hAnsi="宋体" w:cs="宋体"/>
                <w:b/>
                <w:color w:val="000000" w:themeColor="text1"/>
                <w:highlight w:val="none"/>
                <w14:textFill>
                  <w14:solidFill>
                    <w14:schemeClr w14:val="tx1"/>
                  </w14:solidFill>
                </w14:textFill>
              </w:rPr>
            </w:pPr>
          </w:p>
        </w:tc>
        <w:tc>
          <w:tcPr>
            <w:tcW w:w="1397" w:type="dxa"/>
          </w:tcPr>
          <w:p w14:paraId="10CB3B57">
            <w:pPr>
              <w:pStyle w:val="55"/>
              <w:rPr>
                <w:rFonts w:ascii="宋体" w:hAnsi="宋体" w:cs="宋体"/>
                <w:b/>
                <w:color w:val="000000" w:themeColor="text1"/>
                <w:highlight w:val="none"/>
                <w14:textFill>
                  <w14:solidFill>
                    <w14:schemeClr w14:val="tx1"/>
                  </w14:solidFill>
                </w14:textFill>
              </w:rPr>
            </w:pPr>
          </w:p>
        </w:tc>
        <w:tc>
          <w:tcPr>
            <w:tcW w:w="1397" w:type="dxa"/>
          </w:tcPr>
          <w:p w14:paraId="62E39C2F">
            <w:pPr>
              <w:pStyle w:val="55"/>
              <w:rPr>
                <w:rFonts w:ascii="宋体" w:hAnsi="宋体" w:cs="宋体"/>
                <w:b/>
                <w:color w:val="000000" w:themeColor="text1"/>
                <w:highlight w:val="none"/>
                <w14:textFill>
                  <w14:solidFill>
                    <w14:schemeClr w14:val="tx1"/>
                  </w14:solidFill>
                </w14:textFill>
              </w:rPr>
            </w:pPr>
          </w:p>
        </w:tc>
        <w:tc>
          <w:tcPr>
            <w:tcW w:w="1397" w:type="dxa"/>
          </w:tcPr>
          <w:p w14:paraId="453D4479">
            <w:pPr>
              <w:pStyle w:val="55"/>
              <w:rPr>
                <w:rFonts w:ascii="宋体" w:hAnsi="宋体" w:cs="宋体"/>
                <w:b/>
                <w:color w:val="000000" w:themeColor="text1"/>
                <w:highlight w:val="none"/>
                <w14:textFill>
                  <w14:solidFill>
                    <w14:schemeClr w14:val="tx1"/>
                  </w14:solidFill>
                </w14:textFill>
              </w:rPr>
            </w:pPr>
          </w:p>
        </w:tc>
        <w:tc>
          <w:tcPr>
            <w:tcW w:w="1398" w:type="dxa"/>
          </w:tcPr>
          <w:p w14:paraId="66454123">
            <w:pPr>
              <w:pStyle w:val="55"/>
              <w:rPr>
                <w:rFonts w:ascii="宋体" w:hAnsi="宋体" w:cs="宋体"/>
                <w:b/>
                <w:color w:val="000000" w:themeColor="text1"/>
                <w:highlight w:val="none"/>
                <w14:textFill>
                  <w14:solidFill>
                    <w14:schemeClr w14:val="tx1"/>
                  </w14:solidFill>
                </w14:textFill>
              </w:rPr>
            </w:pPr>
          </w:p>
        </w:tc>
      </w:tr>
    </w:tbl>
    <w:p w14:paraId="6CDCCD6F">
      <w:pPr>
        <w:pStyle w:val="55"/>
        <w:rPr>
          <w:rFonts w:ascii="宋体" w:hAnsi="宋体" w:cs="宋体"/>
          <w:b/>
          <w:color w:val="000000" w:themeColor="text1"/>
          <w:highlight w:val="none"/>
          <w14:textFill>
            <w14:solidFill>
              <w14:schemeClr w14:val="tx1"/>
            </w14:solidFill>
          </w14:textFill>
        </w:rPr>
        <w:sectPr>
          <w:pgSz w:w="11906" w:h="16838"/>
          <w:pgMar w:top="1276" w:right="924" w:bottom="935" w:left="1418" w:header="624" w:footer="590" w:gutter="0"/>
          <w:pgNumType w:fmt="decimal"/>
          <w:cols w:space="720" w:num="1"/>
          <w:docGrid w:type="lines" w:linePitch="312" w:charSpace="0"/>
        </w:sectPr>
      </w:pPr>
    </w:p>
    <w:p w14:paraId="23E4E942">
      <w:pPr>
        <w:pStyle w:val="55"/>
        <w:rPr>
          <w:color w:val="000000" w:themeColor="text1"/>
          <w:highlight w:val="none"/>
          <w14:textFill>
            <w14:solidFill>
              <w14:schemeClr w14:val="tx1"/>
            </w14:solidFill>
          </w14:textFill>
        </w:rPr>
      </w:pPr>
    </w:p>
    <w:p w14:paraId="54A14997">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（六）-2拟委任的项目经理和项目总工资历表</w:t>
      </w:r>
    </w:p>
    <w:tbl>
      <w:tblPr>
        <w:tblStyle w:val="45"/>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14:paraId="5942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E6D24A8">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姓    名</w:t>
            </w:r>
          </w:p>
        </w:tc>
        <w:tc>
          <w:tcPr>
            <w:tcW w:w="1400" w:type="dxa"/>
            <w:vAlign w:val="center"/>
          </w:tcPr>
          <w:p w14:paraId="67FFB10C">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14:paraId="321748DC">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    龄</w:t>
            </w:r>
          </w:p>
        </w:tc>
        <w:tc>
          <w:tcPr>
            <w:tcW w:w="1450" w:type="dxa"/>
            <w:vAlign w:val="center"/>
          </w:tcPr>
          <w:p w14:paraId="21754088">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64BF1837">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    业</w:t>
            </w:r>
          </w:p>
        </w:tc>
        <w:tc>
          <w:tcPr>
            <w:tcW w:w="1835" w:type="dxa"/>
            <w:vAlign w:val="center"/>
          </w:tcPr>
          <w:p w14:paraId="458A1561">
            <w:pPr>
              <w:jc w:val="center"/>
              <w:rPr>
                <w:rFonts w:ascii="宋体" w:hAnsi="宋体" w:cs="宋体"/>
                <w:bCs/>
                <w:color w:val="000000" w:themeColor="text1"/>
                <w:sz w:val="24"/>
                <w:highlight w:val="none"/>
                <w14:textFill>
                  <w14:solidFill>
                    <w14:schemeClr w14:val="tx1"/>
                  </w14:solidFill>
                </w14:textFill>
              </w:rPr>
            </w:pPr>
          </w:p>
        </w:tc>
      </w:tr>
      <w:tr w14:paraId="1218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14C4C049">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技术职称</w:t>
            </w:r>
          </w:p>
        </w:tc>
        <w:tc>
          <w:tcPr>
            <w:tcW w:w="1400" w:type="dxa"/>
            <w:vAlign w:val="center"/>
          </w:tcPr>
          <w:p w14:paraId="1C458559">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14:paraId="07CD7542">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学    历</w:t>
            </w:r>
          </w:p>
        </w:tc>
        <w:tc>
          <w:tcPr>
            <w:tcW w:w="1450" w:type="dxa"/>
            <w:vAlign w:val="center"/>
          </w:tcPr>
          <w:p w14:paraId="4EF65D63">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7E68DB81">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拟在本标段</w:t>
            </w:r>
          </w:p>
          <w:p w14:paraId="7C933BDC">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工程任职</w:t>
            </w:r>
          </w:p>
        </w:tc>
        <w:tc>
          <w:tcPr>
            <w:tcW w:w="1835" w:type="dxa"/>
            <w:vAlign w:val="center"/>
          </w:tcPr>
          <w:p w14:paraId="43A631EF">
            <w:pPr>
              <w:jc w:val="center"/>
              <w:rPr>
                <w:rFonts w:ascii="宋体" w:hAnsi="宋体" w:cs="宋体"/>
                <w:bCs/>
                <w:color w:val="000000" w:themeColor="text1"/>
                <w:sz w:val="24"/>
                <w:highlight w:val="none"/>
                <w14:textFill>
                  <w14:solidFill>
                    <w14:schemeClr w14:val="tx1"/>
                  </w14:solidFill>
                </w14:textFill>
              </w:rPr>
            </w:pPr>
          </w:p>
        </w:tc>
      </w:tr>
      <w:tr w14:paraId="1A2B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6FAC47DB">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工作年限</w:t>
            </w:r>
          </w:p>
        </w:tc>
        <w:tc>
          <w:tcPr>
            <w:tcW w:w="4583" w:type="dxa"/>
            <w:gridSpan w:val="4"/>
            <w:vAlign w:val="center"/>
          </w:tcPr>
          <w:p w14:paraId="5466B319">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715170FA">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类似施工经验年限</w:t>
            </w:r>
          </w:p>
        </w:tc>
        <w:tc>
          <w:tcPr>
            <w:tcW w:w="1835" w:type="dxa"/>
            <w:vAlign w:val="center"/>
          </w:tcPr>
          <w:p w14:paraId="0F43BEA5">
            <w:pPr>
              <w:jc w:val="center"/>
              <w:rPr>
                <w:rFonts w:ascii="宋体" w:hAnsi="宋体" w:cs="宋体"/>
                <w:bCs/>
                <w:color w:val="000000" w:themeColor="text1"/>
                <w:sz w:val="24"/>
                <w:highlight w:val="none"/>
                <w14:textFill>
                  <w14:solidFill>
                    <w14:schemeClr w14:val="tx1"/>
                  </w14:solidFill>
                </w14:textFill>
              </w:rPr>
            </w:pPr>
          </w:p>
        </w:tc>
      </w:tr>
      <w:tr w14:paraId="67CB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14:paraId="670CF7D6">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毕业学校</w:t>
            </w:r>
          </w:p>
        </w:tc>
        <w:tc>
          <w:tcPr>
            <w:tcW w:w="8800" w:type="dxa"/>
            <w:gridSpan w:val="6"/>
            <w:vAlign w:val="bottom"/>
          </w:tcPr>
          <w:p w14:paraId="2F74750B">
            <w:pPr>
              <w:jc w:val="left"/>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月毕业于</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学校</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专业，学制</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p>
        </w:tc>
      </w:tr>
      <w:tr w14:paraId="599A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14:paraId="245E25EE">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          历</w:t>
            </w:r>
          </w:p>
        </w:tc>
      </w:tr>
      <w:tr w14:paraId="6875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0AF5417E">
            <w:pPr>
              <w:spacing w:line="400" w:lineRule="exact"/>
              <w:jc w:val="center"/>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    间</w:t>
            </w:r>
          </w:p>
        </w:tc>
        <w:tc>
          <w:tcPr>
            <w:tcW w:w="4583" w:type="dxa"/>
            <w:gridSpan w:val="4"/>
            <w:vAlign w:val="center"/>
          </w:tcPr>
          <w:p w14:paraId="16C01BB3">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参加过的类似工程项目名称</w:t>
            </w:r>
          </w:p>
        </w:tc>
        <w:tc>
          <w:tcPr>
            <w:tcW w:w="2382" w:type="dxa"/>
            <w:vAlign w:val="center"/>
          </w:tcPr>
          <w:p w14:paraId="1418C782">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担任职务</w:t>
            </w:r>
          </w:p>
        </w:tc>
        <w:tc>
          <w:tcPr>
            <w:tcW w:w="1835" w:type="dxa"/>
            <w:vAlign w:val="center"/>
          </w:tcPr>
          <w:p w14:paraId="75A7C7BD">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发包人及联系电话</w:t>
            </w:r>
          </w:p>
        </w:tc>
      </w:tr>
      <w:tr w14:paraId="1D81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C46D319">
            <w:pPr>
              <w:tabs>
                <w:tab w:val="left" w:pos="680"/>
              </w:tabs>
              <w:autoSpaceDE w:val="0"/>
              <w:autoSpaceDN w:val="0"/>
              <w:adjustRightInd w:val="0"/>
              <w:spacing w:before="73"/>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14:paraId="34341666">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50301730">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14:paraId="728E8FA6">
            <w:pPr>
              <w:jc w:val="center"/>
              <w:rPr>
                <w:rFonts w:ascii="宋体" w:hAnsi="宋体" w:cs="宋体"/>
                <w:bCs/>
                <w:color w:val="000000" w:themeColor="text1"/>
                <w:sz w:val="24"/>
                <w:highlight w:val="none"/>
                <w14:textFill>
                  <w14:solidFill>
                    <w14:schemeClr w14:val="tx1"/>
                  </w14:solidFill>
                </w14:textFill>
              </w:rPr>
            </w:pPr>
          </w:p>
        </w:tc>
      </w:tr>
      <w:tr w14:paraId="5421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323E7BDD">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14:paraId="31F2AFDC">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147597F6">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14:paraId="262F6DE8">
            <w:pPr>
              <w:jc w:val="center"/>
              <w:rPr>
                <w:rFonts w:ascii="宋体" w:hAnsi="宋体" w:cs="宋体"/>
                <w:bCs/>
                <w:color w:val="000000" w:themeColor="text1"/>
                <w:sz w:val="24"/>
                <w:highlight w:val="none"/>
                <w14:textFill>
                  <w14:solidFill>
                    <w14:schemeClr w14:val="tx1"/>
                  </w14:solidFill>
                </w14:textFill>
              </w:rPr>
            </w:pPr>
          </w:p>
        </w:tc>
      </w:tr>
      <w:tr w14:paraId="3349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7FC55F74">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14:paraId="27C1ED82">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21E35FBB">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14:paraId="28DFC0E6">
            <w:pPr>
              <w:jc w:val="center"/>
              <w:rPr>
                <w:rFonts w:ascii="宋体" w:hAnsi="宋体" w:cs="宋体"/>
                <w:bCs/>
                <w:color w:val="000000" w:themeColor="text1"/>
                <w:sz w:val="24"/>
                <w:highlight w:val="none"/>
                <w14:textFill>
                  <w14:solidFill>
                    <w14:schemeClr w14:val="tx1"/>
                  </w14:solidFill>
                </w14:textFill>
              </w:rPr>
            </w:pPr>
          </w:p>
        </w:tc>
      </w:tr>
      <w:tr w14:paraId="6434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76178D06">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14:paraId="284D4590">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14:paraId="35CEB244">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14:paraId="7D9CD5BF">
            <w:pPr>
              <w:spacing w:line="460" w:lineRule="exact"/>
              <w:jc w:val="center"/>
              <w:rPr>
                <w:rFonts w:ascii="宋体" w:hAnsi="宋体" w:cs="宋体"/>
                <w:bCs/>
                <w:color w:val="000000" w:themeColor="text1"/>
                <w:sz w:val="24"/>
                <w:highlight w:val="none"/>
                <w14:textFill>
                  <w14:solidFill>
                    <w14:schemeClr w14:val="tx1"/>
                  </w14:solidFill>
                </w14:textFill>
              </w:rPr>
            </w:pPr>
          </w:p>
        </w:tc>
      </w:tr>
      <w:tr w14:paraId="061A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3839520B">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14:paraId="13D66F74">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14:paraId="4A22C1DB">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14:paraId="69D44F4D">
            <w:pPr>
              <w:spacing w:line="460" w:lineRule="exact"/>
              <w:jc w:val="center"/>
              <w:rPr>
                <w:rFonts w:ascii="宋体" w:hAnsi="宋体" w:cs="宋体"/>
                <w:bCs/>
                <w:color w:val="000000" w:themeColor="text1"/>
                <w:sz w:val="24"/>
                <w:highlight w:val="none"/>
                <w14:textFill>
                  <w14:solidFill>
                    <w14:schemeClr w14:val="tx1"/>
                  </w14:solidFill>
                </w14:textFill>
              </w:rPr>
            </w:pPr>
          </w:p>
        </w:tc>
      </w:tr>
      <w:tr w14:paraId="6954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4C3E9E54">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14:paraId="6D8B9462">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14:paraId="6C16D381">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14:paraId="174D6392">
            <w:pPr>
              <w:spacing w:line="460" w:lineRule="exact"/>
              <w:jc w:val="center"/>
              <w:rPr>
                <w:rFonts w:ascii="宋体" w:hAnsi="宋体" w:cs="宋体"/>
                <w:bCs/>
                <w:color w:val="000000" w:themeColor="text1"/>
                <w:sz w:val="24"/>
                <w:highlight w:val="none"/>
                <w14:textFill>
                  <w14:solidFill>
                    <w14:schemeClr w14:val="tx1"/>
                  </w14:solidFill>
                </w14:textFill>
              </w:rPr>
            </w:pPr>
          </w:p>
        </w:tc>
      </w:tr>
      <w:tr w14:paraId="71E6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731B472F">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获奖情况</w:t>
            </w:r>
          </w:p>
        </w:tc>
        <w:tc>
          <w:tcPr>
            <w:tcW w:w="7183" w:type="dxa"/>
            <w:gridSpan w:val="4"/>
          </w:tcPr>
          <w:p w14:paraId="1748D3B5">
            <w:pPr>
              <w:jc w:val="center"/>
              <w:rPr>
                <w:rFonts w:ascii="宋体" w:hAnsi="宋体" w:cs="宋体"/>
                <w:bCs/>
                <w:color w:val="000000" w:themeColor="text1"/>
                <w:sz w:val="24"/>
                <w:highlight w:val="none"/>
                <w14:textFill>
                  <w14:solidFill>
                    <w14:schemeClr w14:val="tx1"/>
                  </w14:solidFill>
                </w14:textFill>
              </w:rPr>
            </w:pPr>
          </w:p>
        </w:tc>
      </w:tr>
      <w:tr w14:paraId="3CD4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14:paraId="6F832A38">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本人</w:t>
            </w:r>
            <w:r>
              <w:rPr>
                <w:rFonts w:hint="eastAsia" w:ascii="宋体" w:hAnsi="宋体" w:cs="宋体"/>
                <w:bCs/>
                <w:color w:val="000000" w:themeColor="text1"/>
                <w:sz w:val="24"/>
                <w:highlight w:val="none"/>
                <w:u w:val="single"/>
                <w14:textFill>
                  <w14:solidFill>
                    <w14:schemeClr w14:val="tx1"/>
                  </w14:solidFill>
                </w14:textFill>
              </w:rPr>
              <w:t xml:space="preserve"> （亲笔签字） </w:t>
            </w:r>
            <w:r>
              <w:rPr>
                <w:rFonts w:hint="eastAsia" w:ascii="宋体" w:hAnsi="宋体" w:cs="宋体"/>
                <w:bCs/>
                <w:color w:val="000000" w:themeColor="text1"/>
                <w:sz w:val="24"/>
                <w:highlight w:val="none"/>
                <w14:textFill>
                  <w14:solidFill>
                    <w14:schemeClr w14:val="tx1"/>
                  </w14:solidFill>
                </w14:textFill>
              </w:rPr>
              <w:t>知晓自己为本项目的</w:t>
            </w:r>
            <w:r>
              <w:rPr>
                <w:rFonts w:hint="eastAsia" w:ascii="宋体" w:hAnsi="宋体" w:cs="宋体"/>
                <w:bCs/>
                <w:color w:val="000000" w:themeColor="text1"/>
                <w:sz w:val="24"/>
                <w:highlight w:val="none"/>
                <w:u w:val="single"/>
                <w14:textFill>
                  <w14:solidFill>
                    <w14:schemeClr w14:val="tx1"/>
                  </w14:solidFill>
                </w14:textFill>
              </w:rPr>
              <w:t xml:space="preserve"> (填写项目经理或项目总工)</w:t>
            </w:r>
            <w:r>
              <w:rPr>
                <w:rFonts w:hint="eastAsia" w:ascii="宋体" w:hAnsi="宋体" w:cs="宋体"/>
                <w:bCs/>
                <w:color w:val="000000" w:themeColor="text1"/>
                <w:sz w:val="24"/>
                <w:highlight w:val="none"/>
                <w14:textFill>
                  <w14:solidFill>
                    <w14:schemeClr w14:val="tx1"/>
                  </w14:solidFill>
                </w14:textFill>
              </w:rPr>
              <w:t>，并对其真实性负责。</w:t>
            </w:r>
          </w:p>
        </w:tc>
      </w:tr>
      <w:tr w14:paraId="436B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76B2F4E4">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    注</w:t>
            </w:r>
          </w:p>
        </w:tc>
        <w:tc>
          <w:tcPr>
            <w:tcW w:w="7183" w:type="dxa"/>
            <w:gridSpan w:val="4"/>
          </w:tcPr>
          <w:p w14:paraId="226BD5C0">
            <w:pPr>
              <w:jc w:val="center"/>
              <w:rPr>
                <w:rFonts w:ascii="宋体" w:hAnsi="宋体" w:cs="宋体"/>
                <w:bCs/>
                <w:color w:val="000000" w:themeColor="text1"/>
                <w:sz w:val="24"/>
                <w:highlight w:val="none"/>
                <w14:textFill>
                  <w14:solidFill>
                    <w14:schemeClr w14:val="tx1"/>
                  </w14:solidFill>
                </w14:textFill>
              </w:rPr>
            </w:pPr>
          </w:p>
        </w:tc>
      </w:tr>
    </w:tbl>
    <w:p w14:paraId="66664234">
      <w:pPr>
        <w:spacing w:line="400" w:lineRule="exact"/>
        <w:ind w:left="-283" w:leftChars="-1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注：1.本表后应填写项目经理（以及备选人，如有）和项目总工（以及备选人，如有）相关情况。</w:t>
      </w:r>
    </w:p>
    <w:p w14:paraId="1015F433">
      <w:pPr>
        <w:spacing w:line="400" w:lineRule="exact"/>
        <w:ind w:left="-283" w:leftChars="-13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3.5.5 项的要求在本表后附相关证明材料。</w:t>
      </w:r>
    </w:p>
    <w:bookmarkEnd w:id="1757"/>
    <w:bookmarkEnd w:id="1758"/>
    <w:bookmarkEnd w:id="1759"/>
    <w:p w14:paraId="3C45F7B2">
      <w:pPr>
        <w:adjustRightInd w:val="0"/>
        <w:snapToGrid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八、其 他 材 料</w:t>
      </w:r>
    </w:p>
    <w:tbl>
      <w:tblPr>
        <w:tblStyle w:val="45"/>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331E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01" w:type="dxa"/>
          </w:tcPr>
          <w:p w14:paraId="0F667A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提供“八-1、使用广东省信用评价等级的申请承诺书”。</w:t>
            </w:r>
          </w:p>
          <w:p w14:paraId="3B1E8B4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提供“八-2、投标人的自评分表”。</w:t>
            </w:r>
          </w:p>
          <w:p w14:paraId="06FADAB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提供最新年度广东省公路工程从业单位（施工单位）信用评价等级（若有），并标识单位所在位置。</w:t>
            </w:r>
          </w:p>
          <w:p w14:paraId="29C045A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初次进入广东省的，但在最新年度的全国综合评价结果为 C 级或 D 级的，提供最新年度的全国综合评价结果单位查询所在页。</w:t>
            </w:r>
          </w:p>
          <w:p w14:paraId="4FE7DCA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如上一年度有信用评价而最新年度在广东省无信用等级的需提供上一年度的信用评价（若有），并标识单位所在位置。</w:t>
            </w:r>
          </w:p>
          <w:p w14:paraId="262FF93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14:paraId="566F0D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7、投标人认为需要的其他内容（如体现技术能力的相关证明材料）。</w:t>
            </w:r>
          </w:p>
          <w:p w14:paraId="326CBBCF">
            <w:pPr>
              <w:rPr>
                <w:rFonts w:ascii="宋体" w:hAnsi="宋体" w:cs="宋体"/>
                <w:color w:val="000000" w:themeColor="text1"/>
                <w:sz w:val="24"/>
                <w:highlight w:val="none"/>
                <w14:textFill>
                  <w14:solidFill>
                    <w14:schemeClr w14:val="tx1"/>
                  </w14:solidFill>
                </w14:textFill>
              </w:rPr>
            </w:pPr>
          </w:p>
          <w:p w14:paraId="5448E312">
            <w:pPr>
              <w:spacing w:line="360" w:lineRule="auto"/>
              <w:rPr>
                <w:rFonts w:ascii="宋体" w:hAnsi="宋体" w:cs="宋体"/>
                <w:b/>
                <w:color w:val="000000" w:themeColor="text1"/>
                <w:sz w:val="32"/>
                <w:szCs w:val="32"/>
                <w:highlight w:val="none"/>
                <w14:textFill>
                  <w14:solidFill>
                    <w14:schemeClr w14:val="tx1"/>
                  </w14:solidFill>
                </w14:textFill>
              </w:rPr>
            </w:pPr>
          </w:p>
          <w:p w14:paraId="325D88AB">
            <w:pPr>
              <w:spacing w:line="360" w:lineRule="auto"/>
              <w:rPr>
                <w:rFonts w:ascii="宋体" w:hAnsi="宋体" w:cs="宋体"/>
                <w:bCs/>
                <w:color w:val="000000" w:themeColor="text1"/>
                <w:sz w:val="32"/>
                <w:szCs w:val="32"/>
                <w:highlight w:val="none"/>
                <w14:textFill>
                  <w14:solidFill>
                    <w14:schemeClr w14:val="tx1"/>
                  </w14:solidFill>
                </w14:textFill>
              </w:rPr>
            </w:pPr>
          </w:p>
          <w:p w14:paraId="6544B6A9">
            <w:pPr>
              <w:spacing w:line="360" w:lineRule="auto"/>
              <w:rPr>
                <w:rFonts w:ascii="宋体" w:hAnsi="宋体" w:cs="宋体"/>
                <w:bCs/>
                <w:color w:val="000000" w:themeColor="text1"/>
                <w:sz w:val="32"/>
                <w:szCs w:val="32"/>
                <w:highlight w:val="none"/>
                <w14:textFill>
                  <w14:solidFill>
                    <w14:schemeClr w14:val="tx1"/>
                  </w14:solidFill>
                </w14:textFill>
              </w:rPr>
            </w:pPr>
          </w:p>
        </w:tc>
      </w:tr>
    </w:tbl>
    <w:p w14:paraId="379E98C3">
      <w:pPr>
        <w:pStyle w:val="59"/>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14:paraId="51AA1356">
      <w:pPr>
        <w:pStyle w:val="59"/>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八-1 </w:t>
      </w:r>
      <w:r>
        <w:rPr>
          <w:rFonts w:hint="eastAsia" w:ascii="宋体" w:hAnsi="宋体" w:cs="宋体"/>
          <w:b/>
          <w:bCs/>
          <w:color w:val="000000" w:themeColor="text1"/>
          <w:sz w:val="28"/>
          <w:szCs w:val="28"/>
          <w:highlight w:val="none"/>
          <w14:textFill>
            <w14:solidFill>
              <w14:schemeClr w14:val="tx1"/>
            </w14:solidFill>
          </w14:textFill>
        </w:rPr>
        <w:t>使用广东省信用评价等级的申请承诺书</w:t>
      </w:r>
      <w:r>
        <w:rPr>
          <w:rFonts w:hint="eastAsia" w:ascii="宋体" w:hAnsi="宋体"/>
          <w:b/>
          <w:bCs/>
          <w:color w:val="000000" w:themeColor="text1"/>
          <w:sz w:val="28"/>
          <w:szCs w:val="28"/>
          <w:highlight w:val="none"/>
          <w14:textFill>
            <w14:solidFill>
              <w14:schemeClr w14:val="tx1"/>
            </w14:solidFill>
          </w14:textFill>
        </w:rPr>
        <w:t>（格式）</w:t>
      </w:r>
    </w:p>
    <w:p w14:paraId="74915CAA">
      <w:pPr>
        <w:jc w:val="center"/>
        <w:rPr>
          <w:rFonts w:ascii="宋体" w:hAnsi="宋体"/>
          <w:b/>
          <w:color w:val="000000" w:themeColor="text1"/>
          <w:sz w:val="28"/>
          <w:szCs w:val="28"/>
          <w:highlight w:val="none"/>
          <w14:textFill>
            <w14:solidFill>
              <w14:schemeClr w14:val="tx1"/>
            </w14:solidFill>
          </w14:textFill>
        </w:rPr>
      </w:pPr>
    </w:p>
    <w:p w14:paraId="57AB147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致招标人：</w:t>
      </w:r>
      <w:r>
        <w:rPr>
          <w:rFonts w:ascii="宋体" w:hAnsi="宋体"/>
          <w:color w:val="000000" w:themeColor="text1"/>
          <w:sz w:val="24"/>
          <w:highlight w:val="none"/>
          <w:u w:val="single"/>
          <w14:textFill>
            <w14:solidFill>
              <w14:schemeClr w14:val="tx1"/>
            </w14:solidFill>
          </w14:textFill>
        </w:rPr>
        <w:t>（招标人全称）</w:t>
      </w:r>
    </w:p>
    <w:p w14:paraId="144D1F13">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按相关要求，现我单位对使用信用等级申请如下：</w:t>
      </w:r>
    </w:p>
    <w:p w14:paraId="2B342458">
      <w:pPr>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一、我单位在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施工招标</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标类/标段）的招标中，</w:t>
      </w:r>
      <w:r>
        <w:rPr>
          <w:rFonts w:ascii="宋体" w:hAnsi="宋体" w:cs="宋体"/>
          <w:b/>
          <w:bCs/>
          <w:color w:val="000000" w:themeColor="text1"/>
          <w:kern w:val="0"/>
          <w:sz w:val="24"/>
          <w:highlight w:val="none"/>
          <w14:textFill>
            <w14:solidFill>
              <w14:schemeClr w14:val="tx1"/>
            </w14:solidFill>
          </w14:textFill>
        </w:rPr>
        <w:t>第</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ascii="宋体" w:hAnsi="宋体" w:cs="宋体"/>
          <w:b/>
          <w:bCs/>
          <w:color w:val="000000" w:themeColor="text1"/>
          <w:kern w:val="0"/>
          <w:sz w:val="24"/>
          <w:highlight w:val="none"/>
          <w14:textFill>
            <w14:solidFill>
              <w14:schemeClr w14:val="tx1"/>
            </w14:solidFill>
          </w14:textFill>
        </w:rPr>
        <w:t>次使用（或不使用）</w:t>
      </w:r>
      <w:r>
        <w:rPr>
          <w:rFonts w:ascii="宋体" w:hAnsi="宋体" w:cs="宋体"/>
          <w:color w:val="000000" w:themeColor="text1"/>
          <w:kern w:val="0"/>
          <w:sz w:val="24"/>
          <w:highlight w:val="none"/>
          <w14:textFill>
            <w14:solidFill>
              <w14:schemeClr w14:val="tx1"/>
            </w14:solidFill>
          </w14:textFill>
        </w:rPr>
        <w:t>广东省交通运输厅发布的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ascii="宋体" w:hAnsi="宋体" w:cs="宋体"/>
          <w:color w:val="000000" w:themeColor="text1"/>
          <w:kern w:val="0"/>
          <w:sz w:val="24"/>
          <w:highlight w:val="none"/>
          <w14:textFill>
            <w14:solidFill>
              <w14:schemeClr w14:val="tx1"/>
            </w14:solidFill>
          </w14:textFill>
        </w:rPr>
        <w:t>度信用评价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等级结果和对应等级分值。</w:t>
      </w:r>
    </w:p>
    <w:p w14:paraId="34972482">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二、我单位承诺，在递交本次申请后，我单位将失去一次使用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w:t>
      </w:r>
      <w:r>
        <w:rPr>
          <w:rFonts w:ascii="宋体" w:hAnsi="宋体" w:cs="宋体"/>
          <w:b/>
          <w:bCs/>
          <w:color w:val="000000" w:themeColor="text1"/>
          <w:kern w:val="0"/>
          <w:sz w:val="24"/>
          <w:highlight w:val="none"/>
          <w:u w:val="single"/>
          <w14:textFill>
            <w14:solidFill>
              <w14:schemeClr w14:val="tx1"/>
            </w14:solidFill>
          </w14:textFill>
        </w:rPr>
        <w:t>不使用时上述填“/”</w:t>
      </w:r>
      <w:r>
        <w:rPr>
          <w:rFonts w:ascii="宋体" w:hAnsi="宋体" w:cs="宋体"/>
          <w:color w:val="000000" w:themeColor="text1"/>
          <w:kern w:val="0"/>
          <w:sz w:val="24"/>
          <w:highlight w:val="none"/>
          <w14:textFill>
            <w14:solidFill>
              <w14:schemeClr w14:val="tx1"/>
            </w14:solidFill>
          </w14:textFill>
        </w:rPr>
        <w:t>）参与投标的机会。</w:t>
      </w:r>
      <w:r>
        <w:rPr>
          <w:rFonts w:hint="eastAsia" w:ascii="宋体" w:hAnsi="宋体" w:cs="宋体"/>
          <w:color w:val="000000" w:themeColor="text1"/>
          <w:kern w:val="0"/>
          <w:sz w:val="24"/>
          <w:highlight w:val="none"/>
          <w14:textFill>
            <w14:solidFill>
              <w14:schemeClr w14:val="tx1"/>
            </w14:solidFill>
          </w14:textFill>
        </w:rPr>
        <w:t>当累计使用超过规定的次数，我单位同意按降低一个信用等级对应分值来认定参与投标评审。</w:t>
      </w:r>
    </w:p>
    <w:p w14:paraId="44562A15">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如果我单位发生违反规定使用信用等级结果的情形，自愿接受省级交通运输主管部门的处理。</w:t>
      </w:r>
    </w:p>
    <w:p w14:paraId="32272C19">
      <w:pPr>
        <w:spacing w:line="360" w:lineRule="auto"/>
        <w:ind w:firstLine="495"/>
        <w:jc w:val="left"/>
        <w:rPr>
          <w:rFonts w:ascii="宋体" w:hAnsi="宋体"/>
          <w:b/>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附件：</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单位使用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年度广东省公路工程从业单位信用等级情况汇总表。</w:t>
      </w:r>
    </w:p>
    <w:p w14:paraId="161CFAEC">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02804D9F">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特此承诺</w:t>
      </w:r>
    </w:p>
    <w:p w14:paraId="00BBEABC">
      <w:pPr>
        <w:spacing w:line="360" w:lineRule="auto"/>
        <w:jc w:val="center"/>
        <w:rPr>
          <w:rFonts w:ascii="宋体" w:hAnsi="宋体" w:cs="宋体"/>
          <w:color w:val="000000" w:themeColor="text1"/>
          <w:kern w:val="0"/>
          <w:sz w:val="24"/>
          <w:highlight w:val="none"/>
          <w14:textFill>
            <w14:solidFill>
              <w14:schemeClr w14:val="tx1"/>
            </w14:solidFill>
          </w14:textFill>
        </w:rPr>
      </w:pPr>
    </w:p>
    <w:p w14:paraId="503AA34B">
      <w:pPr>
        <w:pStyle w:val="55"/>
        <w:rPr>
          <w:color w:val="000000" w:themeColor="text1"/>
          <w:highlight w:val="none"/>
          <w14:textFill>
            <w14:solidFill>
              <w14:schemeClr w14:val="tx1"/>
            </w14:solidFill>
          </w14:textFill>
        </w:rPr>
      </w:pPr>
    </w:p>
    <w:p w14:paraId="69409C10">
      <w:pPr>
        <w:spacing w:line="360" w:lineRule="auto"/>
        <w:ind w:firstLine="2640" w:firstLineChars="11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投标人（单位全称）：</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6536EA78">
      <w:pPr>
        <w:spacing w:line="360" w:lineRule="auto"/>
        <w:ind w:firstLine="2640" w:firstLineChars="1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投标人的法定代表人或其委托代理人签名：</w:t>
      </w:r>
    </w:p>
    <w:p w14:paraId="47431FFD">
      <w:pPr>
        <w:spacing w:line="360" w:lineRule="auto"/>
        <w:ind w:firstLine="4320" w:firstLineChars="18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14:paraId="198F03A5">
      <w:pPr>
        <w:spacing w:line="360" w:lineRule="auto"/>
        <w:jc w:val="right"/>
        <w:rPr>
          <w:rFonts w:ascii="宋体" w:hAnsi="宋体" w:cs="宋体"/>
          <w:color w:val="000000" w:themeColor="text1"/>
          <w:kern w:val="0"/>
          <w:sz w:val="24"/>
          <w:highlight w:val="none"/>
          <w14:textFill>
            <w14:solidFill>
              <w14:schemeClr w14:val="tx1"/>
            </w14:solidFill>
          </w14:textFill>
        </w:rPr>
      </w:pPr>
    </w:p>
    <w:p w14:paraId="5A4C9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注：1、AA、A 级信用等级企业必须填写此申请承诺书；选择“使用”时需和附表（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单位使用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年度广东省公路工程从业单位信用等级情况汇总表）一起编入投标文件中。</w:t>
      </w:r>
    </w:p>
    <w:p w14:paraId="26130E1F">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14:paraId="50386260">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3、中标候选人公示中，将对所有承诺使用最新年度 AA、A 级投标人的年度信用等级使用情进行公开。</w:t>
      </w:r>
    </w:p>
    <w:p w14:paraId="629D9F1B">
      <w:pPr>
        <w:jc w:val="center"/>
        <w:rPr>
          <w:rFonts w:ascii="宋体" w:hAnsi="宋体" w:cs="宋体"/>
          <w:color w:val="000000" w:themeColor="text1"/>
          <w:kern w:val="0"/>
          <w:sz w:val="28"/>
          <w:szCs w:val="28"/>
          <w:highlight w:val="none"/>
          <w14:textFill>
            <w14:solidFill>
              <w14:schemeClr w14:val="tx1"/>
            </w14:solidFill>
          </w14:textFill>
        </w:rPr>
      </w:pPr>
    </w:p>
    <w:p w14:paraId="7F8E1130">
      <w:pPr>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br w:type="page"/>
      </w:r>
      <w:r>
        <w:rPr>
          <w:rFonts w:hint="eastAsia" w:ascii="宋体" w:hAnsi="宋体" w:cs="宋体"/>
          <w:color w:val="000000" w:themeColor="text1"/>
          <w:kern w:val="0"/>
          <w:sz w:val="28"/>
          <w:szCs w:val="28"/>
          <w:highlight w:val="none"/>
          <w14:textFill>
            <w14:solidFill>
              <w14:schemeClr w14:val="tx1"/>
            </w14:solidFill>
          </w14:textFill>
        </w:rPr>
        <w:t>附表：</w:t>
      </w:r>
    </w:p>
    <w:p w14:paraId="3D0AA8E1">
      <w:pPr>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单位使用</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年度广东省公路工程从业单位</w:t>
      </w:r>
    </w:p>
    <w:p w14:paraId="09F7CBC0">
      <w:pPr>
        <w:jc w:val="center"/>
        <w:rPr>
          <w:rFonts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信用等级情况汇总表</w:t>
      </w:r>
    </w:p>
    <w:p w14:paraId="59E1789C">
      <w:pPr>
        <w:jc w:val="center"/>
        <w:rPr>
          <w:rFonts w:ascii="宋体" w:hAnsi="宋体" w:cs="宋体"/>
          <w:color w:val="000000" w:themeColor="text1"/>
          <w:kern w:val="0"/>
          <w:sz w:val="28"/>
          <w:szCs w:val="28"/>
          <w:highlight w:val="none"/>
          <w14:textFill>
            <w14:solidFill>
              <w14:schemeClr w14:val="tx1"/>
            </w14:solidFill>
          </w14:textFill>
        </w:rPr>
      </w:pPr>
    </w:p>
    <w:tbl>
      <w:tblPr>
        <w:tblStyle w:val="45"/>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14:paraId="7E898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5CD49870">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701" w:type="dxa"/>
            <w:vAlign w:val="center"/>
          </w:tcPr>
          <w:p w14:paraId="0EC9988C">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招标人名称</w:t>
            </w:r>
          </w:p>
        </w:tc>
        <w:tc>
          <w:tcPr>
            <w:tcW w:w="1843" w:type="dxa"/>
            <w:vAlign w:val="center"/>
          </w:tcPr>
          <w:p w14:paraId="50EA519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标类或（标</w:t>
            </w:r>
          </w:p>
          <w:p w14:paraId="58A7E71B">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段）名称</w:t>
            </w:r>
          </w:p>
        </w:tc>
        <w:tc>
          <w:tcPr>
            <w:tcW w:w="1984" w:type="dxa"/>
            <w:vAlign w:val="center"/>
          </w:tcPr>
          <w:p w14:paraId="595A415C">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递交文件时间</w:t>
            </w:r>
          </w:p>
          <w:p w14:paraId="73ACCBA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（年月日）</w:t>
            </w:r>
          </w:p>
        </w:tc>
        <w:tc>
          <w:tcPr>
            <w:tcW w:w="2126" w:type="dxa"/>
            <w:vAlign w:val="center"/>
          </w:tcPr>
          <w:p w14:paraId="54F5A3A9">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使用信用等</w:t>
            </w:r>
          </w:p>
          <w:p w14:paraId="66E6BF27">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级（AA/A）</w:t>
            </w:r>
          </w:p>
        </w:tc>
        <w:tc>
          <w:tcPr>
            <w:tcW w:w="1463" w:type="dxa"/>
            <w:vAlign w:val="center"/>
          </w:tcPr>
          <w:p w14:paraId="21DC4138">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14:paraId="4E8F0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137DA56">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01" w:type="dxa"/>
          </w:tcPr>
          <w:p w14:paraId="26473C5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4B4E88DE">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2928870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5A4B47E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6E34CEF0">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2D53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3A31C8CC">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701" w:type="dxa"/>
          </w:tcPr>
          <w:p w14:paraId="41798B8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2D7707C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64137DE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281EE92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20B03C15">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45A8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BC8DE1F">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701" w:type="dxa"/>
          </w:tcPr>
          <w:p w14:paraId="2C82984E">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48794FA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6168C37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BD467C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37D0A226">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D212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659F9E2F">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701" w:type="dxa"/>
          </w:tcPr>
          <w:p w14:paraId="37DA857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6108662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6186BDB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451ECD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36F75450">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BCA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8C30134">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701" w:type="dxa"/>
          </w:tcPr>
          <w:p w14:paraId="7E5169F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63F511E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5616D92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4858E856">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54783218">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2878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D7D8EA8">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701" w:type="dxa"/>
          </w:tcPr>
          <w:p w14:paraId="0172A70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724DC4F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4A21606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69E3818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7C43A4B2">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281D6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03DEC31">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701" w:type="dxa"/>
          </w:tcPr>
          <w:p w14:paraId="1C2EB96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6466B03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01385BD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48816DC">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59E5CA27">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8614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E6B485A">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701" w:type="dxa"/>
          </w:tcPr>
          <w:p w14:paraId="458D4C3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56E1EBC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2BCDF8A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70D6FE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0296D08A">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0E109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51E210E9">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701" w:type="dxa"/>
          </w:tcPr>
          <w:p w14:paraId="10003B9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38D5480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2A8DF8F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6D68A1F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3A1BA825">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4020D313">
      <w:pPr>
        <w:spacing w:line="360" w:lineRule="auto"/>
        <w:jc w:val="left"/>
        <w:rPr>
          <w:rFonts w:ascii="宋体" w:hAnsi="宋体" w:cs="宋体"/>
          <w:color w:val="000000" w:themeColor="text1"/>
          <w:kern w:val="0"/>
          <w:sz w:val="24"/>
          <w:highlight w:val="none"/>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color w:val="000000" w:themeColor="text1"/>
          <w:kern w:val="0"/>
          <w:sz w:val="24"/>
          <w:highlight w:val="none"/>
          <w14:textFill>
            <w14:solidFill>
              <w14:schemeClr w14:val="tx1"/>
            </w14:solidFill>
          </w14:textFill>
        </w:rPr>
        <w:t>备注：应如实填报信用评价等级使用情况。</w:t>
      </w:r>
    </w:p>
    <w:p w14:paraId="6DCC852E">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八-2、投标人的自评分表</w:t>
      </w:r>
    </w:p>
    <w:p w14:paraId="181B67BE">
      <w:pPr>
        <w:pStyle w:val="59"/>
        <w:jc w:val="center"/>
        <w:rPr>
          <w:rFonts w:ascii="宋体" w:hAnsi="宋体" w:cs="宋体"/>
          <w:b/>
          <w:bCs/>
          <w:color w:val="000000" w:themeColor="text1"/>
          <w:highlight w:val="none"/>
          <w14:textFill>
            <w14:solidFill>
              <w14:schemeClr w14:val="tx1"/>
            </w14:solidFill>
          </w14:textFill>
        </w:rPr>
      </w:pPr>
    </w:p>
    <w:p w14:paraId="6F4D8619">
      <w:pPr>
        <w:pStyle w:val="59"/>
        <w:jc w:val="center"/>
        <w:rPr>
          <w:rFonts w:ascii="宋体" w:hAnsi="宋体" w:cs="宋体"/>
          <w:b/>
          <w:bCs/>
          <w:color w:val="000000" w:themeColor="text1"/>
          <w:highlight w:val="none"/>
          <w14:textFill>
            <w14:solidFill>
              <w14:schemeClr w14:val="tx1"/>
            </w14:solidFill>
          </w14:textFill>
        </w:rPr>
      </w:pP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8"/>
        <w:gridCol w:w="1408"/>
        <w:gridCol w:w="1408"/>
        <w:gridCol w:w="1408"/>
        <w:gridCol w:w="1408"/>
        <w:gridCol w:w="1408"/>
      </w:tblGrid>
      <w:tr w14:paraId="6C04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Align w:val="center"/>
          </w:tcPr>
          <w:p w14:paraId="622F0AD4">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748" w:type="dxa"/>
            <w:vAlign w:val="center"/>
          </w:tcPr>
          <w:p w14:paraId="0AE04AB1">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评分因素</w:t>
            </w:r>
          </w:p>
        </w:tc>
        <w:tc>
          <w:tcPr>
            <w:tcW w:w="1408" w:type="dxa"/>
            <w:vAlign w:val="center"/>
          </w:tcPr>
          <w:p w14:paraId="6D8465FA">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满分</w:t>
            </w:r>
          </w:p>
        </w:tc>
        <w:tc>
          <w:tcPr>
            <w:tcW w:w="1408" w:type="dxa"/>
            <w:vAlign w:val="center"/>
          </w:tcPr>
          <w:p w14:paraId="32AC0149">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评分标准</w:t>
            </w:r>
          </w:p>
        </w:tc>
        <w:tc>
          <w:tcPr>
            <w:tcW w:w="1408" w:type="dxa"/>
            <w:vAlign w:val="center"/>
          </w:tcPr>
          <w:p w14:paraId="3F101CF4">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自评分</w:t>
            </w:r>
          </w:p>
        </w:tc>
        <w:tc>
          <w:tcPr>
            <w:tcW w:w="1408" w:type="dxa"/>
            <w:vAlign w:val="center"/>
          </w:tcPr>
          <w:p w14:paraId="206287BF">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评分情况</w:t>
            </w:r>
          </w:p>
          <w:p w14:paraId="54450468">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tc>
        <w:tc>
          <w:tcPr>
            <w:tcW w:w="1408" w:type="dxa"/>
            <w:vAlign w:val="center"/>
          </w:tcPr>
          <w:p w14:paraId="4B275D89">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页码索引</w:t>
            </w:r>
          </w:p>
        </w:tc>
      </w:tr>
      <w:tr w14:paraId="299B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5AB64F0">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66C38EB5">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8D8B2C5">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EA3EA6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1211B30">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DC41AE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72D4C7C">
            <w:pPr>
              <w:pStyle w:val="59"/>
              <w:jc w:val="center"/>
              <w:rPr>
                <w:rFonts w:ascii="宋体" w:hAnsi="宋体" w:cs="宋体"/>
                <w:b/>
                <w:bCs/>
                <w:color w:val="000000" w:themeColor="text1"/>
                <w:highlight w:val="none"/>
                <w14:textFill>
                  <w14:solidFill>
                    <w14:schemeClr w14:val="tx1"/>
                  </w14:solidFill>
                </w14:textFill>
              </w:rPr>
            </w:pPr>
          </w:p>
        </w:tc>
      </w:tr>
      <w:tr w14:paraId="69D3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734E5779">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24A07CB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E81E71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38DFCE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2671B05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AB720A8">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4FA0C86">
            <w:pPr>
              <w:pStyle w:val="59"/>
              <w:jc w:val="center"/>
              <w:rPr>
                <w:rFonts w:ascii="宋体" w:hAnsi="宋体" w:cs="宋体"/>
                <w:b/>
                <w:bCs/>
                <w:color w:val="000000" w:themeColor="text1"/>
                <w:highlight w:val="none"/>
                <w14:textFill>
                  <w14:solidFill>
                    <w14:schemeClr w14:val="tx1"/>
                  </w14:solidFill>
                </w14:textFill>
              </w:rPr>
            </w:pPr>
          </w:p>
        </w:tc>
      </w:tr>
      <w:tr w14:paraId="6F1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17B05BA4">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761955FF">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3005389">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00FFC5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4E05DB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D5A5F1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26278C3">
            <w:pPr>
              <w:pStyle w:val="59"/>
              <w:jc w:val="center"/>
              <w:rPr>
                <w:rFonts w:ascii="宋体" w:hAnsi="宋体" w:cs="宋体"/>
                <w:b/>
                <w:bCs/>
                <w:color w:val="000000" w:themeColor="text1"/>
                <w:highlight w:val="none"/>
                <w14:textFill>
                  <w14:solidFill>
                    <w14:schemeClr w14:val="tx1"/>
                  </w14:solidFill>
                </w14:textFill>
              </w:rPr>
            </w:pPr>
          </w:p>
        </w:tc>
      </w:tr>
      <w:tr w14:paraId="1B5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44EB5A01">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6368B20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6869BC9">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EBAF1AC">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65BEE2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DEC32D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3B2DCA3">
            <w:pPr>
              <w:pStyle w:val="59"/>
              <w:jc w:val="center"/>
              <w:rPr>
                <w:rFonts w:ascii="宋体" w:hAnsi="宋体" w:cs="宋体"/>
                <w:b/>
                <w:bCs/>
                <w:color w:val="000000" w:themeColor="text1"/>
                <w:highlight w:val="none"/>
                <w14:textFill>
                  <w14:solidFill>
                    <w14:schemeClr w14:val="tx1"/>
                  </w14:solidFill>
                </w14:textFill>
              </w:rPr>
            </w:pPr>
          </w:p>
        </w:tc>
      </w:tr>
      <w:tr w14:paraId="075B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D94FB7B">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4FC1918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256F58C">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159AC3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6B9992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4613F5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A935DCB">
            <w:pPr>
              <w:pStyle w:val="59"/>
              <w:jc w:val="center"/>
              <w:rPr>
                <w:rFonts w:ascii="宋体" w:hAnsi="宋体" w:cs="宋体"/>
                <w:b/>
                <w:bCs/>
                <w:color w:val="000000" w:themeColor="text1"/>
                <w:highlight w:val="none"/>
                <w14:textFill>
                  <w14:solidFill>
                    <w14:schemeClr w14:val="tx1"/>
                  </w14:solidFill>
                </w14:textFill>
              </w:rPr>
            </w:pPr>
          </w:p>
        </w:tc>
      </w:tr>
      <w:tr w14:paraId="67EC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6EA5663A">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378FC0C0">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2A4604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2480D3C">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2683D36D">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BB48189">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3CEBBD3">
            <w:pPr>
              <w:pStyle w:val="59"/>
              <w:jc w:val="center"/>
              <w:rPr>
                <w:rFonts w:ascii="宋体" w:hAnsi="宋体" w:cs="宋体"/>
                <w:b/>
                <w:bCs/>
                <w:color w:val="000000" w:themeColor="text1"/>
                <w:highlight w:val="none"/>
                <w14:textFill>
                  <w14:solidFill>
                    <w14:schemeClr w14:val="tx1"/>
                  </w14:solidFill>
                </w14:textFill>
              </w:rPr>
            </w:pPr>
          </w:p>
        </w:tc>
      </w:tr>
      <w:tr w14:paraId="1972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9C04E89">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79A5E3A9">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AB105C6">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53F716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E9E7C7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1515C9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80E8562">
            <w:pPr>
              <w:pStyle w:val="59"/>
              <w:jc w:val="center"/>
              <w:rPr>
                <w:rFonts w:ascii="宋体" w:hAnsi="宋体" w:cs="宋体"/>
                <w:b/>
                <w:bCs/>
                <w:color w:val="000000" w:themeColor="text1"/>
                <w:highlight w:val="none"/>
                <w14:textFill>
                  <w14:solidFill>
                    <w14:schemeClr w14:val="tx1"/>
                  </w14:solidFill>
                </w14:textFill>
              </w:rPr>
            </w:pPr>
          </w:p>
        </w:tc>
      </w:tr>
      <w:tr w14:paraId="3332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814" w:type="dxa"/>
            <w:gridSpan w:val="2"/>
            <w:vAlign w:val="center"/>
          </w:tcPr>
          <w:p w14:paraId="3E63A0F5">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合计</w:t>
            </w:r>
          </w:p>
        </w:tc>
        <w:tc>
          <w:tcPr>
            <w:tcW w:w="1408" w:type="dxa"/>
          </w:tcPr>
          <w:p w14:paraId="33789CF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A7BF67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F9D368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729732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62691A2">
            <w:pPr>
              <w:pStyle w:val="59"/>
              <w:jc w:val="center"/>
              <w:rPr>
                <w:rFonts w:ascii="宋体" w:hAnsi="宋体" w:cs="宋体"/>
                <w:b/>
                <w:bCs/>
                <w:color w:val="000000" w:themeColor="text1"/>
                <w:highlight w:val="none"/>
                <w14:textFill>
                  <w14:solidFill>
                    <w14:schemeClr w14:val="tx1"/>
                  </w14:solidFill>
                </w14:textFill>
              </w:rPr>
            </w:pPr>
          </w:p>
        </w:tc>
      </w:tr>
    </w:tbl>
    <w:p w14:paraId="39BB6C92">
      <w:pPr>
        <w:pStyle w:val="59"/>
        <w:jc w:val="left"/>
        <w:rPr>
          <w:rFonts w:ascii="宋体" w:hAnsi="宋体" w:cs="宋体"/>
          <w:b/>
          <w:bCs/>
          <w:color w:val="000000" w:themeColor="text1"/>
          <w:highlight w:val="none"/>
          <w14:textFill>
            <w14:solidFill>
              <w14:schemeClr w14:val="tx1"/>
            </w14:solidFill>
          </w14:textFill>
        </w:rPr>
      </w:pPr>
    </w:p>
    <w:p w14:paraId="56D85B6A">
      <w:pPr>
        <w:pStyle w:val="59"/>
        <w:jc w:val="left"/>
        <w:rPr>
          <w:rFonts w:ascii="宋体" w:hAnsi="宋体" w:cs="宋体"/>
          <w:b/>
          <w:bCs/>
          <w:color w:val="000000" w:themeColor="text1"/>
          <w:highlight w:val="none"/>
          <w14:textFill>
            <w14:solidFill>
              <w14:schemeClr w14:val="tx1"/>
            </w14:solidFill>
          </w14:textFill>
        </w:rPr>
      </w:pPr>
    </w:p>
    <w:p w14:paraId="12CCD9D1">
      <w:pPr>
        <w:pStyle w:val="59"/>
        <w:jc w:val="left"/>
        <w:rPr>
          <w:rFonts w:ascii="宋体" w:hAnsi="宋体" w:cs="宋体"/>
          <w:b/>
          <w:bCs/>
          <w:color w:val="000000" w:themeColor="text1"/>
          <w:highlight w:val="none"/>
          <w14:textFill>
            <w14:solidFill>
              <w14:schemeClr w14:val="tx1"/>
            </w14:solidFill>
          </w14:textFill>
        </w:rPr>
      </w:pPr>
    </w:p>
    <w:p w14:paraId="128A9F78">
      <w:pPr>
        <w:pStyle w:val="59"/>
        <w:spacing w:line="480" w:lineRule="auto"/>
        <w:ind w:firstLine="4096" w:firstLineChars="17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投标人： </w:t>
      </w:r>
      <w:r>
        <w:rPr>
          <w:rFonts w:hint="eastAsia" w:ascii="宋体" w:hAnsi="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(盖单位章)</w:t>
      </w:r>
    </w:p>
    <w:p w14:paraId="26D69E92">
      <w:pPr>
        <w:pStyle w:val="59"/>
        <w:spacing w:line="480" w:lineRule="auto"/>
        <w:ind w:firstLine="4096" w:firstLineChars="1700"/>
        <w:jc w:val="left"/>
        <w:rPr>
          <w:rFonts w:ascii="宋体" w:hAnsi="宋体" w:cs="宋体"/>
          <w:b/>
          <w:bCs/>
          <w:color w:val="000000" w:themeColor="text1"/>
          <w:highlight w:val="none"/>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b/>
          <w:bCs/>
          <w:color w:val="000000" w:themeColor="text1"/>
          <w:highlight w:val="none"/>
          <w14:textFill>
            <w14:solidFill>
              <w14:schemeClr w14:val="tx1"/>
            </w14:solidFill>
          </w14:textFill>
        </w:rPr>
        <w:t>法定代表人或其委托代理人：</w:t>
      </w:r>
      <w:r>
        <w:rPr>
          <w:rFonts w:hint="eastAsia" w:ascii="宋体" w:hAnsi="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（签字）</w:t>
      </w:r>
    </w:p>
    <w:p w14:paraId="4DD3656D">
      <w:pPr>
        <w:spacing w:line="360" w:lineRule="auto"/>
        <w:jc w:val="center"/>
        <w:rPr>
          <w:rFonts w:ascii="宋体" w:hAnsi="宋体"/>
          <w:b/>
          <w:color w:val="000000" w:themeColor="text1"/>
          <w:sz w:val="32"/>
          <w:szCs w:val="32"/>
          <w:highlight w:val="none"/>
          <w:u w:val="single"/>
          <w14:textFill>
            <w14:solidFill>
              <w14:schemeClr w14:val="tx1"/>
            </w14:solidFill>
          </w14:textFill>
        </w:rPr>
      </w:pPr>
    </w:p>
    <w:p w14:paraId="55C03825">
      <w:pPr>
        <w:spacing w:line="360" w:lineRule="auto"/>
        <w:jc w:val="center"/>
        <w:rPr>
          <w:rFonts w:ascii="宋体" w:hAnsi="宋体"/>
          <w:b/>
          <w:color w:val="000000" w:themeColor="text1"/>
          <w:sz w:val="32"/>
          <w:szCs w:val="32"/>
          <w:highlight w:val="none"/>
          <w:u w:val="single"/>
          <w14:textFill>
            <w14:solidFill>
              <w14:schemeClr w14:val="tx1"/>
            </w14:solidFill>
          </w14:textFill>
        </w:rPr>
      </w:pPr>
    </w:p>
    <w:p w14:paraId="7BA8B56E">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广东省</w:t>
      </w:r>
    </w:p>
    <w:p w14:paraId="78F12CD9">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14:paraId="5EC8209B">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14:paraId="5B6F7728">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110952D6">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308966F4">
      <w:pPr>
        <w:spacing w:line="360" w:lineRule="auto"/>
        <w:jc w:val="center"/>
        <w:rPr>
          <w:rFonts w:ascii="宋体" w:hAnsi="宋体" w:cs="宋体"/>
          <w:b/>
          <w:color w:val="000000" w:themeColor="text1"/>
          <w:sz w:val="52"/>
          <w:szCs w:val="52"/>
          <w:highlight w:val="none"/>
          <w14:textFill>
            <w14:solidFill>
              <w14:schemeClr w14:val="tx1"/>
            </w14:solidFill>
          </w14:textFill>
        </w:rPr>
      </w:pPr>
    </w:p>
    <w:p w14:paraId="245D0489">
      <w:pPr>
        <w:spacing w:line="360" w:lineRule="auto"/>
        <w:jc w:val="center"/>
        <w:rPr>
          <w:rFonts w:ascii="宋体" w:hAnsi="宋体" w:cs="宋体"/>
          <w:b/>
          <w:color w:val="000000" w:themeColor="text1"/>
          <w:sz w:val="52"/>
          <w:szCs w:val="52"/>
          <w:highlight w:val="none"/>
          <w14:textFill>
            <w14:solidFill>
              <w14:schemeClr w14:val="tx1"/>
            </w14:solidFill>
          </w14:textFill>
        </w:rPr>
      </w:pPr>
    </w:p>
    <w:p w14:paraId="17ADE4A2">
      <w:pPr>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投 标 文 件</w:t>
      </w:r>
    </w:p>
    <w:p w14:paraId="6846C429">
      <w:pPr>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（第二个信封：报价文件）</w:t>
      </w:r>
    </w:p>
    <w:p w14:paraId="34326E0F">
      <w:pPr>
        <w:jc w:val="center"/>
        <w:rPr>
          <w:rFonts w:ascii="宋体" w:hAnsi="宋体" w:cs="宋体"/>
          <w:color w:val="000000" w:themeColor="text1"/>
          <w:sz w:val="44"/>
          <w:szCs w:val="44"/>
          <w:highlight w:val="none"/>
          <w14:textFill>
            <w14:solidFill>
              <w14:schemeClr w14:val="tx1"/>
            </w14:solidFill>
          </w14:textFill>
        </w:rPr>
      </w:pPr>
    </w:p>
    <w:p w14:paraId="07A65148">
      <w:pPr>
        <w:spacing w:line="360" w:lineRule="auto"/>
        <w:rPr>
          <w:rFonts w:ascii="宋体" w:hAnsi="宋体" w:cs="宋体"/>
          <w:b/>
          <w:color w:val="000000" w:themeColor="text1"/>
          <w:sz w:val="32"/>
          <w:szCs w:val="32"/>
          <w:highlight w:val="none"/>
          <w14:textFill>
            <w14:solidFill>
              <w14:schemeClr w14:val="tx1"/>
            </w14:solidFill>
          </w14:textFill>
        </w:rPr>
      </w:pPr>
    </w:p>
    <w:p w14:paraId="3B6FDDE1">
      <w:pPr>
        <w:spacing w:line="360" w:lineRule="auto"/>
        <w:rPr>
          <w:rFonts w:ascii="宋体" w:hAnsi="宋体" w:cs="宋体"/>
          <w:b/>
          <w:color w:val="000000" w:themeColor="text1"/>
          <w:sz w:val="32"/>
          <w:szCs w:val="32"/>
          <w:highlight w:val="none"/>
          <w14:textFill>
            <w14:solidFill>
              <w14:schemeClr w14:val="tx1"/>
            </w14:solidFill>
          </w14:textFill>
        </w:rPr>
      </w:pPr>
    </w:p>
    <w:p w14:paraId="620F21C4">
      <w:pPr>
        <w:spacing w:line="360" w:lineRule="auto"/>
        <w:rPr>
          <w:rFonts w:ascii="宋体" w:hAnsi="宋体" w:cs="宋体"/>
          <w:b/>
          <w:color w:val="000000" w:themeColor="text1"/>
          <w:sz w:val="32"/>
          <w:szCs w:val="32"/>
          <w:highlight w:val="none"/>
          <w14:textFill>
            <w14:solidFill>
              <w14:schemeClr w14:val="tx1"/>
            </w14:solidFill>
          </w14:textFill>
        </w:rPr>
      </w:pPr>
    </w:p>
    <w:p w14:paraId="7E5A6C55">
      <w:pPr>
        <w:spacing w:line="360" w:lineRule="auto"/>
        <w:rPr>
          <w:rFonts w:ascii="宋体" w:hAnsi="宋体" w:cs="宋体"/>
          <w:b/>
          <w:color w:val="000000" w:themeColor="text1"/>
          <w:sz w:val="32"/>
          <w:szCs w:val="32"/>
          <w:highlight w:val="none"/>
          <w14:textFill>
            <w14:solidFill>
              <w14:schemeClr w14:val="tx1"/>
            </w14:solidFill>
          </w14:textFill>
        </w:rPr>
      </w:pPr>
    </w:p>
    <w:p w14:paraId="69280C0A">
      <w:pPr>
        <w:spacing w:line="360" w:lineRule="auto"/>
        <w:rPr>
          <w:rFonts w:ascii="宋体" w:hAnsi="宋体" w:cs="宋体"/>
          <w:b/>
          <w:color w:val="000000" w:themeColor="text1"/>
          <w:sz w:val="32"/>
          <w:szCs w:val="32"/>
          <w:highlight w:val="none"/>
          <w14:textFill>
            <w14:solidFill>
              <w14:schemeClr w14:val="tx1"/>
            </w14:solidFill>
          </w14:textFill>
        </w:rPr>
      </w:pPr>
    </w:p>
    <w:p w14:paraId="261150BD">
      <w:pPr>
        <w:tabs>
          <w:tab w:val="left" w:pos="3342"/>
        </w:tabs>
        <w:spacing w:before="101" w:line="380" w:lineRule="auto"/>
        <w:ind w:left="2049" w:right="665" w:hanging="1663"/>
        <w:rPr>
          <w:rFonts w:ascii="宋体" w:hAnsi="宋体" w:cs="宋体"/>
          <w:color w:val="000000" w:themeColor="text1"/>
          <w:sz w:val="31"/>
          <w:szCs w:val="31"/>
          <w:highlight w:val="none"/>
          <w14:textFill>
            <w14:solidFill>
              <w14:schemeClr w14:val="tx1"/>
            </w14:solidFill>
          </w14:textFill>
        </w:rPr>
      </w:pPr>
      <w:r>
        <w:rPr>
          <w:rFonts w:ascii="宋体" w:hAnsi="宋体" w:cs="宋体"/>
          <w:color w:val="000000" w:themeColor="text1"/>
          <w:spacing w:val="-8"/>
          <w:sz w:val="31"/>
          <w:szCs w:val="31"/>
          <w:highlight w:val="none"/>
          <w14:textFill>
            <w14:solidFill>
              <w14:schemeClr w14:val="tx1"/>
            </w14:solidFill>
          </w14:textFill>
        </w:rPr>
        <w:t>投标人：</w:t>
      </w:r>
      <w:r>
        <w:rPr>
          <w:rFonts w:ascii="宋体" w:hAnsi="宋体" w:cs="宋体"/>
          <w:color w:val="000000" w:themeColor="text1"/>
          <w:spacing w:val="-8"/>
          <w:sz w:val="31"/>
          <w:szCs w:val="31"/>
          <w:highlight w:val="none"/>
          <w:u w:val="single"/>
          <w14:textFill>
            <w14:solidFill>
              <w14:schemeClr w14:val="tx1"/>
            </w14:solidFill>
          </w14:textFill>
        </w:rPr>
        <w:t xml:space="preserve">    </w:t>
      </w:r>
      <w:r>
        <w:rPr>
          <w:rFonts w:ascii="宋体" w:hAnsi="宋体" w:cs="宋体"/>
          <w:color w:val="000000" w:themeColor="text1"/>
          <w:spacing w:val="-6"/>
          <w:sz w:val="31"/>
          <w:szCs w:val="31"/>
          <w:highlight w:val="none"/>
          <w:u w:val="single"/>
          <w14:textFill>
            <w14:solidFill>
              <w14:schemeClr w14:val="tx1"/>
            </w14:solidFill>
          </w14:textFill>
        </w:rPr>
        <w:t xml:space="preserve"> </w:t>
      </w:r>
      <w:r>
        <w:rPr>
          <w:rFonts w:ascii="宋体" w:hAnsi="宋体" w:cs="宋体"/>
          <w:color w:val="000000" w:themeColor="text1"/>
          <w:spacing w:val="-4"/>
          <w:sz w:val="31"/>
          <w:szCs w:val="31"/>
          <w:highlight w:val="none"/>
          <w:u w:val="single"/>
          <w14:textFill>
            <w14:solidFill>
              <w14:schemeClr w14:val="tx1"/>
            </w14:solidFill>
          </w14:textFill>
        </w:rPr>
        <w:t xml:space="preserve">                           </w:t>
      </w:r>
      <w:r>
        <w:rPr>
          <w:rFonts w:ascii="宋体" w:hAnsi="宋体" w:cs="宋体"/>
          <w:color w:val="000000" w:themeColor="text1"/>
          <w:spacing w:val="-4"/>
          <w:sz w:val="31"/>
          <w:szCs w:val="31"/>
          <w:highlight w:val="none"/>
          <w14:textFill>
            <w14:solidFill>
              <w14:schemeClr w14:val="tx1"/>
            </w14:solidFill>
          </w14:textFill>
        </w:rPr>
        <w:t>(盖单位章)</w:t>
      </w:r>
      <w:r>
        <w:rPr>
          <w:rFonts w:ascii="宋体" w:hAnsi="宋体" w:cs="宋体"/>
          <w:color w:val="000000" w:themeColor="text1"/>
          <w:sz w:val="31"/>
          <w:szCs w:val="31"/>
          <w:highlight w:val="none"/>
          <w14:textFill>
            <w14:solidFill>
              <w14:schemeClr w14:val="tx1"/>
            </w14:solidFill>
          </w14:textFill>
        </w:rPr>
        <w:t xml:space="preserve"> </w:t>
      </w:r>
    </w:p>
    <w:p w14:paraId="7FD808FB">
      <w:pPr>
        <w:tabs>
          <w:tab w:val="left" w:pos="3342"/>
        </w:tabs>
        <w:spacing w:before="101" w:line="380" w:lineRule="auto"/>
        <w:ind w:left="2166" w:leftChars="751" w:right="665" w:hanging="589" w:hangingChars="190"/>
        <w:rPr>
          <w:rFonts w:ascii="宋体" w:hAnsi="宋体" w:cs="宋体"/>
          <w:color w:val="000000" w:themeColor="text1"/>
          <w:sz w:val="31"/>
          <w:szCs w:val="31"/>
          <w:highlight w:val="none"/>
          <w14:textFill>
            <w14:solidFill>
              <w14:schemeClr w14:val="tx1"/>
            </w14:solidFill>
          </w14:textFill>
        </w:rPr>
      </w:pPr>
      <w:r>
        <w:rPr>
          <w:rFonts w:ascii="宋体" w:hAnsi="宋体" w:cs="宋体"/>
          <w:color w:val="000000" w:themeColor="text1"/>
          <w:sz w:val="31"/>
          <w:szCs w:val="31"/>
          <w:highlight w:val="none"/>
          <w:u w:val="single"/>
          <w14:textFill>
            <w14:solidFill>
              <w14:schemeClr w14:val="tx1"/>
            </w14:solidFill>
          </w14:textFill>
        </w:rPr>
        <w:tab/>
      </w:r>
      <w:r>
        <w:rPr>
          <w:rFonts w:hint="eastAsia" w:ascii="宋体" w:hAnsi="宋体" w:cs="宋体"/>
          <w:color w:val="000000" w:themeColor="text1"/>
          <w:sz w:val="31"/>
          <w:szCs w:val="31"/>
          <w:highlight w:val="none"/>
          <w:u w:val="single"/>
          <w14:textFill>
            <w14:solidFill>
              <w14:schemeClr w14:val="tx1"/>
            </w14:solidFill>
          </w14:textFill>
        </w:rPr>
        <w:t xml:space="preserve">  </w:t>
      </w:r>
      <w:r>
        <w:rPr>
          <w:rFonts w:ascii="宋体" w:hAnsi="宋体" w:cs="宋体"/>
          <w:color w:val="000000" w:themeColor="text1"/>
          <w:spacing w:val="-7"/>
          <w:sz w:val="31"/>
          <w:szCs w:val="31"/>
          <w:highlight w:val="none"/>
          <w14:textFill>
            <w14:solidFill>
              <w14:schemeClr w14:val="tx1"/>
            </w14:solidFill>
          </w14:textFill>
        </w:rPr>
        <w:t>年</w:t>
      </w:r>
      <w:r>
        <w:rPr>
          <w:rFonts w:ascii="宋体" w:hAnsi="宋体" w:cs="宋体"/>
          <w:color w:val="000000" w:themeColor="text1"/>
          <w:spacing w:val="-7"/>
          <w:sz w:val="31"/>
          <w:szCs w:val="31"/>
          <w:highlight w:val="none"/>
          <w:u w:val="single"/>
          <w14:textFill>
            <w14:solidFill>
              <w14:schemeClr w14:val="tx1"/>
            </w14:solidFill>
          </w14:textFill>
        </w:rPr>
        <w:t xml:space="preserve">       </w:t>
      </w:r>
      <w:r>
        <w:rPr>
          <w:rFonts w:ascii="宋体" w:hAnsi="宋体" w:cs="宋体"/>
          <w:color w:val="000000" w:themeColor="text1"/>
          <w:spacing w:val="-7"/>
          <w:sz w:val="31"/>
          <w:szCs w:val="31"/>
          <w:highlight w:val="none"/>
          <w14:textFill>
            <w14:solidFill>
              <w14:schemeClr w14:val="tx1"/>
            </w14:solidFill>
          </w14:textFill>
        </w:rPr>
        <w:t xml:space="preserve"> 月</w:t>
      </w:r>
      <w:r>
        <w:rPr>
          <w:rFonts w:ascii="宋体" w:hAnsi="宋体" w:cs="宋体"/>
          <w:color w:val="000000" w:themeColor="text1"/>
          <w:spacing w:val="-7"/>
          <w:sz w:val="31"/>
          <w:szCs w:val="31"/>
          <w:highlight w:val="none"/>
          <w:u w:val="single"/>
          <w14:textFill>
            <w14:solidFill>
              <w14:schemeClr w14:val="tx1"/>
            </w14:solidFill>
          </w14:textFill>
        </w:rPr>
        <w:t xml:space="preserve">        </w:t>
      </w:r>
      <w:r>
        <w:rPr>
          <w:rFonts w:ascii="宋体" w:hAnsi="宋体" w:cs="宋体"/>
          <w:color w:val="000000" w:themeColor="text1"/>
          <w:spacing w:val="-5"/>
          <w:sz w:val="31"/>
          <w:szCs w:val="31"/>
          <w:highlight w:val="none"/>
          <w14:textFill>
            <w14:solidFill>
              <w14:schemeClr w14:val="tx1"/>
            </w14:solidFill>
          </w14:textFill>
        </w:rPr>
        <w:t>日</w:t>
      </w:r>
    </w:p>
    <w:p w14:paraId="67640A31">
      <w:pPr>
        <w:rPr>
          <w:color w:val="000000" w:themeColor="text1"/>
          <w:highlight w:val="none"/>
          <w14:textFill>
            <w14:solidFill>
              <w14:schemeClr w14:val="tx1"/>
            </w14:solidFill>
          </w14:textFill>
        </w:rPr>
        <w:sectPr>
          <w:footerReference r:id="rId17" w:type="default"/>
          <w:pgSz w:w="11900" w:h="16839"/>
          <w:pgMar w:top="947" w:right="1125" w:bottom="1134" w:left="1420" w:header="707" w:footer="974" w:gutter="0"/>
          <w:pgNumType w:fmt="decimal"/>
          <w:cols w:space="720" w:num="1"/>
        </w:sectPr>
      </w:pPr>
    </w:p>
    <w:p w14:paraId="056DB16B">
      <w:pPr>
        <w:rPr>
          <w:rFonts w:ascii="宋体" w:hAnsi="宋体"/>
          <w:color w:val="000000" w:themeColor="text1"/>
          <w:sz w:val="24"/>
          <w:highlight w:val="none"/>
          <w14:textFill>
            <w14:solidFill>
              <w14:schemeClr w14:val="tx1"/>
            </w14:solidFill>
          </w14:textFill>
        </w:rPr>
      </w:pPr>
    </w:p>
    <w:p w14:paraId="024BCF12">
      <w:pPr>
        <w:jc w:val="center"/>
        <w:rPr>
          <w:rFonts w:ascii="宋体" w:hAnsi="宋体"/>
          <w:b/>
          <w:color w:val="000000" w:themeColor="text1"/>
          <w:sz w:val="44"/>
          <w:szCs w:val="44"/>
          <w:highlight w:val="none"/>
          <w14:textFill>
            <w14:solidFill>
              <w14:schemeClr w14:val="tx1"/>
            </w14:solidFill>
          </w14:textFill>
        </w:rPr>
      </w:pPr>
    </w:p>
    <w:p w14:paraId="1FE8CE7F">
      <w:pPr>
        <w:jc w:val="center"/>
        <w:rPr>
          <w:rFonts w:ascii="宋体" w:hAnsi="宋体"/>
          <w:b/>
          <w:color w:val="000000" w:themeColor="text1"/>
          <w:sz w:val="44"/>
          <w:szCs w:val="44"/>
          <w:highlight w:val="none"/>
          <w14:textFill>
            <w14:solidFill>
              <w14:schemeClr w14:val="tx1"/>
            </w14:solidFill>
          </w14:textFill>
        </w:rPr>
      </w:pPr>
    </w:p>
    <w:p w14:paraId="4A050A2C">
      <w:pPr>
        <w:jc w:val="center"/>
        <w:rPr>
          <w:rFonts w:ascii="宋体" w:hAnsi="宋体"/>
          <w:b/>
          <w:color w:val="000000" w:themeColor="text1"/>
          <w:sz w:val="44"/>
          <w:szCs w:val="44"/>
          <w:highlight w:val="none"/>
          <w14:textFill>
            <w14:solidFill>
              <w14:schemeClr w14:val="tx1"/>
            </w14:solidFill>
          </w14:textFill>
        </w:rPr>
      </w:pPr>
    </w:p>
    <w:p w14:paraId="762EF2DA">
      <w:pPr>
        <w:pStyle w:val="55"/>
        <w:rPr>
          <w:rFonts w:ascii="宋体" w:hAnsi="宋体"/>
          <w:b/>
          <w:color w:val="000000" w:themeColor="text1"/>
          <w:sz w:val="44"/>
          <w:szCs w:val="44"/>
          <w:highlight w:val="none"/>
          <w14:textFill>
            <w14:solidFill>
              <w14:schemeClr w14:val="tx1"/>
            </w14:solidFill>
          </w14:textFill>
        </w:rPr>
      </w:pPr>
    </w:p>
    <w:p w14:paraId="09F6FA00">
      <w:pPr>
        <w:pStyle w:val="55"/>
        <w:rPr>
          <w:rFonts w:ascii="宋体" w:hAnsi="宋体"/>
          <w:b/>
          <w:color w:val="000000" w:themeColor="text1"/>
          <w:sz w:val="44"/>
          <w:szCs w:val="44"/>
          <w:highlight w:val="none"/>
          <w14:textFill>
            <w14:solidFill>
              <w14:schemeClr w14:val="tx1"/>
            </w14:solidFill>
          </w14:textFill>
        </w:rPr>
      </w:pPr>
    </w:p>
    <w:p w14:paraId="46C63F1A">
      <w:pPr>
        <w:jc w:val="center"/>
        <w:rPr>
          <w:rFonts w:ascii="宋体" w:hAnsi="宋体"/>
          <w:b/>
          <w:color w:val="000000" w:themeColor="text1"/>
          <w:sz w:val="44"/>
          <w:szCs w:val="44"/>
          <w:highlight w:val="none"/>
          <w14:textFill>
            <w14:solidFill>
              <w14:schemeClr w14:val="tx1"/>
            </w14:solidFill>
          </w14:textFill>
        </w:rPr>
      </w:pPr>
    </w:p>
    <w:p w14:paraId="18D5927F">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目</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 xml:space="preserve">      录</w:t>
      </w:r>
    </w:p>
    <w:p w14:paraId="79AC37E1">
      <w:pPr>
        <w:pStyle w:val="55"/>
        <w:rPr>
          <w:rFonts w:ascii="宋体" w:hAnsi="宋体"/>
          <w:b/>
          <w:color w:val="000000" w:themeColor="text1"/>
          <w:sz w:val="36"/>
          <w:szCs w:val="36"/>
          <w:highlight w:val="none"/>
          <w14:textFill>
            <w14:solidFill>
              <w14:schemeClr w14:val="tx1"/>
            </w14:solidFill>
          </w14:textFill>
        </w:rPr>
      </w:pPr>
    </w:p>
    <w:p w14:paraId="32745F5B">
      <w:pPr>
        <w:jc w:val="center"/>
        <w:rPr>
          <w:rFonts w:ascii="宋体" w:hAnsi="宋体"/>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第二个信封</w:t>
      </w:r>
      <w:r>
        <w:rPr>
          <w:rFonts w:hint="eastAsia"/>
          <w:b/>
          <w:bCs/>
          <w:color w:val="000000" w:themeColor="text1"/>
          <w:sz w:val="28"/>
          <w:szCs w:val="28"/>
          <w:highlight w:val="none"/>
          <w14:textFill>
            <w14:solidFill>
              <w14:schemeClr w14:val="tx1"/>
            </w14:solidFill>
          </w14:textFill>
        </w:rPr>
        <w:t>（</w:t>
      </w:r>
      <w:r>
        <w:rPr>
          <w:b/>
          <w:bCs/>
          <w:color w:val="000000" w:themeColor="text1"/>
          <w:sz w:val="28"/>
          <w:szCs w:val="28"/>
          <w:highlight w:val="none"/>
          <w14:textFill>
            <w14:solidFill>
              <w14:schemeClr w14:val="tx1"/>
            </w14:solidFill>
          </w14:textFill>
        </w:rPr>
        <w:t>报价文件</w:t>
      </w:r>
      <w:r>
        <w:rPr>
          <w:rFonts w:hint="eastAsia"/>
          <w:b/>
          <w:bCs/>
          <w:color w:val="000000" w:themeColor="text1"/>
          <w:sz w:val="28"/>
          <w:szCs w:val="28"/>
          <w:highlight w:val="none"/>
          <w14:textFill>
            <w14:solidFill>
              <w14:schemeClr w14:val="tx1"/>
            </w14:solidFill>
          </w14:textFill>
        </w:rPr>
        <w:t>）</w:t>
      </w:r>
    </w:p>
    <w:p w14:paraId="20592E15">
      <w:pPr>
        <w:pStyle w:val="55"/>
        <w:rPr>
          <w:rFonts w:ascii="宋体" w:hAnsi="宋体"/>
          <w:b/>
          <w:color w:val="000000" w:themeColor="text1"/>
          <w:sz w:val="36"/>
          <w:szCs w:val="36"/>
          <w:highlight w:val="none"/>
          <w14:textFill>
            <w14:solidFill>
              <w14:schemeClr w14:val="tx1"/>
            </w14:solidFill>
          </w14:textFill>
        </w:rPr>
      </w:pPr>
    </w:p>
    <w:p w14:paraId="54D04E5B">
      <w:pPr>
        <w:rPr>
          <w:rFonts w:ascii="宋体" w:hAnsi="宋体"/>
          <w:color w:val="000000" w:themeColor="text1"/>
          <w:sz w:val="24"/>
          <w:highlight w:val="none"/>
          <w14:textFill>
            <w14:solidFill>
              <w14:schemeClr w14:val="tx1"/>
            </w14:solidFill>
          </w14:textFill>
        </w:rPr>
      </w:pPr>
    </w:p>
    <w:p w14:paraId="33BCDBB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、投标函</w:t>
      </w:r>
    </w:p>
    <w:p w14:paraId="48DB38C1">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已标价工程量清单</w:t>
      </w:r>
    </w:p>
    <w:p w14:paraId="09B11A4D">
      <w:pPr>
        <w:rPr>
          <w:rFonts w:ascii="宋体" w:hAnsi="宋体"/>
          <w:color w:val="000000" w:themeColor="text1"/>
          <w:sz w:val="24"/>
          <w:highlight w:val="none"/>
          <w14:textFill>
            <w14:solidFill>
              <w14:schemeClr w14:val="tx1"/>
            </w14:solidFill>
          </w14:textFill>
        </w:rPr>
      </w:pPr>
    </w:p>
    <w:p w14:paraId="077BEEE6">
      <w:pPr>
        <w:rPr>
          <w:rFonts w:ascii="宋体" w:hAnsi="宋体"/>
          <w:color w:val="000000" w:themeColor="text1"/>
          <w:sz w:val="24"/>
          <w:highlight w:val="none"/>
          <w14:textFill>
            <w14:solidFill>
              <w14:schemeClr w14:val="tx1"/>
            </w14:solidFill>
          </w14:textFill>
        </w:rPr>
      </w:pPr>
    </w:p>
    <w:p w14:paraId="6FFABD24">
      <w:pPr>
        <w:jc w:val="center"/>
        <w:rPr>
          <w:rFonts w:ascii="宋体" w:hAnsi="宋体"/>
          <w:color w:val="000000" w:themeColor="text1"/>
          <w:sz w:val="24"/>
          <w:highlight w:val="none"/>
          <w14:textFill>
            <w14:solidFill>
              <w14:schemeClr w14:val="tx1"/>
            </w14:solidFill>
          </w14:textFill>
        </w:rPr>
      </w:pPr>
      <w:bookmarkStart w:id="1762" w:name="_Toc275856199"/>
      <w:r>
        <w:rPr>
          <w:rFonts w:ascii="宋体" w:hAnsi="宋体"/>
          <w:color w:val="000000" w:themeColor="text1"/>
          <w:sz w:val="24"/>
          <w:highlight w:val="none"/>
          <w14:textFill>
            <w14:solidFill>
              <w14:schemeClr w14:val="tx1"/>
            </w14:solidFill>
          </w14:textFill>
        </w:rPr>
        <w:br w:type="page"/>
      </w:r>
    </w:p>
    <w:bookmarkEnd w:id="1762"/>
    <w:p w14:paraId="4541B0E5">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一、投标函</w:t>
      </w:r>
    </w:p>
    <w:p w14:paraId="433B58A4">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 标 函</w:t>
      </w:r>
    </w:p>
    <w:p w14:paraId="7E68DB72">
      <w:pPr>
        <w:spacing w:line="360" w:lineRule="exact"/>
        <w:rPr>
          <w:rFonts w:ascii="宋体" w:hAnsi="宋体"/>
          <w:color w:val="000000" w:themeColor="text1"/>
          <w:sz w:val="24"/>
          <w:highlight w:val="none"/>
          <w14:textFill>
            <w14:solidFill>
              <w14:schemeClr w14:val="tx1"/>
            </w14:solidFill>
          </w14:textFill>
        </w:rPr>
      </w:pPr>
    </w:p>
    <w:p w14:paraId="2E3B981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（招标人名称）：</w:t>
      </w:r>
    </w:p>
    <w:p w14:paraId="2479FB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施工招标文件的全部内容（含补遗书第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号至第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号），在考察工程现场后，愿意以人民币</w:t>
      </w:r>
      <w:r>
        <w:rPr>
          <w:rFonts w:hint="eastAsia" w:ascii="宋体" w:hAnsi="宋体" w:cs="宋体"/>
          <w:color w:val="000000" w:themeColor="text1"/>
          <w:sz w:val="24"/>
          <w:highlight w:val="none"/>
          <w:u w:val="single"/>
          <w14:textFill>
            <w14:solidFill>
              <w14:schemeClr w14:val="tx1"/>
            </w14:solidFill>
          </w14:textFill>
        </w:rPr>
        <w:t>（大写）    （</w:t>
      </w:r>
      <w:r>
        <w:rPr>
          <w:rFonts w:ascii="宋体" w:hAnsi="宋体" w:cs="Arial"/>
          <w:color w:val="000000" w:themeColor="text1"/>
          <w:sz w:val="24"/>
          <w:highlight w:val="none"/>
          <w:u w:val="single"/>
          <w14:textFill>
            <w14:solidFill>
              <w14:schemeClr w14:val="tx1"/>
            </w14:solidFill>
          </w14:textFill>
        </w:rPr>
        <w:t>¥</w:t>
      </w:r>
      <w:r>
        <w:rPr>
          <w:rFonts w:hint="eastAsia" w:ascii="宋体" w:hAnsi="宋体" w:cs="Arial"/>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的投标总报价（或根据招标文件规定修正核实后确定的另一金额，其中，增值税税率为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），按合同约定实施和完成承包工程，修补工程中的任何缺陷。</w:t>
      </w:r>
    </w:p>
    <w:p w14:paraId="4C752B2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2.在合同协议书正式签署生效之前，本投标函连同你方的中标通知书将构成我们双方之间共同遵守的文件，对双方具有约束力。</w:t>
      </w:r>
    </w:p>
    <w:p w14:paraId="6BBD26A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（其他补充说明）</w:t>
      </w:r>
      <w:r>
        <w:rPr>
          <w:rFonts w:hint="eastAsia" w:ascii="宋体" w:hAnsi="宋体" w:cs="宋体"/>
          <w:color w:val="000000" w:themeColor="text1"/>
          <w:sz w:val="24"/>
          <w:highlight w:val="none"/>
          <w14:textFill>
            <w14:solidFill>
              <w14:schemeClr w14:val="tx1"/>
            </w14:solidFill>
          </w14:textFill>
        </w:rPr>
        <w:t>。</w:t>
      </w:r>
    </w:p>
    <w:p w14:paraId="578C4015">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5E7F5613">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7AE6A0E7">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67C26F16">
      <w:pPr>
        <w:spacing w:line="360" w:lineRule="auto"/>
        <w:rPr>
          <w:rFonts w:ascii="宋体" w:hAnsi="宋体"/>
          <w:color w:val="000000" w:themeColor="text1"/>
          <w:szCs w:val="21"/>
          <w:highlight w:val="none"/>
          <w14:textFill>
            <w14:solidFill>
              <w14:schemeClr w14:val="tx1"/>
            </w14:solidFill>
          </w14:textFill>
        </w:rPr>
      </w:pPr>
    </w:p>
    <w:p w14:paraId="148EE2C4">
      <w:pPr>
        <w:tabs>
          <w:tab w:val="left" w:pos="2977"/>
          <w:tab w:val="left" w:pos="3261"/>
        </w:tabs>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投标人：（盖单位章）</w:t>
      </w:r>
    </w:p>
    <w:p w14:paraId="65CBAFFE">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14:paraId="21093FCD">
      <w:pPr>
        <w:pStyle w:val="55"/>
        <w:spacing w:line="360" w:lineRule="auto"/>
        <w:ind w:firstLine="0"/>
        <w:rPr>
          <w:rFonts w:ascii="宋体" w:hAnsi="宋体"/>
          <w:color w:val="000000" w:themeColor="text1"/>
          <w:szCs w:val="21"/>
          <w:highlight w:val="none"/>
          <w14:textFill>
            <w14:solidFill>
              <w14:schemeClr w14:val="tx1"/>
            </w14:solidFill>
          </w14:textFill>
        </w:rPr>
      </w:pPr>
      <w:r>
        <w:rPr>
          <w:rFonts w:ascii="宋体" w:hAnsi="宋体" w:cs="Times New Roman"/>
          <w:color w:val="000000" w:themeColor="text1"/>
          <w:sz w:val="21"/>
          <w:szCs w:val="21"/>
          <w:highlight w:val="none"/>
          <w14:textFill>
            <w14:solidFill>
              <w14:schemeClr w14:val="tx1"/>
            </w14:solidFill>
          </w14:textFill>
        </w:rPr>
        <w:t>地址：</w:t>
      </w:r>
    </w:p>
    <w:p w14:paraId="5BAD694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14:paraId="781D8588">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14:paraId="2C70BF59">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14:paraId="05C94FA4">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14:paraId="47278806">
      <w:pPr>
        <w:spacing w:line="360" w:lineRule="auto"/>
        <w:rPr>
          <w:rFonts w:ascii="宋体" w:hAnsi="宋体"/>
          <w:color w:val="000000" w:themeColor="text1"/>
          <w:szCs w:val="21"/>
          <w:highlight w:val="none"/>
          <w14:textFill>
            <w14:solidFill>
              <w14:schemeClr w14:val="tx1"/>
            </w14:solidFill>
          </w14:textFill>
        </w:rPr>
      </w:pPr>
    </w:p>
    <w:p w14:paraId="2261BC0E">
      <w:pPr>
        <w:ind w:firstLine="720" w:firstLineChars="300"/>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14:paraId="241750AB">
      <w:pPr>
        <w:rPr>
          <w:rFonts w:ascii="宋体" w:hAnsi="宋体"/>
          <w:color w:val="000000" w:themeColor="text1"/>
          <w:szCs w:val="21"/>
          <w:highlight w:val="none"/>
          <w14:textFill>
            <w14:solidFill>
              <w14:schemeClr w14:val="tx1"/>
            </w14:solidFill>
          </w14:textFill>
        </w:rPr>
      </w:pPr>
    </w:p>
    <w:p w14:paraId="1A21BE47">
      <w:pPr>
        <w:jc w:val="center"/>
        <w:rPr>
          <w:rFonts w:ascii="宋体" w:hAnsi="宋体"/>
          <w:b/>
          <w:color w:val="000000" w:themeColor="text1"/>
          <w:sz w:val="28"/>
          <w:szCs w:val="28"/>
          <w:highlight w:val="none"/>
          <w14:textFill>
            <w14:solidFill>
              <w14:schemeClr w14:val="tx1"/>
            </w14:solidFill>
          </w14:textFill>
        </w:rPr>
      </w:pPr>
      <w:bookmarkStart w:id="1763" w:name="_Toc275856200"/>
      <w:bookmarkEnd w:id="1763"/>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二</w:t>
      </w:r>
      <w:r>
        <w:rPr>
          <w:rFonts w:ascii="宋体" w:hAnsi="宋体"/>
          <w:b/>
          <w:color w:val="000000" w:themeColor="text1"/>
          <w:sz w:val="28"/>
          <w:szCs w:val="28"/>
          <w:highlight w:val="none"/>
          <w14:textFill>
            <w14:solidFill>
              <w14:schemeClr w14:val="tx1"/>
            </w14:solidFill>
          </w14:textFill>
        </w:rPr>
        <w:t>、已标价工程量清单</w:t>
      </w:r>
    </w:p>
    <w:p w14:paraId="020E9106">
      <w:pPr>
        <w:spacing w:line="360" w:lineRule="auto"/>
        <w:rPr>
          <w:rFonts w:ascii="宋体" w:hAnsi="宋体" w:cs="宋体"/>
          <w:color w:val="000000" w:themeColor="text1"/>
          <w:sz w:val="24"/>
          <w:highlight w:val="none"/>
          <w14:textFill>
            <w14:solidFill>
              <w14:schemeClr w14:val="tx1"/>
            </w14:solidFill>
          </w14:textFill>
        </w:rPr>
      </w:pPr>
    </w:p>
    <w:p w14:paraId="0C613C32">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 xml:space="preserve"> 工程量清单说明</w:t>
      </w:r>
    </w:p>
    <w:p w14:paraId="0A4B6039">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2D54470A">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1.2本工程量清单应与招标文件中的投标人须知、通用合同条款、专用合同条款、工程量清单计量规则、技术规范及图纸等一起阅读和理解。</w:t>
      </w:r>
    </w:p>
    <w:p w14:paraId="289B4EB6">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ascii="宋体" w:hAnsi="宋体"/>
          <w:color w:val="000000" w:themeColor="text1"/>
          <w:sz w:val="24"/>
          <w:highlight w:val="none"/>
          <w14:textFill>
            <w14:solidFill>
              <w14:schemeClr w14:val="tx1"/>
            </w14:solidFill>
          </w14:textFill>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14:paraId="30919BCE">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r>
        <w:rPr>
          <w:rFonts w:ascii="宋体" w:hAnsi="宋体"/>
          <w:color w:val="000000" w:themeColor="text1"/>
          <w:sz w:val="24"/>
          <w:highlight w:val="none"/>
          <w14:textFill>
            <w14:solidFill>
              <w14:schemeClr w14:val="tx1"/>
            </w14:solidFill>
          </w14:textFill>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14:paraId="6E01087B">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r>
        <w:rPr>
          <w:rFonts w:ascii="宋体" w:hAnsi="宋体"/>
          <w:color w:val="000000" w:themeColor="text1"/>
          <w:sz w:val="24"/>
          <w:highlight w:val="none"/>
          <w14:textFill>
            <w14:solidFill>
              <w14:schemeClr w14:val="tx1"/>
            </w14:solidFill>
          </w14:textFill>
        </w:rPr>
        <w:t>对作业和材料的一般说明或规定，未重复写入工程量清单内，在给工程量清单各子目标价前，应参阅第七章“技术规范”的有关内容。</w:t>
      </w:r>
    </w:p>
    <w:p w14:paraId="34D9A168">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r>
        <w:rPr>
          <w:rFonts w:ascii="宋体" w:hAnsi="宋体"/>
          <w:color w:val="000000" w:themeColor="text1"/>
          <w:sz w:val="24"/>
          <w:highlight w:val="none"/>
          <w14:textFill>
            <w14:solidFill>
              <w14:schemeClr w14:val="tx1"/>
            </w14:solidFill>
          </w14:textFill>
        </w:rPr>
        <w:t>工程量清单中所列工程量的变动，丝毫不会降低或影响合同条款的效力，也不免除承包人按规定的标准进行施工和修复缺陷的责任。</w:t>
      </w:r>
    </w:p>
    <w:p w14:paraId="4BF994DA">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r>
        <w:rPr>
          <w:rFonts w:ascii="宋体" w:hAnsi="宋体"/>
          <w:color w:val="000000" w:themeColor="text1"/>
          <w:sz w:val="24"/>
          <w:highlight w:val="none"/>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14:paraId="0F8D3043">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w:t>
      </w:r>
      <w:r>
        <w:rPr>
          <w:rFonts w:ascii="宋体" w:hAnsi="宋体"/>
          <w:color w:val="000000" w:themeColor="text1"/>
          <w:sz w:val="24"/>
          <w:highlight w:val="none"/>
          <w14:textFill>
            <w14:solidFill>
              <w14:schemeClr w14:val="tx1"/>
            </w14:solidFill>
          </w14:textFill>
        </w:rPr>
        <w:t xml:space="preserve"> 投标报价说明</w:t>
      </w:r>
    </w:p>
    <w:p w14:paraId="28FD2A74">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2.1</w:t>
      </w:r>
      <w:r>
        <w:rPr>
          <w:rFonts w:ascii="宋体" w:hAnsi="宋体"/>
          <w:color w:val="000000" w:themeColor="text1"/>
          <w:sz w:val="24"/>
          <w:highlight w:val="none"/>
          <w14:textFill>
            <w14:solidFill>
              <w14:schemeClr w14:val="tx1"/>
            </w14:solidFill>
          </w14:textFill>
        </w:rPr>
        <w:t>工程量清单中的每一子目须填入单价或价格，且只允许有一个报价。</w:t>
      </w:r>
    </w:p>
    <w:p w14:paraId="74E642A5">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2.2</w:t>
      </w:r>
      <w:r>
        <w:rPr>
          <w:rFonts w:ascii="宋体" w:hAnsi="宋体"/>
          <w:color w:val="000000" w:themeColor="text1"/>
          <w:sz w:val="24"/>
          <w:highlight w:val="none"/>
          <w14:textFill>
            <w14:solidFill>
              <w14:schemeClr w14:val="tx1"/>
            </w14:solidFill>
          </w14:textFill>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14:paraId="69DF38AF">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2.3</w:t>
      </w:r>
      <w:r>
        <w:rPr>
          <w:rFonts w:ascii="宋体" w:hAnsi="宋体"/>
          <w:color w:val="000000" w:themeColor="text1"/>
          <w:sz w:val="24"/>
          <w:highlight w:val="none"/>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1C20A002">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2.4</w:t>
      </w:r>
      <w:r>
        <w:rPr>
          <w:rFonts w:ascii="宋体" w:hAnsi="宋体"/>
          <w:color w:val="000000" w:themeColor="text1"/>
          <w:sz w:val="24"/>
          <w:highlight w:val="none"/>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14:paraId="488CC83D">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承包人用于本合同工程的各类装备的提供、运输、维护、拆卸、拼装等支付的费用，已包括在工程量清单的单价与总额价之中。</w:t>
      </w:r>
    </w:p>
    <w:p w14:paraId="6DDA5773">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2.6</w:t>
      </w:r>
      <w:r>
        <w:rPr>
          <w:rFonts w:ascii="宋体" w:hAnsi="宋体"/>
          <w:color w:val="000000" w:themeColor="text1"/>
          <w:sz w:val="24"/>
          <w:highlight w:val="none"/>
          <w14:textFill>
            <w14:solidFill>
              <w14:schemeClr w14:val="tx1"/>
            </w14:solidFill>
          </w14:textFill>
        </w:rPr>
        <w:t>工程量清单中各项金额均以人民币(元)结算。</w:t>
      </w:r>
    </w:p>
    <w:p w14:paraId="33C25279">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计日工说明</w:t>
      </w:r>
    </w:p>
    <w:p w14:paraId="0662D959">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本款不适用。</w:t>
      </w:r>
    </w:p>
    <w:p w14:paraId="3B011DDF">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 其他说明</w:t>
      </w:r>
    </w:p>
    <w:p w14:paraId="64B67DBE">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工程量清单中各个细目的报价与计量支付原则，详见招标文件第七章技术规范的工程量清单计量与支付规则。</w:t>
      </w:r>
    </w:p>
    <w:p w14:paraId="78207A0A">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xml:space="preserve"> 工程量清单</w:t>
      </w:r>
    </w:p>
    <w:p w14:paraId="002CA702">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5.1</w:t>
      </w:r>
      <w:r>
        <w:rPr>
          <w:rFonts w:ascii="宋体" w:hAnsi="宋体"/>
          <w:color w:val="000000" w:themeColor="text1"/>
          <w:sz w:val="24"/>
          <w:highlight w:val="none"/>
          <w14:textFill>
            <w14:solidFill>
              <w14:schemeClr w14:val="tx1"/>
            </w14:solidFill>
          </w14:textFill>
        </w:rPr>
        <w:t>工程量清单表</w:t>
      </w:r>
    </w:p>
    <w:p w14:paraId="050DDB0C">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14:paraId="222D37E4">
      <w:pPr>
        <w:spacing w:line="348" w:lineRule="auto"/>
        <w:rPr>
          <w:rFonts w:ascii="宋体" w:hAnsi="宋体"/>
          <w:color w:val="000000" w:themeColor="text1"/>
          <w:spacing w:val="-5"/>
          <w:sz w:val="24"/>
          <w:highlight w:val="none"/>
          <w14:textFill>
            <w14:solidFill>
              <w14:schemeClr w14:val="tx1"/>
            </w14:solidFill>
          </w14:textFill>
        </w:rPr>
      </w:pPr>
    </w:p>
    <w:p w14:paraId="11C16A2A">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14:paraId="1470F27D">
      <w:pPr>
        <w:pStyle w:val="2"/>
        <w:rPr>
          <w:rFonts w:ascii="宋体" w:hAnsi="宋体" w:cs="宋体"/>
          <w:color w:val="000000" w:themeColor="text1"/>
          <w:sz w:val="24"/>
          <w:highlight w:val="none"/>
          <w14:textFill>
            <w14:solidFill>
              <w14:schemeClr w14:val="tx1"/>
            </w14:solidFill>
          </w14:textFill>
        </w:rPr>
      </w:pPr>
    </w:p>
    <w:p w14:paraId="2B90DA9F">
      <w:pPr>
        <w:pStyle w:val="2"/>
        <w:rPr>
          <w:rFonts w:ascii="宋体" w:hAnsi="宋体" w:cs="宋体"/>
          <w:color w:val="000000" w:themeColor="text1"/>
          <w:sz w:val="24"/>
          <w:highlight w:val="none"/>
          <w14:textFill>
            <w14:solidFill>
              <w14:schemeClr w14:val="tx1"/>
            </w14:solidFill>
          </w14:textFill>
        </w:rPr>
      </w:pPr>
    </w:p>
    <w:sectPr>
      <w:footerReference r:id="rId19" w:type="first"/>
      <w:footerReference r:id="rId18" w:type="default"/>
      <w:footnotePr>
        <w:numFmt w:val="decimalEnclosedCircleChinese"/>
      </w:footnotePr>
      <w:pgSz w:w="11906" w:h="16838"/>
      <w:pgMar w:top="1038" w:right="924" w:bottom="936" w:left="1418" w:header="624" w:footer="59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48B8">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89820">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r+VcoBAACa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MukT++hwrQnj4lxuHMDbs3sB3Qm2kMbTPoiIYJxVPd0UVcOkYj0qFyVZYEhgbH5gvjs+bkPEN9L&#10;Z0gyahpwfFlVfnyEOKbOKamadfdK6zxCbf9yIGbysNT72GOy4rAbJkI715yQT4+Tr6nFRadEP1gU&#10;Ni3JbITZ2M3GwQe17/IWpXrgbw8Rm8i9pQoj7FQYR5bZTeuVduLPe856/q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Yr+VcoBAACaAwAADgAAAAAAAAABACAAAAAeAQAAZHJzL2Uyb0Rv&#10;Yy54bWxQSwUGAAAAAAYABgBZAQAAWgUAAAAA&#10;">
              <v:fill on="f" focussize="0,0"/>
              <v:stroke on="f"/>
              <v:imagedata o:title=""/>
              <o:lock v:ext="edit" aspectratio="f"/>
              <v:textbox inset="0mm,0mm,0mm,0mm" style="mso-fit-shape-to-text:t;">
                <w:txbxContent>
                  <w:p w14:paraId="06F89820">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791E3AD3">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zH&#10;gNQAAAADAQAADwAAAAAAAAABACAAAAAiAAAAZHJzL2Rvd25yZXYueG1sUEsBAhQAFAAAAAgAh07i&#10;QNpBr/XtAQAA0QMAAA4AAAAAAAAAAQAgAAAAIwEAAGRycy9lMm9Eb2MueG1sUEsFBgAAAAAGAAYA&#10;WQEAAIIFAAAAAA==&#10;">
              <v:fill on="f" focussize="0,0"/>
              <v:stroke on="f" weight="1.25pt"/>
              <v:imagedata o:title=""/>
              <o:lock v:ext="edit" aspectratio="f"/>
              <v:textbox inset="0mm,0mm,0mm,0mm" style="mso-fit-shape-to-text:t;">
                <w:txbxContent>
                  <w:p w14:paraId="791E3AD3">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8B00">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F524B4B">
                          <w:pPr>
                            <w:pStyle w:val="29"/>
                          </w:pPr>
                          <w:r>
                            <w:fldChar w:fldCharType="begin"/>
                          </w:r>
                          <w:r>
                            <w:instrText xml:space="preserve"> PAGE  \* MERGEFORMAT </w:instrText>
                          </w:r>
                          <w:r>
                            <w:fldChar w:fldCharType="separate"/>
                          </w:r>
                          <w:r>
                            <w:t>269</w:t>
                          </w:r>
                          <w: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qa+MH0QEAAKUDAAAOAAAAAAAAAAEAIAAAACIB&#10;AABkcnMvZTJvRG9jLnhtbFBLBQYAAAAABgAGAFkBAABlBQAAAAA=&#10;">
              <v:fill on="f" focussize="0,0"/>
              <v:stroke on="f" weight="1pt"/>
              <v:imagedata o:title=""/>
              <o:lock v:ext="edit" aspectratio="f"/>
              <v:textbox inset="0mm,0mm,0mm,0mm" style="mso-fit-shape-to-text:t;">
                <w:txbxContent>
                  <w:p w14:paraId="1F524B4B">
                    <w:pPr>
                      <w:pStyle w:val="29"/>
                    </w:pPr>
                    <w:r>
                      <w:fldChar w:fldCharType="begin"/>
                    </w:r>
                    <w:r>
                      <w:instrText xml:space="preserve"> PAGE  \* MERGEFORMAT </w:instrText>
                    </w:r>
                    <w:r>
                      <w:fldChar w:fldCharType="separate"/>
                    </w:r>
                    <w:r>
                      <w:t>269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CF49">
    <w:pPr>
      <w:pStyle w:val="29"/>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506F">
    <w:pPr>
      <w:spacing w:line="196" w:lineRule="auto"/>
      <w:ind w:left="4382"/>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488F0F">
                          <w:pPr>
                            <w:pStyle w:val="29"/>
                          </w:pPr>
                          <w:r>
                            <w:fldChar w:fldCharType="begin"/>
                          </w:r>
                          <w:r>
                            <w:instrText xml:space="preserve"> PAGE  \* MERGEFORMAT </w:instrText>
                          </w:r>
                          <w:r>
                            <w:fldChar w:fldCharType="separate"/>
                          </w:r>
                          <w:r>
                            <w:t>269</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t18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q3XyQEAAJoDAAAOAAAAAAAAAAEAIAAAAB4BAABkcnMvZTJvRG9j&#10;LnhtbFBLBQYAAAAABgAGAFkBAABZBQAAAAA=&#10;">
              <v:fill on="f" focussize="0,0"/>
              <v:stroke on="f"/>
              <v:imagedata o:title=""/>
              <o:lock v:ext="edit" aspectratio="f"/>
              <v:textbox inset="0mm,0mm,0mm,0mm" style="mso-fit-shape-to-text:t;">
                <w:txbxContent>
                  <w:p w14:paraId="1B488F0F">
                    <w:pPr>
                      <w:pStyle w:val="29"/>
                    </w:pPr>
                    <w:r>
                      <w:fldChar w:fldCharType="begin"/>
                    </w:r>
                    <w:r>
                      <w:instrText xml:space="preserve"> PAGE  \* MERGEFORMAT </w:instrText>
                    </w:r>
                    <w:r>
                      <w:fldChar w:fldCharType="separate"/>
                    </w:r>
                    <w:r>
                      <w:t>269</w:t>
                    </w:r>
                    <w:r>
                      <w:fldChar w:fldCharType="end"/>
                    </w:r>
                  </w:p>
                </w:txbxContent>
              </v:textbox>
            </v:shape>
          </w:pict>
        </mc:Fallback>
      </mc:AlternateContent>
    </w:r>
    <w:r>
      <w:rPr>
        <w:rFonts w:eastAsia="Times New Roman"/>
        <w:spacing w:val="5"/>
        <w:sz w:val="17"/>
        <w:szCs w:val="17"/>
      </w:rPr>
      <w:t>2</w:t>
    </w:r>
    <w:r>
      <w:rPr>
        <w:rFonts w:eastAsia="Times New Roman"/>
        <w:spacing w:val="3"/>
        <w:sz w:val="17"/>
        <w:szCs w:val="17"/>
      </w:rP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356DD">
    <w:pPr>
      <w:pStyle w:val="2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8F327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274</w:t>
                          </w:r>
                          <w:r>
                            <w:rPr>
                              <w:rFonts w:hint="eastAsia"/>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OedMwvQAQAApQMAAA4AAAAAAAAAAQAgAAAAIgEA&#10;AGRycy9lMm9Eb2MueG1sUEsFBgAAAAAGAAYAWQEAAGQFAAAAAA==&#10;">
              <v:fill on="f" focussize="0,0"/>
              <v:stroke on="f" weight="1pt"/>
              <v:imagedata o:title=""/>
              <o:lock v:ext="edit" aspectratio="f"/>
              <v:textbox inset="0mm,0mm,0mm,0mm" style="mso-fit-shape-to-text:t;">
                <w:txbxContent>
                  <w:p w14:paraId="18F327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274</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202F">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14:paraId="10876B3C">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1312;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2JpyzWAAAABgEAAA8AAAAAAAAAAQAgAAAAIgAAAGRycy9kb3ducmV2LnhtbFBLAQIUABQAAAAI&#10;AIdO4kCLgJXs7wEAANMDAAAOAAAAAAAAAAEAIAAAACUBAABkcnMvZTJvRG9jLnhtbFBLBQYAAAAA&#10;BgAGAFkBAACGBQAAAAA=&#10;">
              <v:fill on="f" focussize="0,0"/>
              <v:stroke on="f" weight="1.25pt"/>
              <v:imagedata o:title=""/>
              <o:lock v:ext="edit" aspectratio="f"/>
              <v:textbox inset="0mm,0mm,0mm,0mm" style="mso-fit-shape-to-text:t;">
                <w:txbxContent>
                  <w:p w14:paraId="10876B3C">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4674">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06F29">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k7hMkBAACa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6TuEyQEAAJoDAAAOAAAAAAAAAAEAIAAAAB4BAABkcnMvZTJvRG9j&#10;LnhtbFBLBQYAAAAABgAGAFkBAABZBQAAAAA=&#10;">
              <v:fill on="f" focussize="0,0"/>
              <v:stroke on="f"/>
              <v:imagedata o:title=""/>
              <o:lock v:ext="edit" aspectratio="f"/>
              <v:textbox inset="0mm,0mm,0mm,0mm" style="mso-fit-shape-to-text:t;">
                <w:txbxContent>
                  <w:p w14:paraId="74706F29">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5BAE5B3F">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B7TCK7wEAANA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KqkM0oM0zjw46+f&#10;x99/jo8/yFWUp7W+wKg7i3Ghew8dLs147/Eysu5qp+Mf+RD0o7iHk7iiC4THpHx+dbGghKMrv8jn&#10;80VEyZ6SrfPhowBNolFSh7NLkrL9Zx/60DEk1jJwK5VK81OGtAi6uHy3SBknF6IrE4NFWoUBJzLq&#10;O49W6DbdQHMD1QFZOujXBB8JGg2475S0uCIlNfgiKFGfDE4gbtNouNHYjAYzHBNLGijpzQ8hbV1s&#10;xtubXcDuE6nYQl8XxYgHHHSSZVjKuEn/nlPU00Nc/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ge0wiu8BAADQAwAADgAAAAAAAAABACAAAAAjAQAAZHJzL2Uyb0RvYy54bWxQSwUGAAAAAAYA&#10;BgBZAQAAhAUAAAAA&#10;">
              <v:fill on="f" focussize="0,0"/>
              <v:stroke on="f" weight="1.25pt"/>
              <v:imagedata o:title=""/>
              <o:lock v:ext="edit" aspectratio="f"/>
              <v:textbox inset="0mm,0mm,0mm,0mm" style="mso-fit-shape-to-text:t;">
                <w:txbxContent>
                  <w:p w14:paraId="5BAE5B3F">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7303">
    <w:pPr>
      <w:pStyle w:val="2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F3C31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BEj5BM0QEAAKUDAAAOAAAAAAAAAAEAIAAAACIB&#10;AABkcnMvZTJvRG9jLnhtbFBLBQYAAAAABgAGAFkBAABlBQAAAAA=&#10;">
              <v:fill on="f" focussize="0,0"/>
              <v:stroke on="f" weight="1pt"/>
              <v:imagedata o:title=""/>
              <o:lock v:ext="edit" aspectratio="f"/>
              <v:textbox inset="0mm,0mm,0mm,0mm" style="mso-fit-shape-to-text:t;">
                <w:txbxContent>
                  <w:p w14:paraId="6F3C31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6AEBDC">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Hpe0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PI4CtdbPEHdvERm6d6ZD8HDvcRl5d5VT8ReMCPyQ93iRV3SB8PhoOplOc7g4fMMB+Nnj&#10;c+t8eC+MItEoqEP/kqzssPGhDx1CYjZt1o2UqYdSk7agV6/f5u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OHpe0zAgAAZQQAAA4AAAAAAAAAAQAgAAAAHwEAAGRycy9lMm9Eb2MueG1sUEsF&#10;BgAAAAAGAAYAWQEAAMQFAAAAAA==&#10;">
              <v:fill on="f" focussize="0,0"/>
              <v:stroke on="f" weight="0.5pt"/>
              <v:imagedata o:title=""/>
              <o:lock v:ext="edit" aspectratio="f"/>
              <v:textbox inset="0mm,0mm,0mm,0mm" style="mso-fit-shape-to-text:t;">
                <w:txbxContent>
                  <w:p w14:paraId="036AEBDC">
                    <w:pPr>
                      <w:snapToGrid w:val="0"/>
                      <w:rPr>
                        <w:sz w:val="18"/>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05D150A2">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TdptX7wEAANE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Ao3YUaJYRonfvz1&#10;8/j7z/HxB7mK+rTWFxh2ZzEwdO+hw9jx3uNlpN3VTsc/EiLoR3UPJ3VFFwiPSfn86mJBCUdXfpHP&#10;54uIkj0lW+fDRwGaRKOkDoeXNGX7zz70oWNIrGXgViqVBqgMaRF0cflukTJOLkRXJgaLtAsDTmTU&#10;dx6t0G26geYGqgOydNDvCb4SNBpw3ylpcUdKavBJUKI+GRxBXKfRcKOxGQ1mOCaWNFDSmx9CWrvY&#10;jLc3u4DdJ1Kxhb4uihEPOOkky7CVcZX+Paeop5e4+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k3abV+8BAADRAwAADgAAAAAAAAABACAAAAAjAQAAZHJzL2Uyb0RvYy54bWxQSwUGAAAAAAYA&#10;BgBZAQAAhAUAAAAA&#10;">
              <v:fill on="f" focussize="0,0"/>
              <v:stroke on="f" weight="1.25pt"/>
              <v:imagedata o:title=""/>
              <o:lock v:ext="edit" aspectratio="f"/>
              <v:textbox inset="0mm,0mm,0mm,0mm" style="mso-fit-shape-to-text:t;">
                <w:txbxContent>
                  <w:p w14:paraId="05D150A2">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51A4">
    <w:pPr>
      <w:pStyle w:val="2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0F5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H/8c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8f/xzICAABlBAAADgAAAAAAAAABACAAAAAfAQAAZHJzL2Uyb0RvYy54bWxQSwUG&#10;AAAAAAYABgBZAQAAwwUAAAAA&#10;">
              <v:fill on="f" focussize="0,0"/>
              <v:stroke on="f" weight="0.5pt"/>
              <v:imagedata o:title=""/>
              <o:lock v:ext="edit" aspectratio="f"/>
              <v:textbox inset="0mm,0mm,0mm,0mm" style="mso-fit-shape-to-text:t;">
                <w:txbxContent>
                  <w:p w14:paraId="750F5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C0FE">
    <w:pPr>
      <w:pStyle w:val="2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4E5700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Dt0oyA0QEAAKUDAAAOAAAAAAAAAAEAIAAAACIB&#10;AABkcnMvZTJvRG9jLnhtbFBLBQYAAAAABgAGAFkBAABlBQAAAAA=&#10;">
              <v:fill on="f" focussize="0,0"/>
              <v:stroke on="f" weight="1pt"/>
              <v:imagedata o:title=""/>
              <o:lock v:ext="edit" aspectratio="f"/>
              <v:textbox inset="0mm,0mm,0mm,0mm" style="mso-fit-shape-to-text:t;">
                <w:txbxContent>
                  <w:p w14:paraId="4E5700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14:paraId="68EC22ED">
                          <w:pPr>
                            <w:pStyle w:val="29"/>
                          </w:pPr>
                        </w:p>
                      </w:txbxContent>
                    </wps:txbx>
                    <wps:bodyPr rot="0" vert="horz" wrap="square" lIns="0" tIns="0" rIns="0" bIns="0" anchor="t" anchorCtr="0"/>
                  </wps:wsp>
                </a:graphicData>
              </a:graphic>
            </wp:anchor>
          </w:drawing>
        </mc:Choice>
        <mc:Fallback>
          <w:pict>
            <v:shape id="文本框 17" o:spid="_x0000_s1026" o:spt="202" type="#_x0000_t202" style="position:absolute;left:0pt;margin-top:-0.9pt;height:23.4pt;width:90pt;mso-position-horizontal:center;mso-position-horizontal-relative:margin;z-index:251662336;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wjZsbVAAAABgEA&#10;AA8AAAAAAAAAAQAgAAAAIgAAAGRycy9kb3ducmV2LnhtbFBLAQIUABQAAAAIAIdO4kBJFhII5AEA&#10;ALoDAAAOAAAAAAAAAAEAIAAAACQBAABkcnMvZTJvRG9jLnhtbFBLBQYAAAAABgAGAFkBAAB6BQAA&#10;AAA=&#10;">
              <v:fill on="f" focussize="0,0"/>
              <v:stroke on="f" weight="1.25pt"/>
              <v:imagedata o:title=""/>
              <o:lock v:ext="edit" aspectratio="f"/>
              <v:textbox inset="0mm,0mm,0mm,0mm">
                <w:txbxContent>
                  <w:p w14:paraId="68EC22ED">
                    <w:pPr>
                      <w:pStyle w:val="29"/>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1DE5">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8280F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137</w:t>
                          </w:r>
                          <w:r>
                            <w:rPr>
                              <w:rFonts w:hint="eastAsia"/>
                              <w:sz w:val="18"/>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3MqidIBAACkAwAADgAAAAAAAAABACAAAAAfAQAA&#10;ZHJzL2Uyb0RvYy54bWxQSwUGAAAAAAYABgBZAQAAYwUAAAAA&#10;">
              <v:fill on="f" focussize="0,0"/>
              <v:stroke on="f" weight="0.5pt"/>
              <v:imagedata o:title=""/>
              <o:lock v:ext="edit" aspectratio="f"/>
              <v:textbox inset="0mm,0mm,0mm,0mm" style="mso-fit-shape-to-text:t;">
                <w:txbxContent>
                  <w:p w14:paraId="678280F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137</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02B0C">
    <w:pPr>
      <w:pStyle w:val="29"/>
      <w:ind w:firstLine="4590" w:firstLineChars="2550"/>
      <w:rPr>
        <w:color w:val="FFFFFF"/>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E15F43F">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I4/A&#10;FeoBAADSAwAADgAAAAAAAAABACAAAAAiAQAAZHJzL2Uyb0RvYy54bWxQSwUGAAAAAAYABgBZAQAA&#10;fgUAAAAA&#10;">
              <v:fill on="f" focussize="0,0"/>
              <v:stroke on="f" weight="1.25pt"/>
              <v:imagedata o:title=""/>
              <o:lock v:ext="edit" aspectratio="f"/>
              <v:textbox inset="0mm,0mm,0mm,0mm" style="mso-fit-shape-to-text:t;">
                <w:txbxContent>
                  <w:p w14:paraId="4E15F43F">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ADBAC">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D721E">
                          <w:pPr>
                            <w:pStyle w:val="29"/>
                          </w:pPr>
                          <w:r>
                            <w:fldChar w:fldCharType="begin"/>
                          </w:r>
                          <w:r>
                            <w:instrText xml:space="preserve"> PAGE  \* MERGEFORMAT </w:instrText>
                          </w:r>
                          <w:r>
                            <w:fldChar w:fldCharType="separate"/>
                          </w:r>
                          <w:r>
                            <w:t>238</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NNHVjIAQAAmgMAAA4AAAAAAAAAAQAgAAAAHgEAAGRycy9lMm9Eb2Mu&#10;eG1sUEsFBgAAAAAGAAYAWQEAAFgFAAAAAA==&#10;">
              <v:fill on="f" focussize="0,0"/>
              <v:stroke on="f"/>
              <v:imagedata o:title=""/>
              <o:lock v:ext="edit" aspectratio="f"/>
              <v:textbox inset="0mm,0mm,0mm,0mm" style="mso-fit-shape-to-text:t;">
                <w:txbxContent>
                  <w:p w14:paraId="746D721E">
                    <w:pPr>
                      <w:pStyle w:val="29"/>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27B5">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441D01D3">
                          <w:pPr>
                            <w:pStyle w:val="29"/>
                          </w:pPr>
                          <w:r>
                            <w:fldChar w:fldCharType="begin"/>
                          </w:r>
                          <w:r>
                            <w:instrText xml:space="preserve"> PAGE  \* MERGEFORMAT </w:instrText>
                          </w:r>
                          <w:r>
                            <w:fldChar w:fldCharType="separate"/>
                          </w:r>
                          <w:r>
                            <w:t>261</w:t>
                          </w:r>
                          <w: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ANrMiI0QEAAKQDAAAOAAAAAAAAAAEAIAAAACIB&#10;AABkcnMvZTJvRG9jLnhtbFBLBQYAAAAABgAGAFkBAABlBQAAAAA=&#10;">
              <v:fill on="f" focussize="0,0"/>
              <v:stroke on="f" weight="1pt"/>
              <v:imagedata o:title=""/>
              <o:lock v:ext="edit" aspectratio="f"/>
              <v:textbox inset="0mm,0mm,0mm,0mm" style="mso-fit-shape-to-text:t;">
                <w:txbxContent>
                  <w:p w14:paraId="441D01D3">
                    <w:pPr>
                      <w:pStyle w:val="29"/>
                    </w:pPr>
                    <w:r>
                      <w:fldChar w:fldCharType="begin"/>
                    </w:r>
                    <w:r>
                      <w:instrText xml:space="preserve"> PAGE  \* MERGEFORMAT </w:instrText>
                    </w:r>
                    <w:r>
                      <w:fldChar w:fldCharType="separate"/>
                    </w:r>
                    <w:r>
                      <w:t>261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1D83">
    <w:pPr>
      <w:pStyle w:val="30"/>
      <w:pBdr>
        <w:bottom w:val="none" w:color="auto" w:sz="0" w:space="1"/>
      </w:pBdr>
      <w:tabs>
        <w:tab w:val="left" w:pos="205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791A">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FAA8">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56F56"/>
    <w:multiLevelType w:val="singleLevel"/>
    <w:tmpl w:val="B4A56F56"/>
    <w:lvl w:ilvl="0" w:tentative="0">
      <w:start w:val="7"/>
      <w:numFmt w:val="chineseCounting"/>
      <w:suff w:val="nothing"/>
      <w:lvlText w:val="%1、"/>
      <w:lvlJc w:val="left"/>
      <w:rPr>
        <w:rFonts w:hint="eastAsia"/>
      </w:rPr>
    </w:lvl>
  </w:abstractNum>
  <w:abstractNum w:abstractNumId="1">
    <w:nsid w:val="CC52B4EA"/>
    <w:multiLevelType w:val="multilevel"/>
    <w:tmpl w:val="CC52B4EA"/>
    <w:lvl w:ilvl="0" w:tentative="0">
      <w:start w:val="1"/>
      <w:numFmt w:val="decimal"/>
      <w:lvlText w:val="%1."/>
      <w:lvlJc w:val="left"/>
      <w:pPr>
        <w:ind w:left="71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C6B917F"/>
    <w:multiLevelType w:val="singleLevel"/>
    <w:tmpl w:val="CC6B917F"/>
    <w:lvl w:ilvl="0" w:tentative="0">
      <w:start w:val="1"/>
      <w:numFmt w:val="decimal"/>
      <w:suff w:val="nothing"/>
      <w:lvlText w:val="%1）"/>
      <w:lvlJc w:val="left"/>
    </w:lvl>
  </w:abstractNum>
  <w:abstractNum w:abstractNumId="3">
    <w:nsid w:val="E17B46C6"/>
    <w:multiLevelType w:val="singleLevel"/>
    <w:tmpl w:val="E17B46C6"/>
    <w:lvl w:ilvl="0" w:tentative="0">
      <w:start w:val="9"/>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suff w:val="space"/>
      <w:lvlText w:val="%2.%3.%4.%5"/>
      <w:lvlJc w:val="left"/>
      <w:pPr>
        <w:ind w:left="284" w:hanging="284"/>
      </w:pPr>
      <w:rPr>
        <w:rFonts w:hint="eastAsia" w:ascii="宋体" w:hAnsi="Times New Roman" w:eastAsia="宋体"/>
        <w:b/>
        <w:i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0000000E"/>
    <w:multiLevelType w:val="singleLevel"/>
    <w:tmpl w:val="0000000E"/>
    <w:lvl w:ilvl="0" w:tentative="0">
      <w:start w:val="1"/>
      <w:numFmt w:val="chineseCounting"/>
      <w:pStyle w:val="14"/>
      <w:suff w:val="space"/>
      <w:lvlText w:val="第%1章"/>
      <w:lvlJc w:val="left"/>
    </w:lvl>
  </w:abstractNum>
  <w:abstractNum w:abstractNumId="8">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6">
    <w:nsid w:val="04742A9C"/>
    <w:multiLevelType w:val="singleLevel"/>
    <w:tmpl w:val="04742A9C"/>
    <w:lvl w:ilvl="0" w:tentative="0">
      <w:start w:val="4"/>
      <w:numFmt w:val="chineseCounting"/>
      <w:suff w:val="nothing"/>
      <w:lvlText w:val="%1、"/>
      <w:lvlJc w:val="left"/>
      <w:rPr>
        <w:rFonts w:hint="eastAsia"/>
      </w:rPr>
    </w:lvl>
  </w:abstractNum>
  <w:abstractNum w:abstractNumId="17">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9"/>
      <w:suff w:val="space"/>
      <w:lvlText w:val="%2."/>
      <w:lvlJc w:val="left"/>
      <w:pPr>
        <w:tabs>
          <w:tab w:val="left" w:pos="0"/>
        </w:tabs>
        <w:ind w:left="284" w:firstLine="0"/>
      </w:pPr>
      <w:rPr>
        <w:rFonts w:hint="eastAsia" w:ascii="宋体" w:hAnsi="宋体" w:eastAsia="宋体" w:cs="宋体"/>
      </w:rPr>
    </w:lvl>
    <w:lvl w:ilvl="2" w:tentative="0">
      <w:start w:val="1"/>
      <w:numFmt w:val="decimal"/>
      <w:pStyle w:val="71"/>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4059543"/>
    <w:multiLevelType w:val="singleLevel"/>
    <w:tmpl w:val="64059543"/>
    <w:lvl w:ilvl="0" w:tentative="0">
      <w:start w:val="2"/>
      <w:numFmt w:val="decimal"/>
      <w:suff w:val="nothing"/>
      <w:lvlText w:val="%1．"/>
      <w:lvlJc w:val="left"/>
    </w:lvl>
  </w:abstractNum>
  <w:abstractNum w:abstractNumId="19">
    <w:nsid w:val="643377FD"/>
    <w:multiLevelType w:val="singleLevel"/>
    <w:tmpl w:val="643377FD"/>
    <w:lvl w:ilvl="0" w:tentative="0">
      <w:start w:val="1"/>
      <w:numFmt w:val="lowerLetter"/>
      <w:suff w:val="nothing"/>
      <w:lvlText w:val="%1、"/>
      <w:lvlJc w:val="left"/>
    </w:lvl>
  </w:abstractNum>
  <w:abstractNum w:abstractNumId="20">
    <w:nsid w:val="64338314"/>
    <w:multiLevelType w:val="singleLevel"/>
    <w:tmpl w:val="64338314"/>
    <w:lvl w:ilvl="0" w:tentative="0">
      <w:start w:val="2"/>
      <w:numFmt w:val="decimal"/>
      <w:suff w:val="nothing"/>
      <w:lvlText w:val="（%1）"/>
      <w:lvlJc w:val="left"/>
    </w:lvl>
  </w:abstractNum>
  <w:abstractNum w:abstractNumId="21">
    <w:nsid w:val="64338395"/>
    <w:multiLevelType w:val="singleLevel"/>
    <w:tmpl w:val="64338395"/>
    <w:lvl w:ilvl="0" w:tentative="0">
      <w:start w:val="5"/>
      <w:numFmt w:val="decimal"/>
      <w:suff w:val="nothing"/>
      <w:lvlText w:val="（%1）"/>
      <w:lvlJc w:val="left"/>
    </w:lvl>
  </w:abstractNum>
  <w:abstractNum w:abstractNumId="22">
    <w:nsid w:val="643388B3"/>
    <w:multiLevelType w:val="singleLevel"/>
    <w:tmpl w:val="643388B3"/>
    <w:lvl w:ilvl="0" w:tentative="0">
      <w:start w:val="1"/>
      <w:numFmt w:val="decimal"/>
      <w:suff w:val="nothing"/>
      <w:lvlText w:val="（%1）"/>
      <w:lvlJc w:val="left"/>
    </w:lvl>
  </w:abstractNum>
  <w:abstractNum w:abstractNumId="23">
    <w:nsid w:val="643388EF"/>
    <w:multiLevelType w:val="singleLevel"/>
    <w:tmpl w:val="643388EF"/>
    <w:lvl w:ilvl="0" w:tentative="0">
      <w:start w:val="1"/>
      <w:numFmt w:val="decimal"/>
      <w:suff w:val="nothing"/>
      <w:lvlText w:val="（%1）"/>
      <w:lvlJc w:val="left"/>
    </w:lvl>
  </w:abstractNum>
  <w:abstractNum w:abstractNumId="24">
    <w:nsid w:val="64338920"/>
    <w:multiLevelType w:val="singleLevel"/>
    <w:tmpl w:val="64338920"/>
    <w:lvl w:ilvl="0" w:tentative="0">
      <w:start w:val="1"/>
      <w:numFmt w:val="chineseCounting"/>
      <w:suff w:val="nothing"/>
      <w:lvlText w:val="（%1）"/>
      <w:lvlJc w:val="left"/>
    </w:lvl>
  </w:abstractNum>
  <w:abstractNum w:abstractNumId="25">
    <w:nsid w:val="66709935"/>
    <w:multiLevelType w:val="singleLevel"/>
    <w:tmpl w:val="66709935"/>
    <w:lvl w:ilvl="0" w:tentative="0">
      <w:start w:val="8"/>
      <w:numFmt w:val="decimal"/>
      <w:suff w:val="nothing"/>
      <w:lvlText w:val="%1．"/>
      <w:lvlJc w:val="left"/>
    </w:lvl>
  </w:abstractNum>
  <w:abstractNum w:abstractNumId="26">
    <w:nsid w:val="740654F9"/>
    <w:multiLevelType w:val="singleLevel"/>
    <w:tmpl w:val="740654F9"/>
    <w:lvl w:ilvl="0" w:tentative="0">
      <w:start w:val="1"/>
      <w:numFmt w:val="decimal"/>
      <w:suff w:val="nothing"/>
      <w:lvlText w:val="（%1）"/>
      <w:lvlJc w:val="left"/>
    </w:lvl>
  </w:abstractNum>
  <w:abstractNum w:abstractNumId="27">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7"/>
  </w:num>
  <w:num w:numId="3">
    <w:abstractNumId w:val="17"/>
  </w:num>
  <w:num w:numId="4">
    <w:abstractNumId w:val="25"/>
  </w:num>
  <w:num w:numId="5">
    <w:abstractNumId w:val="4"/>
  </w:num>
  <w:num w:numId="6">
    <w:abstractNumId w:val="26"/>
  </w:num>
  <w:num w:numId="7">
    <w:abstractNumId w:val="19"/>
  </w:num>
  <w:num w:numId="8">
    <w:abstractNumId w:val="18"/>
  </w:num>
  <w:num w:numId="9">
    <w:abstractNumId w:val="1"/>
  </w:num>
  <w:num w:numId="10">
    <w:abstractNumId w:val="20"/>
  </w:num>
  <w:num w:numId="11">
    <w:abstractNumId w:val="21"/>
  </w:num>
  <w:num w:numId="12">
    <w:abstractNumId w:val="22"/>
  </w:num>
  <w:num w:numId="13">
    <w:abstractNumId w:val="23"/>
  </w:num>
  <w:num w:numId="14">
    <w:abstractNumId w:val="24"/>
  </w:num>
  <w:num w:numId="15">
    <w:abstractNumId w:val="27"/>
  </w:num>
  <w:num w:numId="16">
    <w:abstractNumId w:val="5"/>
  </w:num>
  <w:num w:numId="17">
    <w:abstractNumId w:val="13"/>
  </w:num>
  <w:num w:numId="18">
    <w:abstractNumId w:val="9"/>
  </w:num>
  <w:num w:numId="19">
    <w:abstractNumId w:val="2"/>
  </w:num>
  <w:num w:numId="20">
    <w:abstractNumId w:val="3"/>
  </w:num>
  <w:num w:numId="21">
    <w:abstractNumId w:val="10"/>
  </w:num>
  <w:num w:numId="22">
    <w:abstractNumId w:val="11"/>
  </w:num>
  <w:num w:numId="23">
    <w:abstractNumId w:val="14"/>
  </w:num>
  <w:num w:numId="24">
    <w:abstractNumId w:val="12"/>
  </w:num>
  <w:num w:numId="25">
    <w:abstractNumId w:val="15"/>
  </w:num>
  <w:num w:numId="26">
    <w:abstractNumId w:val="8"/>
  </w:num>
  <w:num w:numId="27">
    <w:abstractNumId w:val="1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mY4ZmQ2Y2RhNThjY2JhMzI3NmFjZjM2YTY5MTg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45E8"/>
    <w:rsid w:val="00015040"/>
    <w:rsid w:val="00015931"/>
    <w:rsid w:val="000171CB"/>
    <w:rsid w:val="0001796D"/>
    <w:rsid w:val="000208BC"/>
    <w:rsid w:val="000209DC"/>
    <w:rsid w:val="00024A69"/>
    <w:rsid w:val="000301DE"/>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E71"/>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1E35"/>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53EB"/>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4BE"/>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040"/>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C9A"/>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64CCE"/>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4D5"/>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50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A7C54"/>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928"/>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0A8"/>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4BF"/>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A6F55"/>
    <w:rsid w:val="00BB09D5"/>
    <w:rsid w:val="00BB20AA"/>
    <w:rsid w:val="00BB2A7D"/>
    <w:rsid w:val="00BB4260"/>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0F6F"/>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7771E"/>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12FD"/>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160C"/>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253"/>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338"/>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4FD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E6398"/>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358D"/>
    <w:rsid w:val="00F96D53"/>
    <w:rsid w:val="00F97099"/>
    <w:rsid w:val="00F975D3"/>
    <w:rsid w:val="00F978CD"/>
    <w:rsid w:val="00FA1242"/>
    <w:rsid w:val="00FA1CEB"/>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272A80"/>
    <w:rsid w:val="0138518F"/>
    <w:rsid w:val="013D4B60"/>
    <w:rsid w:val="017E0CD4"/>
    <w:rsid w:val="017E2A82"/>
    <w:rsid w:val="01A6243B"/>
    <w:rsid w:val="01A975FA"/>
    <w:rsid w:val="01B17AD3"/>
    <w:rsid w:val="01C628A7"/>
    <w:rsid w:val="01FF3414"/>
    <w:rsid w:val="020B4B2E"/>
    <w:rsid w:val="0224187C"/>
    <w:rsid w:val="02276623"/>
    <w:rsid w:val="02305C5A"/>
    <w:rsid w:val="023A275E"/>
    <w:rsid w:val="023D61D9"/>
    <w:rsid w:val="024834EF"/>
    <w:rsid w:val="024C396F"/>
    <w:rsid w:val="02863C9B"/>
    <w:rsid w:val="0288005D"/>
    <w:rsid w:val="02AD361F"/>
    <w:rsid w:val="02EC325F"/>
    <w:rsid w:val="02EE5F03"/>
    <w:rsid w:val="030435CA"/>
    <w:rsid w:val="0316724E"/>
    <w:rsid w:val="031F6D59"/>
    <w:rsid w:val="034104E4"/>
    <w:rsid w:val="034512CF"/>
    <w:rsid w:val="03630182"/>
    <w:rsid w:val="0369718D"/>
    <w:rsid w:val="036D416B"/>
    <w:rsid w:val="036E7F6D"/>
    <w:rsid w:val="037B07B2"/>
    <w:rsid w:val="039667A2"/>
    <w:rsid w:val="039C6BC9"/>
    <w:rsid w:val="03A91F09"/>
    <w:rsid w:val="03B66504"/>
    <w:rsid w:val="03C42215"/>
    <w:rsid w:val="03D06AB2"/>
    <w:rsid w:val="03D51B83"/>
    <w:rsid w:val="03E43EA8"/>
    <w:rsid w:val="03F238EF"/>
    <w:rsid w:val="03F24DC6"/>
    <w:rsid w:val="03F37758"/>
    <w:rsid w:val="03F509F2"/>
    <w:rsid w:val="03FE70CA"/>
    <w:rsid w:val="04390B08"/>
    <w:rsid w:val="043D6C25"/>
    <w:rsid w:val="044D0E2E"/>
    <w:rsid w:val="04657F2A"/>
    <w:rsid w:val="04673937"/>
    <w:rsid w:val="04697A1A"/>
    <w:rsid w:val="04966335"/>
    <w:rsid w:val="04B02985"/>
    <w:rsid w:val="04B564EB"/>
    <w:rsid w:val="04BC5D9C"/>
    <w:rsid w:val="04D66B2B"/>
    <w:rsid w:val="04E968FD"/>
    <w:rsid w:val="050D470B"/>
    <w:rsid w:val="05103C33"/>
    <w:rsid w:val="05120DCD"/>
    <w:rsid w:val="052727D2"/>
    <w:rsid w:val="053955AF"/>
    <w:rsid w:val="0541626C"/>
    <w:rsid w:val="05512F6C"/>
    <w:rsid w:val="056702C8"/>
    <w:rsid w:val="05682476"/>
    <w:rsid w:val="05780411"/>
    <w:rsid w:val="057D43FA"/>
    <w:rsid w:val="058D2943"/>
    <w:rsid w:val="059102CD"/>
    <w:rsid w:val="05C15431"/>
    <w:rsid w:val="05E01F5E"/>
    <w:rsid w:val="0601352E"/>
    <w:rsid w:val="062A31D9"/>
    <w:rsid w:val="06382080"/>
    <w:rsid w:val="06954AF6"/>
    <w:rsid w:val="06A21D17"/>
    <w:rsid w:val="06A719C5"/>
    <w:rsid w:val="06B32B01"/>
    <w:rsid w:val="06B45C87"/>
    <w:rsid w:val="06B73083"/>
    <w:rsid w:val="06BA469C"/>
    <w:rsid w:val="06C059F0"/>
    <w:rsid w:val="06D84272"/>
    <w:rsid w:val="06DA3CF9"/>
    <w:rsid w:val="06F53549"/>
    <w:rsid w:val="06FB1C97"/>
    <w:rsid w:val="07351E35"/>
    <w:rsid w:val="07907A6C"/>
    <w:rsid w:val="07923111"/>
    <w:rsid w:val="079408E9"/>
    <w:rsid w:val="07BD5C46"/>
    <w:rsid w:val="07CD3169"/>
    <w:rsid w:val="07D24151"/>
    <w:rsid w:val="07D72C7B"/>
    <w:rsid w:val="07EB22D1"/>
    <w:rsid w:val="08003304"/>
    <w:rsid w:val="08067789"/>
    <w:rsid w:val="0825330C"/>
    <w:rsid w:val="084A1F11"/>
    <w:rsid w:val="084E4E5E"/>
    <w:rsid w:val="084F33CB"/>
    <w:rsid w:val="08500CCB"/>
    <w:rsid w:val="085C4738"/>
    <w:rsid w:val="086B2D25"/>
    <w:rsid w:val="08BB45BC"/>
    <w:rsid w:val="08C173D5"/>
    <w:rsid w:val="08EB4EA1"/>
    <w:rsid w:val="08F63846"/>
    <w:rsid w:val="08FA2F86"/>
    <w:rsid w:val="08FC6C67"/>
    <w:rsid w:val="090175E7"/>
    <w:rsid w:val="09176653"/>
    <w:rsid w:val="09205831"/>
    <w:rsid w:val="093F3C94"/>
    <w:rsid w:val="09493552"/>
    <w:rsid w:val="094A5C8C"/>
    <w:rsid w:val="095A5B83"/>
    <w:rsid w:val="0965293E"/>
    <w:rsid w:val="097C1E98"/>
    <w:rsid w:val="099077F7"/>
    <w:rsid w:val="09B02E2E"/>
    <w:rsid w:val="09B763F1"/>
    <w:rsid w:val="09BF66C0"/>
    <w:rsid w:val="09C120A6"/>
    <w:rsid w:val="09CB4CD3"/>
    <w:rsid w:val="09D136C7"/>
    <w:rsid w:val="09D45935"/>
    <w:rsid w:val="09DF5ED2"/>
    <w:rsid w:val="0A085E4A"/>
    <w:rsid w:val="0A111F7C"/>
    <w:rsid w:val="0A1C1A19"/>
    <w:rsid w:val="0A481C84"/>
    <w:rsid w:val="0A4843DF"/>
    <w:rsid w:val="0A4C1970"/>
    <w:rsid w:val="0A6A1286"/>
    <w:rsid w:val="0A7361E8"/>
    <w:rsid w:val="0A7553ED"/>
    <w:rsid w:val="0A8A7BC6"/>
    <w:rsid w:val="0A8E519B"/>
    <w:rsid w:val="0A917D7D"/>
    <w:rsid w:val="0A957D67"/>
    <w:rsid w:val="0AA35975"/>
    <w:rsid w:val="0AA96BA7"/>
    <w:rsid w:val="0AD52896"/>
    <w:rsid w:val="0ADC1380"/>
    <w:rsid w:val="0AE47E42"/>
    <w:rsid w:val="0B2428ED"/>
    <w:rsid w:val="0B262E7E"/>
    <w:rsid w:val="0B321B7D"/>
    <w:rsid w:val="0B60746C"/>
    <w:rsid w:val="0B7218AA"/>
    <w:rsid w:val="0B756CA4"/>
    <w:rsid w:val="0B9B3DDB"/>
    <w:rsid w:val="0BBC0D77"/>
    <w:rsid w:val="0BC31119"/>
    <w:rsid w:val="0BD31C1D"/>
    <w:rsid w:val="0BDB4C3A"/>
    <w:rsid w:val="0BE5635A"/>
    <w:rsid w:val="0C0C564E"/>
    <w:rsid w:val="0C121766"/>
    <w:rsid w:val="0C252478"/>
    <w:rsid w:val="0C3D753B"/>
    <w:rsid w:val="0C623AA6"/>
    <w:rsid w:val="0C654F6B"/>
    <w:rsid w:val="0C803008"/>
    <w:rsid w:val="0C8542F1"/>
    <w:rsid w:val="0C88211D"/>
    <w:rsid w:val="0CCF4ADA"/>
    <w:rsid w:val="0CD41B17"/>
    <w:rsid w:val="0CEB4D54"/>
    <w:rsid w:val="0CF9617A"/>
    <w:rsid w:val="0CFD51A3"/>
    <w:rsid w:val="0D47792E"/>
    <w:rsid w:val="0D6F24EF"/>
    <w:rsid w:val="0D703BC7"/>
    <w:rsid w:val="0D97603C"/>
    <w:rsid w:val="0DA6583B"/>
    <w:rsid w:val="0DBC0E93"/>
    <w:rsid w:val="0DC33667"/>
    <w:rsid w:val="0DED416A"/>
    <w:rsid w:val="0E030797"/>
    <w:rsid w:val="0E0620AA"/>
    <w:rsid w:val="0E1718FF"/>
    <w:rsid w:val="0E305629"/>
    <w:rsid w:val="0E52151F"/>
    <w:rsid w:val="0E5911AE"/>
    <w:rsid w:val="0E75310C"/>
    <w:rsid w:val="0E763D1A"/>
    <w:rsid w:val="0E8518F4"/>
    <w:rsid w:val="0E966D0C"/>
    <w:rsid w:val="0EB601BD"/>
    <w:rsid w:val="0EC47E38"/>
    <w:rsid w:val="0ED85EC8"/>
    <w:rsid w:val="0EEC0897"/>
    <w:rsid w:val="0F052A35"/>
    <w:rsid w:val="0F0E792B"/>
    <w:rsid w:val="0F2B0C29"/>
    <w:rsid w:val="0F346E76"/>
    <w:rsid w:val="0F652341"/>
    <w:rsid w:val="0F78713B"/>
    <w:rsid w:val="0F8926C1"/>
    <w:rsid w:val="0F8A1812"/>
    <w:rsid w:val="0F9E75F8"/>
    <w:rsid w:val="0FB3423F"/>
    <w:rsid w:val="0FD540C6"/>
    <w:rsid w:val="0FDC721A"/>
    <w:rsid w:val="0FFA025E"/>
    <w:rsid w:val="10061EB8"/>
    <w:rsid w:val="10256796"/>
    <w:rsid w:val="103C1EC8"/>
    <w:rsid w:val="103F5AD3"/>
    <w:rsid w:val="1041184B"/>
    <w:rsid w:val="104B091B"/>
    <w:rsid w:val="105855AB"/>
    <w:rsid w:val="107446C0"/>
    <w:rsid w:val="1086368C"/>
    <w:rsid w:val="108F405E"/>
    <w:rsid w:val="109D078F"/>
    <w:rsid w:val="10A67900"/>
    <w:rsid w:val="10B85FB1"/>
    <w:rsid w:val="10C82F4E"/>
    <w:rsid w:val="10D0776E"/>
    <w:rsid w:val="10EF12A7"/>
    <w:rsid w:val="10EF56FD"/>
    <w:rsid w:val="10F74FC2"/>
    <w:rsid w:val="10F90377"/>
    <w:rsid w:val="110034B4"/>
    <w:rsid w:val="110F36F7"/>
    <w:rsid w:val="11146EB1"/>
    <w:rsid w:val="111C1C2B"/>
    <w:rsid w:val="115B4E23"/>
    <w:rsid w:val="115B5A86"/>
    <w:rsid w:val="115D1DA6"/>
    <w:rsid w:val="11651A69"/>
    <w:rsid w:val="117169C2"/>
    <w:rsid w:val="11757DC9"/>
    <w:rsid w:val="117711F5"/>
    <w:rsid w:val="11773A95"/>
    <w:rsid w:val="11805C0F"/>
    <w:rsid w:val="119B6B11"/>
    <w:rsid w:val="11AB70D0"/>
    <w:rsid w:val="11D53C86"/>
    <w:rsid w:val="11DD55A3"/>
    <w:rsid w:val="11E6296C"/>
    <w:rsid w:val="11EA1D1F"/>
    <w:rsid w:val="11ED7E0F"/>
    <w:rsid w:val="11FF497A"/>
    <w:rsid w:val="12106784"/>
    <w:rsid w:val="12170AB5"/>
    <w:rsid w:val="12293685"/>
    <w:rsid w:val="124342E7"/>
    <w:rsid w:val="12443874"/>
    <w:rsid w:val="12494D8E"/>
    <w:rsid w:val="12633CFA"/>
    <w:rsid w:val="126E56A8"/>
    <w:rsid w:val="127500BF"/>
    <w:rsid w:val="127A580F"/>
    <w:rsid w:val="128B537C"/>
    <w:rsid w:val="12D12D85"/>
    <w:rsid w:val="12D24757"/>
    <w:rsid w:val="12D92CED"/>
    <w:rsid w:val="12E844A3"/>
    <w:rsid w:val="12F519A1"/>
    <w:rsid w:val="12F60BEA"/>
    <w:rsid w:val="12FA3A33"/>
    <w:rsid w:val="12FE1529"/>
    <w:rsid w:val="13001549"/>
    <w:rsid w:val="13033AD5"/>
    <w:rsid w:val="13085C6B"/>
    <w:rsid w:val="131C75ED"/>
    <w:rsid w:val="13294F44"/>
    <w:rsid w:val="1337424A"/>
    <w:rsid w:val="133D279D"/>
    <w:rsid w:val="133F3C27"/>
    <w:rsid w:val="134E4840"/>
    <w:rsid w:val="13581C27"/>
    <w:rsid w:val="13587D14"/>
    <w:rsid w:val="135B70C7"/>
    <w:rsid w:val="13625F4D"/>
    <w:rsid w:val="136B6F2A"/>
    <w:rsid w:val="13712447"/>
    <w:rsid w:val="1378132E"/>
    <w:rsid w:val="13854A5E"/>
    <w:rsid w:val="13877AAA"/>
    <w:rsid w:val="13916E35"/>
    <w:rsid w:val="13B14921"/>
    <w:rsid w:val="13B919E1"/>
    <w:rsid w:val="13BA2040"/>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29799F"/>
    <w:rsid w:val="15396F94"/>
    <w:rsid w:val="153D13FE"/>
    <w:rsid w:val="154776F1"/>
    <w:rsid w:val="15482C41"/>
    <w:rsid w:val="15974250"/>
    <w:rsid w:val="159E1662"/>
    <w:rsid w:val="15B12FCF"/>
    <w:rsid w:val="15D911DF"/>
    <w:rsid w:val="15DA4B83"/>
    <w:rsid w:val="15ED5A58"/>
    <w:rsid w:val="15EE5FD1"/>
    <w:rsid w:val="15F52D8A"/>
    <w:rsid w:val="1602382A"/>
    <w:rsid w:val="162C6CB2"/>
    <w:rsid w:val="163568A5"/>
    <w:rsid w:val="16504596"/>
    <w:rsid w:val="16604583"/>
    <w:rsid w:val="166E068F"/>
    <w:rsid w:val="16734728"/>
    <w:rsid w:val="16777ECD"/>
    <w:rsid w:val="16866209"/>
    <w:rsid w:val="1699418F"/>
    <w:rsid w:val="16AF7627"/>
    <w:rsid w:val="16B30809"/>
    <w:rsid w:val="16B32D77"/>
    <w:rsid w:val="16C1304D"/>
    <w:rsid w:val="170D23EB"/>
    <w:rsid w:val="171040E0"/>
    <w:rsid w:val="17195B93"/>
    <w:rsid w:val="17197905"/>
    <w:rsid w:val="17212B98"/>
    <w:rsid w:val="172B2E75"/>
    <w:rsid w:val="176C5A76"/>
    <w:rsid w:val="17856C06"/>
    <w:rsid w:val="179C4A76"/>
    <w:rsid w:val="179C6471"/>
    <w:rsid w:val="17A10052"/>
    <w:rsid w:val="17BE19D3"/>
    <w:rsid w:val="17C646BB"/>
    <w:rsid w:val="17D22FC7"/>
    <w:rsid w:val="17E551B2"/>
    <w:rsid w:val="17EC44B9"/>
    <w:rsid w:val="17FC2CB3"/>
    <w:rsid w:val="18015D13"/>
    <w:rsid w:val="180B47A6"/>
    <w:rsid w:val="18132377"/>
    <w:rsid w:val="181D1C4C"/>
    <w:rsid w:val="18416B0B"/>
    <w:rsid w:val="18420655"/>
    <w:rsid w:val="184F055A"/>
    <w:rsid w:val="18575D65"/>
    <w:rsid w:val="18694749"/>
    <w:rsid w:val="186F023A"/>
    <w:rsid w:val="18711A73"/>
    <w:rsid w:val="187A7FF0"/>
    <w:rsid w:val="1884144D"/>
    <w:rsid w:val="188761F2"/>
    <w:rsid w:val="188931D2"/>
    <w:rsid w:val="188932F1"/>
    <w:rsid w:val="18901D2C"/>
    <w:rsid w:val="18AA4093"/>
    <w:rsid w:val="18B54B84"/>
    <w:rsid w:val="18BB3C2D"/>
    <w:rsid w:val="18BF1EA7"/>
    <w:rsid w:val="18C3639C"/>
    <w:rsid w:val="18D655F1"/>
    <w:rsid w:val="18DE7568"/>
    <w:rsid w:val="18E4469E"/>
    <w:rsid w:val="18E87F50"/>
    <w:rsid w:val="18ED6702"/>
    <w:rsid w:val="18FD4947"/>
    <w:rsid w:val="190A1374"/>
    <w:rsid w:val="190C1BE7"/>
    <w:rsid w:val="193F5973"/>
    <w:rsid w:val="19442A4D"/>
    <w:rsid w:val="19492AEA"/>
    <w:rsid w:val="194D3AC9"/>
    <w:rsid w:val="196855D2"/>
    <w:rsid w:val="19685F9C"/>
    <w:rsid w:val="197762DD"/>
    <w:rsid w:val="197D5C29"/>
    <w:rsid w:val="19965BB4"/>
    <w:rsid w:val="199B7E1F"/>
    <w:rsid w:val="19D96C4F"/>
    <w:rsid w:val="19E81A6C"/>
    <w:rsid w:val="19EB65F6"/>
    <w:rsid w:val="19EF4EF7"/>
    <w:rsid w:val="19F12F16"/>
    <w:rsid w:val="19F418BE"/>
    <w:rsid w:val="1A002777"/>
    <w:rsid w:val="1A0717BC"/>
    <w:rsid w:val="1A1B30B1"/>
    <w:rsid w:val="1A223D60"/>
    <w:rsid w:val="1A2608AF"/>
    <w:rsid w:val="1A361CF4"/>
    <w:rsid w:val="1A385A6D"/>
    <w:rsid w:val="1A473F02"/>
    <w:rsid w:val="1A4C5819"/>
    <w:rsid w:val="1A542F59"/>
    <w:rsid w:val="1A560F87"/>
    <w:rsid w:val="1A6F5C0A"/>
    <w:rsid w:val="1A75281D"/>
    <w:rsid w:val="1A79786D"/>
    <w:rsid w:val="1A807F7F"/>
    <w:rsid w:val="1A872550"/>
    <w:rsid w:val="1A9224D0"/>
    <w:rsid w:val="1AC06D68"/>
    <w:rsid w:val="1B1153AE"/>
    <w:rsid w:val="1B2E7BE8"/>
    <w:rsid w:val="1B3404EA"/>
    <w:rsid w:val="1B431208"/>
    <w:rsid w:val="1B651A0F"/>
    <w:rsid w:val="1B65257F"/>
    <w:rsid w:val="1B6D5BEA"/>
    <w:rsid w:val="1B7178E4"/>
    <w:rsid w:val="1B8D5D0B"/>
    <w:rsid w:val="1B990926"/>
    <w:rsid w:val="1BD7136C"/>
    <w:rsid w:val="1BE67190"/>
    <w:rsid w:val="1BE6757E"/>
    <w:rsid w:val="1BEF0C63"/>
    <w:rsid w:val="1C005643"/>
    <w:rsid w:val="1C141D47"/>
    <w:rsid w:val="1C270694"/>
    <w:rsid w:val="1C2F1807"/>
    <w:rsid w:val="1C3103F6"/>
    <w:rsid w:val="1C4155A7"/>
    <w:rsid w:val="1C417326"/>
    <w:rsid w:val="1C531F97"/>
    <w:rsid w:val="1C6074FD"/>
    <w:rsid w:val="1C7550F6"/>
    <w:rsid w:val="1C906479"/>
    <w:rsid w:val="1C962F1E"/>
    <w:rsid w:val="1CBD29F9"/>
    <w:rsid w:val="1CBF2050"/>
    <w:rsid w:val="1CF03102"/>
    <w:rsid w:val="1CF05B1D"/>
    <w:rsid w:val="1CF163A7"/>
    <w:rsid w:val="1CFE4D5B"/>
    <w:rsid w:val="1D035BF9"/>
    <w:rsid w:val="1D0820A6"/>
    <w:rsid w:val="1D136646"/>
    <w:rsid w:val="1D484219"/>
    <w:rsid w:val="1D4E55A7"/>
    <w:rsid w:val="1D551D12"/>
    <w:rsid w:val="1D5D664C"/>
    <w:rsid w:val="1D5E2780"/>
    <w:rsid w:val="1D65543B"/>
    <w:rsid w:val="1D79243E"/>
    <w:rsid w:val="1D813BCE"/>
    <w:rsid w:val="1DA577ED"/>
    <w:rsid w:val="1DBA69FC"/>
    <w:rsid w:val="1DF3112A"/>
    <w:rsid w:val="1DF747CB"/>
    <w:rsid w:val="1E0823F2"/>
    <w:rsid w:val="1E0F11DA"/>
    <w:rsid w:val="1E260E83"/>
    <w:rsid w:val="1E2701AC"/>
    <w:rsid w:val="1E276399"/>
    <w:rsid w:val="1E340C41"/>
    <w:rsid w:val="1E3A3CAF"/>
    <w:rsid w:val="1E4720E7"/>
    <w:rsid w:val="1E4B0FF8"/>
    <w:rsid w:val="1E592A0F"/>
    <w:rsid w:val="1E5D4E56"/>
    <w:rsid w:val="1E6B2139"/>
    <w:rsid w:val="1E7A374E"/>
    <w:rsid w:val="1E7C1C53"/>
    <w:rsid w:val="1E89335F"/>
    <w:rsid w:val="1E8E0351"/>
    <w:rsid w:val="1E924AE7"/>
    <w:rsid w:val="1EAE6E23"/>
    <w:rsid w:val="1ECC0E79"/>
    <w:rsid w:val="1EDA3FAB"/>
    <w:rsid w:val="1EE477A0"/>
    <w:rsid w:val="1EF17ACF"/>
    <w:rsid w:val="1EF46FC2"/>
    <w:rsid w:val="1EF74148"/>
    <w:rsid w:val="1F0B19A2"/>
    <w:rsid w:val="1F0E3240"/>
    <w:rsid w:val="1F1C16B0"/>
    <w:rsid w:val="1F3D59A5"/>
    <w:rsid w:val="1F420031"/>
    <w:rsid w:val="1F4257E9"/>
    <w:rsid w:val="1F6850E2"/>
    <w:rsid w:val="1F6C3A98"/>
    <w:rsid w:val="1F6E0D89"/>
    <w:rsid w:val="1F7D25DA"/>
    <w:rsid w:val="1FA63BE5"/>
    <w:rsid w:val="1FB3239E"/>
    <w:rsid w:val="1FBB0D34"/>
    <w:rsid w:val="1FBB33C8"/>
    <w:rsid w:val="1FC624D8"/>
    <w:rsid w:val="1FCD0DC2"/>
    <w:rsid w:val="1FDC30F1"/>
    <w:rsid w:val="1FE00A4B"/>
    <w:rsid w:val="1FE50445"/>
    <w:rsid w:val="1FFE2851"/>
    <w:rsid w:val="20014FB8"/>
    <w:rsid w:val="201E5705"/>
    <w:rsid w:val="204809D3"/>
    <w:rsid w:val="20505BEE"/>
    <w:rsid w:val="205138AB"/>
    <w:rsid w:val="20683984"/>
    <w:rsid w:val="207F1198"/>
    <w:rsid w:val="2087794C"/>
    <w:rsid w:val="20CC0941"/>
    <w:rsid w:val="20D128F2"/>
    <w:rsid w:val="20E51308"/>
    <w:rsid w:val="20F3093F"/>
    <w:rsid w:val="20F76B2D"/>
    <w:rsid w:val="21016FB2"/>
    <w:rsid w:val="21091931"/>
    <w:rsid w:val="213E2EA1"/>
    <w:rsid w:val="2149055F"/>
    <w:rsid w:val="215F4227"/>
    <w:rsid w:val="216F0F77"/>
    <w:rsid w:val="217336E6"/>
    <w:rsid w:val="2194799D"/>
    <w:rsid w:val="21B909B9"/>
    <w:rsid w:val="21BA2AC2"/>
    <w:rsid w:val="21DC13D3"/>
    <w:rsid w:val="21E21C0E"/>
    <w:rsid w:val="21E53673"/>
    <w:rsid w:val="21F5141A"/>
    <w:rsid w:val="21FB74E7"/>
    <w:rsid w:val="220152DE"/>
    <w:rsid w:val="223175B2"/>
    <w:rsid w:val="223A312F"/>
    <w:rsid w:val="224D7B7A"/>
    <w:rsid w:val="225059CB"/>
    <w:rsid w:val="226A3A35"/>
    <w:rsid w:val="22712C34"/>
    <w:rsid w:val="227C4964"/>
    <w:rsid w:val="229413BA"/>
    <w:rsid w:val="22A86252"/>
    <w:rsid w:val="22AA4925"/>
    <w:rsid w:val="22BC02B2"/>
    <w:rsid w:val="22C0677F"/>
    <w:rsid w:val="22DE5F28"/>
    <w:rsid w:val="22E505A2"/>
    <w:rsid w:val="22F866E1"/>
    <w:rsid w:val="230230BC"/>
    <w:rsid w:val="23107AAF"/>
    <w:rsid w:val="231E149A"/>
    <w:rsid w:val="231F6668"/>
    <w:rsid w:val="23362282"/>
    <w:rsid w:val="233E248C"/>
    <w:rsid w:val="234D19E9"/>
    <w:rsid w:val="234F0B1A"/>
    <w:rsid w:val="235B0B5A"/>
    <w:rsid w:val="2372597F"/>
    <w:rsid w:val="2374166C"/>
    <w:rsid w:val="23807611"/>
    <w:rsid w:val="238920BB"/>
    <w:rsid w:val="239A32F4"/>
    <w:rsid w:val="23B2153A"/>
    <w:rsid w:val="23BE1A45"/>
    <w:rsid w:val="23BE276C"/>
    <w:rsid w:val="23C6058D"/>
    <w:rsid w:val="23D76713"/>
    <w:rsid w:val="23DD042B"/>
    <w:rsid w:val="23E17175"/>
    <w:rsid w:val="241F1A4B"/>
    <w:rsid w:val="24206146"/>
    <w:rsid w:val="24223E87"/>
    <w:rsid w:val="24341609"/>
    <w:rsid w:val="243C316D"/>
    <w:rsid w:val="24421B74"/>
    <w:rsid w:val="244301A5"/>
    <w:rsid w:val="24457B3A"/>
    <w:rsid w:val="24506626"/>
    <w:rsid w:val="245406CC"/>
    <w:rsid w:val="248875F1"/>
    <w:rsid w:val="24905AE4"/>
    <w:rsid w:val="249E6E2F"/>
    <w:rsid w:val="24A00DDE"/>
    <w:rsid w:val="24B108F5"/>
    <w:rsid w:val="24C46FB6"/>
    <w:rsid w:val="24DC44D8"/>
    <w:rsid w:val="24F20F0E"/>
    <w:rsid w:val="250332B8"/>
    <w:rsid w:val="25074187"/>
    <w:rsid w:val="25331BC4"/>
    <w:rsid w:val="25373650"/>
    <w:rsid w:val="2558601D"/>
    <w:rsid w:val="259A75DB"/>
    <w:rsid w:val="25BE07F9"/>
    <w:rsid w:val="25BF40E0"/>
    <w:rsid w:val="25CB47A5"/>
    <w:rsid w:val="25E83EE0"/>
    <w:rsid w:val="26087016"/>
    <w:rsid w:val="26543C2E"/>
    <w:rsid w:val="265C4507"/>
    <w:rsid w:val="26605B6C"/>
    <w:rsid w:val="26704790"/>
    <w:rsid w:val="268222D7"/>
    <w:rsid w:val="2685203A"/>
    <w:rsid w:val="26914E82"/>
    <w:rsid w:val="26950AE8"/>
    <w:rsid w:val="26983290"/>
    <w:rsid w:val="269D5F7D"/>
    <w:rsid w:val="26A128C9"/>
    <w:rsid w:val="26FB0253"/>
    <w:rsid w:val="270A569F"/>
    <w:rsid w:val="27133AE9"/>
    <w:rsid w:val="27164841"/>
    <w:rsid w:val="271D04C4"/>
    <w:rsid w:val="272022CB"/>
    <w:rsid w:val="273852FE"/>
    <w:rsid w:val="273F4CB5"/>
    <w:rsid w:val="27460068"/>
    <w:rsid w:val="274B4C71"/>
    <w:rsid w:val="27506C7C"/>
    <w:rsid w:val="2753161C"/>
    <w:rsid w:val="27590D31"/>
    <w:rsid w:val="27840065"/>
    <w:rsid w:val="278542BB"/>
    <w:rsid w:val="27886D81"/>
    <w:rsid w:val="27C2106B"/>
    <w:rsid w:val="27C54369"/>
    <w:rsid w:val="2811449B"/>
    <w:rsid w:val="285511EC"/>
    <w:rsid w:val="285C6DCA"/>
    <w:rsid w:val="28965D63"/>
    <w:rsid w:val="28B70B59"/>
    <w:rsid w:val="28C50E13"/>
    <w:rsid w:val="290477A4"/>
    <w:rsid w:val="29121862"/>
    <w:rsid w:val="29127DD1"/>
    <w:rsid w:val="29142C02"/>
    <w:rsid w:val="2918110F"/>
    <w:rsid w:val="2919237C"/>
    <w:rsid w:val="29235B3A"/>
    <w:rsid w:val="292C162F"/>
    <w:rsid w:val="293E274E"/>
    <w:rsid w:val="2950368E"/>
    <w:rsid w:val="29594084"/>
    <w:rsid w:val="29843A9B"/>
    <w:rsid w:val="29862A2C"/>
    <w:rsid w:val="29890093"/>
    <w:rsid w:val="298D3BAC"/>
    <w:rsid w:val="298E3718"/>
    <w:rsid w:val="29986A8C"/>
    <w:rsid w:val="29A22F02"/>
    <w:rsid w:val="29AF6857"/>
    <w:rsid w:val="29C82EAF"/>
    <w:rsid w:val="29EB2594"/>
    <w:rsid w:val="29EC5D17"/>
    <w:rsid w:val="29ED1066"/>
    <w:rsid w:val="2A043BBD"/>
    <w:rsid w:val="2A0D6D35"/>
    <w:rsid w:val="2A17737B"/>
    <w:rsid w:val="2A2008D8"/>
    <w:rsid w:val="2A214516"/>
    <w:rsid w:val="2A3C5105"/>
    <w:rsid w:val="2A430052"/>
    <w:rsid w:val="2A500BB0"/>
    <w:rsid w:val="2A584D21"/>
    <w:rsid w:val="2A614B6C"/>
    <w:rsid w:val="2A616F93"/>
    <w:rsid w:val="2A64367C"/>
    <w:rsid w:val="2A663F31"/>
    <w:rsid w:val="2A6910D3"/>
    <w:rsid w:val="2A6B0855"/>
    <w:rsid w:val="2A6B54EF"/>
    <w:rsid w:val="2A8F792B"/>
    <w:rsid w:val="2A923A78"/>
    <w:rsid w:val="2A954815"/>
    <w:rsid w:val="2A9807F2"/>
    <w:rsid w:val="2A9C4B34"/>
    <w:rsid w:val="2AA83702"/>
    <w:rsid w:val="2ABC3F27"/>
    <w:rsid w:val="2AD90BA6"/>
    <w:rsid w:val="2AE00186"/>
    <w:rsid w:val="2AF14141"/>
    <w:rsid w:val="2B134799"/>
    <w:rsid w:val="2B20653D"/>
    <w:rsid w:val="2B266F08"/>
    <w:rsid w:val="2B44352B"/>
    <w:rsid w:val="2B587219"/>
    <w:rsid w:val="2B601926"/>
    <w:rsid w:val="2B6835F0"/>
    <w:rsid w:val="2B6A7A50"/>
    <w:rsid w:val="2B6C7799"/>
    <w:rsid w:val="2B8D23FE"/>
    <w:rsid w:val="2B940739"/>
    <w:rsid w:val="2B954674"/>
    <w:rsid w:val="2BAB173B"/>
    <w:rsid w:val="2BAF4E36"/>
    <w:rsid w:val="2BF95ED1"/>
    <w:rsid w:val="2C016606"/>
    <w:rsid w:val="2C090ED9"/>
    <w:rsid w:val="2C191269"/>
    <w:rsid w:val="2C1D00E0"/>
    <w:rsid w:val="2C1F4CDE"/>
    <w:rsid w:val="2C3F012B"/>
    <w:rsid w:val="2C5405D1"/>
    <w:rsid w:val="2C583D4C"/>
    <w:rsid w:val="2C7E2E47"/>
    <w:rsid w:val="2C7F1DCF"/>
    <w:rsid w:val="2C83526D"/>
    <w:rsid w:val="2C8D7E9A"/>
    <w:rsid w:val="2C992645"/>
    <w:rsid w:val="2C9A590A"/>
    <w:rsid w:val="2CA759EA"/>
    <w:rsid w:val="2CA86A82"/>
    <w:rsid w:val="2CB10CA8"/>
    <w:rsid w:val="2CDA515E"/>
    <w:rsid w:val="2CE37ABA"/>
    <w:rsid w:val="2D535EA7"/>
    <w:rsid w:val="2D5F5D06"/>
    <w:rsid w:val="2D6B4743"/>
    <w:rsid w:val="2D6C2E14"/>
    <w:rsid w:val="2D766B80"/>
    <w:rsid w:val="2D8044D3"/>
    <w:rsid w:val="2DA12813"/>
    <w:rsid w:val="2DC14B08"/>
    <w:rsid w:val="2DCD0A11"/>
    <w:rsid w:val="2DE84A63"/>
    <w:rsid w:val="2DEB621C"/>
    <w:rsid w:val="2E0E6DB8"/>
    <w:rsid w:val="2E1D2F05"/>
    <w:rsid w:val="2E22169E"/>
    <w:rsid w:val="2E224612"/>
    <w:rsid w:val="2E231110"/>
    <w:rsid w:val="2E350E71"/>
    <w:rsid w:val="2E3660F5"/>
    <w:rsid w:val="2E415370"/>
    <w:rsid w:val="2E68632E"/>
    <w:rsid w:val="2E7701B7"/>
    <w:rsid w:val="2E811F00"/>
    <w:rsid w:val="2E823EE8"/>
    <w:rsid w:val="2E930EF9"/>
    <w:rsid w:val="2EB140C2"/>
    <w:rsid w:val="2EB57F44"/>
    <w:rsid w:val="2ED10DA9"/>
    <w:rsid w:val="2ED15B5F"/>
    <w:rsid w:val="2EE221E3"/>
    <w:rsid w:val="2F364819"/>
    <w:rsid w:val="2F642F4F"/>
    <w:rsid w:val="2F7305E4"/>
    <w:rsid w:val="2F803204"/>
    <w:rsid w:val="2FB3060A"/>
    <w:rsid w:val="2FB93134"/>
    <w:rsid w:val="2FC17E5A"/>
    <w:rsid w:val="2FCE5B1E"/>
    <w:rsid w:val="2FD858D0"/>
    <w:rsid w:val="2FDE7753"/>
    <w:rsid w:val="2FEF0361"/>
    <w:rsid w:val="2FF614EE"/>
    <w:rsid w:val="301A2140"/>
    <w:rsid w:val="30436A9A"/>
    <w:rsid w:val="304C34A3"/>
    <w:rsid w:val="30611B3E"/>
    <w:rsid w:val="306959DD"/>
    <w:rsid w:val="307216B2"/>
    <w:rsid w:val="307C26FF"/>
    <w:rsid w:val="30A048EF"/>
    <w:rsid w:val="30A21987"/>
    <w:rsid w:val="30AD5BBE"/>
    <w:rsid w:val="30AD61C5"/>
    <w:rsid w:val="30B12B1F"/>
    <w:rsid w:val="30DA2523"/>
    <w:rsid w:val="30E01C54"/>
    <w:rsid w:val="30FE25A7"/>
    <w:rsid w:val="30FF6E8C"/>
    <w:rsid w:val="31140E1D"/>
    <w:rsid w:val="311F752F"/>
    <w:rsid w:val="31244B45"/>
    <w:rsid w:val="312C4A57"/>
    <w:rsid w:val="312E593C"/>
    <w:rsid w:val="316D52EA"/>
    <w:rsid w:val="31785216"/>
    <w:rsid w:val="318E3088"/>
    <w:rsid w:val="31944A9C"/>
    <w:rsid w:val="31A17F44"/>
    <w:rsid w:val="32096215"/>
    <w:rsid w:val="320E5953"/>
    <w:rsid w:val="322E5409"/>
    <w:rsid w:val="323954D8"/>
    <w:rsid w:val="323B2882"/>
    <w:rsid w:val="3248318A"/>
    <w:rsid w:val="324B5172"/>
    <w:rsid w:val="325C38FB"/>
    <w:rsid w:val="32655415"/>
    <w:rsid w:val="326C7130"/>
    <w:rsid w:val="328161FB"/>
    <w:rsid w:val="329B2319"/>
    <w:rsid w:val="32A93554"/>
    <w:rsid w:val="32D11EE7"/>
    <w:rsid w:val="32F22ABF"/>
    <w:rsid w:val="332A6465"/>
    <w:rsid w:val="33314EDB"/>
    <w:rsid w:val="334A0FC5"/>
    <w:rsid w:val="334C0506"/>
    <w:rsid w:val="335675DB"/>
    <w:rsid w:val="33567C45"/>
    <w:rsid w:val="338036E9"/>
    <w:rsid w:val="338E62A6"/>
    <w:rsid w:val="339252DF"/>
    <w:rsid w:val="3393661B"/>
    <w:rsid w:val="33941379"/>
    <w:rsid w:val="33970F14"/>
    <w:rsid w:val="33A93C7C"/>
    <w:rsid w:val="33AE1321"/>
    <w:rsid w:val="33CB3314"/>
    <w:rsid w:val="33D90146"/>
    <w:rsid w:val="33DA1999"/>
    <w:rsid w:val="33E71C2A"/>
    <w:rsid w:val="33FA5C92"/>
    <w:rsid w:val="341C2288"/>
    <w:rsid w:val="341F37EA"/>
    <w:rsid w:val="343155AF"/>
    <w:rsid w:val="34485A7E"/>
    <w:rsid w:val="34512F0D"/>
    <w:rsid w:val="345B1B40"/>
    <w:rsid w:val="346239BA"/>
    <w:rsid w:val="346425D6"/>
    <w:rsid w:val="346F3383"/>
    <w:rsid w:val="348F7181"/>
    <w:rsid w:val="34BB131C"/>
    <w:rsid w:val="34C854C1"/>
    <w:rsid w:val="34CB0A62"/>
    <w:rsid w:val="34D42007"/>
    <w:rsid w:val="34E14FC2"/>
    <w:rsid w:val="34FC06A8"/>
    <w:rsid w:val="34FD7B87"/>
    <w:rsid w:val="35006F50"/>
    <w:rsid w:val="35155F52"/>
    <w:rsid w:val="35373099"/>
    <w:rsid w:val="353D61D5"/>
    <w:rsid w:val="354155DB"/>
    <w:rsid w:val="354237EC"/>
    <w:rsid w:val="356A456C"/>
    <w:rsid w:val="35765D46"/>
    <w:rsid w:val="359C1008"/>
    <w:rsid w:val="35A2045C"/>
    <w:rsid w:val="35B932C7"/>
    <w:rsid w:val="35D51966"/>
    <w:rsid w:val="35F4580E"/>
    <w:rsid w:val="361D6083"/>
    <w:rsid w:val="363160E8"/>
    <w:rsid w:val="364A608C"/>
    <w:rsid w:val="364C21A1"/>
    <w:rsid w:val="368E7F7A"/>
    <w:rsid w:val="36981915"/>
    <w:rsid w:val="36A7267E"/>
    <w:rsid w:val="36C02DE4"/>
    <w:rsid w:val="36C46063"/>
    <w:rsid w:val="36EF0964"/>
    <w:rsid w:val="36FA12C5"/>
    <w:rsid w:val="372E0D47"/>
    <w:rsid w:val="373C1E47"/>
    <w:rsid w:val="37487137"/>
    <w:rsid w:val="374B2E2B"/>
    <w:rsid w:val="374F291D"/>
    <w:rsid w:val="376F784C"/>
    <w:rsid w:val="37753AFC"/>
    <w:rsid w:val="37816E64"/>
    <w:rsid w:val="379E4B3A"/>
    <w:rsid w:val="37AE31C5"/>
    <w:rsid w:val="37E7226A"/>
    <w:rsid w:val="37F708BD"/>
    <w:rsid w:val="37FB44BE"/>
    <w:rsid w:val="37FE3B62"/>
    <w:rsid w:val="3807365F"/>
    <w:rsid w:val="38074CAF"/>
    <w:rsid w:val="38841206"/>
    <w:rsid w:val="38842B21"/>
    <w:rsid w:val="388A0F0C"/>
    <w:rsid w:val="388F1F05"/>
    <w:rsid w:val="389A280A"/>
    <w:rsid w:val="38A5656B"/>
    <w:rsid w:val="38B22A36"/>
    <w:rsid w:val="38B842AB"/>
    <w:rsid w:val="38C200F3"/>
    <w:rsid w:val="38E21299"/>
    <w:rsid w:val="38E82A6A"/>
    <w:rsid w:val="38E91841"/>
    <w:rsid w:val="38EA21D0"/>
    <w:rsid w:val="38ED5E93"/>
    <w:rsid w:val="390031DA"/>
    <w:rsid w:val="39006B5D"/>
    <w:rsid w:val="390B4877"/>
    <w:rsid w:val="391334D5"/>
    <w:rsid w:val="39745EB7"/>
    <w:rsid w:val="398E2379"/>
    <w:rsid w:val="39904FFE"/>
    <w:rsid w:val="39967A4F"/>
    <w:rsid w:val="39A64349"/>
    <w:rsid w:val="39AA21F8"/>
    <w:rsid w:val="39B373A8"/>
    <w:rsid w:val="39C848E7"/>
    <w:rsid w:val="39D32535"/>
    <w:rsid w:val="39D569DC"/>
    <w:rsid w:val="39E60BE9"/>
    <w:rsid w:val="39F66885"/>
    <w:rsid w:val="3A173289"/>
    <w:rsid w:val="3A2002B9"/>
    <w:rsid w:val="3A3404B8"/>
    <w:rsid w:val="3A5969D7"/>
    <w:rsid w:val="3A615D93"/>
    <w:rsid w:val="3A655FB2"/>
    <w:rsid w:val="3A7D0EFD"/>
    <w:rsid w:val="3A8A2CAF"/>
    <w:rsid w:val="3A8C79E3"/>
    <w:rsid w:val="3A98147F"/>
    <w:rsid w:val="3AA8258A"/>
    <w:rsid w:val="3AB00351"/>
    <w:rsid w:val="3AB02FA5"/>
    <w:rsid w:val="3AE6228D"/>
    <w:rsid w:val="3B1E031B"/>
    <w:rsid w:val="3B20012B"/>
    <w:rsid w:val="3B285155"/>
    <w:rsid w:val="3B3A7D13"/>
    <w:rsid w:val="3B3C43AA"/>
    <w:rsid w:val="3B472B34"/>
    <w:rsid w:val="3B567FF1"/>
    <w:rsid w:val="3B5A4D5F"/>
    <w:rsid w:val="3B7558E0"/>
    <w:rsid w:val="3B9F3746"/>
    <w:rsid w:val="3BAF5DD3"/>
    <w:rsid w:val="3BB56AC5"/>
    <w:rsid w:val="3BB64CFB"/>
    <w:rsid w:val="3BCD723F"/>
    <w:rsid w:val="3BE473AB"/>
    <w:rsid w:val="3C101301"/>
    <w:rsid w:val="3C1A63FE"/>
    <w:rsid w:val="3C2A1B75"/>
    <w:rsid w:val="3C455744"/>
    <w:rsid w:val="3C5938F5"/>
    <w:rsid w:val="3C59458E"/>
    <w:rsid w:val="3C5B4AA8"/>
    <w:rsid w:val="3C6A70E9"/>
    <w:rsid w:val="3C87185B"/>
    <w:rsid w:val="3C9568F7"/>
    <w:rsid w:val="3CBC1F12"/>
    <w:rsid w:val="3CBD1D89"/>
    <w:rsid w:val="3CDD2030"/>
    <w:rsid w:val="3CE942B0"/>
    <w:rsid w:val="3CF47E52"/>
    <w:rsid w:val="3D001E69"/>
    <w:rsid w:val="3D040AF0"/>
    <w:rsid w:val="3D1309DC"/>
    <w:rsid w:val="3D197528"/>
    <w:rsid w:val="3D29054B"/>
    <w:rsid w:val="3D3954D4"/>
    <w:rsid w:val="3D497C25"/>
    <w:rsid w:val="3D4D0ABF"/>
    <w:rsid w:val="3D526936"/>
    <w:rsid w:val="3D5C0FE1"/>
    <w:rsid w:val="3D5D11C3"/>
    <w:rsid w:val="3D75235E"/>
    <w:rsid w:val="3D787C3F"/>
    <w:rsid w:val="3D85696B"/>
    <w:rsid w:val="3D8B21D4"/>
    <w:rsid w:val="3D931F15"/>
    <w:rsid w:val="3D954ED7"/>
    <w:rsid w:val="3DB650F7"/>
    <w:rsid w:val="3DBE1EF0"/>
    <w:rsid w:val="3DD218ED"/>
    <w:rsid w:val="3E1D7988"/>
    <w:rsid w:val="3E2640C3"/>
    <w:rsid w:val="3E2829A7"/>
    <w:rsid w:val="3E3A7756"/>
    <w:rsid w:val="3E3D28CD"/>
    <w:rsid w:val="3E490C82"/>
    <w:rsid w:val="3E5766DA"/>
    <w:rsid w:val="3EA87EB5"/>
    <w:rsid w:val="3EAD5738"/>
    <w:rsid w:val="3EAE43A0"/>
    <w:rsid w:val="3EC82FB3"/>
    <w:rsid w:val="3ECD4126"/>
    <w:rsid w:val="3EF42816"/>
    <w:rsid w:val="3EF43DA9"/>
    <w:rsid w:val="3EFE3805"/>
    <w:rsid w:val="3F054809"/>
    <w:rsid w:val="3F280936"/>
    <w:rsid w:val="3F340649"/>
    <w:rsid w:val="3F3643C1"/>
    <w:rsid w:val="3F394E34"/>
    <w:rsid w:val="3F5C0D92"/>
    <w:rsid w:val="3F5D31CC"/>
    <w:rsid w:val="3F892368"/>
    <w:rsid w:val="3F937B2C"/>
    <w:rsid w:val="3FA21419"/>
    <w:rsid w:val="3FC65745"/>
    <w:rsid w:val="3FCB1064"/>
    <w:rsid w:val="3FD37A21"/>
    <w:rsid w:val="3FD528D1"/>
    <w:rsid w:val="3FE060DB"/>
    <w:rsid w:val="3FEF7A43"/>
    <w:rsid w:val="3FF72BDD"/>
    <w:rsid w:val="400C1023"/>
    <w:rsid w:val="40122FCF"/>
    <w:rsid w:val="40185875"/>
    <w:rsid w:val="40391D8F"/>
    <w:rsid w:val="4041301D"/>
    <w:rsid w:val="40770E48"/>
    <w:rsid w:val="407B0539"/>
    <w:rsid w:val="407F2D00"/>
    <w:rsid w:val="409107DD"/>
    <w:rsid w:val="40AB5008"/>
    <w:rsid w:val="40D300F5"/>
    <w:rsid w:val="40D979B2"/>
    <w:rsid w:val="40DE01D9"/>
    <w:rsid w:val="40ED0A97"/>
    <w:rsid w:val="40F830F8"/>
    <w:rsid w:val="41021F4C"/>
    <w:rsid w:val="4113523C"/>
    <w:rsid w:val="41144C6A"/>
    <w:rsid w:val="411B73DB"/>
    <w:rsid w:val="4125450C"/>
    <w:rsid w:val="41524DB6"/>
    <w:rsid w:val="415D7063"/>
    <w:rsid w:val="41794ED2"/>
    <w:rsid w:val="418737DA"/>
    <w:rsid w:val="41973F00"/>
    <w:rsid w:val="41A536F9"/>
    <w:rsid w:val="41AC7E24"/>
    <w:rsid w:val="41B95DF1"/>
    <w:rsid w:val="41C41EBD"/>
    <w:rsid w:val="41D854BE"/>
    <w:rsid w:val="420328B9"/>
    <w:rsid w:val="42112457"/>
    <w:rsid w:val="42166241"/>
    <w:rsid w:val="422F5E98"/>
    <w:rsid w:val="42546C14"/>
    <w:rsid w:val="425C6C61"/>
    <w:rsid w:val="427F1BDB"/>
    <w:rsid w:val="428048E1"/>
    <w:rsid w:val="42823509"/>
    <w:rsid w:val="4295155E"/>
    <w:rsid w:val="429A21D8"/>
    <w:rsid w:val="42AD5D08"/>
    <w:rsid w:val="42B2644E"/>
    <w:rsid w:val="42B51F06"/>
    <w:rsid w:val="42CA5FA0"/>
    <w:rsid w:val="43204077"/>
    <w:rsid w:val="43212C92"/>
    <w:rsid w:val="43287DFF"/>
    <w:rsid w:val="432A2749"/>
    <w:rsid w:val="43382DA2"/>
    <w:rsid w:val="437004DF"/>
    <w:rsid w:val="43717A0B"/>
    <w:rsid w:val="43A67007"/>
    <w:rsid w:val="43A86F10"/>
    <w:rsid w:val="43B330A8"/>
    <w:rsid w:val="43CA157C"/>
    <w:rsid w:val="43E721D3"/>
    <w:rsid w:val="43EC32A0"/>
    <w:rsid w:val="43ED075C"/>
    <w:rsid w:val="43F54197"/>
    <w:rsid w:val="440E57F4"/>
    <w:rsid w:val="444609F6"/>
    <w:rsid w:val="446A2412"/>
    <w:rsid w:val="446D2DC8"/>
    <w:rsid w:val="44725AF2"/>
    <w:rsid w:val="449A4B87"/>
    <w:rsid w:val="449A6418"/>
    <w:rsid w:val="44BA4FD7"/>
    <w:rsid w:val="44BE4BBC"/>
    <w:rsid w:val="44BE5822"/>
    <w:rsid w:val="44D51F86"/>
    <w:rsid w:val="44D631F8"/>
    <w:rsid w:val="44E663D7"/>
    <w:rsid w:val="44FD4B3A"/>
    <w:rsid w:val="450E4321"/>
    <w:rsid w:val="451F3201"/>
    <w:rsid w:val="452837C5"/>
    <w:rsid w:val="455D1FCD"/>
    <w:rsid w:val="455F6FCB"/>
    <w:rsid w:val="456F6ED9"/>
    <w:rsid w:val="457D0FE9"/>
    <w:rsid w:val="45844238"/>
    <w:rsid w:val="458539AC"/>
    <w:rsid w:val="458B4DE9"/>
    <w:rsid w:val="45916115"/>
    <w:rsid w:val="4592754D"/>
    <w:rsid w:val="45A02A9B"/>
    <w:rsid w:val="45C71DDB"/>
    <w:rsid w:val="45D60EF0"/>
    <w:rsid w:val="45D87CB9"/>
    <w:rsid w:val="45DA5C79"/>
    <w:rsid w:val="45F33346"/>
    <w:rsid w:val="45F8591F"/>
    <w:rsid w:val="460346FB"/>
    <w:rsid w:val="46466103"/>
    <w:rsid w:val="464E28BD"/>
    <w:rsid w:val="465A0CE8"/>
    <w:rsid w:val="46636835"/>
    <w:rsid w:val="46733DB2"/>
    <w:rsid w:val="46773555"/>
    <w:rsid w:val="46A07194"/>
    <w:rsid w:val="46A95479"/>
    <w:rsid w:val="46AE4DD2"/>
    <w:rsid w:val="46B0341C"/>
    <w:rsid w:val="46B34549"/>
    <w:rsid w:val="46B95A90"/>
    <w:rsid w:val="46BA4959"/>
    <w:rsid w:val="46C73B51"/>
    <w:rsid w:val="46D15EB0"/>
    <w:rsid w:val="46D82400"/>
    <w:rsid w:val="46EF0EC3"/>
    <w:rsid w:val="4710374A"/>
    <w:rsid w:val="4729480B"/>
    <w:rsid w:val="473A2575"/>
    <w:rsid w:val="474B45FC"/>
    <w:rsid w:val="47590C4D"/>
    <w:rsid w:val="4765490F"/>
    <w:rsid w:val="47705BB8"/>
    <w:rsid w:val="47D318F9"/>
    <w:rsid w:val="47E04A28"/>
    <w:rsid w:val="47E744AA"/>
    <w:rsid w:val="47FC77AB"/>
    <w:rsid w:val="480451D0"/>
    <w:rsid w:val="48063D5E"/>
    <w:rsid w:val="48162150"/>
    <w:rsid w:val="48167AE8"/>
    <w:rsid w:val="482A3CF7"/>
    <w:rsid w:val="483738A3"/>
    <w:rsid w:val="48777F4D"/>
    <w:rsid w:val="488162D3"/>
    <w:rsid w:val="488779FB"/>
    <w:rsid w:val="48887540"/>
    <w:rsid w:val="48A42FAD"/>
    <w:rsid w:val="48D32BDC"/>
    <w:rsid w:val="48E54625"/>
    <w:rsid w:val="48EA66D8"/>
    <w:rsid w:val="48FA6D19"/>
    <w:rsid w:val="4914489A"/>
    <w:rsid w:val="49184DB0"/>
    <w:rsid w:val="491C0184"/>
    <w:rsid w:val="493039E2"/>
    <w:rsid w:val="4947077A"/>
    <w:rsid w:val="494805CB"/>
    <w:rsid w:val="494D6D05"/>
    <w:rsid w:val="49535B70"/>
    <w:rsid w:val="495938AA"/>
    <w:rsid w:val="495B08F6"/>
    <w:rsid w:val="49782884"/>
    <w:rsid w:val="497F0713"/>
    <w:rsid w:val="498A016F"/>
    <w:rsid w:val="49A04CC0"/>
    <w:rsid w:val="49A061BE"/>
    <w:rsid w:val="49A27D5F"/>
    <w:rsid w:val="49A36CE7"/>
    <w:rsid w:val="49A4245E"/>
    <w:rsid w:val="49B1684A"/>
    <w:rsid w:val="49E5749A"/>
    <w:rsid w:val="49F37F0C"/>
    <w:rsid w:val="49FA4639"/>
    <w:rsid w:val="49FE6B2E"/>
    <w:rsid w:val="4A370F44"/>
    <w:rsid w:val="4A772AFC"/>
    <w:rsid w:val="4A834233"/>
    <w:rsid w:val="4B014E39"/>
    <w:rsid w:val="4B04271D"/>
    <w:rsid w:val="4B2A05A0"/>
    <w:rsid w:val="4B3A23F9"/>
    <w:rsid w:val="4B44006C"/>
    <w:rsid w:val="4B4627DA"/>
    <w:rsid w:val="4B716E2D"/>
    <w:rsid w:val="4B863B11"/>
    <w:rsid w:val="4B94369C"/>
    <w:rsid w:val="4BAE5327"/>
    <w:rsid w:val="4BB67896"/>
    <w:rsid w:val="4BD27220"/>
    <w:rsid w:val="4BF2341E"/>
    <w:rsid w:val="4BFA282F"/>
    <w:rsid w:val="4BFB2A5E"/>
    <w:rsid w:val="4BFB556E"/>
    <w:rsid w:val="4C15710C"/>
    <w:rsid w:val="4C1E3C30"/>
    <w:rsid w:val="4C271CF5"/>
    <w:rsid w:val="4C3D6D8F"/>
    <w:rsid w:val="4C51276D"/>
    <w:rsid w:val="4C612351"/>
    <w:rsid w:val="4CA35AB2"/>
    <w:rsid w:val="4CA5064C"/>
    <w:rsid w:val="4CCE2BC8"/>
    <w:rsid w:val="4CCE5C39"/>
    <w:rsid w:val="4CD15548"/>
    <w:rsid w:val="4CD35265"/>
    <w:rsid w:val="4CF15365"/>
    <w:rsid w:val="4D0C12F6"/>
    <w:rsid w:val="4D134C44"/>
    <w:rsid w:val="4D2A6BE7"/>
    <w:rsid w:val="4D4574CF"/>
    <w:rsid w:val="4D494DA1"/>
    <w:rsid w:val="4D4B1038"/>
    <w:rsid w:val="4D4C7C7F"/>
    <w:rsid w:val="4D4D23A2"/>
    <w:rsid w:val="4D5819A6"/>
    <w:rsid w:val="4D637E12"/>
    <w:rsid w:val="4DB4130B"/>
    <w:rsid w:val="4DB50A61"/>
    <w:rsid w:val="4DB528BE"/>
    <w:rsid w:val="4DBA440F"/>
    <w:rsid w:val="4DBF35A7"/>
    <w:rsid w:val="4DD57BC2"/>
    <w:rsid w:val="4DED2BA0"/>
    <w:rsid w:val="4E384E18"/>
    <w:rsid w:val="4E3C59C3"/>
    <w:rsid w:val="4E4A7541"/>
    <w:rsid w:val="4E505B47"/>
    <w:rsid w:val="4E524648"/>
    <w:rsid w:val="4E6A2BCE"/>
    <w:rsid w:val="4E7229C4"/>
    <w:rsid w:val="4E765BA1"/>
    <w:rsid w:val="4E9C79A7"/>
    <w:rsid w:val="4E9D7347"/>
    <w:rsid w:val="4EB42C0C"/>
    <w:rsid w:val="4EC418FE"/>
    <w:rsid w:val="4ED24B8F"/>
    <w:rsid w:val="4EF23C29"/>
    <w:rsid w:val="4EFE38D4"/>
    <w:rsid w:val="4EFE5390"/>
    <w:rsid w:val="4F177F55"/>
    <w:rsid w:val="4F192C84"/>
    <w:rsid w:val="4F1D6A04"/>
    <w:rsid w:val="4F351C75"/>
    <w:rsid w:val="4F371313"/>
    <w:rsid w:val="4F3C40D8"/>
    <w:rsid w:val="4F64497A"/>
    <w:rsid w:val="4F675ED1"/>
    <w:rsid w:val="4FAC1446"/>
    <w:rsid w:val="4FBC4E36"/>
    <w:rsid w:val="4FD318AB"/>
    <w:rsid w:val="4FD87D0C"/>
    <w:rsid w:val="502D2C76"/>
    <w:rsid w:val="504466D4"/>
    <w:rsid w:val="50485D02"/>
    <w:rsid w:val="50593A6B"/>
    <w:rsid w:val="505D33F6"/>
    <w:rsid w:val="506373B6"/>
    <w:rsid w:val="5066262C"/>
    <w:rsid w:val="507A65AB"/>
    <w:rsid w:val="50862061"/>
    <w:rsid w:val="508C2401"/>
    <w:rsid w:val="509C5AEA"/>
    <w:rsid w:val="50AC243E"/>
    <w:rsid w:val="50E23A41"/>
    <w:rsid w:val="50E96241"/>
    <w:rsid w:val="51095DF3"/>
    <w:rsid w:val="511E4826"/>
    <w:rsid w:val="512548F2"/>
    <w:rsid w:val="512879D2"/>
    <w:rsid w:val="512F31D9"/>
    <w:rsid w:val="513D0E6F"/>
    <w:rsid w:val="514A4F1E"/>
    <w:rsid w:val="514C4457"/>
    <w:rsid w:val="51566FA2"/>
    <w:rsid w:val="517A6384"/>
    <w:rsid w:val="519252C5"/>
    <w:rsid w:val="51A451BA"/>
    <w:rsid w:val="51AF03DA"/>
    <w:rsid w:val="51B05DB2"/>
    <w:rsid w:val="51BF0246"/>
    <w:rsid w:val="51C4517F"/>
    <w:rsid w:val="51C759C9"/>
    <w:rsid w:val="51EB11CD"/>
    <w:rsid w:val="51F8488A"/>
    <w:rsid w:val="52082D3C"/>
    <w:rsid w:val="52222EB5"/>
    <w:rsid w:val="52321763"/>
    <w:rsid w:val="523A1735"/>
    <w:rsid w:val="524A0F73"/>
    <w:rsid w:val="524C41A5"/>
    <w:rsid w:val="52697C55"/>
    <w:rsid w:val="529B31C7"/>
    <w:rsid w:val="52A13B73"/>
    <w:rsid w:val="52A24537"/>
    <w:rsid w:val="52ED6FB1"/>
    <w:rsid w:val="52FB049E"/>
    <w:rsid w:val="52FC6541"/>
    <w:rsid w:val="53016F33"/>
    <w:rsid w:val="53065675"/>
    <w:rsid w:val="533146A8"/>
    <w:rsid w:val="533B3826"/>
    <w:rsid w:val="534A7FE3"/>
    <w:rsid w:val="534F0BAB"/>
    <w:rsid w:val="536F7A4A"/>
    <w:rsid w:val="53A771E4"/>
    <w:rsid w:val="53B06C4C"/>
    <w:rsid w:val="53C53E12"/>
    <w:rsid w:val="53C5766A"/>
    <w:rsid w:val="53E421E6"/>
    <w:rsid w:val="53F54A09"/>
    <w:rsid w:val="540061C5"/>
    <w:rsid w:val="54030264"/>
    <w:rsid w:val="540627A3"/>
    <w:rsid w:val="54163097"/>
    <w:rsid w:val="544F7544"/>
    <w:rsid w:val="545D3F1C"/>
    <w:rsid w:val="546B4490"/>
    <w:rsid w:val="546C7AF6"/>
    <w:rsid w:val="54753AA5"/>
    <w:rsid w:val="54754BEC"/>
    <w:rsid w:val="54830907"/>
    <w:rsid w:val="54837309"/>
    <w:rsid w:val="54CC31B5"/>
    <w:rsid w:val="54EC025D"/>
    <w:rsid w:val="54F53A05"/>
    <w:rsid w:val="550A2531"/>
    <w:rsid w:val="550C72B7"/>
    <w:rsid w:val="55321795"/>
    <w:rsid w:val="554259E1"/>
    <w:rsid w:val="554B168C"/>
    <w:rsid w:val="55553E18"/>
    <w:rsid w:val="55595E36"/>
    <w:rsid w:val="555F38B9"/>
    <w:rsid w:val="55633C1C"/>
    <w:rsid w:val="556825AC"/>
    <w:rsid w:val="5576055B"/>
    <w:rsid w:val="557E12E2"/>
    <w:rsid w:val="55A501C4"/>
    <w:rsid w:val="55AF7E22"/>
    <w:rsid w:val="55BA66A9"/>
    <w:rsid w:val="55C43A6D"/>
    <w:rsid w:val="55D85898"/>
    <w:rsid w:val="55E87B1A"/>
    <w:rsid w:val="56010B19"/>
    <w:rsid w:val="564505A1"/>
    <w:rsid w:val="564A6B43"/>
    <w:rsid w:val="565C2231"/>
    <w:rsid w:val="565F394E"/>
    <w:rsid w:val="56777FC3"/>
    <w:rsid w:val="568A6C6F"/>
    <w:rsid w:val="56933A4F"/>
    <w:rsid w:val="569B2050"/>
    <w:rsid w:val="56A83D23"/>
    <w:rsid w:val="56C21867"/>
    <w:rsid w:val="57084AE0"/>
    <w:rsid w:val="57164A47"/>
    <w:rsid w:val="571C3D6B"/>
    <w:rsid w:val="571F452A"/>
    <w:rsid w:val="571F7891"/>
    <w:rsid w:val="572343A9"/>
    <w:rsid w:val="572D48DD"/>
    <w:rsid w:val="572D5C52"/>
    <w:rsid w:val="57553846"/>
    <w:rsid w:val="5756180B"/>
    <w:rsid w:val="5762159B"/>
    <w:rsid w:val="577216B2"/>
    <w:rsid w:val="579509C7"/>
    <w:rsid w:val="579D553A"/>
    <w:rsid w:val="57A973C0"/>
    <w:rsid w:val="57AD7AE7"/>
    <w:rsid w:val="57B57363"/>
    <w:rsid w:val="57B62CE2"/>
    <w:rsid w:val="57B92419"/>
    <w:rsid w:val="57BA5086"/>
    <w:rsid w:val="57C10684"/>
    <w:rsid w:val="57CC2F54"/>
    <w:rsid w:val="57CC7219"/>
    <w:rsid w:val="57CF18FE"/>
    <w:rsid w:val="57D369BC"/>
    <w:rsid w:val="57DA7B88"/>
    <w:rsid w:val="57E2382A"/>
    <w:rsid w:val="57E36310"/>
    <w:rsid w:val="57E43CE6"/>
    <w:rsid w:val="58067046"/>
    <w:rsid w:val="580738AF"/>
    <w:rsid w:val="582346FA"/>
    <w:rsid w:val="58277A16"/>
    <w:rsid w:val="58310E71"/>
    <w:rsid w:val="58437985"/>
    <w:rsid w:val="585E590B"/>
    <w:rsid w:val="58B24473"/>
    <w:rsid w:val="58C06DD0"/>
    <w:rsid w:val="58CE6FC1"/>
    <w:rsid w:val="58D13E39"/>
    <w:rsid w:val="58E5035E"/>
    <w:rsid w:val="58FA6008"/>
    <w:rsid w:val="590734FB"/>
    <w:rsid w:val="591907F4"/>
    <w:rsid w:val="59260BAB"/>
    <w:rsid w:val="592F7A5F"/>
    <w:rsid w:val="593836A9"/>
    <w:rsid w:val="594B0F85"/>
    <w:rsid w:val="594F4847"/>
    <w:rsid w:val="59567793"/>
    <w:rsid w:val="595A43BE"/>
    <w:rsid w:val="599B50F5"/>
    <w:rsid w:val="59B14918"/>
    <w:rsid w:val="59C96D08"/>
    <w:rsid w:val="59D61290"/>
    <w:rsid w:val="59DF6694"/>
    <w:rsid w:val="5A0E69B6"/>
    <w:rsid w:val="5A0F163F"/>
    <w:rsid w:val="5A167109"/>
    <w:rsid w:val="5A236E98"/>
    <w:rsid w:val="5A5C23B6"/>
    <w:rsid w:val="5A960290"/>
    <w:rsid w:val="5AAE70AA"/>
    <w:rsid w:val="5ADC2449"/>
    <w:rsid w:val="5AFB40DB"/>
    <w:rsid w:val="5B0A6270"/>
    <w:rsid w:val="5B4A4C11"/>
    <w:rsid w:val="5B4B66A7"/>
    <w:rsid w:val="5B74386F"/>
    <w:rsid w:val="5B881776"/>
    <w:rsid w:val="5B8A5692"/>
    <w:rsid w:val="5B8C30E2"/>
    <w:rsid w:val="5BAD71F7"/>
    <w:rsid w:val="5BB57706"/>
    <w:rsid w:val="5BF46D3E"/>
    <w:rsid w:val="5C012D4D"/>
    <w:rsid w:val="5C2D0EE9"/>
    <w:rsid w:val="5C553C81"/>
    <w:rsid w:val="5C6A19F9"/>
    <w:rsid w:val="5C6B2683"/>
    <w:rsid w:val="5C7C6288"/>
    <w:rsid w:val="5C890AEE"/>
    <w:rsid w:val="5C9B365E"/>
    <w:rsid w:val="5CB151DB"/>
    <w:rsid w:val="5CB80C32"/>
    <w:rsid w:val="5CBF734C"/>
    <w:rsid w:val="5CCC1228"/>
    <w:rsid w:val="5CD147E7"/>
    <w:rsid w:val="5CD25402"/>
    <w:rsid w:val="5CE449B3"/>
    <w:rsid w:val="5CE97BA7"/>
    <w:rsid w:val="5CFD7258"/>
    <w:rsid w:val="5D1A4582"/>
    <w:rsid w:val="5D2C7548"/>
    <w:rsid w:val="5D4351CF"/>
    <w:rsid w:val="5DA830AD"/>
    <w:rsid w:val="5DC80482"/>
    <w:rsid w:val="5DD4742E"/>
    <w:rsid w:val="5DE64A71"/>
    <w:rsid w:val="5DE64B7D"/>
    <w:rsid w:val="5E08142B"/>
    <w:rsid w:val="5E0A7679"/>
    <w:rsid w:val="5E253B1C"/>
    <w:rsid w:val="5E254310"/>
    <w:rsid w:val="5E34491B"/>
    <w:rsid w:val="5E5000B4"/>
    <w:rsid w:val="5E52592E"/>
    <w:rsid w:val="5E5D7F21"/>
    <w:rsid w:val="5E7E6D93"/>
    <w:rsid w:val="5E9E02C7"/>
    <w:rsid w:val="5EA552F2"/>
    <w:rsid w:val="5EBA18C1"/>
    <w:rsid w:val="5EBC0561"/>
    <w:rsid w:val="5EC11B7F"/>
    <w:rsid w:val="5ED0552E"/>
    <w:rsid w:val="5EE43A05"/>
    <w:rsid w:val="5EF4181F"/>
    <w:rsid w:val="5F311F0D"/>
    <w:rsid w:val="5F376D86"/>
    <w:rsid w:val="5F48187B"/>
    <w:rsid w:val="5F571ABE"/>
    <w:rsid w:val="5F7E1A8C"/>
    <w:rsid w:val="5F8B5DFF"/>
    <w:rsid w:val="5F904BC5"/>
    <w:rsid w:val="5FA35296"/>
    <w:rsid w:val="5FA55B60"/>
    <w:rsid w:val="5FAF18FA"/>
    <w:rsid w:val="5FCA2AC0"/>
    <w:rsid w:val="5FCC305F"/>
    <w:rsid w:val="5FE0450C"/>
    <w:rsid w:val="60011A2A"/>
    <w:rsid w:val="60042075"/>
    <w:rsid w:val="602D3ADF"/>
    <w:rsid w:val="603E2C7E"/>
    <w:rsid w:val="60571300"/>
    <w:rsid w:val="606D72B0"/>
    <w:rsid w:val="6075257A"/>
    <w:rsid w:val="607D01A8"/>
    <w:rsid w:val="60814B98"/>
    <w:rsid w:val="608647FB"/>
    <w:rsid w:val="60B506D1"/>
    <w:rsid w:val="60BC5C6D"/>
    <w:rsid w:val="60CB69E6"/>
    <w:rsid w:val="60D33784"/>
    <w:rsid w:val="60D57D69"/>
    <w:rsid w:val="60EC35BF"/>
    <w:rsid w:val="60FF065F"/>
    <w:rsid w:val="610120A5"/>
    <w:rsid w:val="61102184"/>
    <w:rsid w:val="61123C94"/>
    <w:rsid w:val="612B4734"/>
    <w:rsid w:val="61711018"/>
    <w:rsid w:val="617F2857"/>
    <w:rsid w:val="61843050"/>
    <w:rsid w:val="61864830"/>
    <w:rsid w:val="61900DCF"/>
    <w:rsid w:val="619A276D"/>
    <w:rsid w:val="61A11B98"/>
    <w:rsid w:val="61AA41D8"/>
    <w:rsid w:val="61AB534D"/>
    <w:rsid w:val="61B4420E"/>
    <w:rsid w:val="61B551C2"/>
    <w:rsid w:val="61BB06B6"/>
    <w:rsid w:val="61C45773"/>
    <w:rsid w:val="61F71336"/>
    <w:rsid w:val="622C3736"/>
    <w:rsid w:val="62314848"/>
    <w:rsid w:val="623E3C23"/>
    <w:rsid w:val="624E31D0"/>
    <w:rsid w:val="62622DFB"/>
    <w:rsid w:val="627363E3"/>
    <w:rsid w:val="62754788"/>
    <w:rsid w:val="627703DF"/>
    <w:rsid w:val="62786AC1"/>
    <w:rsid w:val="62B06379"/>
    <w:rsid w:val="62C06CDE"/>
    <w:rsid w:val="62C14866"/>
    <w:rsid w:val="62C751AC"/>
    <w:rsid w:val="62D548D4"/>
    <w:rsid w:val="62DD052C"/>
    <w:rsid w:val="62E21FE6"/>
    <w:rsid w:val="632D66D7"/>
    <w:rsid w:val="634D2A92"/>
    <w:rsid w:val="635348C2"/>
    <w:rsid w:val="636C18B0"/>
    <w:rsid w:val="637864A7"/>
    <w:rsid w:val="637A5594"/>
    <w:rsid w:val="637F25EE"/>
    <w:rsid w:val="638A4E16"/>
    <w:rsid w:val="63C17E4E"/>
    <w:rsid w:val="63C31359"/>
    <w:rsid w:val="63D211A0"/>
    <w:rsid w:val="63D31079"/>
    <w:rsid w:val="64085FE2"/>
    <w:rsid w:val="640B10C9"/>
    <w:rsid w:val="641205E0"/>
    <w:rsid w:val="641B2B1B"/>
    <w:rsid w:val="6432186F"/>
    <w:rsid w:val="643423CE"/>
    <w:rsid w:val="64364712"/>
    <w:rsid w:val="64406FC4"/>
    <w:rsid w:val="6445282D"/>
    <w:rsid w:val="644F5CEA"/>
    <w:rsid w:val="645171A5"/>
    <w:rsid w:val="64591E34"/>
    <w:rsid w:val="646E4F44"/>
    <w:rsid w:val="646F086E"/>
    <w:rsid w:val="64915A24"/>
    <w:rsid w:val="64A26B90"/>
    <w:rsid w:val="64AB6568"/>
    <w:rsid w:val="64C30E6C"/>
    <w:rsid w:val="64C33752"/>
    <w:rsid w:val="64DB1ED4"/>
    <w:rsid w:val="64DE5BE0"/>
    <w:rsid w:val="64E82BC8"/>
    <w:rsid w:val="65093FB7"/>
    <w:rsid w:val="65183A9D"/>
    <w:rsid w:val="6520139B"/>
    <w:rsid w:val="652354C5"/>
    <w:rsid w:val="6524339F"/>
    <w:rsid w:val="65256C99"/>
    <w:rsid w:val="65355DF9"/>
    <w:rsid w:val="65532DA0"/>
    <w:rsid w:val="656A6EA9"/>
    <w:rsid w:val="657E5DC6"/>
    <w:rsid w:val="65A00B3D"/>
    <w:rsid w:val="65AD581B"/>
    <w:rsid w:val="66061B48"/>
    <w:rsid w:val="662C6A34"/>
    <w:rsid w:val="664277CD"/>
    <w:rsid w:val="66632596"/>
    <w:rsid w:val="6695111E"/>
    <w:rsid w:val="66974E96"/>
    <w:rsid w:val="670F0ED0"/>
    <w:rsid w:val="671543CB"/>
    <w:rsid w:val="671E7669"/>
    <w:rsid w:val="67546F50"/>
    <w:rsid w:val="675B346C"/>
    <w:rsid w:val="676E57FB"/>
    <w:rsid w:val="677C4AF0"/>
    <w:rsid w:val="677C5A1E"/>
    <w:rsid w:val="67920713"/>
    <w:rsid w:val="67A22C39"/>
    <w:rsid w:val="67A36CA4"/>
    <w:rsid w:val="67B101D9"/>
    <w:rsid w:val="67B32D00"/>
    <w:rsid w:val="67C432B5"/>
    <w:rsid w:val="67C51CD1"/>
    <w:rsid w:val="67CA3576"/>
    <w:rsid w:val="680F708F"/>
    <w:rsid w:val="68245CC5"/>
    <w:rsid w:val="68755B25"/>
    <w:rsid w:val="688431F8"/>
    <w:rsid w:val="689768A9"/>
    <w:rsid w:val="68DA10C7"/>
    <w:rsid w:val="68DE00A5"/>
    <w:rsid w:val="68E414FB"/>
    <w:rsid w:val="69024E7D"/>
    <w:rsid w:val="690422F9"/>
    <w:rsid w:val="691D2949"/>
    <w:rsid w:val="692B3EEB"/>
    <w:rsid w:val="69511659"/>
    <w:rsid w:val="695F01B3"/>
    <w:rsid w:val="69652819"/>
    <w:rsid w:val="69740E9C"/>
    <w:rsid w:val="697B2A2E"/>
    <w:rsid w:val="698B3B86"/>
    <w:rsid w:val="699464E8"/>
    <w:rsid w:val="6998164F"/>
    <w:rsid w:val="699A7177"/>
    <w:rsid w:val="69A14E6A"/>
    <w:rsid w:val="69AA4EE0"/>
    <w:rsid w:val="69C82FD4"/>
    <w:rsid w:val="69F63CC2"/>
    <w:rsid w:val="69F76F06"/>
    <w:rsid w:val="69F95788"/>
    <w:rsid w:val="6A111A69"/>
    <w:rsid w:val="6A3912BA"/>
    <w:rsid w:val="6A394390"/>
    <w:rsid w:val="6A3B3C33"/>
    <w:rsid w:val="6A3D46F4"/>
    <w:rsid w:val="6A4315BC"/>
    <w:rsid w:val="6A476285"/>
    <w:rsid w:val="6A6A21F1"/>
    <w:rsid w:val="6A9260A0"/>
    <w:rsid w:val="6ABF2745"/>
    <w:rsid w:val="6AC052DF"/>
    <w:rsid w:val="6AC364B9"/>
    <w:rsid w:val="6AE44704"/>
    <w:rsid w:val="6AE54422"/>
    <w:rsid w:val="6AF16CA1"/>
    <w:rsid w:val="6B0A346D"/>
    <w:rsid w:val="6B1C2F58"/>
    <w:rsid w:val="6B2253AA"/>
    <w:rsid w:val="6B286A04"/>
    <w:rsid w:val="6B465884"/>
    <w:rsid w:val="6B74167C"/>
    <w:rsid w:val="6B8D3D19"/>
    <w:rsid w:val="6B936732"/>
    <w:rsid w:val="6B936945"/>
    <w:rsid w:val="6B96571C"/>
    <w:rsid w:val="6B9F1C3E"/>
    <w:rsid w:val="6BC64C77"/>
    <w:rsid w:val="6BC66E8F"/>
    <w:rsid w:val="6C0F274B"/>
    <w:rsid w:val="6C134FBF"/>
    <w:rsid w:val="6C5F6456"/>
    <w:rsid w:val="6C627CF4"/>
    <w:rsid w:val="6C6A090B"/>
    <w:rsid w:val="6C6D2921"/>
    <w:rsid w:val="6C73344A"/>
    <w:rsid w:val="6C746E94"/>
    <w:rsid w:val="6C7546AC"/>
    <w:rsid w:val="6C8031E6"/>
    <w:rsid w:val="6C8C60E1"/>
    <w:rsid w:val="6C8D4CF2"/>
    <w:rsid w:val="6CBE0C4D"/>
    <w:rsid w:val="6CCB3AEB"/>
    <w:rsid w:val="6CD10828"/>
    <w:rsid w:val="6CFC50C6"/>
    <w:rsid w:val="6D0A63C2"/>
    <w:rsid w:val="6D1024A0"/>
    <w:rsid w:val="6D1A5002"/>
    <w:rsid w:val="6D435C50"/>
    <w:rsid w:val="6D4C602D"/>
    <w:rsid w:val="6D613BD6"/>
    <w:rsid w:val="6D8406BF"/>
    <w:rsid w:val="6D84290A"/>
    <w:rsid w:val="6D8A5D00"/>
    <w:rsid w:val="6D8E6FF3"/>
    <w:rsid w:val="6D943BF5"/>
    <w:rsid w:val="6D9F66CF"/>
    <w:rsid w:val="6DA343EE"/>
    <w:rsid w:val="6DA4704F"/>
    <w:rsid w:val="6DA472EF"/>
    <w:rsid w:val="6DBA33C6"/>
    <w:rsid w:val="6DCC18C9"/>
    <w:rsid w:val="6DDF442E"/>
    <w:rsid w:val="6DE4571A"/>
    <w:rsid w:val="6DF66946"/>
    <w:rsid w:val="6DFD138C"/>
    <w:rsid w:val="6E071901"/>
    <w:rsid w:val="6E0728D3"/>
    <w:rsid w:val="6E2C6902"/>
    <w:rsid w:val="6E4678CD"/>
    <w:rsid w:val="6E511782"/>
    <w:rsid w:val="6E5813AF"/>
    <w:rsid w:val="6E6E2980"/>
    <w:rsid w:val="6E8F004B"/>
    <w:rsid w:val="6EAC7DB2"/>
    <w:rsid w:val="6EBE1783"/>
    <w:rsid w:val="6ED924EF"/>
    <w:rsid w:val="6EF92F92"/>
    <w:rsid w:val="6F1B634E"/>
    <w:rsid w:val="6F2179F2"/>
    <w:rsid w:val="6F2B2066"/>
    <w:rsid w:val="6F3632F9"/>
    <w:rsid w:val="6F497D22"/>
    <w:rsid w:val="6F50628D"/>
    <w:rsid w:val="6F585DD6"/>
    <w:rsid w:val="6F7B6738"/>
    <w:rsid w:val="6F832748"/>
    <w:rsid w:val="6FC85E76"/>
    <w:rsid w:val="6FD664F7"/>
    <w:rsid w:val="6FD874F0"/>
    <w:rsid w:val="701200B7"/>
    <w:rsid w:val="701B2694"/>
    <w:rsid w:val="70333E81"/>
    <w:rsid w:val="70334479"/>
    <w:rsid w:val="706031F7"/>
    <w:rsid w:val="70671D7D"/>
    <w:rsid w:val="706A5BC3"/>
    <w:rsid w:val="707D6FDF"/>
    <w:rsid w:val="70824DD6"/>
    <w:rsid w:val="70931E99"/>
    <w:rsid w:val="70A35B88"/>
    <w:rsid w:val="70B91B22"/>
    <w:rsid w:val="70DA7C73"/>
    <w:rsid w:val="70DF1913"/>
    <w:rsid w:val="70DF571C"/>
    <w:rsid w:val="70E21403"/>
    <w:rsid w:val="70EC49AE"/>
    <w:rsid w:val="70F21646"/>
    <w:rsid w:val="70FA17E5"/>
    <w:rsid w:val="7102107D"/>
    <w:rsid w:val="71241A1C"/>
    <w:rsid w:val="71466F47"/>
    <w:rsid w:val="71650526"/>
    <w:rsid w:val="716D5171"/>
    <w:rsid w:val="716F2C97"/>
    <w:rsid w:val="71785BF6"/>
    <w:rsid w:val="718017AD"/>
    <w:rsid w:val="71954192"/>
    <w:rsid w:val="71954FDA"/>
    <w:rsid w:val="71A63DB4"/>
    <w:rsid w:val="71A861A9"/>
    <w:rsid w:val="71AD7C63"/>
    <w:rsid w:val="71B22C2F"/>
    <w:rsid w:val="71CE7119"/>
    <w:rsid w:val="71DA1B12"/>
    <w:rsid w:val="71EC253A"/>
    <w:rsid w:val="7212699F"/>
    <w:rsid w:val="7225308B"/>
    <w:rsid w:val="724C0C12"/>
    <w:rsid w:val="72526028"/>
    <w:rsid w:val="72555A55"/>
    <w:rsid w:val="72586C7B"/>
    <w:rsid w:val="72646574"/>
    <w:rsid w:val="72797CB1"/>
    <w:rsid w:val="72982221"/>
    <w:rsid w:val="72AA4D7A"/>
    <w:rsid w:val="72BD03A7"/>
    <w:rsid w:val="72C14665"/>
    <w:rsid w:val="72D65B7D"/>
    <w:rsid w:val="72FC49FE"/>
    <w:rsid w:val="73086358"/>
    <w:rsid w:val="732D4A53"/>
    <w:rsid w:val="7330362D"/>
    <w:rsid w:val="733851B2"/>
    <w:rsid w:val="733B500C"/>
    <w:rsid w:val="734F204B"/>
    <w:rsid w:val="73770529"/>
    <w:rsid w:val="73800B33"/>
    <w:rsid w:val="73804C5E"/>
    <w:rsid w:val="7381115D"/>
    <w:rsid w:val="738B680C"/>
    <w:rsid w:val="73A57998"/>
    <w:rsid w:val="73C03C7E"/>
    <w:rsid w:val="73C97E80"/>
    <w:rsid w:val="73E111AC"/>
    <w:rsid w:val="74086509"/>
    <w:rsid w:val="740F250F"/>
    <w:rsid w:val="74323B10"/>
    <w:rsid w:val="7439758C"/>
    <w:rsid w:val="74640AAD"/>
    <w:rsid w:val="747E0B22"/>
    <w:rsid w:val="74891470"/>
    <w:rsid w:val="74934EEE"/>
    <w:rsid w:val="74BD3280"/>
    <w:rsid w:val="74FE7006"/>
    <w:rsid w:val="75196DE5"/>
    <w:rsid w:val="7521181E"/>
    <w:rsid w:val="756264EB"/>
    <w:rsid w:val="756579A3"/>
    <w:rsid w:val="758331B5"/>
    <w:rsid w:val="75871421"/>
    <w:rsid w:val="758D7B90"/>
    <w:rsid w:val="758E41ED"/>
    <w:rsid w:val="75A35ED5"/>
    <w:rsid w:val="75A52DA7"/>
    <w:rsid w:val="75BB4E6B"/>
    <w:rsid w:val="75D14529"/>
    <w:rsid w:val="75D719B2"/>
    <w:rsid w:val="75D752AF"/>
    <w:rsid w:val="75DA62B7"/>
    <w:rsid w:val="75E36C9A"/>
    <w:rsid w:val="760B4F58"/>
    <w:rsid w:val="76127425"/>
    <w:rsid w:val="76161FE7"/>
    <w:rsid w:val="7616399E"/>
    <w:rsid w:val="76177D7F"/>
    <w:rsid w:val="76481D09"/>
    <w:rsid w:val="765A4445"/>
    <w:rsid w:val="76665235"/>
    <w:rsid w:val="769F4581"/>
    <w:rsid w:val="76A66638"/>
    <w:rsid w:val="76AB2C13"/>
    <w:rsid w:val="76B1227C"/>
    <w:rsid w:val="76BF2EA4"/>
    <w:rsid w:val="76DA7E70"/>
    <w:rsid w:val="76FA4CC1"/>
    <w:rsid w:val="770B16B4"/>
    <w:rsid w:val="770F092C"/>
    <w:rsid w:val="771A35DE"/>
    <w:rsid w:val="771D68DA"/>
    <w:rsid w:val="77215189"/>
    <w:rsid w:val="77381D7D"/>
    <w:rsid w:val="77414905"/>
    <w:rsid w:val="774310DC"/>
    <w:rsid w:val="77495D38"/>
    <w:rsid w:val="776369E5"/>
    <w:rsid w:val="777165EE"/>
    <w:rsid w:val="77B5498B"/>
    <w:rsid w:val="77C3048F"/>
    <w:rsid w:val="77CC3857"/>
    <w:rsid w:val="77CE6299"/>
    <w:rsid w:val="77E617D9"/>
    <w:rsid w:val="781420EA"/>
    <w:rsid w:val="78225ACD"/>
    <w:rsid w:val="782B3690"/>
    <w:rsid w:val="78342545"/>
    <w:rsid w:val="784A1D68"/>
    <w:rsid w:val="785E4EE7"/>
    <w:rsid w:val="786C3FC5"/>
    <w:rsid w:val="78B74E51"/>
    <w:rsid w:val="78DA57B9"/>
    <w:rsid w:val="79241281"/>
    <w:rsid w:val="7925066A"/>
    <w:rsid w:val="792C0369"/>
    <w:rsid w:val="793547C6"/>
    <w:rsid w:val="79441595"/>
    <w:rsid w:val="79542A76"/>
    <w:rsid w:val="796D19BF"/>
    <w:rsid w:val="79842B92"/>
    <w:rsid w:val="79981665"/>
    <w:rsid w:val="79B02BFF"/>
    <w:rsid w:val="79B61120"/>
    <w:rsid w:val="79BB3FE5"/>
    <w:rsid w:val="79C30024"/>
    <w:rsid w:val="79D51B05"/>
    <w:rsid w:val="79E87A8A"/>
    <w:rsid w:val="79EB1329"/>
    <w:rsid w:val="7A0615F6"/>
    <w:rsid w:val="7A16135A"/>
    <w:rsid w:val="7A167146"/>
    <w:rsid w:val="7A187C44"/>
    <w:rsid w:val="7A1C2659"/>
    <w:rsid w:val="7A323B65"/>
    <w:rsid w:val="7A481DF0"/>
    <w:rsid w:val="7A5616AF"/>
    <w:rsid w:val="7A6835EA"/>
    <w:rsid w:val="7A7728CB"/>
    <w:rsid w:val="7A8111B2"/>
    <w:rsid w:val="7A84375F"/>
    <w:rsid w:val="7A953818"/>
    <w:rsid w:val="7A957049"/>
    <w:rsid w:val="7A957BAA"/>
    <w:rsid w:val="7AA9197D"/>
    <w:rsid w:val="7AB14634"/>
    <w:rsid w:val="7AB61937"/>
    <w:rsid w:val="7ACF6AF1"/>
    <w:rsid w:val="7AE704B1"/>
    <w:rsid w:val="7AEB45F7"/>
    <w:rsid w:val="7AFD574C"/>
    <w:rsid w:val="7B00756F"/>
    <w:rsid w:val="7B205CC3"/>
    <w:rsid w:val="7B4B600C"/>
    <w:rsid w:val="7B4E115C"/>
    <w:rsid w:val="7B58185E"/>
    <w:rsid w:val="7B6B0973"/>
    <w:rsid w:val="7B6D7075"/>
    <w:rsid w:val="7B832B77"/>
    <w:rsid w:val="7B9A08EC"/>
    <w:rsid w:val="7BA774D1"/>
    <w:rsid w:val="7BBA497F"/>
    <w:rsid w:val="7BBD74D2"/>
    <w:rsid w:val="7BCB1412"/>
    <w:rsid w:val="7BED2FF3"/>
    <w:rsid w:val="7BEF49C3"/>
    <w:rsid w:val="7C1879B2"/>
    <w:rsid w:val="7C365845"/>
    <w:rsid w:val="7C60493E"/>
    <w:rsid w:val="7C7D3800"/>
    <w:rsid w:val="7C7F7D49"/>
    <w:rsid w:val="7CAE09CB"/>
    <w:rsid w:val="7CB8291D"/>
    <w:rsid w:val="7CD03434"/>
    <w:rsid w:val="7CD07BCF"/>
    <w:rsid w:val="7CD47EDB"/>
    <w:rsid w:val="7D086B79"/>
    <w:rsid w:val="7D145441"/>
    <w:rsid w:val="7D175464"/>
    <w:rsid w:val="7D300BC9"/>
    <w:rsid w:val="7D4C2883"/>
    <w:rsid w:val="7D54159C"/>
    <w:rsid w:val="7D5B4A17"/>
    <w:rsid w:val="7D66553F"/>
    <w:rsid w:val="7D796C4C"/>
    <w:rsid w:val="7D8362EE"/>
    <w:rsid w:val="7D882FD3"/>
    <w:rsid w:val="7D8B7BCC"/>
    <w:rsid w:val="7DC10E09"/>
    <w:rsid w:val="7DCB6E8A"/>
    <w:rsid w:val="7DE20FA2"/>
    <w:rsid w:val="7DFE03FA"/>
    <w:rsid w:val="7E105802"/>
    <w:rsid w:val="7E1F77F3"/>
    <w:rsid w:val="7E4F632A"/>
    <w:rsid w:val="7E63122D"/>
    <w:rsid w:val="7E706E61"/>
    <w:rsid w:val="7E737A61"/>
    <w:rsid w:val="7E7D54BB"/>
    <w:rsid w:val="7E896F3F"/>
    <w:rsid w:val="7E8A476F"/>
    <w:rsid w:val="7EAC7030"/>
    <w:rsid w:val="7EBB42CC"/>
    <w:rsid w:val="7EBE55CA"/>
    <w:rsid w:val="7ECE0404"/>
    <w:rsid w:val="7EF56987"/>
    <w:rsid w:val="7EFE4F4F"/>
    <w:rsid w:val="7F0C19DE"/>
    <w:rsid w:val="7F1447AA"/>
    <w:rsid w:val="7F343527"/>
    <w:rsid w:val="7F431B5D"/>
    <w:rsid w:val="7F6E0A32"/>
    <w:rsid w:val="7F7B6BEB"/>
    <w:rsid w:val="7FBB179D"/>
    <w:rsid w:val="7FC306CA"/>
    <w:rsid w:val="7FD1331A"/>
    <w:rsid w:val="7FD9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autoRedefine/>
    <w:qFormat/>
    <w:uiPriority w:val="0"/>
    <w:pPr>
      <w:keepNext/>
      <w:keepLines/>
      <w:spacing w:line="578" w:lineRule="auto"/>
      <w:outlineLvl w:val="0"/>
    </w:pPr>
    <w:rPr>
      <w:b/>
      <w:bCs/>
      <w:kern w:val="44"/>
      <w:sz w:val="44"/>
      <w:szCs w:val="44"/>
    </w:rPr>
  </w:style>
  <w:style w:type="paragraph" w:styleId="5">
    <w:name w:val="heading 2"/>
    <w:basedOn w:val="1"/>
    <w:next w:val="1"/>
    <w:link w:val="56"/>
    <w:autoRedefine/>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90"/>
    <w:autoRedefine/>
    <w:qFormat/>
    <w:uiPriority w:val="0"/>
    <w:pPr>
      <w:keepNext/>
      <w:keepLines/>
      <w:spacing w:line="416" w:lineRule="auto"/>
      <w:outlineLvl w:val="2"/>
    </w:pPr>
    <w:rPr>
      <w:b/>
      <w:bCs/>
      <w:sz w:val="32"/>
      <w:szCs w:val="32"/>
    </w:rPr>
  </w:style>
  <w:style w:type="paragraph" w:styleId="7">
    <w:name w:val="heading 4"/>
    <w:basedOn w:val="1"/>
    <w:next w:val="1"/>
    <w:link w:val="97"/>
    <w:autoRedefine/>
    <w:qFormat/>
    <w:uiPriority w:val="0"/>
    <w:pPr>
      <w:keepNext/>
      <w:keepLines/>
      <w:spacing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spacing w:line="372" w:lineRule="auto"/>
      <w:outlineLvl w:val="4"/>
    </w:pPr>
    <w:rPr>
      <w:b/>
      <w:sz w:val="28"/>
    </w:rPr>
  </w:style>
  <w:style w:type="paragraph" w:styleId="9">
    <w:name w:val="heading 6"/>
    <w:basedOn w:val="1"/>
    <w:next w:val="1"/>
    <w:autoRedefine/>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10">
    <w:name w:val="heading 8"/>
    <w:basedOn w:val="1"/>
    <w:next w:val="1"/>
    <w:autoRedefine/>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1">
    <w:name w:val="heading 9"/>
    <w:basedOn w:val="1"/>
    <w:next w:val="1"/>
    <w:autoRedefine/>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3"/>
    <w:next w:val="1"/>
    <w:autoRedefine/>
    <w:qFormat/>
    <w:uiPriority w:val="0"/>
    <w:pPr>
      <w:jc w:val="center"/>
    </w:pPr>
    <w:rPr>
      <w:b/>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12">
    <w:name w:val="toc 7"/>
    <w:basedOn w:val="1"/>
    <w:next w:val="1"/>
    <w:autoRedefine/>
    <w:qFormat/>
    <w:uiPriority w:val="39"/>
    <w:pPr>
      <w:ind w:left="2520" w:leftChars="1200"/>
    </w:pPr>
    <w:rPr>
      <w:rFonts w:ascii="Calibri" w:hAnsi="Calibri"/>
      <w:szCs w:val="22"/>
    </w:rPr>
  </w:style>
  <w:style w:type="paragraph" w:styleId="13">
    <w:name w:val="Normal Indent"/>
    <w:basedOn w:val="1"/>
    <w:autoRedefine/>
    <w:qFormat/>
    <w:uiPriority w:val="0"/>
    <w:pPr>
      <w:ind w:firstLine="420" w:firstLineChars="200"/>
    </w:pPr>
  </w:style>
  <w:style w:type="paragraph" w:styleId="14">
    <w:name w:val="List Bullet"/>
    <w:basedOn w:val="1"/>
    <w:autoRedefine/>
    <w:qFormat/>
    <w:uiPriority w:val="0"/>
    <w:pPr>
      <w:numPr>
        <w:ilvl w:val="0"/>
        <w:numId w:val="2"/>
      </w:numPr>
      <w:tabs>
        <w:tab w:val="left" w:pos="360"/>
      </w:tabs>
    </w:pPr>
  </w:style>
  <w:style w:type="paragraph" w:styleId="15">
    <w:name w:val="Document Map"/>
    <w:basedOn w:val="1"/>
    <w:autoRedefine/>
    <w:qFormat/>
    <w:uiPriority w:val="0"/>
    <w:pPr>
      <w:shd w:val="clear" w:color="auto" w:fill="000080"/>
    </w:pPr>
  </w:style>
  <w:style w:type="paragraph" w:styleId="16">
    <w:name w:val="annotation text"/>
    <w:basedOn w:val="1"/>
    <w:link w:val="91"/>
    <w:autoRedefine/>
    <w:qFormat/>
    <w:uiPriority w:val="0"/>
    <w:pPr>
      <w:jc w:val="left"/>
    </w:pPr>
  </w:style>
  <w:style w:type="paragraph" w:styleId="17">
    <w:name w:val="Body Text 3"/>
    <w:basedOn w:val="1"/>
    <w:link w:val="92"/>
    <w:autoRedefine/>
    <w:qFormat/>
    <w:uiPriority w:val="0"/>
    <w:rPr>
      <w:rFonts w:ascii="宋体"/>
      <w:sz w:val="24"/>
    </w:rPr>
  </w:style>
  <w:style w:type="paragraph" w:styleId="18">
    <w:name w:val="Body Text"/>
    <w:basedOn w:val="1"/>
    <w:link w:val="94"/>
    <w:autoRedefine/>
    <w:qFormat/>
    <w:uiPriority w:val="0"/>
  </w:style>
  <w:style w:type="paragraph" w:styleId="19">
    <w:name w:val="Body Text Indent"/>
    <w:basedOn w:val="1"/>
    <w:autoRedefine/>
    <w:qFormat/>
    <w:uiPriority w:val="0"/>
    <w:pPr>
      <w:adjustRightInd w:val="0"/>
      <w:spacing w:after="120" w:line="420" w:lineRule="atLeast"/>
      <w:ind w:left="420" w:firstLine="454"/>
    </w:pPr>
    <w:rPr>
      <w:kern w:val="0"/>
      <w:szCs w:val="20"/>
    </w:rPr>
  </w:style>
  <w:style w:type="paragraph" w:styleId="20">
    <w:name w:val="index 4"/>
    <w:basedOn w:val="1"/>
    <w:next w:val="1"/>
    <w:autoRedefine/>
    <w:qFormat/>
    <w:uiPriority w:val="0"/>
    <w:pPr>
      <w:ind w:left="600" w:leftChars="600"/>
    </w:pPr>
  </w:style>
  <w:style w:type="paragraph" w:styleId="21">
    <w:name w:val="toc 5"/>
    <w:basedOn w:val="1"/>
    <w:next w:val="1"/>
    <w:link w:val="87"/>
    <w:autoRedefine/>
    <w:qFormat/>
    <w:uiPriority w:val="39"/>
    <w:pPr>
      <w:ind w:left="1680" w:leftChars="800"/>
    </w:pPr>
    <w:rPr>
      <w:kern w:val="0"/>
      <w:sz w:val="20"/>
      <w:szCs w:val="22"/>
    </w:rPr>
  </w:style>
  <w:style w:type="paragraph" w:styleId="22">
    <w:name w:val="toc 3"/>
    <w:basedOn w:val="1"/>
    <w:next w:val="1"/>
    <w:autoRedefine/>
    <w:qFormat/>
    <w:uiPriority w:val="39"/>
    <w:pPr>
      <w:ind w:left="840" w:leftChars="400"/>
    </w:pPr>
  </w:style>
  <w:style w:type="paragraph" w:styleId="23">
    <w:name w:val="Plain Text"/>
    <w:basedOn w:val="1"/>
    <w:autoRedefine/>
    <w:qFormat/>
    <w:uiPriority w:val="0"/>
    <w:rPr>
      <w:rFonts w:ascii="宋体" w:hAnsi="Courier New"/>
      <w:szCs w:val="20"/>
    </w:rPr>
  </w:style>
  <w:style w:type="paragraph" w:styleId="24">
    <w:name w:val="toc 8"/>
    <w:basedOn w:val="1"/>
    <w:next w:val="1"/>
    <w:autoRedefine/>
    <w:qFormat/>
    <w:uiPriority w:val="39"/>
    <w:pPr>
      <w:ind w:left="2940" w:leftChars="1400"/>
    </w:pPr>
    <w:rPr>
      <w:rFonts w:ascii="Calibri" w:hAnsi="Calibri"/>
      <w:szCs w:val="22"/>
    </w:rPr>
  </w:style>
  <w:style w:type="paragraph" w:styleId="25">
    <w:name w:val="index 3"/>
    <w:basedOn w:val="1"/>
    <w:next w:val="1"/>
    <w:autoRedefine/>
    <w:qFormat/>
    <w:uiPriority w:val="0"/>
    <w:pPr>
      <w:ind w:left="400" w:leftChars="400"/>
    </w:pPr>
  </w:style>
  <w:style w:type="paragraph" w:styleId="26">
    <w:name w:val="Date"/>
    <w:basedOn w:val="1"/>
    <w:next w:val="1"/>
    <w:autoRedefine/>
    <w:qFormat/>
    <w:uiPriority w:val="0"/>
    <w:pPr>
      <w:ind w:left="100" w:leftChars="2500"/>
    </w:pPr>
  </w:style>
  <w:style w:type="paragraph" w:styleId="27">
    <w:name w:val="endnote text"/>
    <w:basedOn w:val="1"/>
    <w:autoRedefine/>
    <w:qFormat/>
    <w:uiPriority w:val="0"/>
    <w:pPr>
      <w:snapToGrid w:val="0"/>
      <w:jc w:val="left"/>
    </w:pPr>
  </w:style>
  <w:style w:type="paragraph" w:styleId="28">
    <w:name w:val="Balloon Text"/>
    <w:basedOn w:val="1"/>
    <w:autoRedefine/>
    <w:qFormat/>
    <w:uiPriority w:val="0"/>
    <w:rPr>
      <w:sz w:val="18"/>
      <w:szCs w:val="18"/>
    </w:rPr>
  </w:style>
  <w:style w:type="paragraph" w:styleId="29">
    <w:name w:val="footer"/>
    <w:basedOn w:val="1"/>
    <w:link w:val="99"/>
    <w:autoRedefine/>
    <w:qFormat/>
    <w:uiPriority w:val="0"/>
    <w:pPr>
      <w:tabs>
        <w:tab w:val="center" w:pos="4153"/>
        <w:tab w:val="right" w:pos="8306"/>
      </w:tabs>
      <w:snapToGrid w:val="0"/>
      <w:jc w:val="left"/>
    </w:pPr>
    <w:rPr>
      <w:sz w:val="18"/>
      <w:szCs w:val="18"/>
    </w:rPr>
  </w:style>
  <w:style w:type="paragraph" w:styleId="3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qFormat/>
    <w:uiPriority w:val="39"/>
    <w:pPr>
      <w:ind w:left="1260" w:leftChars="600"/>
    </w:pPr>
    <w:rPr>
      <w:rFonts w:ascii="Calibri" w:hAnsi="Calibri"/>
      <w:szCs w:val="22"/>
    </w:rPr>
  </w:style>
  <w:style w:type="paragraph" w:styleId="33">
    <w:name w:val="Subtitle"/>
    <w:basedOn w:val="1"/>
    <w:link w:val="88"/>
    <w:autoRedefine/>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98"/>
    <w:autoRedefine/>
    <w:qFormat/>
    <w:uiPriority w:val="0"/>
    <w:pPr>
      <w:snapToGrid w:val="0"/>
      <w:jc w:val="left"/>
    </w:pPr>
    <w:rPr>
      <w:sz w:val="18"/>
      <w:szCs w:val="18"/>
    </w:rPr>
  </w:style>
  <w:style w:type="paragraph" w:styleId="35">
    <w:name w:val="toc 6"/>
    <w:basedOn w:val="1"/>
    <w:next w:val="1"/>
    <w:autoRedefine/>
    <w:qFormat/>
    <w:uiPriority w:val="39"/>
    <w:pPr>
      <w:ind w:left="2100" w:leftChars="1000"/>
    </w:pPr>
    <w:rPr>
      <w:rFonts w:ascii="Calibri" w:hAnsi="Calibri"/>
      <w:szCs w:val="22"/>
    </w:rPr>
  </w:style>
  <w:style w:type="paragraph" w:styleId="36">
    <w:name w:val="toc 2"/>
    <w:basedOn w:val="1"/>
    <w:next w:val="1"/>
    <w:autoRedefine/>
    <w:qFormat/>
    <w:uiPriority w:val="39"/>
    <w:pPr>
      <w:ind w:left="420" w:leftChars="200"/>
    </w:pPr>
  </w:style>
  <w:style w:type="paragraph" w:styleId="37">
    <w:name w:val="toc 9"/>
    <w:basedOn w:val="1"/>
    <w:next w:val="1"/>
    <w:autoRedefine/>
    <w:qFormat/>
    <w:uiPriority w:val="39"/>
    <w:pPr>
      <w:ind w:left="3360" w:leftChars="1600"/>
    </w:pPr>
    <w:rPr>
      <w:rFonts w:ascii="Calibri" w:hAnsi="Calibri"/>
      <w:szCs w:val="22"/>
    </w:rPr>
  </w:style>
  <w:style w:type="paragraph" w:styleId="38">
    <w:name w:val="Body Text 2"/>
    <w:basedOn w:val="1"/>
    <w:next w:val="18"/>
    <w:autoRedefine/>
    <w:qFormat/>
    <w:uiPriority w:val="0"/>
    <w:pPr>
      <w:spacing w:line="500" w:lineRule="exact"/>
    </w:pPr>
  </w:style>
  <w:style w:type="paragraph" w:styleId="39">
    <w:name w:val="Normal (Web)"/>
    <w:basedOn w:val="1"/>
    <w:autoRedefine/>
    <w:qFormat/>
    <w:uiPriority w:val="0"/>
    <w:rPr>
      <w:sz w:val="24"/>
    </w:rPr>
  </w:style>
  <w:style w:type="paragraph" w:styleId="40">
    <w:name w:val="index 1"/>
    <w:basedOn w:val="1"/>
    <w:next w:val="1"/>
    <w:autoRedefine/>
    <w:qFormat/>
    <w:uiPriority w:val="0"/>
  </w:style>
  <w:style w:type="paragraph" w:styleId="41">
    <w:name w:val="index 2"/>
    <w:basedOn w:val="1"/>
    <w:next w:val="1"/>
    <w:autoRedefine/>
    <w:qFormat/>
    <w:uiPriority w:val="0"/>
    <w:pPr>
      <w:ind w:left="200" w:leftChars="200"/>
    </w:pPr>
  </w:style>
  <w:style w:type="paragraph" w:styleId="42">
    <w:name w:val="Title"/>
    <w:basedOn w:val="1"/>
    <w:autoRedefine/>
    <w:qFormat/>
    <w:uiPriority w:val="0"/>
    <w:pPr>
      <w:adjustRightInd w:val="0"/>
      <w:spacing w:line="420" w:lineRule="atLeast"/>
      <w:jc w:val="center"/>
      <w:outlineLvl w:val="0"/>
    </w:pPr>
    <w:rPr>
      <w:rFonts w:ascii="Arial" w:hAnsi="Arial"/>
      <w:b/>
      <w:kern w:val="0"/>
      <w:sz w:val="32"/>
      <w:szCs w:val="20"/>
    </w:rPr>
  </w:style>
  <w:style w:type="paragraph" w:styleId="43">
    <w:name w:val="annotation subject"/>
    <w:basedOn w:val="16"/>
    <w:next w:val="16"/>
    <w:link w:val="96"/>
    <w:autoRedefine/>
    <w:qFormat/>
    <w:uiPriority w:val="0"/>
    <w:rPr>
      <w:b/>
      <w:bCs/>
    </w:rPr>
  </w:style>
  <w:style w:type="paragraph" w:styleId="44">
    <w:name w:val="Body Text First Indent 2"/>
    <w:basedOn w:val="19"/>
    <w:autoRedefine/>
    <w:qFormat/>
    <w:uiPriority w:val="0"/>
    <w:pPr>
      <w:ind w:left="0" w:firstLine="960" w:firstLineChars="200"/>
    </w:pPr>
    <w:rPr>
      <w:sz w:val="24"/>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rPr>
  </w:style>
  <w:style w:type="character" w:styleId="49">
    <w:name w:val="endnote reference"/>
    <w:basedOn w:val="47"/>
    <w:autoRedefine/>
    <w:qFormat/>
    <w:uiPriority w:val="0"/>
    <w:rPr>
      <w:vertAlign w:val="superscript"/>
    </w:rPr>
  </w:style>
  <w:style w:type="character" w:styleId="50">
    <w:name w:val="page number"/>
    <w:basedOn w:val="47"/>
    <w:autoRedefine/>
    <w:qFormat/>
    <w:uiPriority w:val="0"/>
  </w:style>
  <w:style w:type="character" w:styleId="51">
    <w:name w:val="FollowedHyperlink"/>
    <w:basedOn w:val="47"/>
    <w:autoRedefine/>
    <w:qFormat/>
    <w:uiPriority w:val="0"/>
    <w:rPr>
      <w:color w:val="333333"/>
      <w:sz w:val="18"/>
      <w:szCs w:val="18"/>
      <w:u w:val="single"/>
    </w:rPr>
  </w:style>
  <w:style w:type="character" w:styleId="52">
    <w:name w:val="Hyperlink"/>
    <w:basedOn w:val="47"/>
    <w:autoRedefine/>
    <w:qFormat/>
    <w:uiPriority w:val="99"/>
    <w:rPr>
      <w:color w:val="333333"/>
      <w:sz w:val="18"/>
      <w:szCs w:val="18"/>
      <w:u w:val="single"/>
    </w:rPr>
  </w:style>
  <w:style w:type="character" w:styleId="53">
    <w:name w:val="annotation reference"/>
    <w:basedOn w:val="47"/>
    <w:autoRedefine/>
    <w:qFormat/>
    <w:uiPriority w:val="0"/>
    <w:rPr>
      <w:sz w:val="21"/>
      <w:szCs w:val="21"/>
    </w:rPr>
  </w:style>
  <w:style w:type="character" w:styleId="54">
    <w:name w:val="footnote reference"/>
    <w:basedOn w:val="47"/>
    <w:autoRedefine/>
    <w:qFormat/>
    <w:uiPriority w:val="0"/>
    <w:rPr>
      <w:vertAlign w:val="superscript"/>
    </w:rPr>
  </w:style>
  <w:style w:type="paragraph" w:customStyle="1" w:styleId="55">
    <w:name w:val="正文正"/>
    <w:basedOn w:val="1"/>
    <w:autoRedefine/>
    <w:qFormat/>
    <w:uiPriority w:val="99"/>
    <w:pPr>
      <w:spacing w:line="560" w:lineRule="exact"/>
      <w:ind w:firstLine="561"/>
    </w:pPr>
    <w:rPr>
      <w:rFonts w:ascii="Calibri" w:hAnsi="Calibri" w:cs="Calibri"/>
      <w:sz w:val="28"/>
      <w:szCs w:val="28"/>
    </w:rPr>
  </w:style>
  <w:style w:type="character" w:customStyle="1" w:styleId="56">
    <w:name w:val="标题 2 Char"/>
    <w:basedOn w:val="47"/>
    <w:link w:val="5"/>
    <w:autoRedefine/>
    <w:qFormat/>
    <w:uiPriority w:val="0"/>
    <w:rPr>
      <w:rFonts w:ascii="Arial" w:hAnsi="Arial" w:eastAsia="黑体"/>
      <w:b/>
      <w:bCs/>
      <w:kern w:val="2"/>
      <w:sz w:val="32"/>
      <w:szCs w:val="32"/>
      <w:lang w:val="en-US" w:eastAsia="zh-CN" w:bidi="ar-SA"/>
    </w:rPr>
  </w:style>
  <w:style w:type="paragraph" w:customStyle="1" w:styleId="57">
    <w:name w:val="表格内容"/>
    <w:basedOn w:val="58"/>
    <w:autoRedefine/>
    <w:qFormat/>
    <w:uiPriority w:val="0"/>
    <w:pPr>
      <w:ind w:firstLine="0" w:firstLineChars="0"/>
      <w:jc w:val="center"/>
    </w:pPr>
  </w:style>
  <w:style w:type="paragraph" w:customStyle="1" w:styleId="58">
    <w:name w:val="招标正文"/>
    <w:basedOn w:val="1"/>
    <w:autoRedefine/>
    <w:qFormat/>
    <w:uiPriority w:val="0"/>
    <w:pPr>
      <w:autoSpaceDE w:val="0"/>
      <w:autoSpaceDN w:val="0"/>
      <w:adjustRightInd w:val="0"/>
      <w:ind w:firstLine="480" w:firstLineChars="200"/>
    </w:pPr>
    <w:rPr>
      <w:rFonts w:cs="微软雅黑"/>
      <w:kern w:val="0"/>
      <w:sz w:val="24"/>
    </w:rPr>
  </w:style>
  <w:style w:type="paragraph" w:customStyle="1" w:styleId="59">
    <w:name w:val="条款正文"/>
    <w:basedOn w:val="58"/>
    <w:autoRedefine/>
    <w:qFormat/>
    <w:uiPriority w:val="0"/>
    <w:pPr>
      <w:ind w:firstLine="0" w:firstLineChars="0"/>
    </w:pPr>
  </w:style>
  <w:style w:type="paragraph" w:customStyle="1" w:styleId="60">
    <w:name w:val="_Style 52"/>
    <w:basedOn w:val="1"/>
    <w:autoRedefine/>
    <w:qFormat/>
    <w:uiPriority w:val="0"/>
    <w:pPr>
      <w:pBdr>
        <w:bottom w:val="single" w:color="auto" w:sz="6" w:space="1"/>
      </w:pBdr>
      <w:jc w:val="center"/>
    </w:pPr>
    <w:rPr>
      <w:rFonts w:ascii="Arial"/>
      <w:vanish/>
      <w:sz w:val="16"/>
    </w:rPr>
  </w:style>
  <w:style w:type="paragraph" w:customStyle="1" w:styleId="61">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_0"/>
    <w:basedOn w:val="63"/>
    <w:autoRedefine/>
    <w:qFormat/>
    <w:uiPriority w:val="0"/>
    <w:pPr>
      <w:spacing w:after="120"/>
    </w:pPr>
  </w:style>
  <w:style w:type="paragraph" w:customStyle="1" w:styleId="6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op_mapdots_left"/>
    <w:basedOn w:val="1"/>
    <w:autoRedefine/>
    <w:qFormat/>
    <w:uiPriority w:val="0"/>
    <w:pPr>
      <w:jc w:val="left"/>
    </w:pPr>
    <w:rPr>
      <w:kern w:val="0"/>
    </w:rPr>
  </w:style>
  <w:style w:type="paragraph" w:customStyle="1" w:styleId="6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6">
    <w:name w:val="正文 New New New New"/>
    <w:autoRedefine/>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7">
    <w:name w:val="样式 标题 3 + (中文) 黑体 小四 非加粗 段前: 7.8 磅 段后: 0 磅 行距: 固定值 20 磅"/>
    <w:basedOn w:val="6"/>
    <w:autoRedefine/>
    <w:qFormat/>
    <w:uiPriority w:val="0"/>
    <w:pPr>
      <w:spacing w:line="400" w:lineRule="exact"/>
    </w:pPr>
    <w:rPr>
      <w:rFonts w:eastAsia="黑体" w:cs="宋体"/>
      <w:b w:val="0"/>
      <w:bCs w:val="0"/>
      <w:sz w:val="24"/>
      <w:szCs w:val="20"/>
    </w:rPr>
  </w:style>
  <w:style w:type="paragraph" w:customStyle="1" w:styleId="68">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1、"/>
    <w:basedOn w:val="5"/>
    <w:autoRedefine/>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0">
    <w:name w:val="_Style 63"/>
    <w:basedOn w:val="1"/>
    <w:autoRedefine/>
    <w:qFormat/>
    <w:uiPriority w:val="0"/>
    <w:pPr>
      <w:pBdr>
        <w:top w:val="single" w:color="auto" w:sz="6" w:space="1"/>
      </w:pBdr>
      <w:jc w:val="center"/>
    </w:pPr>
    <w:rPr>
      <w:rFonts w:ascii="Arial"/>
      <w:vanish/>
      <w:sz w:val="16"/>
    </w:rPr>
  </w:style>
  <w:style w:type="paragraph" w:customStyle="1" w:styleId="71">
    <w:name w:val="标题1.1"/>
    <w:basedOn w:val="58"/>
    <w:next w:val="1"/>
    <w:autoRedefine/>
    <w:qFormat/>
    <w:uiPriority w:val="0"/>
    <w:pPr>
      <w:numPr>
        <w:ilvl w:val="2"/>
        <w:numId w:val="3"/>
      </w:numPr>
      <w:ind w:firstLine="0" w:firstLineChars="0"/>
      <w:outlineLvl w:val="2"/>
    </w:pPr>
    <w:rPr>
      <w:b/>
    </w:rPr>
  </w:style>
  <w:style w:type="paragraph" w:customStyle="1" w:styleId="72">
    <w:name w:val="TOC 标题1"/>
    <w:basedOn w:val="4"/>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73">
    <w:name w:val="正文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p17"/>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75">
    <w:name w:val="小标题"/>
    <w:basedOn w:val="1"/>
    <w:autoRedefine/>
    <w:qFormat/>
    <w:uiPriority w:val="0"/>
    <w:pPr>
      <w:autoSpaceDE w:val="0"/>
      <w:autoSpaceDN w:val="0"/>
      <w:adjustRightInd w:val="0"/>
      <w:jc w:val="center"/>
    </w:pPr>
    <w:rPr>
      <w:rFonts w:ascii="宋体" w:hAnsi="宋体" w:cs="Microsoft JhengHei"/>
      <w:b/>
      <w:kern w:val="0"/>
      <w:sz w:val="28"/>
      <w:szCs w:val="32"/>
    </w:rPr>
  </w:style>
  <w:style w:type="paragraph" w:customStyle="1" w:styleId="76">
    <w:name w:val="Char"/>
    <w:basedOn w:val="15"/>
    <w:autoRedefine/>
    <w:qFormat/>
    <w:uiPriority w:val="0"/>
    <w:rPr>
      <w:rFonts w:ascii="Tahoma" w:hAnsi="Tahoma"/>
      <w:sz w:val="24"/>
    </w:rPr>
  </w:style>
  <w:style w:type="paragraph" w:customStyle="1" w:styleId="77">
    <w:name w:val="列出段落1"/>
    <w:basedOn w:val="1"/>
    <w:autoRedefine/>
    <w:qFormat/>
    <w:uiPriority w:val="1"/>
    <w:pPr>
      <w:ind w:left="424" w:firstLine="480"/>
    </w:pPr>
    <w:rPr>
      <w:rFonts w:ascii="宋体" w:hAnsi="宋体" w:cs="宋体"/>
      <w:lang w:val="zh-CN" w:bidi="zh-CN"/>
    </w:rPr>
  </w:style>
  <w:style w:type="paragraph" w:customStyle="1" w:styleId="78">
    <w:name w:val="样式 标题 2 + Times New Roman 四号 非加粗 段前: 5 磅 段后: 0 磅 行距: 固定值 20..."/>
    <w:basedOn w:val="5"/>
    <w:next w:val="1"/>
    <w:link w:val="85"/>
    <w:autoRedefine/>
    <w:qFormat/>
    <w:uiPriority w:val="0"/>
    <w:pPr>
      <w:spacing w:line="400" w:lineRule="exact"/>
    </w:pPr>
    <w:rPr>
      <w:rFonts w:ascii="Times New Roman" w:hAnsi="Times New Roman" w:eastAsia="宋体"/>
      <w:kern w:val="0"/>
      <w:sz w:val="28"/>
      <w:szCs w:val="20"/>
    </w:rPr>
  </w:style>
  <w:style w:type="paragraph" w:customStyle="1" w:styleId="79">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Table Paragraph"/>
    <w:basedOn w:val="1"/>
    <w:autoRedefine/>
    <w:qFormat/>
    <w:uiPriority w:val="1"/>
  </w:style>
  <w:style w:type="paragraph" w:customStyle="1" w:styleId="81">
    <w:name w:val="p0"/>
    <w:basedOn w:val="1"/>
    <w:autoRedefine/>
    <w:qFormat/>
    <w:uiPriority w:val="0"/>
    <w:pPr>
      <w:widowControl/>
    </w:pPr>
    <w:rPr>
      <w:rFonts w:ascii="Calibri" w:hAnsi="Calibri" w:cs="宋体"/>
      <w:kern w:val="0"/>
      <w:szCs w:val="21"/>
    </w:rPr>
  </w:style>
  <w:style w:type="paragraph" w:customStyle="1" w:styleId="8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p16"/>
    <w:basedOn w:val="1"/>
    <w:autoRedefine/>
    <w:qFormat/>
    <w:uiPriority w:val="0"/>
    <w:pPr>
      <w:widowControl/>
    </w:pPr>
    <w:rPr>
      <w:kern w:val="0"/>
      <w:szCs w:val="21"/>
    </w:rPr>
  </w:style>
  <w:style w:type="paragraph" w:customStyle="1" w:styleId="8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样式 标题 2 + Times New Roman 四号 非加粗 段前: 5 磅 段后: 0 磅 行距: 固定值 20... Char"/>
    <w:link w:val="78"/>
    <w:autoRedefine/>
    <w:qFormat/>
    <w:uiPriority w:val="0"/>
    <w:rPr>
      <w:rFonts w:ascii="Times New Roman" w:hAnsi="Times New Roman" w:cs="宋体"/>
      <w:b/>
      <w:bCs/>
      <w:sz w:val="28"/>
      <w:szCs w:val="20"/>
    </w:rPr>
  </w:style>
  <w:style w:type="character" w:customStyle="1" w:styleId="86">
    <w:name w:val="标题 1 Char"/>
    <w:link w:val="4"/>
    <w:autoRedefine/>
    <w:qFormat/>
    <w:uiPriority w:val="0"/>
    <w:rPr>
      <w:b/>
      <w:bCs/>
      <w:kern w:val="44"/>
      <w:sz w:val="44"/>
      <w:szCs w:val="44"/>
    </w:rPr>
  </w:style>
  <w:style w:type="character" w:customStyle="1" w:styleId="87">
    <w:name w:val="目录 5 Char"/>
    <w:link w:val="21"/>
    <w:autoRedefine/>
    <w:qFormat/>
    <w:uiPriority w:val="39"/>
    <w:rPr>
      <w:rFonts w:ascii="Calibri" w:hAnsi="Calibri" w:eastAsia="宋体" w:cs="Times New Roman"/>
      <w:szCs w:val="22"/>
    </w:rPr>
  </w:style>
  <w:style w:type="character" w:customStyle="1" w:styleId="88">
    <w:name w:val="副标题 Char"/>
    <w:basedOn w:val="47"/>
    <w:link w:val="33"/>
    <w:autoRedefine/>
    <w:qFormat/>
    <w:uiPriority w:val="0"/>
    <w:rPr>
      <w:rFonts w:ascii="Cambria" w:hAnsi="Cambria" w:cs="Times New Roman"/>
      <w:b/>
      <w:bCs/>
      <w:kern w:val="28"/>
      <w:sz w:val="32"/>
      <w:szCs w:val="32"/>
    </w:rPr>
  </w:style>
  <w:style w:type="character" w:customStyle="1" w:styleId="89">
    <w:name w:val="hover37"/>
    <w:basedOn w:val="47"/>
    <w:autoRedefine/>
    <w:qFormat/>
    <w:uiPriority w:val="0"/>
  </w:style>
  <w:style w:type="character" w:customStyle="1" w:styleId="90">
    <w:name w:val="标题 3 Char"/>
    <w:basedOn w:val="47"/>
    <w:link w:val="6"/>
    <w:autoRedefine/>
    <w:qFormat/>
    <w:uiPriority w:val="0"/>
    <w:rPr>
      <w:rFonts w:eastAsia="宋体"/>
      <w:b/>
      <w:bCs/>
      <w:kern w:val="2"/>
      <w:sz w:val="32"/>
      <w:szCs w:val="32"/>
      <w:lang w:val="en-US" w:eastAsia="zh-CN" w:bidi="ar-SA"/>
    </w:rPr>
  </w:style>
  <w:style w:type="character" w:customStyle="1" w:styleId="91">
    <w:name w:val="批注文字 Char"/>
    <w:basedOn w:val="47"/>
    <w:link w:val="16"/>
    <w:autoRedefine/>
    <w:qFormat/>
    <w:uiPriority w:val="0"/>
    <w:rPr>
      <w:kern w:val="2"/>
      <w:sz w:val="21"/>
      <w:szCs w:val="24"/>
    </w:rPr>
  </w:style>
  <w:style w:type="character" w:customStyle="1" w:styleId="92">
    <w:name w:val="正文文本 3 Char"/>
    <w:basedOn w:val="47"/>
    <w:link w:val="17"/>
    <w:autoRedefine/>
    <w:qFormat/>
    <w:uiPriority w:val="0"/>
    <w:rPr>
      <w:rFonts w:ascii="宋体" w:eastAsia="宋体"/>
      <w:kern w:val="2"/>
      <w:sz w:val="24"/>
      <w:lang w:val="en-US" w:eastAsia="zh-CN" w:bidi="ar-SA"/>
    </w:rPr>
  </w:style>
  <w:style w:type="character" w:customStyle="1" w:styleId="93">
    <w:name w:val="style2"/>
    <w:basedOn w:val="47"/>
    <w:autoRedefine/>
    <w:qFormat/>
    <w:uiPriority w:val="0"/>
  </w:style>
  <w:style w:type="character" w:customStyle="1" w:styleId="94">
    <w:name w:val="正文文本 Char"/>
    <w:basedOn w:val="47"/>
    <w:link w:val="18"/>
    <w:autoRedefine/>
    <w:qFormat/>
    <w:uiPriority w:val="0"/>
    <w:rPr>
      <w:rFonts w:eastAsia="宋体"/>
      <w:kern w:val="2"/>
      <w:sz w:val="21"/>
      <w:szCs w:val="24"/>
      <w:lang w:val="en-US" w:eastAsia="zh-CN" w:bidi="ar-SA"/>
    </w:rPr>
  </w:style>
  <w:style w:type="character" w:customStyle="1" w:styleId="95">
    <w:name w:val="Char Char17"/>
    <w:basedOn w:val="47"/>
    <w:autoRedefine/>
    <w:qFormat/>
    <w:uiPriority w:val="0"/>
    <w:rPr>
      <w:rFonts w:ascii="Times New Roman" w:hAnsi="Times New Roman" w:eastAsia="宋体" w:cs="Times New Roman"/>
      <w:b/>
      <w:bCs/>
      <w:kern w:val="44"/>
      <w:sz w:val="44"/>
      <w:szCs w:val="44"/>
    </w:rPr>
  </w:style>
  <w:style w:type="character" w:customStyle="1" w:styleId="96">
    <w:name w:val="批注主题 Char"/>
    <w:basedOn w:val="91"/>
    <w:link w:val="43"/>
    <w:autoRedefine/>
    <w:qFormat/>
    <w:uiPriority w:val="0"/>
    <w:rPr>
      <w:kern w:val="2"/>
      <w:sz w:val="21"/>
      <w:szCs w:val="24"/>
    </w:rPr>
  </w:style>
  <w:style w:type="character" w:customStyle="1" w:styleId="97">
    <w:name w:val="标题 4 Char"/>
    <w:basedOn w:val="47"/>
    <w:link w:val="7"/>
    <w:autoRedefine/>
    <w:qFormat/>
    <w:uiPriority w:val="0"/>
    <w:rPr>
      <w:rFonts w:ascii="Arial" w:hAnsi="Arial" w:eastAsia="黑体"/>
      <w:b/>
      <w:bCs/>
      <w:kern w:val="2"/>
      <w:sz w:val="28"/>
      <w:szCs w:val="28"/>
      <w:lang w:val="en-US" w:eastAsia="zh-CN" w:bidi="ar-SA"/>
    </w:rPr>
  </w:style>
  <w:style w:type="character" w:customStyle="1" w:styleId="98">
    <w:name w:val="脚注文本 Char"/>
    <w:basedOn w:val="47"/>
    <w:link w:val="34"/>
    <w:autoRedefine/>
    <w:qFormat/>
    <w:uiPriority w:val="0"/>
    <w:rPr>
      <w:kern w:val="2"/>
      <w:sz w:val="18"/>
      <w:szCs w:val="18"/>
    </w:rPr>
  </w:style>
  <w:style w:type="character" w:customStyle="1" w:styleId="99">
    <w:name w:val="页脚 Char"/>
    <w:basedOn w:val="47"/>
    <w:link w:val="29"/>
    <w:autoRedefine/>
    <w:qFormat/>
    <w:uiPriority w:val="0"/>
    <w:rPr>
      <w:kern w:val="2"/>
      <w:sz w:val="18"/>
      <w:szCs w:val="18"/>
    </w:rPr>
  </w:style>
  <w:style w:type="character" w:customStyle="1" w:styleId="100">
    <w:name w:val="页码1"/>
    <w:basedOn w:val="47"/>
    <w:autoRedefine/>
    <w:qFormat/>
    <w:uiPriority w:val="0"/>
  </w:style>
  <w:style w:type="character" w:customStyle="1" w:styleId="101">
    <w:name w:val="hover"/>
    <w:basedOn w:val="47"/>
    <w:autoRedefine/>
    <w:qFormat/>
    <w:uiPriority w:val="0"/>
  </w:style>
  <w:style w:type="paragraph" w:customStyle="1" w:styleId="102">
    <w:name w:val="标题 1 New"/>
    <w:basedOn w:val="68"/>
    <w:link w:val="103"/>
    <w:autoRedefine/>
    <w:qFormat/>
    <w:uiPriority w:val="0"/>
    <w:pPr>
      <w:keepNext/>
      <w:keepLines/>
      <w:spacing w:line="578" w:lineRule="auto"/>
      <w:outlineLvl w:val="0"/>
    </w:pPr>
    <w:rPr>
      <w:b/>
      <w:bCs/>
      <w:kern w:val="44"/>
      <w:sz w:val="44"/>
      <w:szCs w:val="44"/>
    </w:rPr>
  </w:style>
  <w:style w:type="character" w:customStyle="1" w:styleId="103">
    <w:name w:val="标题 1 Char Char New"/>
    <w:link w:val="102"/>
    <w:autoRedefine/>
    <w:qFormat/>
    <w:uiPriority w:val="0"/>
    <w:rPr>
      <w:rFonts w:ascii="Times New Roman" w:hAnsi="Times New Roman"/>
      <w:b/>
      <w:bCs/>
      <w:kern w:val="44"/>
      <w:sz w:val="44"/>
      <w:szCs w:val="44"/>
    </w:rPr>
  </w:style>
  <w:style w:type="paragraph" w:customStyle="1" w:styleId="104">
    <w:name w:val="正文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8">
    <w:name w:val="hover38"/>
    <w:basedOn w:val="47"/>
    <w:autoRedefine/>
    <w:qFormat/>
    <w:uiPriority w:val="0"/>
  </w:style>
  <w:style w:type="paragraph" w:customStyle="1" w:styleId="109">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110">
    <w:name w:val="样式4"/>
    <w:basedOn w:val="1"/>
    <w:autoRedefine/>
    <w:qFormat/>
    <w:uiPriority w:val="0"/>
    <w:pPr>
      <w:spacing w:line="360" w:lineRule="auto"/>
      <w:jc w:val="center"/>
    </w:pPr>
    <w:rPr>
      <w:rFonts w:ascii="宋体" w:hAnsi="宋体"/>
      <w:sz w:val="24"/>
    </w:rPr>
  </w:style>
  <w:style w:type="paragraph" w:customStyle="1" w:styleId="111">
    <w:name w:val="正文文本 New"/>
    <w:basedOn w:val="84"/>
    <w:autoRedefine/>
    <w:qFormat/>
    <w:uiPriority w:val="0"/>
    <w:pPr>
      <w:spacing w:after="120"/>
    </w:pPr>
  </w:style>
  <w:style w:type="paragraph" w:customStyle="1" w:styleId="112">
    <w:name w:val="列出段落2"/>
    <w:basedOn w:val="1"/>
    <w:autoRedefine/>
    <w:unhideWhenUsed/>
    <w:qFormat/>
    <w:uiPriority w:val="99"/>
    <w:pPr>
      <w:ind w:firstLine="420" w:firstLineChars="200"/>
    </w:pPr>
  </w:style>
  <w:style w:type="character" w:customStyle="1" w:styleId="113">
    <w:name w:val="NormalCharacter"/>
    <w:autoRedefine/>
    <w:semiHidden/>
    <w:qFormat/>
    <w:uiPriority w:val="0"/>
  </w:style>
  <w:style w:type="paragraph" w:customStyle="1" w:styleId="114">
    <w:name w:val="列出段落3"/>
    <w:basedOn w:val="1"/>
    <w:autoRedefine/>
    <w:qFormat/>
    <w:uiPriority w:val="1"/>
    <w:pPr>
      <w:ind w:left="424" w:firstLine="480"/>
    </w:pPr>
    <w:rPr>
      <w:rFonts w:ascii="宋体" w:hAnsi="宋体" w:cs="宋体"/>
      <w:lang w:val="zh-CN" w:bidi="zh-CN"/>
    </w:rPr>
  </w:style>
  <w:style w:type="paragraph" w:customStyle="1" w:styleId="115">
    <w:name w:val="标题 41"/>
    <w:basedOn w:val="1"/>
    <w:autoRedefine/>
    <w:qFormat/>
    <w:uiPriority w:val="0"/>
    <w:pPr>
      <w:keepNext/>
      <w:keepLines/>
      <w:spacing w:before="280" w:after="290" w:line="376" w:lineRule="auto"/>
      <w:outlineLvl w:val="3"/>
    </w:pPr>
    <w:rPr>
      <w:rFonts w:ascii="Arial" w:hAnsi="Arial" w:eastAsia="黑体"/>
      <w:b/>
      <w:bCs/>
      <w:sz w:val="28"/>
      <w:szCs w:val="28"/>
    </w:rPr>
  </w:style>
  <w:style w:type="paragraph" w:customStyle="1" w:styleId="116">
    <w:name w:val="List Paragraph"/>
    <w:basedOn w:val="1"/>
    <w:autoRedefine/>
    <w:qFormat/>
    <w:uiPriority w:val="1"/>
    <w:pPr>
      <w:ind w:left="424" w:firstLine="480"/>
    </w:pPr>
    <w:rPr>
      <w:rFonts w:ascii="宋体" w:hAnsi="宋体" w:eastAsia="宋体" w:cs="宋体"/>
      <w:lang w:val="zh-CN" w:eastAsia="zh-CN" w:bidi="zh-CN"/>
    </w:rPr>
  </w:style>
  <w:style w:type="table" w:customStyle="1" w:styleId="1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wm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274</Pages>
  <Words>3453</Words>
  <Characters>4765</Characters>
  <Lines>1641</Lines>
  <Paragraphs>462</Paragraphs>
  <TotalTime>2</TotalTime>
  <ScaleCrop>false</ScaleCrop>
  <LinksUpToDate>false</LinksUpToDate>
  <CharactersWithSpaces>5334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Administrator</cp:lastModifiedBy>
  <cp:lastPrinted>2023-08-14T00:20:00Z</cp:lastPrinted>
  <dcterms:modified xsi:type="dcterms:W3CDTF">2024-10-31T02:11:34Z</dcterms:modified>
  <dc:title>G323线麦屋至乳源县城段路面大修工程施工招标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61768E798CB0419095E5C1B727EB9B16_13</vt:lpwstr>
  </property>
</Properties>
</file>