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78029">
      <w:pPr>
        <w:pStyle w:val="5"/>
        <w:spacing w:line="241" w:lineRule="auto"/>
        <w:rPr>
          <w:rFonts w:hint="eastAsia" w:ascii="宋体" w:hAnsi="宋体" w:eastAsia="宋体" w:cs="宋体"/>
          <w:color w:val="000000" w:themeColor="text1"/>
          <w:highlight w:val="none"/>
          <w14:textFill>
            <w14:solidFill>
              <w14:schemeClr w14:val="tx1"/>
            </w14:solidFill>
          </w14:textFill>
        </w:rPr>
      </w:pPr>
    </w:p>
    <w:p w14:paraId="065BF53E">
      <w:pPr>
        <w:keepNext w:val="0"/>
        <w:keepLines w:val="0"/>
        <w:pageBreakBefore w:val="0"/>
        <w:widowControl/>
        <w:kinsoku w:val="0"/>
        <w:wordWrap/>
        <w:overflowPunct/>
        <w:topLinePunct w:val="0"/>
        <w:autoSpaceDE w:val="0"/>
        <w:autoSpaceDN w:val="0"/>
        <w:bidi w:val="0"/>
        <w:adjustRightInd w:val="0"/>
        <w:snapToGrid w:val="0"/>
        <w:spacing w:before="231" w:line="312" w:lineRule="auto"/>
        <w:jc w:val="center"/>
        <w:textAlignment w:val="baseline"/>
        <w:outlineLvl w:val="9"/>
        <w:rPr>
          <w:rFonts w:hint="eastAsia" w:ascii="宋体" w:hAnsi="宋体" w:eastAsia="宋体" w:cs="宋体"/>
          <w:b/>
          <w:bCs/>
          <w:color w:val="000000" w:themeColor="text1"/>
          <w:spacing w:val="-3"/>
          <w:sz w:val="48"/>
          <w:szCs w:val="48"/>
          <w:highlight w:val="none"/>
          <w:lang w:eastAsia="zh-CN"/>
          <w14:textFill>
            <w14:solidFill>
              <w14:schemeClr w14:val="tx1"/>
            </w14:solidFill>
          </w14:textFill>
        </w:rPr>
      </w:pPr>
      <w:r>
        <w:rPr>
          <w:rFonts w:hint="eastAsia" w:ascii="宋体" w:hAnsi="宋体" w:eastAsia="宋体" w:cs="宋体"/>
          <w:b/>
          <w:bCs/>
          <w:color w:val="000000" w:themeColor="text1"/>
          <w:spacing w:val="-3"/>
          <w:sz w:val="48"/>
          <w:szCs w:val="48"/>
          <w:highlight w:val="none"/>
          <w:lang w:val="en-US" w:eastAsia="zh-CN"/>
          <w14:textFill>
            <w14:solidFill>
              <w14:schemeClr w14:val="tx1"/>
            </w14:solidFill>
          </w14:textFill>
        </w:rPr>
        <w:t>武江区2024年第二批老旧小区改造项目施工</w:t>
      </w:r>
    </w:p>
    <w:p w14:paraId="0ACA8D3E">
      <w:pPr>
        <w:pStyle w:val="5"/>
        <w:spacing w:line="355" w:lineRule="auto"/>
        <w:rPr>
          <w:rFonts w:hint="eastAsia" w:ascii="宋体" w:hAnsi="宋体" w:eastAsia="宋体" w:cs="宋体"/>
          <w:color w:val="000000" w:themeColor="text1"/>
          <w:highlight w:val="none"/>
          <w14:textFill>
            <w14:solidFill>
              <w14:schemeClr w14:val="tx1"/>
            </w14:solidFill>
          </w14:textFill>
        </w:rPr>
      </w:pPr>
    </w:p>
    <w:p w14:paraId="3105A805">
      <w:pPr>
        <w:pStyle w:val="5"/>
        <w:spacing w:line="355" w:lineRule="auto"/>
        <w:rPr>
          <w:rFonts w:hint="eastAsia" w:ascii="宋体" w:hAnsi="宋体" w:eastAsia="宋体" w:cs="宋体"/>
          <w:color w:val="000000" w:themeColor="text1"/>
          <w:highlight w:val="none"/>
          <w14:textFill>
            <w14:solidFill>
              <w14:schemeClr w14:val="tx1"/>
            </w14:solidFill>
          </w14:textFill>
        </w:rPr>
      </w:pPr>
    </w:p>
    <w:p w14:paraId="0A335FD6">
      <w:pPr>
        <w:pStyle w:val="5"/>
        <w:spacing w:line="355" w:lineRule="auto"/>
        <w:rPr>
          <w:rFonts w:hint="eastAsia" w:ascii="宋体" w:hAnsi="宋体" w:eastAsia="宋体" w:cs="宋体"/>
          <w:color w:val="000000" w:themeColor="text1"/>
          <w:highlight w:val="none"/>
          <w14:textFill>
            <w14:solidFill>
              <w14:schemeClr w14:val="tx1"/>
            </w14:solidFill>
          </w14:textFill>
        </w:rPr>
      </w:pPr>
    </w:p>
    <w:p w14:paraId="604209B6">
      <w:pPr>
        <w:pStyle w:val="5"/>
        <w:spacing w:line="355" w:lineRule="auto"/>
        <w:rPr>
          <w:rFonts w:hint="eastAsia" w:ascii="宋体" w:hAnsi="宋体" w:eastAsia="宋体" w:cs="宋体"/>
          <w:color w:val="000000" w:themeColor="text1"/>
          <w:highlight w:val="none"/>
          <w14:textFill>
            <w14:solidFill>
              <w14:schemeClr w14:val="tx1"/>
            </w14:solidFill>
          </w14:textFill>
        </w:rPr>
      </w:pPr>
    </w:p>
    <w:p w14:paraId="52B3F812">
      <w:pPr>
        <w:pStyle w:val="5"/>
        <w:spacing w:line="355" w:lineRule="auto"/>
        <w:rPr>
          <w:rFonts w:hint="eastAsia" w:ascii="宋体" w:hAnsi="宋体" w:eastAsia="宋体" w:cs="宋体"/>
          <w:color w:val="000000" w:themeColor="text1"/>
          <w:highlight w:val="none"/>
          <w14:textFill>
            <w14:solidFill>
              <w14:schemeClr w14:val="tx1"/>
            </w14:solidFill>
          </w14:textFill>
        </w:rPr>
      </w:pPr>
    </w:p>
    <w:p w14:paraId="53F283AE">
      <w:pPr>
        <w:pStyle w:val="5"/>
        <w:spacing w:line="355" w:lineRule="auto"/>
        <w:rPr>
          <w:rFonts w:hint="eastAsia" w:ascii="宋体" w:hAnsi="宋体" w:eastAsia="宋体" w:cs="宋体"/>
          <w:color w:val="000000" w:themeColor="text1"/>
          <w:highlight w:val="none"/>
          <w14:textFill>
            <w14:solidFill>
              <w14:schemeClr w14:val="tx1"/>
            </w14:solidFill>
          </w14:textFill>
        </w:rPr>
      </w:pPr>
    </w:p>
    <w:p w14:paraId="32ED6F11">
      <w:pPr>
        <w:spacing w:before="231" w:line="223" w:lineRule="auto"/>
        <w:jc w:val="center"/>
        <w:outlineLvl w:val="9"/>
        <w:rPr>
          <w:rFonts w:hint="eastAsia" w:ascii="宋体" w:hAnsi="宋体" w:eastAsia="宋体" w:cs="宋体"/>
          <w:color w:val="000000" w:themeColor="text1"/>
          <w:sz w:val="71"/>
          <w:szCs w:val="71"/>
          <w:highlight w:val="none"/>
          <w14:textFill>
            <w14:solidFill>
              <w14:schemeClr w14:val="tx1"/>
            </w14:solidFill>
          </w14:textFill>
        </w:rPr>
      </w:pPr>
      <w:bookmarkStart w:id="0" w:name="_Toc15274"/>
      <w:bookmarkStart w:id="1" w:name="_Toc7958"/>
      <w:bookmarkStart w:id="2" w:name="_Toc1688"/>
      <w:bookmarkStart w:id="3" w:name="_Toc15837"/>
      <w:r>
        <w:rPr>
          <w:rFonts w:hint="eastAsia" w:ascii="宋体" w:hAnsi="宋体" w:eastAsia="宋体" w:cs="宋体"/>
          <w:b/>
          <w:bCs/>
          <w:color w:val="000000" w:themeColor="text1"/>
          <w:spacing w:val="-3"/>
          <w:sz w:val="71"/>
          <w:szCs w:val="71"/>
          <w:highlight w:val="none"/>
          <w14:textFill>
            <w14:solidFill>
              <w14:schemeClr w14:val="tx1"/>
            </w14:solidFill>
          </w14:textFill>
        </w:rPr>
        <w:t>招标文件</w:t>
      </w:r>
      <w:bookmarkEnd w:id="0"/>
      <w:bookmarkEnd w:id="1"/>
      <w:bookmarkEnd w:id="2"/>
      <w:bookmarkEnd w:id="3"/>
    </w:p>
    <w:p w14:paraId="4EFF9E9E">
      <w:pPr>
        <w:pStyle w:val="5"/>
        <w:spacing w:line="270" w:lineRule="auto"/>
        <w:rPr>
          <w:rFonts w:hint="eastAsia" w:ascii="宋体" w:hAnsi="宋体" w:eastAsia="宋体" w:cs="宋体"/>
          <w:color w:val="000000" w:themeColor="text1"/>
          <w:highlight w:val="none"/>
          <w14:textFill>
            <w14:solidFill>
              <w14:schemeClr w14:val="tx1"/>
            </w14:solidFill>
          </w14:textFill>
        </w:rPr>
      </w:pPr>
    </w:p>
    <w:p w14:paraId="1A454BAE">
      <w:pPr>
        <w:pStyle w:val="5"/>
        <w:spacing w:line="271" w:lineRule="auto"/>
        <w:rPr>
          <w:rFonts w:hint="eastAsia" w:ascii="宋体" w:hAnsi="宋体" w:eastAsia="宋体" w:cs="宋体"/>
          <w:color w:val="000000" w:themeColor="text1"/>
          <w:highlight w:val="none"/>
          <w14:textFill>
            <w14:solidFill>
              <w14:schemeClr w14:val="tx1"/>
            </w14:solidFill>
          </w14:textFill>
        </w:rPr>
      </w:pPr>
    </w:p>
    <w:p w14:paraId="2B5B3882">
      <w:pPr>
        <w:pStyle w:val="5"/>
        <w:spacing w:line="271" w:lineRule="auto"/>
        <w:rPr>
          <w:rFonts w:hint="eastAsia" w:ascii="宋体" w:hAnsi="宋体" w:eastAsia="宋体" w:cs="宋体"/>
          <w:color w:val="000000" w:themeColor="text1"/>
          <w:highlight w:val="none"/>
          <w14:textFill>
            <w14:solidFill>
              <w14:schemeClr w14:val="tx1"/>
            </w14:solidFill>
          </w14:textFill>
        </w:rPr>
      </w:pPr>
    </w:p>
    <w:p w14:paraId="4C622A16">
      <w:pPr>
        <w:pStyle w:val="5"/>
        <w:spacing w:line="271" w:lineRule="auto"/>
        <w:rPr>
          <w:rFonts w:hint="eastAsia" w:ascii="宋体" w:hAnsi="宋体" w:eastAsia="宋体" w:cs="宋体"/>
          <w:color w:val="000000" w:themeColor="text1"/>
          <w:highlight w:val="none"/>
          <w14:textFill>
            <w14:solidFill>
              <w14:schemeClr w14:val="tx1"/>
            </w14:solidFill>
          </w14:textFill>
        </w:rPr>
      </w:pPr>
    </w:p>
    <w:p w14:paraId="124711D2">
      <w:pPr>
        <w:pStyle w:val="5"/>
        <w:spacing w:line="271" w:lineRule="auto"/>
        <w:rPr>
          <w:rFonts w:hint="eastAsia" w:ascii="宋体" w:hAnsi="宋体" w:eastAsia="宋体" w:cs="宋体"/>
          <w:color w:val="000000" w:themeColor="text1"/>
          <w:highlight w:val="none"/>
          <w14:textFill>
            <w14:solidFill>
              <w14:schemeClr w14:val="tx1"/>
            </w14:solidFill>
          </w14:textFill>
        </w:rPr>
      </w:pPr>
    </w:p>
    <w:p w14:paraId="5A7070C0">
      <w:pPr>
        <w:pStyle w:val="5"/>
        <w:spacing w:line="271" w:lineRule="auto"/>
        <w:rPr>
          <w:rFonts w:hint="eastAsia" w:ascii="宋体" w:hAnsi="宋体" w:eastAsia="宋体" w:cs="宋体"/>
          <w:color w:val="000000" w:themeColor="text1"/>
          <w:highlight w:val="none"/>
          <w14:textFill>
            <w14:solidFill>
              <w14:schemeClr w14:val="tx1"/>
            </w14:solidFill>
          </w14:textFill>
        </w:rPr>
      </w:pPr>
    </w:p>
    <w:p w14:paraId="466BB1AF">
      <w:pPr>
        <w:pStyle w:val="5"/>
        <w:spacing w:line="271" w:lineRule="auto"/>
        <w:rPr>
          <w:rFonts w:hint="eastAsia" w:ascii="宋体" w:hAnsi="宋体" w:eastAsia="宋体" w:cs="宋体"/>
          <w:color w:val="000000" w:themeColor="text1"/>
          <w:highlight w:val="none"/>
          <w14:textFill>
            <w14:solidFill>
              <w14:schemeClr w14:val="tx1"/>
            </w14:solidFill>
          </w14:textFill>
        </w:rPr>
      </w:pPr>
    </w:p>
    <w:tbl>
      <w:tblPr>
        <w:tblStyle w:val="12"/>
        <w:tblW w:w="9430" w:type="dxa"/>
        <w:jc w:val="center"/>
        <w:tblLayout w:type="fixed"/>
        <w:tblCellMar>
          <w:top w:w="0" w:type="dxa"/>
          <w:left w:w="0" w:type="dxa"/>
          <w:bottom w:w="0" w:type="dxa"/>
          <w:right w:w="0" w:type="dxa"/>
        </w:tblCellMar>
      </w:tblPr>
      <w:tblGrid>
        <w:gridCol w:w="5013"/>
        <w:gridCol w:w="4417"/>
      </w:tblGrid>
      <w:tr w14:paraId="0FBD89A1">
        <w:tblPrEx>
          <w:tblCellMar>
            <w:top w:w="0" w:type="dxa"/>
            <w:left w:w="0" w:type="dxa"/>
            <w:bottom w:w="0" w:type="dxa"/>
            <w:right w:w="0" w:type="dxa"/>
          </w:tblCellMar>
        </w:tblPrEx>
        <w:trPr>
          <w:trHeight w:val="1030" w:hRule="atLeast"/>
          <w:jc w:val="center"/>
        </w:trPr>
        <w:tc>
          <w:tcPr>
            <w:tcW w:w="5013" w:type="dxa"/>
            <w:vAlign w:val="center"/>
          </w:tcPr>
          <w:p w14:paraId="75FF4CB7">
            <w:pPr>
              <w:pStyle w:val="15"/>
              <w:snapToGrid w:val="0"/>
              <w:spacing w:line="240" w:lineRule="auto"/>
              <w:jc w:val="distribute"/>
              <w:rPr>
                <w:rStyle w:val="16"/>
                <w:rFonts w:hint="eastAsia" w:ascii="宋体" w:hAnsi="宋体" w:eastAsia="宋体" w:cs="宋体"/>
                <w:color w:val="000000" w:themeColor="text1"/>
                <w:kern w:val="0"/>
                <w:sz w:val="28"/>
                <w:szCs w:val="28"/>
                <w:highlight w:val="none"/>
                <w14:textFill>
                  <w14:solidFill>
                    <w14:schemeClr w14:val="tx1"/>
                  </w14:solidFill>
                </w14:textFill>
              </w:rPr>
            </w:pPr>
            <w:r>
              <w:rPr>
                <w:rStyle w:val="16"/>
                <w:rFonts w:hint="eastAsia" w:ascii="宋体" w:hAnsi="宋体" w:eastAsia="宋体" w:cs="宋体"/>
                <w:color w:val="000000" w:themeColor="text1"/>
                <w:kern w:val="0"/>
                <w:sz w:val="28"/>
                <w:szCs w:val="28"/>
                <w:highlight w:val="none"/>
                <w14:textFill>
                  <w14:solidFill>
                    <w14:schemeClr w14:val="tx1"/>
                  </w14:solidFill>
                </w14:textFill>
              </w:rPr>
              <w:t xml:space="preserve"> 招  标  人（盖单位章）：</w:t>
            </w:r>
          </w:p>
        </w:tc>
        <w:tc>
          <w:tcPr>
            <w:tcW w:w="4417" w:type="dxa"/>
            <w:vAlign w:val="center"/>
          </w:tcPr>
          <w:p w14:paraId="542235EB">
            <w:pPr>
              <w:pStyle w:val="15"/>
              <w:snapToGrid w:val="0"/>
              <w:spacing w:line="240" w:lineRule="auto"/>
              <w:rPr>
                <w:rStyle w:val="16"/>
                <w:rFonts w:hint="eastAsia" w:ascii="宋体" w:hAnsi="宋体" w:eastAsia="宋体" w:cs="宋体"/>
                <w:color w:val="000000" w:themeColor="text1"/>
                <w:kern w:val="0"/>
                <w:sz w:val="28"/>
                <w:szCs w:val="28"/>
                <w:highlight w:val="none"/>
                <w:lang w:eastAsia="zh-CN"/>
                <w14:textFill>
                  <w14:solidFill>
                    <w14:schemeClr w14:val="tx1"/>
                  </w14:solidFill>
                </w14:textFill>
              </w:rPr>
            </w:pPr>
            <w:r>
              <w:rPr>
                <w:rStyle w:val="16"/>
                <w:rFonts w:hint="eastAsia" w:hAnsi="宋体" w:cs="宋体"/>
                <w:color w:val="000000" w:themeColor="text1"/>
                <w:kern w:val="0"/>
                <w:sz w:val="28"/>
                <w:szCs w:val="28"/>
                <w:highlight w:val="none"/>
                <w:lang w:eastAsia="zh-CN"/>
                <w14:textFill>
                  <w14:solidFill>
                    <w14:schemeClr w14:val="tx1"/>
                  </w14:solidFill>
                </w14:textFill>
              </w:rPr>
              <w:t>韶关市武江区人民政府新华街道办事处</w:t>
            </w:r>
          </w:p>
        </w:tc>
      </w:tr>
      <w:tr w14:paraId="0ED64425">
        <w:tblPrEx>
          <w:tblCellMar>
            <w:top w:w="0" w:type="dxa"/>
            <w:left w:w="0" w:type="dxa"/>
            <w:bottom w:w="0" w:type="dxa"/>
            <w:right w:w="0" w:type="dxa"/>
          </w:tblCellMar>
        </w:tblPrEx>
        <w:trPr>
          <w:trHeight w:val="844" w:hRule="atLeast"/>
          <w:jc w:val="center"/>
        </w:trPr>
        <w:tc>
          <w:tcPr>
            <w:tcW w:w="5013" w:type="dxa"/>
            <w:vAlign w:val="center"/>
          </w:tcPr>
          <w:p w14:paraId="32C2F3CA">
            <w:pPr>
              <w:pStyle w:val="15"/>
              <w:snapToGrid w:val="0"/>
              <w:spacing w:line="240" w:lineRule="auto"/>
              <w:jc w:val="distribute"/>
              <w:rPr>
                <w:rStyle w:val="16"/>
                <w:rFonts w:hint="eastAsia" w:ascii="宋体" w:hAnsi="宋体" w:eastAsia="宋体" w:cs="宋体"/>
                <w:color w:val="000000" w:themeColor="text1"/>
                <w:kern w:val="0"/>
                <w:sz w:val="28"/>
                <w:szCs w:val="28"/>
                <w:highlight w:val="none"/>
                <w14:textFill>
                  <w14:solidFill>
                    <w14:schemeClr w14:val="tx1"/>
                  </w14:solidFill>
                </w14:textFill>
              </w:rPr>
            </w:pPr>
            <w:r>
              <w:rPr>
                <w:rStyle w:val="16"/>
                <w:rFonts w:hint="eastAsia" w:ascii="宋体" w:hAnsi="宋体" w:eastAsia="宋体" w:cs="宋体"/>
                <w:color w:val="000000" w:themeColor="text1"/>
                <w:kern w:val="0"/>
                <w:sz w:val="28"/>
                <w:szCs w:val="28"/>
                <w:highlight w:val="none"/>
                <w14:textFill>
                  <w14:solidFill>
                    <w14:schemeClr w14:val="tx1"/>
                  </w14:solidFill>
                </w14:textFill>
              </w:rPr>
              <w:t xml:space="preserve"> 招标人工作领导小组负责人（签字）：</w:t>
            </w:r>
          </w:p>
        </w:tc>
        <w:tc>
          <w:tcPr>
            <w:tcW w:w="4417" w:type="dxa"/>
            <w:vAlign w:val="center"/>
          </w:tcPr>
          <w:p w14:paraId="6DAD42AE">
            <w:pPr>
              <w:pStyle w:val="15"/>
              <w:snapToGrid w:val="0"/>
              <w:spacing w:line="240" w:lineRule="auto"/>
              <w:rPr>
                <w:rStyle w:val="16"/>
                <w:rFonts w:hint="eastAsia" w:ascii="宋体" w:hAnsi="宋体" w:eastAsia="宋体" w:cs="宋体"/>
                <w:color w:val="000000" w:themeColor="text1"/>
                <w:kern w:val="0"/>
                <w:sz w:val="28"/>
                <w:szCs w:val="28"/>
                <w:highlight w:val="none"/>
                <w14:textFill>
                  <w14:solidFill>
                    <w14:schemeClr w14:val="tx1"/>
                  </w14:solidFill>
                </w14:textFill>
              </w:rPr>
            </w:pPr>
          </w:p>
        </w:tc>
      </w:tr>
      <w:tr w14:paraId="4098A439">
        <w:tblPrEx>
          <w:tblCellMar>
            <w:top w:w="0" w:type="dxa"/>
            <w:left w:w="0" w:type="dxa"/>
            <w:bottom w:w="0" w:type="dxa"/>
            <w:right w:w="0" w:type="dxa"/>
          </w:tblCellMar>
        </w:tblPrEx>
        <w:trPr>
          <w:trHeight w:val="840" w:hRule="atLeast"/>
          <w:jc w:val="center"/>
        </w:trPr>
        <w:tc>
          <w:tcPr>
            <w:tcW w:w="5013" w:type="dxa"/>
            <w:vAlign w:val="center"/>
          </w:tcPr>
          <w:p w14:paraId="15C4759D">
            <w:pPr>
              <w:pStyle w:val="15"/>
              <w:snapToGrid w:val="0"/>
              <w:spacing w:line="240" w:lineRule="auto"/>
              <w:jc w:val="distribute"/>
              <w:rPr>
                <w:rStyle w:val="16"/>
                <w:rFonts w:hint="eastAsia" w:ascii="宋体" w:hAnsi="宋体" w:eastAsia="宋体" w:cs="宋体"/>
                <w:color w:val="000000" w:themeColor="text1"/>
                <w:kern w:val="0"/>
                <w:sz w:val="28"/>
                <w:szCs w:val="28"/>
                <w:highlight w:val="none"/>
                <w14:textFill>
                  <w14:solidFill>
                    <w14:schemeClr w14:val="tx1"/>
                  </w14:solidFill>
                </w14:textFill>
              </w:rPr>
            </w:pPr>
            <w:r>
              <w:rPr>
                <w:rStyle w:val="16"/>
                <w:rFonts w:hint="eastAsia" w:ascii="宋体" w:hAnsi="宋体" w:eastAsia="宋体" w:cs="宋体"/>
                <w:color w:val="000000" w:themeColor="text1"/>
                <w:kern w:val="0"/>
                <w:sz w:val="28"/>
                <w:szCs w:val="28"/>
                <w:highlight w:val="none"/>
                <w14:textFill>
                  <w14:solidFill>
                    <w14:schemeClr w14:val="tx1"/>
                  </w14:solidFill>
                </w14:textFill>
              </w:rPr>
              <w:t xml:space="preserve"> 招 标 代 理 机 构 （盖单位章）：</w:t>
            </w:r>
          </w:p>
        </w:tc>
        <w:tc>
          <w:tcPr>
            <w:tcW w:w="4417" w:type="dxa"/>
            <w:vAlign w:val="center"/>
          </w:tcPr>
          <w:p w14:paraId="25C2E748">
            <w:pPr>
              <w:pStyle w:val="15"/>
              <w:snapToGrid w:val="0"/>
              <w:spacing w:line="240" w:lineRule="auto"/>
              <w:rPr>
                <w:rStyle w:val="16"/>
                <w:rFonts w:hint="eastAsia" w:ascii="宋体" w:hAnsi="宋体" w:eastAsia="宋体" w:cs="宋体"/>
                <w:color w:val="000000" w:themeColor="text1"/>
                <w:kern w:val="0"/>
                <w:sz w:val="28"/>
                <w:szCs w:val="28"/>
                <w:highlight w:val="none"/>
                <w:lang w:eastAsia="zh-CN"/>
                <w14:textFill>
                  <w14:solidFill>
                    <w14:schemeClr w14:val="tx1"/>
                  </w14:solidFill>
                </w14:textFill>
              </w:rPr>
            </w:pPr>
            <w:r>
              <w:rPr>
                <w:rStyle w:val="16"/>
                <w:rFonts w:hint="eastAsia" w:hAnsi="宋体" w:cs="宋体"/>
                <w:color w:val="000000" w:themeColor="text1"/>
                <w:kern w:val="0"/>
                <w:sz w:val="28"/>
                <w:szCs w:val="28"/>
                <w:highlight w:val="none"/>
                <w:lang w:eastAsia="zh-CN"/>
                <w14:textFill>
                  <w14:solidFill>
                    <w14:schemeClr w14:val="tx1"/>
                  </w14:solidFill>
                </w14:textFill>
              </w:rPr>
              <w:t>广东合正项目管理有限公司</w:t>
            </w:r>
          </w:p>
        </w:tc>
      </w:tr>
      <w:tr w14:paraId="46AA99F4">
        <w:tblPrEx>
          <w:tblCellMar>
            <w:top w:w="0" w:type="dxa"/>
            <w:left w:w="0" w:type="dxa"/>
            <w:bottom w:w="0" w:type="dxa"/>
            <w:right w:w="0" w:type="dxa"/>
          </w:tblCellMar>
        </w:tblPrEx>
        <w:trPr>
          <w:trHeight w:val="968" w:hRule="atLeast"/>
          <w:jc w:val="center"/>
        </w:trPr>
        <w:tc>
          <w:tcPr>
            <w:tcW w:w="5013" w:type="dxa"/>
            <w:vAlign w:val="center"/>
          </w:tcPr>
          <w:p w14:paraId="7D7498C5">
            <w:pPr>
              <w:pStyle w:val="15"/>
              <w:snapToGrid w:val="0"/>
              <w:spacing w:line="240" w:lineRule="auto"/>
              <w:jc w:val="distribute"/>
              <w:rPr>
                <w:rStyle w:val="16"/>
                <w:rFonts w:hint="eastAsia" w:ascii="宋体" w:hAnsi="宋体" w:eastAsia="宋体" w:cs="宋体"/>
                <w:color w:val="000000" w:themeColor="text1"/>
                <w:kern w:val="0"/>
                <w:sz w:val="28"/>
                <w:szCs w:val="28"/>
                <w:highlight w:val="none"/>
                <w14:textFill>
                  <w14:solidFill>
                    <w14:schemeClr w14:val="tx1"/>
                  </w14:solidFill>
                </w14:textFill>
              </w:rPr>
            </w:pPr>
            <w:r>
              <w:rPr>
                <w:rStyle w:val="16"/>
                <w:rFonts w:hint="eastAsia" w:ascii="宋体" w:hAnsi="宋体" w:eastAsia="宋体" w:cs="宋体"/>
                <w:color w:val="000000" w:themeColor="text1"/>
                <w:kern w:val="0"/>
                <w:sz w:val="28"/>
                <w:szCs w:val="28"/>
                <w:highlight w:val="none"/>
                <w14:textFill>
                  <w14:solidFill>
                    <w14:schemeClr w14:val="tx1"/>
                  </w14:solidFill>
                </w14:textFill>
              </w:rPr>
              <w:t xml:space="preserve"> 招标文件编制人（签字）：</w:t>
            </w:r>
          </w:p>
        </w:tc>
        <w:tc>
          <w:tcPr>
            <w:tcW w:w="4417" w:type="dxa"/>
            <w:vAlign w:val="center"/>
          </w:tcPr>
          <w:p w14:paraId="6F37BCCD">
            <w:pPr>
              <w:pStyle w:val="15"/>
              <w:snapToGrid w:val="0"/>
              <w:spacing w:line="240" w:lineRule="auto"/>
              <w:rPr>
                <w:rStyle w:val="16"/>
                <w:rFonts w:hint="eastAsia" w:ascii="宋体" w:hAnsi="宋体" w:eastAsia="宋体" w:cs="宋体"/>
                <w:color w:val="000000" w:themeColor="text1"/>
                <w:kern w:val="0"/>
                <w:sz w:val="28"/>
                <w:szCs w:val="28"/>
                <w:highlight w:val="none"/>
                <w14:textFill>
                  <w14:solidFill>
                    <w14:schemeClr w14:val="tx1"/>
                  </w14:solidFill>
                </w14:textFill>
              </w:rPr>
            </w:pPr>
          </w:p>
        </w:tc>
      </w:tr>
      <w:tr w14:paraId="224F3282">
        <w:tblPrEx>
          <w:tblCellMar>
            <w:top w:w="0" w:type="dxa"/>
            <w:left w:w="0" w:type="dxa"/>
            <w:bottom w:w="0" w:type="dxa"/>
            <w:right w:w="0" w:type="dxa"/>
          </w:tblCellMar>
        </w:tblPrEx>
        <w:trPr>
          <w:trHeight w:val="937" w:hRule="atLeast"/>
          <w:jc w:val="center"/>
        </w:trPr>
        <w:tc>
          <w:tcPr>
            <w:tcW w:w="5013" w:type="dxa"/>
            <w:vAlign w:val="center"/>
          </w:tcPr>
          <w:p w14:paraId="457738D3">
            <w:pPr>
              <w:pStyle w:val="15"/>
              <w:snapToGrid w:val="0"/>
              <w:spacing w:line="240" w:lineRule="auto"/>
              <w:jc w:val="distribute"/>
              <w:rPr>
                <w:rStyle w:val="16"/>
                <w:rFonts w:hint="eastAsia" w:ascii="宋体" w:hAnsi="宋体" w:eastAsia="宋体" w:cs="宋体"/>
                <w:color w:val="000000" w:themeColor="text1"/>
                <w:kern w:val="0"/>
                <w:sz w:val="28"/>
                <w:szCs w:val="28"/>
                <w:highlight w:val="none"/>
                <w14:textFill>
                  <w14:solidFill>
                    <w14:schemeClr w14:val="tx1"/>
                  </w14:solidFill>
                </w14:textFill>
              </w:rPr>
            </w:pPr>
            <w:r>
              <w:rPr>
                <w:rStyle w:val="16"/>
                <w:rFonts w:hint="eastAsia" w:ascii="宋体" w:hAnsi="宋体" w:eastAsia="宋体" w:cs="宋体"/>
                <w:color w:val="000000" w:themeColor="text1"/>
                <w:kern w:val="0"/>
                <w:sz w:val="28"/>
                <w:szCs w:val="28"/>
                <w:highlight w:val="none"/>
                <w14:textFill>
                  <w14:solidFill>
                    <w14:schemeClr w14:val="tx1"/>
                  </w14:solidFill>
                </w14:textFill>
              </w:rPr>
              <w:t xml:space="preserve"> 招标代理机构项目负责人（签字）：</w:t>
            </w:r>
          </w:p>
        </w:tc>
        <w:tc>
          <w:tcPr>
            <w:tcW w:w="4417" w:type="dxa"/>
            <w:vAlign w:val="center"/>
          </w:tcPr>
          <w:p w14:paraId="02AD201A">
            <w:pPr>
              <w:pStyle w:val="15"/>
              <w:snapToGrid w:val="0"/>
              <w:spacing w:line="240" w:lineRule="auto"/>
              <w:rPr>
                <w:rStyle w:val="16"/>
                <w:rFonts w:hint="eastAsia" w:ascii="宋体" w:hAnsi="宋体" w:eastAsia="宋体" w:cs="宋体"/>
                <w:color w:val="000000" w:themeColor="text1"/>
                <w:kern w:val="0"/>
                <w:sz w:val="28"/>
                <w:szCs w:val="28"/>
                <w:highlight w:val="none"/>
                <w14:textFill>
                  <w14:solidFill>
                    <w14:schemeClr w14:val="tx1"/>
                  </w14:solidFill>
                </w14:textFill>
              </w:rPr>
            </w:pPr>
          </w:p>
        </w:tc>
      </w:tr>
      <w:tr w14:paraId="77ED4758">
        <w:tblPrEx>
          <w:tblCellMar>
            <w:top w:w="0" w:type="dxa"/>
            <w:left w:w="0" w:type="dxa"/>
            <w:bottom w:w="0" w:type="dxa"/>
            <w:right w:w="0" w:type="dxa"/>
          </w:tblCellMar>
        </w:tblPrEx>
        <w:trPr>
          <w:trHeight w:val="832" w:hRule="atLeast"/>
          <w:jc w:val="center"/>
        </w:trPr>
        <w:tc>
          <w:tcPr>
            <w:tcW w:w="5013" w:type="dxa"/>
            <w:vAlign w:val="center"/>
          </w:tcPr>
          <w:p w14:paraId="11F645AA">
            <w:pPr>
              <w:pStyle w:val="15"/>
              <w:snapToGrid w:val="0"/>
              <w:spacing w:line="240" w:lineRule="auto"/>
              <w:jc w:val="distribute"/>
              <w:rPr>
                <w:rStyle w:val="16"/>
                <w:rFonts w:hint="eastAsia" w:ascii="宋体" w:hAnsi="宋体" w:eastAsia="宋体" w:cs="宋体"/>
                <w:color w:val="000000" w:themeColor="text1"/>
                <w:kern w:val="0"/>
                <w:sz w:val="28"/>
                <w:szCs w:val="28"/>
                <w:highlight w:val="none"/>
                <w14:textFill>
                  <w14:solidFill>
                    <w14:schemeClr w14:val="tx1"/>
                  </w14:solidFill>
                </w14:textFill>
              </w:rPr>
            </w:pPr>
            <w:r>
              <w:rPr>
                <w:rStyle w:val="16"/>
                <w:rFonts w:hint="eastAsia" w:ascii="宋体" w:hAnsi="宋体" w:eastAsia="宋体" w:cs="宋体"/>
                <w:color w:val="000000" w:themeColor="text1"/>
                <w:kern w:val="0"/>
                <w:sz w:val="28"/>
                <w:szCs w:val="28"/>
                <w:highlight w:val="none"/>
                <w14:textFill>
                  <w14:solidFill>
                    <w14:schemeClr w14:val="tx1"/>
                  </w14:solidFill>
                </w14:textFill>
              </w:rPr>
              <w:t xml:space="preserve"> 招标文件编制日期：</w:t>
            </w:r>
          </w:p>
        </w:tc>
        <w:tc>
          <w:tcPr>
            <w:tcW w:w="4417" w:type="dxa"/>
            <w:vAlign w:val="center"/>
          </w:tcPr>
          <w:p w14:paraId="4CC93183">
            <w:pPr>
              <w:pStyle w:val="15"/>
              <w:snapToGrid w:val="0"/>
              <w:spacing w:line="240" w:lineRule="auto"/>
              <w:rPr>
                <w:rStyle w:val="16"/>
                <w:rFonts w:hint="eastAsia" w:ascii="宋体" w:hAnsi="宋体" w:eastAsia="宋体" w:cs="宋体"/>
                <w:color w:val="000000" w:themeColor="text1"/>
                <w:kern w:val="0"/>
                <w:sz w:val="28"/>
                <w:szCs w:val="28"/>
                <w:highlight w:val="none"/>
                <w14:textFill>
                  <w14:solidFill>
                    <w14:schemeClr w14:val="tx1"/>
                  </w14:solidFill>
                </w14:textFill>
              </w:rPr>
            </w:pPr>
            <w:r>
              <w:rPr>
                <w:rStyle w:val="16"/>
                <w:rFonts w:hint="eastAsia" w:ascii="宋体" w:hAnsi="宋体" w:eastAsia="宋体" w:cs="宋体"/>
                <w:color w:val="000000" w:themeColor="text1"/>
                <w:kern w:val="0"/>
                <w:sz w:val="28"/>
                <w:szCs w:val="28"/>
                <w:highlight w:val="none"/>
                <w14:textFill>
                  <w14:solidFill>
                    <w14:schemeClr w14:val="tx1"/>
                  </w14:solidFill>
                </w14:textFill>
              </w:rPr>
              <w:t xml:space="preserve">  202</w:t>
            </w:r>
            <w:r>
              <w:rPr>
                <w:rStyle w:val="16"/>
                <w:rFonts w:hint="eastAsia" w:ascii="宋体" w:hAnsi="宋体" w:eastAsia="宋体" w:cs="宋体"/>
                <w:color w:val="000000" w:themeColor="text1"/>
                <w:kern w:val="0"/>
                <w:sz w:val="28"/>
                <w:szCs w:val="28"/>
                <w:highlight w:val="none"/>
                <w:lang w:val="en-US" w:eastAsia="zh-CN"/>
                <w14:textFill>
                  <w14:solidFill>
                    <w14:schemeClr w14:val="tx1"/>
                  </w14:solidFill>
                </w14:textFill>
              </w:rPr>
              <w:t>4</w:t>
            </w:r>
            <w:r>
              <w:rPr>
                <w:rStyle w:val="16"/>
                <w:rFonts w:hint="eastAsia" w:ascii="宋体" w:hAnsi="宋体" w:eastAsia="宋体" w:cs="宋体"/>
                <w:color w:val="000000" w:themeColor="text1"/>
                <w:kern w:val="0"/>
                <w:sz w:val="28"/>
                <w:szCs w:val="28"/>
                <w:highlight w:val="none"/>
                <w14:textFill>
                  <w14:solidFill>
                    <w14:schemeClr w14:val="tx1"/>
                  </w14:solidFill>
                </w14:textFill>
              </w:rPr>
              <w:t>年</w:t>
            </w:r>
            <w:r>
              <w:rPr>
                <w:rStyle w:val="16"/>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Style w:val="16"/>
                <w:rFonts w:hint="eastAsia" w:hAnsi="宋体" w:cs="宋体"/>
                <w:color w:val="000000" w:themeColor="text1"/>
                <w:kern w:val="0"/>
                <w:sz w:val="28"/>
                <w:szCs w:val="28"/>
                <w:highlight w:val="none"/>
                <w:lang w:val="en-US" w:eastAsia="zh-CN"/>
                <w14:textFill>
                  <w14:solidFill>
                    <w14:schemeClr w14:val="tx1"/>
                  </w14:solidFill>
                </w14:textFill>
              </w:rPr>
              <w:t>10</w:t>
            </w:r>
            <w:r>
              <w:rPr>
                <w:rStyle w:val="16"/>
                <w:rFonts w:hint="eastAsia" w:ascii="宋体" w:hAnsi="宋体" w:eastAsia="宋体" w:cs="宋体"/>
                <w:color w:val="000000" w:themeColor="text1"/>
                <w:kern w:val="0"/>
                <w:sz w:val="28"/>
                <w:szCs w:val="28"/>
                <w:highlight w:val="none"/>
                <w:lang w:val="en-US" w:eastAsia="zh-CN"/>
                <w14:textFill>
                  <w14:solidFill>
                    <w14:schemeClr w14:val="tx1"/>
                  </w14:solidFill>
                </w14:textFill>
              </w:rPr>
              <w:t xml:space="preserve"> </w:t>
            </w:r>
            <w:r>
              <w:rPr>
                <w:rStyle w:val="16"/>
                <w:rFonts w:hint="eastAsia" w:ascii="宋体" w:hAnsi="宋体" w:eastAsia="宋体" w:cs="宋体"/>
                <w:color w:val="000000" w:themeColor="text1"/>
                <w:kern w:val="0"/>
                <w:sz w:val="28"/>
                <w:szCs w:val="28"/>
                <w:highlight w:val="none"/>
                <w14:textFill>
                  <w14:solidFill>
                    <w14:schemeClr w14:val="tx1"/>
                  </w14:solidFill>
                </w14:textFill>
              </w:rPr>
              <w:t>月</w:t>
            </w:r>
          </w:p>
        </w:tc>
      </w:tr>
    </w:tbl>
    <w:p w14:paraId="33784D9B">
      <w:pPr>
        <w:rPr>
          <w:rFonts w:hint="eastAsia" w:ascii="宋体" w:hAnsi="宋体" w:eastAsia="宋体" w:cs="宋体"/>
          <w:color w:val="000000" w:themeColor="text1"/>
          <w:highlight w:val="none"/>
          <w14:textFill>
            <w14:solidFill>
              <w14:schemeClr w14:val="tx1"/>
            </w14:solidFill>
          </w14:textFill>
        </w:rPr>
      </w:pPr>
    </w:p>
    <w:p w14:paraId="7431CF78">
      <w:pPr>
        <w:rPr>
          <w:rFonts w:hint="eastAsia" w:ascii="宋体" w:hAnsi="宋体" w:eastAsia="宋体" w:cs="宋体"/>
          <w:color w:val="000000" w:themeColor="text1"/>
          <w:highlight w:val="none"/>
          <w14:textFill>
            <w14:solidFill>
              <w14:schemeClr w14:val="tx1"/>
            </w14:solidFill>
          </w14:textFill>
        </w:rPr>
        <w:sectPr>
          <w:headerReference r:id="rId3" w:type="default"/>
          <w:pgSz w:w="11906" w:h="16839"/>
          <w:pgMar w:top="1440" w:right="1080" w:bottom="1440" w:left="1080" w:header="1200" w:footer="0" w:gutter="0"/>
          <w:pgBorders>
            <w:top w:val="none" w:sz="0" w:space="0"/>
            <w:left w:val="none" w:sz="0" w:space="0"/>
            <w:bottom w:val="none" w:sz="0" w:space="0"/>
            <w:right w:val="none" w:sz="0" w:space="0"/>
          </w:pgBorders>
          <w:pgNumType w:start="1"/>
          <w:cols w:space="720" w:num="1"/>
        </w:sectPr>
      </w:pPr>
    </w:p>
    <w:p w14:paraId="306B3DC9">
      <w:pPr>
        <w:rPr>
          <w:rFonts w:hint="eastAsia" w:ascii="宋体" w:hAnsi="宋体" w:eastAsia="宋体" w:cs="宋体"/>
          <w:color w:val="000000" w:themeColor="text1"/>
          <w:highlight w:val="none"/>
          <w14:textFill>
            <w14:solidFill>
              <w14:schemeClr w14:val="tx1"/>
            </w14:solidFill>
          </w14:textFill>
        </w:rPr>
      </w:pPr>
    </w:p>
    <w:p w14:paraId="4F69C618">
      <w:pPr>
        <w:jc w:val="center"/>
        <w:rPr>
          <w:rFonts w:hint="eastAsia" w:ascii="宋体" w:hAnsi="宋体" w:eastAsia="宋体" w:cs="宋体"/>
          <w:b/>
          <w:bCs/>
          <w:color w:val="000000" w:themeColor="text1"/>
          <w:sz w:val="28"/>
          <w:szCs w:val="28"/>
          <w:highlight w:val="none"/>
          <w14:textFill>
            <w14:solidFill>
              <w14:schemeClr w14:val="tx1"/>
            </w14:solidFill>
          </w14:textFill>
        </w:rPr>
        <w:sectPr>
          <w:headerReference r:id="rId4" w:type="default"/>
          <w:footerReference r:id="rId5" w:type="default"/>
          <w:pgSz w:w="11906" w:h="16839"/>
          <w:pgMar w:top="1440" w:right="1080" w:bottom="1440" w:left="1080" w:header="1200" w:footer="0" w:gutter="0"/>
          <w:pgBorders>
            <w:top w:val="none" w:sz="0" w:space="0"/>
            <w:left w:val="none" w:sz="0" w:space="0"/>
            <w:bottom w:val="none" w:sz="0" w:space="0"/>
            <w:right w:val="none" w:sz="0" w:space="0"/>
          </w:pgBorders>
          <w:pgNumType w:start="1"/>
          <w:cols w:space="720" w:num="1"/>
        </w:sectPr>
      </w:pPr>
    </w:p>
    <w:p w14:paraId="088BE4E2">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目录</w:t>
      </w:r>
    </w:p>
    <w:p w14:paraId="5ACD5A19">
      <w:pPr>
        <w:pStyle w:val="8"/>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TOC \o "1-3" \h \u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_Toc28044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3"/>
          <w:szCs w:val="24"/>
          <w:highlight w:val="none"/>
          <w14:textFill>
            <w14:solidFill>
              <w14:schemeClr w14:val="tx1"/>
            </w14:solidFill>
          </w14:textFill>
        </w:rPr>
        <w:t>第一章</w:t>
      </w:r>
      <w:r>
        <w:rPr>
          <w:rFonts w:hint="eastAsia" w:ascii="宋体" w:hAnsi="宋体" w:eastAsia="宋体" w:cs="宋体"/>
          <w:color w:val="000000" w:themeColor="text1"/>
          <w:spacing w:val="-3"/>
          <w:szCs w:val="24"/>
          <w:highlight w:val="none"/>
          <w14:textFill>
            <w14:solidFill>
              <w14:schemeClr w14:val="tx1"/>
            </w14:solidFill>
          </w14:textFill>
        </w:rPr>
        <w:t xml:space="preserve"> </w:t>
      </w:r>
      <w:r>
        <w:rPr>
          <w:rFonts w:hint="eastAsia" w:ascii="宋体" w:hAnsi="宋体" w:eastAsia="宋体" w:cs="宋体"/>
          <w:bCs/>
          <w:color w:val="000000" w:themeColor="text1"/>
          <w:spacing w:val="-3"/>
          <w:szCs w:val="24"/>
          <w:highlight w:val="none"/>
          <w14:textFill>
            <w14:solidFill>
              <w14:schemeClr w14:val="tx1"/>
            </w14:solidFill>
          </w14:textFill>
        </w:rPr>
        <w:t>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_Toc28044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5AAC3E5D">
      <w:pPr>
        <w:pStyle w:val="9"/>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_Toc23469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3"/>
          <w:szCs w:val="24"/>
          <w:highlight w:val="none"/>
          <w14:textFill>
            <w14:solidFill>
              <w14:schemeClr w14:val="tx1"/>
            </w14:solidFill>
          </w14:textFill>
        </w:rPr>
        <w:t>第一节</w:t>
      </w:r>
      <w:r>
        <w:rPr>
          <w:rFonts w:hint="eastAsia" w:ascii="宋体" w:hAnsi="宋体" w:eastAsia="宋体" w:cs="宋体"/>
          <w:color w:val="000000" w:themeColor="text1"/>
          <w:spacing w:val="-3"/>
          <w:szCs w:val="24"/>
          <w:highlight w:val="none"/>
          <w14:textFill>
            <w14:solidFill>
              <w14:schemeClr w14:val="tx1"/>
            </w14:solidFill>
          </w14:textFill>
        </w:rPr>
        <w:t xml:space="preserve"> </w:t>
      </w:r>
      <w:r>
        <w:rPr>
          <w:rFonts w:hint="eastAsia" w:ascii="宋体" w:hAnsi="宋体" w:eastAsia="宋体" w:cs="宋体"/>
          <w:bCs/>
          <w:color w:val="000000" w:themeColor="text1"/>
          <w:spacing w:val="-3"/>
          <w:szCs w:val="24"/>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_Toc23469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2E2C5FC4">
      <w:pPr>
        <w:pStyle w:val="9"/>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_Toc5546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3"/>
          <w:szCs w:val="24"/>
          <w:highlight w:val="none"/>
          <w14:textFill>
            <w14:solidFill>
              <w14:schemeClr w14:val="tx1"/>
            </w14:solidFill>
          </w14:textFill>
        </w:rPr>
        <w:t>第二节 重要事项时间地点一览表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_Toc5546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7C62100A">
      <w:pPr>
        <w:pStyle w:val="9"/>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_Toc27205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3"/>
          <w:szCs w:val="24"/>
          <w:highlight w:val="none"/>
          <w14:textFill>
            <w14:solidFill>
              <w14:schemeClr w14:val="tx1"/>
            </w14:solidFill>
          </w14:textFill>
        </w:rPr>
        <w:t>第三节</w:t>
      </w:r>
      <w:r>
        <w:rPr>
          <w:rFonts w:hint="eastAsia" w:ascii="宋体" w:hAnsi="宋体" w:eastAsia="宋体" w:cs="宋体"/>
          <w:color w:val="000000" w:themeColor="text1"/>
          <w:spacing w:val="-3"/>
          <w:szCs w:val="24"/>
          <w:highlight w:val="none"/>
          <w14:textFill>
            <w14:solidFill>
              <w14:schemeClr w14:val="tx1"/>
            </w14:solidFill>
          </w14:textFill>
        </w:rPr>
        <w:t xml:space="preserve"> </w:t>
      </w:r>
      <w:r>
        <w:rPr>
          <w:rFonts w:hint="eastAsia" w:ascii="宋体" w:hAnsi="宋体" w:eastAsia="宋体" w:cs="宋体"/>
          <w:bCs/>
          <w:color w:val="000000" w:themeColor="text1"/>
          <w:spacing w:val="-3"/>
          <w:szCs w:val="24"/>
          <w:highlight w:val="none"/>
          <w14:textFill>
            <w14:solidFill>
              <w14:schemeClr w14:val="tx1"/>
            </w14:solidFill>
          </w14:textFill>
        </w:rPr>
        <w:t>投标人须知正文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_Toc27205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6919A6CC">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_Toc30132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4"/>
          <w:szCs w:val="24"/>
          <w:highlight w:val="none"/>
          <w14:textFill>
            <w14:solidFill>
              <w14:schemeClr w14:val="tx1"/>
            </w14:solidFill>
          </w14:textFill>
        </w:rPr>
        <w:t>1</w:t>
      </w:r>
      <w:r>
        <w:rPr>
          <w:rFonts w:hint="eastAsia" w:ascii="宋体" w:hAnsi="宋体" w:eastAsia="宋体" w:cs="宋体"/>
          <w:bCs/>
          <w:color w:val="000000" w:themeColor="text1"/>
          <w:spacing w:val="-23"/>
          <w:szCs w:val="24"/>
          <w:highlight w:val="none"/>
          <w14:textFill>
            <w14:solidFill>
              <w14:schemeClr w14:val="tx1"/>
            </w14:solidFill>
          </w14:textFill>
        </w:rPr>
        <w:t xml:space="preserve"> </w:t>
      </w:r>
      <w:r>
        <w:rPr>
          <w:rFonts w:hint="eastAsia" w:ascii="宋体" w:hAnsi="宋体" w:eastAsia="宋体" w:cs="宋体"/>
          <w:bCs/>
          <w:color w:val="000000" w:themeColor="text1"/>
          <w:spacing w:val="-4"/>
          <w:szCs w:val="24"/>
          <w:highlight w:val="none"/>
          <w14:textFill>
            <w14:solidFill>
              <w14:schemeClr w14:val="tx1"/>
            </w14:solidFill>
          </w14:textFill>
        </w:rPr>
        <w:t>．项目概况、招标范围和标段划分、投标费用等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_Toc30132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7D5988C2">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_Toc17618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zCs w:val="24"/>
          <w:highlight w:val="none"/>
          <w14:textFill>
            <w14:solidFill>
              <w14:schemeClr w14:val="tx1"/>
            </w14:solidFill>
          </w14:textFill>
        </w:rPr>
        <w:t>2．</w:t>
      </w:r>
      <w:r>
        <w:rPr>
          <w:rFonts w:hint="eastAsia" w:ascii="宋体" w:hAnsi="宋体" w:eastAsia="宋体" w:cs="宋体"/>
          <w:bCs/>
          <w:color w:val="000000" w:themeColor="text1"/>
          <w:szCs w:val="24"/>
          <w:highlight w:val="none"/>
          <w:lang w:eastAsia="zh-CN"/>
          <w14:textFill>
            <w14:solidFill>
              <w14:schemeClr w14:val="tx1"/>
            </w14:solidFill>
          </w14:textFill>
        </w:rPr>
        <w:t>投标人</w:t>
      </w:r>
      <w:r>
        <w:rPr>
          <w:rFonts w:hint="eastAsia" w:ascii="宋体" w:hAnsi="宋体" w:eastAsia="宋体" w:cs="宋体"/>
          <w:bCs/>
          <w:color w:val="000000" w:themeColor="text1"/>
          <w:szCs w:val="24"/>
          <w:highlight w:val="none"/>
          <w14:textFill>
            <w14:solidFill>
              <w14:schemeClr w14:val="tx1"/>
            </w14:solidFill>
          </w14:textFill>
        </w:rPr>
        <w:t>资质要求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_Toc17618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4CC92266">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_Toc7079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4"/>
          <w:szCs w:val="24"/>
          <w:highlight w:val="none"/>
          <w14:textFill>
            <w14:solidFill>
              <w14:schemeClr w14:val="tx1"/>
            </w14:solidFill>
          </w14:textFill>
        </w:rPr>
        <w:t>3．招标文件的获取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_Toc7079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263E6EDD">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_Toc16717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8"/>
          <w:szCs w:val="24"/>
          <w:highlight w:val="none"/>
          <w14:textFill>
            <w14:solidFill>
              <w14:schemeClr w14:val="tx1"/>
            </w14:solidFill>
          </w14:textFill>
        </w:rPr>
        <w:t>4</w:t>
      </w:r>
      <w:r>
        <w:rPr>
          <w:rFonts w:hint="eastAsia" w:ascii="宋体" w:hAnsi="宋体" w:eastAsia="宋体" w:cs="宋体"/>
          <w:bCs/>
          <w:color w:val="000000" w:themeColor="text1"/>
          <w:spacing w:val="-8"/>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8"/>
          <w:szCs w:val="24"/>
          <w:highlight w:val="none"/>
          <w14:textFill>
            <w14:solidFill>
              <w14:schemeClr w14:val="tx1"/>
            </w14:solidFill>
          </w14:textFill>
        </w:rPr>
        <w:t>．工期要求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_Toc16717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0C73940D">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_Toc11737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5"/>
          <w:szCs w:val="24"/>
          <w:highlight w:val="none"/>
          <w14:textFill>
            <w14:solidFill>
              <w14:schemeClr w14:val="tx1"/>
            </w14:solidFill>
          </w14:textFill>
        </w:rPr>
        <w:t>5</w:t>
      </w:r>
      <w:r>
        <w:rPr>
          <w:rFonts w:hint="eastAsia" w:ascii="宋体" w:hAnsi="宋体" w:eastAsia="宋体" w:cs="宋体"/>
          <w:bCs/>
          <w:color w:val="000000" w:themeColor="text1"/>
          <w:spacing w:val="-5"/>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5"/>
          <w:szCs w:val="24"/>
          <w:highlight w:val="none"/>
          <w14:textFill>
            <w14:solidFill>
              <w14:schemeClr w14:val="tx1"/>
            </w14:solidFill>
          </w14:textFill>
        </w:rPr>
        <w:t>．质量标准和材料、机械要求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116ED0B7">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_Toc31725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6"/>
          <w:szCs w:val="24"/>
          <w:highlight w:val="none"/>
          <w14:textFill>
            <w14:solidFill>
              <w14:schemeClr w14:val="tx1"/>
            </w14:solidFill>
          </w14:textFill>
        </w:rPr>
        <w:t>6</w:t>
      </w:r>
      <w:r>
        <w:rPr>
          <w:rFonts w:hint="eastAsia" w:ascii="宋体" w:hAnsi="宋体" w:eastAsia="宋体" w:cs="宋体"/>
          <w:bCs/>
          <w:color w:val="000000" w:themeColor="text1"/>
          <w:spacing w:val="-20"/>
          <w:szCs w:val="24"/>
          <w:highlight w:val="none"/>
          <w14:textFill>
            <w14:solidFill>
              <w14:schemeClr w14:val="tx1"/>
            </w14:solidFill>
          </w14:textFill>
        </w:rPr>
        <w:t xml:space="preserve"> </w:t>
      </w:r>
      <w:r>
        <w:rPr>
          <w:rFonts w:hint="eastAsia" w:ascii="宋体" w:hAnsi="宋体" w:eastAsia="宋体" w:cs="宋体"/>
          <w:bCs/>
          <w:color w:val="000000" w:themeColor="text1"/>
          <w:spacing w:val="-6"/>
          <w:szCs w:val="24"/>
          <w:highlight w:val="none"/>
          <w14:textFill>
            <w14:solidFill>
              <w14:schemeClr w14:val="tx1"/>
            </w14:solidFill>
          </w14:textFill>
        </w:rPr>
        <w:t>．施工条件及现场踏勘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_Toc31725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4D0A8389">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_Toc4600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5"/>
          <w:szCs w:val="24"/>
          <w:highlight w:val="none"/>
          <w14:textFill>
            <w14:solidFill>
              <w14:schemeClr w14:val="tx1"/>
            </w14:solidFill>
          </w14:textFill>
        </w:rPr>
        <w:t>7</w:t>
      </w:r>
      <w:r>
        <w:rPr>
          <w:rFonts w:hint="eastAsia" w:ascii="宋体" w:hAnsi="宋体" w:eastAsia="宋体" w:cs="宋体"/>
          <w:bCs/>
          <w:color w:val="000000" w:themeColor="text1"/>
          <w:spacing w:val="-28"/>
          <w:szCs w:val="24"/>
          <w:highlight w:val="none"/>
          <w14:textFill>
            <w14:solidFill>
              <w14:schemeClr w14:val="tx1"/>
            </w14:solidFill>
          </w14:textFill>
        </w:rPr>
        <w:t xml:space="preserve"> </w:t>
      </w:r>
      <w:r>
        <w:rPr>
          <w:rFonts w:hint="eastAsia" w:ascii="宋体" w:hAnsi="宋体" w:eastAsia="宋体" w:cs="宋体"/>
          <w:bCs/>
          <w:color w:val="000000" w:themeColor="text1"/>
          <w:spacing w:val="-5"/>
          <w:szCs w:val="24"/>
          <w:highlight w:val="none"/>
          <w14:textFill>
            <w14:solidFill>
              <w14:schemeClr w14:val="tx1"/>
            </w14:solidFill>
          </w14:textFill>
        </w:rPr>
        <w:t>．招标文件的提问和答疑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_Toc4600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452737DB">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_Toc23728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5"/>
          <w:szCs w:val="24"/>
          <w:highlight w:val="none"/>
          <w14:textFill>
            <w14:solidFill>
              <w14:schemeClr w14:val="tx1"/>
            </w14:solidFill>
          </w14:textFill>
        </w:rPr>
        <w:t>8</w:t>
      </w:r>
      <w:r>
        <w:rPr>
          <w:rFonts w:hint="eastAsia" w:ascii="宋体" w:hAnsi="宋体" w:eastAsia="宋体" w:cs="宋体"/>
          <w:bCs/>
          <w:color w:val="000000" w:themeColor="text1"/>
          <w:spacing w:val="-23"/>
          <w:szCs w:val="24"/>
          <w:highlight w:val="none"/>
          <w14:textFill>
            <w14:solidFill>
              <w14:schemeClr w14:val="tx1"/>
            </w14:solidFill>
          </w14:textFill>
        </w:rPr>
        <w:t xml:space="preserve"> </w:t>
      </w:r>
      <w:r>
        <w:rPr>
          <w:rFonts w:hint="eastAsia" w:ascii="宋体" w:hAnsi="宋体" w:eastAsia="宋体" w:cs="宋体"/>
          <w:bCs/>
          <w:color w:val="000000" w:themeColor="text1"/>
          <w:spacing w:val="-5"/>
          <w:szCs w:val="24"/>
          <w:highlight w:val="none"/>
          <w14:textFill>
            <w14:solidFill>
              <w14:schemeClr w14:val="tx1"/>
            </w14:solidFill>
          </w14:textFill>
        </w:rPr>
        <w:t>．</w:t>
      </w:r>
      <w:r>
        <w:rPr>
          <w:rFonts w:hint="eastAsia" w:ascii="宋体" w:hAnsi="宋体" w:eastAsia="宋体" w:cs="宋体"/>
          <w:bCs/>
          <w:color w:val="000000" w:themeColor="text1"/>
          <w:spacing w:val="-1"/>
          <w:szCs w:val="24"/>
          <w:highlight w:val="none"/>
          <w14:textFill>
            <w14:solidFill>
              <w14:schemeClr w14:val="tx1"/>
            </w14:solidFill>
          </w14:textFill>
        </w:rPr>
        <w:t>招标控制价及最高投标限价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_Toc23728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7E60E97C">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_Toc27885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8"/>
          <w:szCs w:val="24"/>
          <w:highlight w:val="none"/>
          <w14:textFill>
            <w14:solidFill>
              <w14:schemeClr w14:val="tx1"/>
            </w14:solidFill>
          </w14:textFill>
        </w:rPr>
        <w:t>9</w:t>
      </w:r>
      <w:r>
        <w:rPr>
          <w:rFonts w:hint="eastAsia" w:ascii="宋体" w:hAnsi="宋体" w:eastAsia="宋体" w:cs="宋体"/>
          <w:bCs/>
          <w:color w:val="000000" w:themeColor="text1"/>
          <w:spacing w:val="-29"/>
          <w:szCs w:val="24"/>
          <w:highlight w:val="none"/>
          <w14:textFill>
            <w14:solidFill>
              <w14:schemeClr w14:val="tx1"/>
            </w14:solidFill>
          </w14:textFill>
        </w:rPr>
        <w:t xml:space="preserve"> </w:t>
      </w:r>
      <w:r>
        <w:rPr>
          <w:rFonts w:hint="eastAsia" w:ascii="宋体" w:hAnsi="宋体" w:eastAsia="宋体" w:cs="宋体"/>
          <w:bCs/>
          <w:color w:val="000000" w:themeColor="text1"/>
          <w:spacing w:val="-8"/>
          <w:szCs w:val="24"/>
          <w:highlight w:val="none"/>
          <w14:textFill>
            <w14:solidFill>
              <w14:schemeClr w14:val="tx1"/>
            </w14:solidFill>
          </w14:textFill>
        </w:rPr>
        <w:t>．投标报价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0CEBAF07">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_Toc26166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6"/>
          <w:szCs w:val="24"/>
          <w:highlight w:val="none"/>
          <w14:textFill>
            <w14:solidFill>
              <w14:schemeClr w14:val="tx1"/>
            </w14:solidFill>
          </w14:textFill>
        </w:rPr>
        <w:t>10</w:t>
      </w:r>
      <w:r>
        <w:rPr>
          <w:rFonts w:hint="eastAsia" w:ascii="宋体" w:hAnsi="宋体" w:eastAsia="宋体" w:cs="宋体"/>
          <w:bCs/>
          <w:color w:val="000000" w:themeColor="text1"/>
          <w:spacing w:val="-21"/>
          <w:szCs w:val="24"/>
          <w:highlight w:val="none"/>
          <w14:textFill>
            <w14:solidFill>
              <w14:schemeClr w14:val="tx1"/>
            </w14:solidFill>
          </w14:textFill>
        </w:rPr>
        <w:t xml:space="preserve"> </w:t>
      </w:r>
      <w:r>
        <w:rPr>
          <w:rFonts w:hint="eastAsia" w:ascii="宋体" w:hAnsi="宋体" w:eastAsia="宋体" w:cs="宋体"/>
          <w:bCs/>
          <w:color w:val="000000" w:themeColor="text1"/>
          <w:spacing w:val="-6"/>
          <w:szCs w:val="24"/>
          <w:highlight w:val="none"/>
          <w14:textFill>
            <w14:solidFill>
              <w14:schemeClr w14:val="tx1"/>
            </w14:solidFill>
          </w14:textFill>
        </w:rPr>
        <w:t>．投标文件的编制要求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_Toc26166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5DCAD7C4">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_Toc19146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9"/>
          <w:szCs w:val="24"/>
          <w:highlight w:val="none"/>
          <w14:textFill>
            <w14:solidFill>
              <w14:schemeClr w14:val="tx1"/>
            </w14:solidFill>
          </w14:textFill>
        </w:rPr>
        <w:t>11.</w:t>
      </w:r>
      <w:r>
        <w:rPr>
          <w:rFonts w:hint="eastAsia" w:ascii="宋体" w:hAnsi="宋体" w:eastAsia="宋体" w:cs="宋体"/>
          <w:bCs/>
          <w:color w:val="000000" w:themeColor="text1"/>
          <w:spacing w:val="20"/>
          <w:szCs w:val="24"/>
          <w:highlight w:val="none"/>
          <w14:textFill>
            <w14:solidFill>
              <w14:schemeClr w14:val="tx1"/>
            </w14:solidFill>
          </w14:textFill>
        </w:rPr>
        <w:t xml:space="preserve">  </w:t>
      </w:r>
      <w:r>
        <w:rPr>
          <w:rFonts w:hint="eastAsia" w:ascii="宋体" w:hAnsi="宋体" w:eastAsia="宋体" w:cs="宋体"/>
          <w:color w:val="000000" w:themeColor="text1"/>
          <w:spacing w:val="-9"/>
          <w:szCs w:val="24"/>
          <w:highlight w:val="none"/>
          <w14:textFill>
            <w14:solidFill>
              <w14:schemeClr w14:val="tx1"/>
            </w14:solidFill>
          </w14:textFill>
        </w:rPr>
        <w:t>电子投标：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_Toc19146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482D084E">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_Toc118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9"/>
          <w:szCs w:val="24"/>
          <w:highlight w:val="none"/>
          <w:lang w:val="en-US" w:eastAsia="zh-CN"/>
          <w14:textFill>
            <w14:solidFill>
              <w14:schemeClr w14:val="tx1"/>
            </w14:solidFill>
          </w14:textFill>
        </w:rPr>
        <w:t>12.</w:t>
      </w:r>
      <w:r>
        <w:rPr>
          <w:rFonts w:hint="eastAsia" w:ascii="宋体" w:hAnsi="宋体" w:eastAsia="宋体" w:cs="宋体"/>
          <w:bCs/>
          <w:color w:val="000000" w:themeColor="text1"/>
          <w:spacing w:val="22"/>
          <w:w w:val="101"/>
          <w:szCs w:val="24"/>
          <w:highlight w:val="none"/>
          <w14:textFill>
            <w14:solidFill>
              <w14:schemeClr w14:val="tx1"/>
            </w14:solidFill>
          </w14:textFill>
        </w:rPr>
        <w:t xml:space="preserve"> </w:t>
      </w:r>
      <w:r>
        <w:rPr>
          <w:rFonts w:hint="eastAsia" w:ascii="宋体" w:hAnsi="宋体" w:eastAsia="宋体" w:cs="宋体"/>
          <w:bCs/>
          <w:color w:val="000000" w:themeColor="text1"/>
          <w:spacing w:val="-4"/>
          <w:szCs w:val="24"/>
          <w:highlight w:val="none"/>
          <w14:textFill>
            <w14:solidFill>
              <w14:schemeClr w14:val="tx1"/>
            </w14:solidFill>
          </w14:textFill>
        </w:rPr>
        <w:t>电子投标及投标解密失败及突发情况的补救方案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64213E95">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_Toc30506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7"/>
          <w:szCs w:val="24"/>
          <w:highlight w:val="none"/>
          <w14:textFill>
            <w14:solidFill>
              <w14:schemeClr w14:val="tx1"/>
            </w14:solidFill>
          </w14:textFill>
        </w:rPr>
        <w:t>13</w:t>
      </w:r>
      <w:r>
        <w:rPr>
          <w:rFonts w:hint="eastAsia" w:ascii="宋体" w:hAnsi="宋体" w:eastAsia="宋体" w:cs="宋体"/>
          <w:bCs/>
          <w:color w:val="000000" w:themeColor="text1"/>
          <w:spacing w:val="-23"/>
          <w:szCs w:val="24"/>
          <w:highlight w:val="none"/>
          <w14:textFill>
            <w14:solidFill>
              <w14:schemeClr w14:val="tx1"/>
            </w14:solidFill>
          </w14:textFill>
        </w:rPr>
        <w:t xml:space="preserve"> </w:t>
      </w:r>
      <w:r>
        <w:rPr>
          <w:rFonts w:hint="eastAsia" w:ascii="宋体" w:hAnsi="宋体" w:eastAsia="宋体" w:cs="宋体"/>
          <w:bCs/>
          <w:color w:val="000000" w:themeColor="text1"/>
          <w:spacing w:val="-7"/>
          <w:szCs w:val="24"/>
          <w:highlight w:val="none"/>
          <w14:textFill>
            <w14:solidFill>
              <w14:schemeClr w14:val="tx1"/>
            </w14:solidFill>
          </w14:textFill>
        </w:rPr>
        <w:t>．投标文件的提交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_Toc30506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58523667">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_Toc17939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11"/>
          <w:szCs w:val="24"/>
          <w:highlight w:val="none"/>
          <w14:textFill>
            <w14:solidFill>
              <w14:schemeClr w14:val="tx1"/>
            </w14:solidFill>
          </w14:textFill>
        </w:rPr>
        <w:t>14</w:t>
      </w:r>
      <w:r>
        <w:rPr>
          <w:rFonts w:hint="eastAsia" w:ascii="宋体" w:hAnsi="宋体" w:eastAsia="宋体" w:cs="宋体"/>
          <w:bCs/>
          <w:color w:val="000000" w:themeColor="text1"/>
          <w:spacing w:val="-28"/>
          <w:szCs w:val="24"/>
          <w:highlight w:val="none"/>
          <w14:textFill>
            <w14:solidFill>
              <w14:schemeClr w14:val="tx1"/>
            </w14:solidFill>
          </w14:textFill>
        </w:rPr>
        <w:t xml:space="preserve"> </w:t>
      </w:r>
      <w:r>
        <w:rPr>
          <w:rFonts w:hint="eastAsia" w:ascii="宋体" w:hAnsi="宋体" w:eastAsia="宋体" w:cs="宋体"/>
          <w:bCs/>
          <w:color w:val="000000" w:themeColor="text1"/>
          <w:spacing w:val="-11"/>
          <w:szCs w:val="24"/>
          <w:highlight w:val="none"/>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_Toc17939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594BAB98">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_Toc4537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11"/>
          <w:szCs w:val="24"/>
          <w:highlight w:val="none"/>
          <w14:textFill>
            <w14:solidFill>
              <w14:schemeClr w14:val="tx1"/>
            </w14:solidFill>
          </w14:textFill>
        </w:rPr>
        <w:t>15</w:t>
      </w:r>
      <w:r>
        <w:rPr>
          <w:rFonts w:hint="eastAsia" w:ascii="宋体" w:hAnsi="宋体" w:eastAsia="宋体" w:cs="宋体"/>
          <w:bCs/>
          <w:color w:val="000000" w:themeColor="text1"/>
          <w:spacing w:val="-28"/>
          <w:szCs w:val="24"/>
          <w:highlight w:val="none"/>
          <w14:textFill>
            <w14:solidFill>
              <w14:schemeClr w14:val="tx1"/>
            </w14:solidFill>
          </w14:textFill>
        </w:rPr>
        <w:t xml:space="preserve"> </w:t>
      </w:r>
      <w:r>
        <w:rPr>
          <w:rFonts w:hint="eastAsia" w:ascii="宋体" w:hAnsi="宋体" w:eastAsia="宋体" w:cs="宋体"/>
          <w:bCs/>
          <w:color w:val="000000" w:themeColor="text1"/>
          <w:spacing w:val="-11"/>
          <w:szCs w:val="24"/>
          <w:highlight w:val="none"/>
          <w14:textFill>
            <w14:solidFill>
              <w14:schemeClr w14:val="tx1"/>
            </w14:solidFill>
          </w14:textFill>
        </w:rPr>
        <w:t>．评标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2A867CD5">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_Toc20825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7"/>
          <w:szCs w:val="24"/>
          <w:highlight w:val="none"/>
          <w14:textFill>
            <w14:solidFill>
              <w14:schemeClr w14:val="tx1"/>
            </w14:solidFill>
          </w14:textFill>
        </w:rPr>
        <w:t>16</w:t>
      </w:r>
      <w:r>
        <w:rPr>
          <w:rFonts w:hint="eastAsia" w:ascii="宋体" w:hAnsi="宋体" w:eastAsia="宋体" w:cs="宋体"/>
          <w:bCs/>
          <w:color w:val="000000" w:themeColor="text1"/>
          <w:spacing w:val="-20"/>
          <w:szCs w:val="24"/>
          <w:highlight w:val="none"/>
          <w14:textFill>
            <w14:solidFill>
              <w14:schemeClr w14:val="tx1"/>
            </w14:solidFill>
          </w14:textFill>
        </w:rPr>
        <w:t xml:space="preserve"> </w:t>
      </w:r>
      <w:r>
        <w:rPr>
          <w:rFonts w:hint="eastAsia" w:ascii="宋体" w:hAnsi="宋体" w:eastAsia="宋体" w:cs="宋体"/>
          <w:bCs/>
          <w:color w:val="000000" w:themeColor="text1"/>
          <w:spacing w:val="-7"/>
          <w:szCs w:val="24"/>
          <w:highlight w:val="none"/>
          <w14:textFill>
            <w14:solidFill>
              <w14:schemeClr w14:val="tx1"/>
            </w14:solidFill>
          </w14:textFill>
        </w:rPr>
        <w:t>．中标候选人公示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_Toc20825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3DEBF38F">
      <w:pPr>
        <w:pStyle w:val="9"/>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_Toc1969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3"/>
          <w:szCs w:val="24"/>
          <w:highlight w:val="none"/>
          <w14:textFill>
            <w14:solidFill>
              <w14:schemeClr w14:val="tx1"/>
            </w14:solidFill>
          </w14:textFill>
        </w:rPr>
        <w:t>第四节</w:t>
      </w:r>
      <w:r>
        <w:rPr>
          <w:rFonts w:hint="eastAsia" w:ascii="宋体" w:hAnsi="宋体" w:eastAsia="宋体" w:cs="宋体"/>
          <w:color w:val="000000" w:themeColor="text1"/>
          <w:spacing w:val="-3"/>
          <w:szCs w:val="24"/>
          <w:highlight w:val="none"/>
          <w14:textFill>
            <w14:solidFill>
              <w14:schemeClr w14:val="tx1"/>
            </w14:solidFill>
          </w14:textFill>
        </w:rPr>
        <w:t xml:space="preserve"> </w:t>
      </w:r>
      <w:r>
        <w:rPr>
          <w:rFonts w:hint="eastAsia" w:ascii="宋体" w:hAnsi="宋体" w:eastAsia="宋体" w:cs="宋体"/>
          <w:bCs/>
          <w:color w:val="000000" w:themeColor="text1"/>
          <w:spacing w:val="-3"/>
          <w:szCs w:val="24"/>
          <w:highlight w:val="none"/>
          <w14:textFill>
            <w14:solidFill>
              <w14:schemeClr w14:val="tx1"/>
            </w14:solidFill>
          </w14:textFill>
        </w:rPr>
        <w:t>否决投标条件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7B5BF328">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_Toc11822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8"/>
          <w:szCs w:val="24"/>
          <w:highlight w:val="none"/>
          <w14:textFill>
            <w14:solidFill>
              <w14:schemeClr w14:val="tx1"/>
            </w14:solidFill>
          </w14:textFill>
        </w:rPr>
        <w:t>1</w:t>
      </w:r>
      <w:r>
        <w:rPr>
          <w:rFonts w:hint="eastAsia" w:ascii="宋体" w:hAnsi="宋体" w:eastAsia="宋体" w:cs="宋体"/>
          <w:bCs/>
          <w:color w:val="000000" w:themeColor="text1"/>
          <w:spacing w:val="-26"/>
          <w:szCs w:val="24"/>
          <w:highlight w:val="none"/>
          <w14:textFill>
            <w14:solidFill>
              <w14:schemeClr w14:val="tx1"/>
            </w14:solidFill>
          </w14:textFill>
        </w:rPr>
        <w:t xml:space="preserve"> </w:t>
      </w:r>
      <w:r>
        <w:rPr>
          <w:rFonts w:hint="eastAsia" w:ascii="宋体" w:hAnsi="宋体" w:eastAsia="宋体" w:cs="宋体"/>
          <w:bCs/>
          <w:color w:val="000000" w:themeColor="text1"/>
          <w:spacing w:val="-8"/>
          <w:szCs w:val="24"/>
          <w:highlight w:val="none"/>
          <w14:textFill>
            <w14:solidFill>
              <w14:schemeClr w14:val="tx1"/>
            </w14:solidFill>
          </w14:textFill>
        </w:rPr>
        <w:t>．资格评审环节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56375569">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_Toc8853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7"/>
          <w:szCs w:val="24"/>
          <w:highlight w:val="none"/>
          <w14:textFill>
            <w14:solidFill>
              <w14:schemeClr w14:val="tx1"/>
            </w14:solidFill>
          </w14:textFill>
        </w:rPr>
        <w:t>2</w:t>
      </w:r>
      <w:r>
        <w:rPr>
          <w:rFonts w:hint="eastAsia" w:ascii="宋体" w:hAnsi="宋体" w:eastAsia="宋体" w:cs="宋体"/>
          <w:bCs/>
          <w:color w:val="000000" w:themeColor="text1"/>
          <w:spacing w:val="-24"/>
          <w:szCs w:val="24"/>
          <w:highlight w:val="none"/>
          <w14:textFill>
            <w14:solidFill>
              <w14:schemeClr w14:val="tx1"/>
            </w14:solidFill>
          </w14:textFill>
        </w:rPr>
        <w:t xml:space="preserve"> </w:t>
      </w:r>
      <w:r>
        <w:rPr>
          <w:rFonts w:hint="eastAsia" w:ascii="宋体" w:hAnsi="宋体" w:eastAsia="宋体" w:cs="宋体"/>
          <w:bCs/>
          <w:color w:val="000000" w:themeColor="text1"/>
          <w:spacing w:val="-7"/>
          <w:szCs w:val="24"/>
          <w:highlight w:val="none"/>
          <w14:textFill>
            <w14:solidFill>
              <w14:schemeClr w14:val="tx1"/>
            </w14:solidFill>
          </w14:textFill>
        </w:rPr>
        <w:t>．形式评审环节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_Toc8853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12F6297E">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_Toc121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6"/>
          <w:szCs w:val="24"/>
          <w:highlight w:val="none"/>
          <w14:textFill>
            <w14:solidFill>
              <w14:schemeClr w14:val="tx1"/>
            </w14:solidFill>
          </w14:textFill>
        </w:rPr>
        <w:t>3</w:t>
      </w:r>
      <w:r>
        <w:rPr>
          <w:rFonts w:hint="eastAsia" w:ascii="宋体" w:hAnsi="宋体" w:eastAsia="宋体" w:cs="宋体"/>
          <w:bCs/>
          <w:color w:val="000000" w:themeColor="text1"/>
          <w:spacing w:val="-24"/>
          <w:szCs w:val="24"/>
          <w:highlight w:val="none"/>
          <w14:textFill>
            <w14:solidFill>
              <w14:schemeClr w14:val="tx1"/>
            </w14:solidFill>
          </w14:textFill>
        </w:rPr>
        <w:t xml:space="preserve"> </w:t>
      </w:r>
      <w:r>
        <w:rPr>
          <w:rFonts w:hint="eastAsia" w:ascii="宋体" w:hAnsi="宋体" w:eastAsia="宋体" w:cs="宋体"/>
          <w:bCs/>
          <w:color w:val="000000" w:themeColor="text1"/>
          <w:spacing w:val="-6"/>
          <w:szCs w:val="24"/>
          <w:highlight w:val="none"/>
          <w14:textFill>
            <w14:solidFill>
              <w14:schemeClr w14:val="tx1"/>
            </w14:solidFill>
          </w14:textFill>
        </w:rPr>
        <w:t>．响应性评审环节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0BFFBCC5">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_Toc7538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11"/>
          <w:szCs w:val="24"/>
          <w:highlight w:val="none"/>
          <w14:textFill>
            <w14:solidFill>
              <w14:schemeClr w14:val="tx1"/>
            </w14:solidFill>
          </w14:textFill>
        </w:rPr>
        <w:t>4</w:t>
      </w:r>
      <w:r>
        <w:rPr>
          <w:rFonts w:hint="eastAsia" w:ascii="宋体" w:hAnsi="宋体" w:eastAsia="宋体" w:cs="宋体"/>
          <w:bCs/>
          <w:color w:val="000000" w:themeColor="text1"/>
          <w:spacing w:val="-29"/>
          <w:szCs w:val="24"/>
          <w:highlight w:val="none"/>
          <w14:textFill>
            <w14:solidFill>
              <w14:schemeClr w14:val="tx1"/>
            </w14:solidFill>
          </w14:textFill>
        </w:rPr>
        <w:t xml:space="preserve"> </w:t>
      </w:r>
      <w:r>
        <w:rPr>
          <w:rFonts w:hint="eastAsia" w:ascii="宋体" w:hAnsi="宋体" w:eastAsia="宋体" w:cs="宋体"/>
          <w:bCs/>
          <w:color w:val="000000" w:themeColor="text1"/>
          <w:spacing w:val="-11"/>
          <w:szCs w:val="24"/>
          <w:highlight w:val="none"/>
          <w14:textFill>
            <w14:solidFill>
              <w14:schemeClr w14:val="tx1"/>
            </w14:solidFill>
          </w14:textFill>
        </w:rPr>
        <w:t>．其他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_Toc7538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11A48C18">
      <w:pPr>
        <w:pStyle w:val="8"/>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_Toc10955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7"/>
          <w:szCs w:val="24"/>
          <w:highlight w:val="none"/>
          <w14:textFill>
            <w14:solidFill>
              <w14:schemeClr w14:val="tx1"/>
            </w14:solidFill>
          </w14:textFill>
        </w:rPr>
        <w:t>第二章</w:t>
      </w:r>
      <w:r>
        <w:rPr>
          <w:rFonts w:hint="eastAsia" w:ascii="宋体" w:hAnsi="宋体" w:eastAsia="宋体" w:cs="宋体"/>
          <w:color w:val="000000" w:themeColor="text1"/>
          <w:spacing w:val="32"/>
          <w:szCs w:val="24"/>
          <w:highlight w:val="none"/>
          <w14:textFill>
            <w14:solidFill>
              <w14:schemeClr w14:val="tx1"/>
            </w14:solidFill>
          </w14:textFill>
        </w:rPr>
        <w:t xml:space="preserve"> </w:t>
      </w:r>
      <w:r>
        <w:rPr>
          <w:rFonts w:hint="eastAsia" w:ascii="宋体" w:hAnsi="宋体" w:eastAsia="宋体" w:cs="宋体"/>
          <w:bCs/>
          <w:color w:val="000000" w:themeColor="text1"/>
          <w:spacing w:val="-7"/>
          <w:szCs w:val="24"/>
          <w:highlight w:val="none"/>
          <w14:textFill>
            <w14:solidFill>
              <w14:schemeClr w14:val="tx1"/>
            </w14:solidFill>
          </w14:textFill>
        </w:rPr>
        <w:t>中标人须知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_Toc10955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1D8FE2C6">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_Toc32102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9"/>
          <w:szCs w:val="24"/>
          <w:highlight w:val="none"/>
          <w14:textFill>
            <w14:solidFill>
              <w14:schemeClr w14:val="tx1"/>
            </w14:solidFill>
          </w14:textFill>
        </w:rPr>
        <w:t>1</w:t>
      </w:r>
      <w:r>
        <w:rPr>
          <w:rFonts w:hint="eastAsia" w:ascii="宋体" w:hAnsi="宋体" w:eastAsia="宋体" w:cs="宋体"/>
          <w:bCs/>
          <w:color w:val="000000" w:themeColor="text1"/>
          <w:spacing w:val="-25"/>
          <w:szCs w:val="24"/>
          <w:highlight w:val="none"/>
          <w14:textFill>
            <w14:solidFill>
              <w14:schemeClr w14:val="tx1"/>
            </w14:solidFill>
          </w14:textFill>
        </w:rPr>
        <w:t xml:space="preserve"> </w:t>
      </w:r>
      <w:r>
        <w:rPr>
          <w:rFonts w:hint="eastAsia" w:ascii="宋体" w:hAnsi="宋体" w:eastAsia="宋体" w:cs="宋体"/>
          <w:bCs/>
          <w:color w:val="000000" w:themeColor="text1"/>
          <w:spacing w:val="-9"/>
          <w:szCs w:val="24"/>
          <w:highlight w:val="none"/>
          <w14:textFill>
            <w14:solidFill>
              <w14:schemeClr w14:val="tx1"/>
            </w14:solidFill>
          </w14:textFill>
        </w:rPr>
        <w:t>．中标通知书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_Toc32102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551DFD71">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_Toc24401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7"/>
          <w:szCs w:val="24"/>
          <w:highlight w:val="none"/>
          <w14:textFill>
            <w14:solidFill>
              <w14:schemeClr w14:val="tx1"/>
            </w14:solidFill>
          </w14:textFill>
        </w:rPr>
        <w:t>2</w:t>
      </w:r>
      <w:r>
        <w:rPr>
          <w:rFonts w:hint="eastAsia" w:ascii="宋体" w:hAnsi="宋体" w:eastAsia="宋体" w:cs="宋体"/>
          <w:bCs/>
          <w:color w:val="000000" w:themeColor="text1"/>
          <w:spacing w:val="-24"/>
          <w:szCs w:val="24"/>
          <w:highlight w:val="none"/>
          <w14:textFill>
            <w14:solidFill>
              <w14:schemeClr w14:val="tx1"/>
            </w14:solidFill>
          </w14:textFill>
        </w:rPr>
        <w:t xml:space="preserve"> </w:t>
      </w:r>
      <w:r>
        <w:rPr>
          <w:rFonts w:hint="eastAsia" w:ascii="宋体" w:hAnsi="宋体" w:eastAsia="宋体" w:cs="宋体"/>
          <w:bCs/>
          <w:color w:val="000000" w:themeColor="text1"/>
          <w:spacing w:val="-7"/>
          <w:szCs w:val="24"/>
          <w:highlight w:val="none"/>
          <w14:textFill>
            <w14:solidFill>
              <w14:schemeClr w14:val="tx1"/>
            </w14:solidFill>
          </w14:textFill>
        </w:rPr>
        <w:t>．中标结果公示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_Toc24401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0446D1A5">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_Toc3915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8"/>
          <w:szCs w:val="24"/>
          <w:highlight w:val="none"/>
          <w14:textFill>
            <w14:solidFill>
              <w14:schemeClr w14:val="tx1"/>
            </w14:solidFill>
          </w14:textFill>
        </w:rPr>
        <w:t>3</w:t>
      </w:r>
      <w:r>
        <w:rPr>
          <w:rFonts w:hint="eastAsia" w:ascii="宋体" w:hAnsi="宋体" w:eastAsia="宋体" w:cs="宋体"/>
          <w:bCs/>
          <w:color w:val="000000" w:themeColor="text1"/>
          <w:spacing w:val="-25"/>
          <w:szCs w:val="24"/>
          <w:highlight w:val="none"/>
          <w14:textFill>
            <w14:solidFill>
              <w14:schemeClr w14:val="tx1"/>
            </w14:solidFill>
          </w14:textFill>
        </w:rPr>
        <w:t xml:space="preserve"> </w:t>
      </w:r>
      <w:r>
        <w:rPr>
          <w:rFonts w:hint="eastAsia" w:ascii="宋体" w:hAnsi="宋体" w:eastAsia="宋体" w:cs="宋体"/>
          <w:bCs/>
          <w:color w:val="000000" w:themeColor="text1"/>
          <w:spacing w:val="-8"/>
          <w:szCs w:val="24"/>
          <w:highlight w:val="none"/>
          <w14:textFill>
            <w14:solidFill>
              <w14:schemeClr w14:val="tx1"/>
            </w14:solidFill>
          </w14:textFill>
        </w:rPr>
        <w:t>．履约保证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_Toc3915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3159B9B6">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_Toc5465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8"/>
          <w:szCs w:val="24"/>
          <w:highlight w:val="none"/>
          <w14:textFill>
            <w14:solidFill>
              <w14:schemeClr w14:val="tx1"/>
            </w14:solidFill>
          </w14:textFill>
        </w:rPr>
        <w:t>4</w:t>
      </w:r>
      <w:r>
        <w:rPr>
          <w:rFonts w:hint="eastAsia" w:ascii="宋体" w:hAnsi="宋体" w:eastAsia="宋体" w:cs="宋体"/>
          <w:bCs/>
          <w:color w:val="000000" w:themeColor="text1"/>
          <w:spacing w:val="-27"/>
          <w:szCs w:val="24"/>
          <w:highlight w:val="none"/>
          <w14:textFill>
            <w14:solidFill>
              <w14:schemeClr w14:val="tx1"/>
            </w14:solidFill>
          </w14:textFill>
        </w:rPr>
        <w:t xml:space="preserve"> </w:t>
      </w:r>
      <w:r>
        <w:rPr>
          <w:rFonts w:hint="eastAsia" w:ascii="宋体" w:hAnsi="宋体" w:eastAsia="宋体" w:cs="宋体"/>
          <w:bCs/>
          <w:color w:val="000000" w:themeColor="text1"/>
          <w:spacing w:val="-8"/>
          <w:szCs w:val="24"/>
          <w:highlight w:val="none"/>
          <w14:textFill>
            <w14:solidFill>
              <w14:schemeClr w14:val="tx1"/>
            </w14:solidFill>
          </w14:textFill>
        </w:rPr>
        <w:t>．合同订立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_Toc5465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670D0E5A">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_Toc15277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6"/>
          <w:szCs w:val="24"/>
          <w:highlight w:val="none"/>
          <w14:textFill>
            <w14:solidFill>
              <w14:schemeClr w14:val="tx1"/>
            </w14:solidFill>
          </w14:textFill>
        </w:rPr>
        <w:t>5</w:t>
      </w:r>
      <w:r>
        <w:rPr>
          <w:rFonts w:hint="eastAsia" w:ascii="宋体" w:hAnsi="宋体" w:eastAsia="宋体" w:cs="宋体"/>
          <w:bCs/>
          <w:color w:val="000000" w:themeColor="text1"/>
          <w:spacing w:val="-29"/>
          <w:szCs w:val="24"/>
          <w:highlight w:val="none"/>
          <w14:textFill>
            <w14:solidFill>
              <w14:schemeClr w14:val="tx1"/>
            </w14:solidFill>
          </w14:textFill>
        </w:rPr>
        <w:t xml:space="preserve"> </w:t>
      </w:r>
      <w:r>
        <w:rPr>
          <w:rFonts w:hint="eastAsia" w:ascii="宋体" w:hAnsi="宋体" w:eastAsia="宋体" w:cs="宋体"/>
          <w:bCs/>
          <w:color w:val="000000" w:themeColor="text1"/>
          <w:spacing w:val="-6"/>
          <w:szCs w:val="24"/>
          <w:highlight w:val="none"/>
          <w14:textFill>
            <w14:solidFill>
              <w14:schemeClr w14:val="tx1"/>
            </w14:solidFill>
          </w14:textFill>
        </w:rPr>
        <w:t>．放弃中标的处理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_Toc15277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47549413">
      <w:pPr>
        <w:pStyle w:val="8"/>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_Toc28650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3"/>
          <w:szCs w:val="24"/>
          <w:highlight w:val="none"/>
          <w14:textFill>
            <w14:solidFill>
              <w14:schemeClr w14:val="tx1"/>
            </w14:solidFill>
          </w14:textFill>
        </w:rPr>
        <w:t>第三章</w:t>
      </w:r>
      <w:r>
        <w:rPr>
          <w:rFonts w:hint="eastAsia" w:ascii="宋体" w:hAnsi="宋体" w:eastAsia="宋体" w:cs="宋体"/>
          <w:color w:val="000000" w:themeColor="text1"/>
          <w:spacing w:val="-3"/>
          <w:szCs w:val="24"/>
          <w:highlight w:val="none"/>
          <w14:textFill>
            <w14:solidFill>
              <w14:schemeClr w14:val="tx1"/>
            </w14:solidFill>
          </w14:textFill>
        </w:rPr>
        <w:t xml:space="preserve"> </w:t>
      </w:r>
      <w:r>
        <w:rPr>
          <w:rFonts w:hint="eastAsia" w:ascii="宋体" w:hAnsi="宋体" w:eastAsia="宋体" w:cs="宋体"/>
          <w:bCs/>
          <w:color w:val="000000" w:themeColor="text1"/>
          <w:spacing w:val="-3"/>
          <w:szCs w:val="24"/>
          <w:highlight w:val="none"/>
          <w14:textFill>
            <w14:solidFill>
              <w14:schemeClr w14:val="tx1"/>
            </w14:solidFill>
          </w14:textFill>
        </w:rPr>
        <w:t>拟签订合同的主要条款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_Toc28650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638067D3">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_Toc11124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8"/>
          <w:szCs w:val="24"/>
          <w:highlight w:val="none"/>
          <w14:textFill>
            <w14:solidFill>
              <w14:schemeClr w14:val="tx1"/>
            </w14:solidFill>
          </w14:textFill>
        </w:rPr>
        <w:t>1</w:t>
      </w:r>
      <w:r>
        <w:rPr>
          <w:rFonts w:hint="eastAsia" w:ascii="宋体" w:hAnsi="宋体" w:eastAsia="宋体" w:cs="宋体"/>
          <w:bCs/>
          <w:color w:val="000000" w:themeColor="text1"/>
          <w:spacing w:val="-26"/>
          <w:szCs w:val="24"/>
          <w:highlight w:val="none"/>
          <w14:textFill>
            <w14:solidFill>
              <w14:schemeClr w14:val="tx1"/>
            </w14:solidFill>
          </w14:textFill>
        </w:rPr>
        <w:t xml:space="preserve"> </w:t>
      </w:r>
      <w:r>
        <w:rPr>
          <w:rFonts w:hint="eastAsia" w:ascii="宋体" w:hAnsi="宋体" w:eastAsia="宋体" w:cs="宋体"/>
          <w:bCs/>
          <w:color w:val="000000" w:themeColor="text1"/>
          <w:spacing w:val="-8"/>
          <w:szCs w:val="24"/>
          <w:highlight w:val="none"/>
          <w14:textFill>
            <w14:solidFill>
              <w14:schemeClr w14:val="tx1"/>
            </w14:solidFill>
          </w14:textFill>
        </w:rPr>
        <w:t>．工程承包方式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_Toc11124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0693C833">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_Toc17990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7"/>
          <w:szCs w:val="24"/>
          <w:highlight w:val="none"/>
          <w14:textFill>
            <w14:solidFill>
              <w14:schemeClr w14:val="tx1"/>
            </w14:solidFill>
          </w14:textFill>
        </w:rPr>
        <w:t>2</w:t>
      </w:r>
      <w:r>
        <w:rPr>
          <w:rFonts w:hint="eastAsia" w:ascii="宋体" w:hAnsi="宋体" w:eastAsia="宋体" w:cs="宋体"/>
          <w:bCs/>
          <w:color w:val="000000" w:themeColor="text1"/>
          <w:spacing w:val="-24"/>
          <w:szCs w:val="24"/>
          <w:highlight w:val="none"/>
          <w14:textFill>
            <w14:solidFill>
              <w14:schemeClr w14:val="tx1"/>
            </w14:solidFill>
          </w14:textFill>
        </w:rPr>
        <w:t xml:space="preserve"> </w:t>
      </w:r>
      <w:r>
        <w:rPr>
          <w:rFonts w:hint="eastAsia" w:ascii="宋体" w:hAnsi="宋体" w:eastAsia="宋体" w:cs="宋体"/>
          <w:bCs/>
          <w:color w:val="000000" w:themeColor="text1"/>
          <w:spacing w:val="-7"/>
          <w:szCs w:val="24"/>
          <w:highlight w:val="none"/>
          <w14:textFill>
            <w14:solidFill>
              <w14:schemeClr w14:val="tx1"/>
            </w14:solidFill>
          </w14:textFill>
        </w:rPr>
        <w:t>．工程结算原则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_Toc17990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133676E7">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_Toc19181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zCs w:val="24"/>
          <w:highlight w:val="none"/>
          <w14:textFill>
            <w14:solidFill>
              <w14:schemeClr w14:val="tx1"/>
            </w14:solidFill>
          </w14:textFill>
        </w:rPr>
        <w:t>3. 工程付款办法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_Toc19181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5F873768">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_Toc17742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7"/>
          <w:szCs w:val="24"/>
          <w:highlight w:val="none"/>
          <w14:textFill>
            <w14:solidFill>
              <w14:schemeClr w14:val="tx1"/>
            </w14:solidFill>
          </w14:textFill>
        </w:rPr>
        <w:t>4</w:t>
      </w:r>
      <w:r>
        <w:rPr>
          <w:rFonts w:hint="eastAsia" w:ascii="宋体" w:hAnsi="宋体" w:eastAsia="宋体" w:cs="宋体"/>
          <w:bCs/>
          <w:color w:val="000000" w:themeColor="text1"/>
          <w:spacing w:val="-25"/>
          <w:szCs w:val="24"/>
          <w:highlight w:val="none"/>
          <w14:textFill>
            <w14:solidFill>
              <w14:schemeClr w14:val="tx1"/>
            </w14:solidFill>
          </w14:textFill>
        </w:rPr>
        <w:t xml:space="preserve"> </w:t>
      </w:r>
      <w:r>
        <w:rPr>
          <w:rFonts w:hint="eastAsia" w:ascii="宋体" w:hAnsi="宋体" w:eastAsia="宋体" w:cs="宋体"/>
          <w:bCs/>
          <w:color w:val="000000" w:themeColor="text1"/>
          <w:spacing w:val="-7"/>
          <w:szCs w:val="24"/>
          <w:highlight w:val="none"/>
          <w14:textFill>
            <w14:solidFill>
              <w14:schemeClr w14:val="tx1"/>
            </w14:solidFill>
          </w14:textFill>
        </w:rPr>
        <w:t>．其他专用合同条款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_Toc17742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3F682C96">
      <w:pPr>
        <w:pStyle w:val="8"/>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_Toc26138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3"/>
          <w:szCs w:val="24"/>
          <w:highlight w:val="none"/>
          <w14:textFill>
            <w14:solidFill>
              <w14:schemeClr w14:val="tx1"/>
            </w14:solidFill>
          </w14:textFill>
        </w:rPr>
        <w:t>第四章</w:t>
      </w:r>
      <w:r>
        <w:rPr>
          <w:rFonts w:hint="eastAsia" w:ascii="宋体" w:hAnsi="宋体" w:eastAsia="宋体" w:cs="宋体"/>
          <w:color w:val="000000" w:themeColor="text1"/>
          <w:spacing w:val="-3"/>
          <w:szCs w:val="24"/>
          <w:highlight w:val="none"/>
          <w14:textFill>
            <w14:solidFill>
              <w14:schemeClr w14:val="tx1"/>
            </w14:solidFill>
          </w14:textFill>
        </w:rPr>
        <w:t xml:space="preserve"> </w:t>
      </w:r>
      <w:r>
        <w:rPr>
          <w:rFonts w:hint="eastAsia" w:ascii="宋体" w:hAnsi="宋体" w:eastAsia="宋体" w:cs="宋体"/>
          <w:bCs/>
          <w:color w:val="000000" w:themeColor="text1"/>
          <w:spacing w:val="-3"/>
          <w:szCs w:val="24"/>
          <w:highlight w:val="none"/>
          <w14:textFill>
            <w14:solidFill>
              <w14:schemeClr w14:val="tx1"/>
            </w14:solidFill>
          </w14:textFill>
        </w:rPr>
        <w:t>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_Toc26138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59</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0342055E">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_Toc6424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6"/>
          <w:szCs w:val="24"/>
          <w:highlight w:val="none"/>
          <w14:textFill>
            <w14:solidFill>
              <w14:schemeClr w14:val="tx1"/>
            </w14:solidFill>
          </w14:textFill>
        </w:rPr>
        <w:t>1</w:t>
      </w:r>
      <w:r>
        <w:rPr>
          <w:rFonts w:hint="eastAsia" w:ascii="宋体" w:hAnsi="宋体" w:eastAsia="宋体" w:cs="宋体"/>
          <w:bCs/>
          <w:color w:val="000000" w:themeColor="text1"/>
          <w:spacing w:val="-23"/>
          <w:szCs w:val="24"/>
          <w:highlight w:val="none"/>
          <w14:textFill>
            <w14:solidFill>
              <w14:schemeClr w14:val="tx1"/>
            </w14:solidFill>
          </w14:textFill>
        </w:rPr>
        <w:t xml:space="preserve"> </w:t>
      </w:r>
      <w:r>
        <w:rPr>
          <w:rFonts w:hint="eastAsia" w:ascii="宋体" w:hAnsi="宋体" w:eastAsia="宋体" w:cs="宋体"/>
          <w:bCs/>
          <w:color w:val="000000" w:themeColor="text1"/>
          <w:spacing w:val="-6"/>
          <w:szCs w:val="24"/>
          <w:highlight w:val="none"/>
          <w14:textFill>
            <w14:solidFill>
              <w14:schemeClr w14:val="tx1"/>
            </w14:solidFill>
          </w14:textFill>
        </w:rPr>
        <w:t>．</w:t>
      </w:r>
      <w:r>
        <w:rPr>
          <w:rFonts w:hint="eastAsia" w:ascii="宋体" w:hAnsi="宋体" w:eastAsia="宋体" w:cs="宋体"/>
          <w:bCs/>
          <w:color w:val="000000" w:themeColor="text1"/>
          <w:spacing w:val="-1"/>
          <w:szCs w:val="24"/>
          <w:highlight w:val="none"/>
          <w14:textFill>
            <w14:solidFill>
              <w14:schemeClr w14:val="tx1"/>
            </w14:solidFill>
          </w14:textFill>
        </w:rPr>
        <w:t>房屋建筑工程建设项目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_Toc6424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59</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381E44D8">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_Toc12394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5"/>
          <w:szCs w:val="24"/>
          <w:highlight w:val="none"/>
          <w14:textFill>
            <w14:solidFill>
              <w14:schemeClr w14:val="tx1"/>
            </w14:solidFill>
          </w14:textFill>
        </w:rPr>
        <w:t>2</w:t>
      </w:r>
      <w:r>
        <w:rPr>
          <w:rFonts w:hint="eastAsia" w:ascii="宋体" w:hAnsi="宋体" w:eastAsia="宋体" w:cs="宋体"/>
          <w:bCs/>
          <w:color w:val="000000" w:themeColor="text1"/>
          <w:spacing w:val="-18"/>
          <w:szCs w:val="24"/>
          <w:highlight w:val="none"/>
          <w14:textFill>
            <w14:solidFill>
              <w14:schemeClr w14:val="tx1"/>
            </w14:solidFill>
          </w14:textFill>
        </w:rPr>
        <w:t xml:space="preserve"> </w:t>
      </w:r>
      <w:r>
        <w:rPr>
          <w:rFonts w:hint="eastAsia" w:ascii="宋体" w:hAnsi="宋体" w:eastAsia="宋体" w:cs="宋体"/>
          <w:bCs/>
          <w:color w:val="000000" w:themeColor="text1"/>
          <w:spacing w:val="-5"/>
          <w:szCs w:val="24"/>
          <w:highlight w:val="none"/>
          <w14:textFill>
            <w14:solidFill>
              <w14:schemeClr w14:val="tx1"/>
            </w14:solidFill>
          </w14:textFill>
        </w:rPr>
        <w:t>．市政基础设施工程建设项目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_Toc12394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59</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44B17029">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_Toc18496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8"/>
          <w:szCs w:val="24"/>
          <w:highlight w:val="none"/>
          <w14:textFill>
            <w14:solidFill>
              <w14:schemeClr w14:val="tx1"/>
            </w14:solidFill>
          </w14:textFill>
        </w:rPr>
        <w:t>3</w:t>
      </w:r>
      <w:r>
        <w:rPr>
          <w:rFonts w:hint="eastAsia" w:ascii="宋体" w:hAnsi="宋体" w:eastAsia="宋体" w:cs="宋体"/>
          <w:bCs/>
          <w:color w:val="000000" w:themeColor="text1"/>
          <w:spacing w:val="-25"/>
          <w:szCs w:val="24"/>
          <w:highlight w:val="none"/>
          <w14:textFill>
            <w14:solidFill>
              <w14:schemeClr w14:val="tx1"/>
            </w14:solidFill>
          </w14:textFill>
        </w:rPr>
        <w:t xml:space="preserve"> </w:t>
      </w:r>
      <w:r>
        <w:rPr>
          <w:rFonts w:hint="eastAsia" w:ascii="宋体" w:hAnsi="宋体" w:eastAsia="宋体" w:cs="宋体"/>
          <w:bCs/>
          <w:color w:val="000000" w:themeColor="text1"/>
          <w:spacing w:val="-8"/>
          <w:szCs w:val="24"/>
          <w:highlight w:val="none"/>
          <w14:textFill>
            <w14:solidFill>
              <w14:schemeClr w14:val="tx1"/>
            </w14:solidFill>
          </w14:textFill>
        </w:rPr>
        <w:t>．备查要求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_Toc18496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7ED3FFD9">
      <w:pPr>
        <w:pStyle w:val="8"/>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_Toc23370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5"/>
          <w:szCs w:val="24"/>
          <w:highlight w:val="none"/>
          <w14:textFill>
            <w14:solidFill>
              <w14:schemeClr w14:val="tx1"/>
            </w14:solidFill>
          </w14:textFill>
        </w:rPr>
        <w:t>第五章</w:t>
      </w:r>
      <w:r>
        <w:rPr>
          <w:rFonts w:hint="eastAsia" w:ascii="宋体" w:hAnsi="宋体" w:eastAsia="宋体" w:cs="宋体"/>
          <w:color w:val="000000" w:themeColor="text1"/>
          <w:spacing w:val="33"/>
          <w:szCs w:val="24"/>
          <w:highlight w:val="none"/>
          <w14:textFill>
            <w14:solidFill>
              <w14:schemeClr w14:val="tx1"/>
            </w14:solidFill>
          </w14:textFill>
        </w:rPr>
        <w:t xml:space="preserve"> </w:t>
      </w:r>
      <w:r>
        <w:rPr>
          <w:rFonts w:hint="eastAsia" w:ascii="宋体" w:hAnsi="宋体" w:eastAsia="宋体" w:cs="宋体"/>
          <w:bCs/>
          <w:color w:val="000000" w:themeColor="text1"/>
          <w:spacing w:val="-5"/>
          <w:szCs w:val="24"/>
          <w:highlight w:val="none"/>
          <w14:textFill>
            <w14:solidFill>
              <w14:schemeClr w14:val="tx1"/>
            </w14:solidFill>
          </w14:textFill>
        </w:rPr>
        <w:t>图纸和招标工程量清单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_Toc23370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62456E08">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_Toc30394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14"/>
          <w:szCs w:val="24"/>
          <w:highlight w:val="none"/>
          <w14:textFill>
            <w14:solidFill>
              <w14:schemeClr w14:val="tx1"/>
            </w14:solidFill>
          </w14:textFill>
        </w:rPr>
        <w:t>1</w:t>
      </w:r>
      <w:r>
        <w:rPr>
          <w:rFonts w:hint="eastAsia" w:ascii="宋体" w:hAnsi="宋体" w:eastAsia="宋体" w:cs="宋体"/>
          <w:bCs/>
          <w:color w:val="000000" w:themeColor="text1"/>
          <w:spacing w:val="-27"/>
          <w:szCs w:val="24"/>
          <w:highlight w:val="none"/>
          <w14:textFill>
            <w14:solidFill>
              <w14:schemeClr w14:val="tx1"/>
            </w14:solidFill>
          </w14:textFill>
        </w:rPr>
        <w:t xml:space="preserve"> </w:t>
      </w:r>
      <w:r>
        <w:rPr>
          <w:rFonts w:hint="eastAsia" w:ascii="宋体" w:hAnsi="宋体" w:eastAsia="宋体" w:cs="宋体"/>
          <w:bCs/>
          <w:color w:val="000000" w:themeColor="text1"/>
          <w:spacing w:val="-14"/>
          <w:szCs w:val="24"/>
          <w:highlight w:val="none"/>
          <w14:textFill>
            <w14:solidFill>
              <w14:schemeClr w14:val="tx1"/>
            </w14:solidFill>
          </w14:textFill>
        </w:rPr>
        <w:t>．图纸</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_Toc30394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6345BF15">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_Toc14897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6"/>
          <w:szCs w:val="24"/>
          <w:highlight w:val="none"/>
          <w14:textFill>
            <w14:solidFill>
              <w14:schemeClr w14:val="tx1"/>
            </w14:solidFill>
          </w14:textFill>
        </w:rPr>
        <w:t>2</w:t>
      </w:r>
      <w:r>
        <w:rPr>
          <w:rFonts w:hint="eastAsia" w:ascii="宋体" w:hAnsi="宋体" w:eastAsia="宋体" w:cs="宋体"/>
          <w:bCs/>
          <w:color w:val="000000" w:themeColor="text1"/>
          <w:spacing w:val="-26"/>
          <w:szCs w:val="24"/>
          <w:highlight w:val="none"/>
          <w14:textFill>
            <w14:solidFill>
              <w14:schemeClr w14:val="tx1"/>
            </w14:solidFill>
          </w14:textFill>
        </w:rPr>
        <w:t xml:space="preserve"> </w:t>
      </w:r>
      <w:r>
        <w:rPr>
          <w:rFonts w:hint="eastAsia" w:ascii="宋体" w:hAnsi="宋体" w:eastAsia="宋体" w:cs="宋体"/>
          <w:bCs/>
          <w:color w:val="000000" w:themeColor="text1"/>
          <w:spacing w:val="-6"/>
          <w:szCs w:val="24"/>
          <w:highlight w:val="none"/>
          <w14:textFill>
            <w14:solidFill>
              <w14:schemeClr w14:val="tx1"/>
            </w14:solidFill>
          </w14:textFill>
        </w:rPr>
        <w:t>．招标工程量清单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_Toc14897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64581735">
      <w:pPr>
        <w:pStyle w:val="8"/>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_Toc13354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3"/>
          <w:szCs w:val="24"/>
          <w:highlight w:val="none"/>
          <w14:textFill>
            <w14:solidFill>
              <w14:schemeClr w14:val="tx1"/>
            </w14:solidFill>
          </w14:textFill>
        </w:rPr>
        <w:t>第六章</w:t>
      </w:r>
      <w:r>
        <w:rPr>
          <w:rFonts w:hint="eastAsia" w:ascii="宋体" w:hAnsi="宋体" w:eastAsia="宋体" w:cs="宋体"/>
          <w:color w:val="000000" w:themeColor="text1"/>
          <w:spacing w:val="-3"/>
          <w:szCs w:val="24"/>
          <w:highlight w:val="none"/>
          <w14:textFill>
            <w14:solidFill>
              <w14:schemeClr w14:val="tx1"/>
            </w14:solidFill>
          </w14:textFill>
        </w:rPr>
        <w:t xml:space="preserve"> </w:t>
      </w:r>
      <w:r>
        <w:rPr>
          <w:rFonts w:hint="eastAsia" w:ascii="宋体" w:hAnsi="宋体" w:eastAsia="宋体" w:cs="宋体"/>
          <w:bCs/>
          <w:color w:val="000000" w:themeColor="text1"/>
          <w:spacing w:val="-3"/>
          <w:szCs w:val="24"/>
          <w:highlight w:val="none"/>
          <w14:textFill>
            <w14:solidFill>
              <w14:schemeClr w14:val="tx1"/>
            </w14:solidFill>
          </w14:textFill>
        </w:rPr>
        <w:t>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_Toc13354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62</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3F62BBB6">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_Toc10257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4"/>
          <w:szCs w:val="24"/>
          <w:highlight w:val="none"/>
          <w14:textFill>
            <w14:solidFill>
              <w14:schemeClr w14:val="tx1"/>
            </w14:solidFill>
          </w14:textFill>
        </w:rPr>
        <w:t>格式一</w:t>
      </w:r>
      <w:r>
        <w:rPr>
          <w:rFonts w:hint="eastAsia" w:ascii="宋体" w:hAnsi="宋体" w:eastAsia="宋体" w:cs="宋体"/>
          <w:color w:val="000000" w:themeColor="text1"/>
          <w:spacing w:val="-4"/>
          <w:szCs w:val="24"/>
          <w:highlight w:val="none"/>
          <w14:textFill>
            <w14:solidFill>
              <w14:schemeClr w14:val="tx1"/>
            </w14:solidFill>
          </w14:textFill>
        </w:rPr>
        <w:t xml:space="preserve"> </w:t>
      </w:r>
      <w:r>
        <w:rPr>
          <w:rFonts w:hint="eastAsia" w:ascii="宋体" w:hAnsi="宋体" w:eastAsia="宋体" w:cs="宋体"/>
          <w:bCs/>
          <w:color w:val="000000" w:themeColor="text1"/>
          <w:spacing w:val="-4"/>
          <w:szCs w:val="24"/>
          <w:highlight w:val="none"/>
          <w14:textFill>
            <w14:solidFill>
              <w14:schemeClr w14:val="tx1"/>
            </w14:solidFill>
          </w14:textFill>
        </w:rPr>
        <w:t>封面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62</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2D3C2A5A">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_Toc23059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4"/>
          <w:szCs w:val="24"/>
          <w:highlight w:val="none"/>
          <w14:textFill>
            <w14:solidFill>
              <w14:schemeClr w14:val="tx1"/>
            </w14:solidFill>
          </w14:textFill>
        </w:rPr>
        <w:t>格式二 投标函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_Toc23059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2F102C19">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_Toc16728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4"/>
          <w:szCs w:val="24"/>
          <w:highlight w:val="none"/>
          <w14:textFill>
            <w14:solidFill>
              <w14:schemeClr w14:val="tx1"/>
            </w14:solidFill>
          </w14:textFill>
        </w:rPr>
        <w:t>格式三 各项承诺一览表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_Toc16728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5FF6DB6F">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_Toc24663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4"/>
          <w:szCs w:val="24"/>
          <w:highlight w:val="none"/>
          <w14:textFill>
            <w14:solidFill>
              <w14:schemeClr w14:val="tx1"/>
            </w14:solidFill>
          </w14:textFill>
        </w:rPr>
        <w:t>格式四 授权委托书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_Toc24663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3A17DA02">
      <w:pPr>
        <w:pStyle w:val="6"/>
        <w:tabs>
          <w:tab w:val="right" w:leader="dot" w:pos="9746"/>
        </w:tabs>
        <w:rPr>
          <w:rFonts w:hint="eastAsia" w:ascii="宋体" w:hAnsi="宋体" w:eastAsia="宋体" w:cs="宋体"/>
          <w:color w:val="000000" w:themeColor="text1"/>
          <w:szCs w:val="24"/>
          <w:highlight w:val="none"/>
          <w14:textFill>
            <w14:solidFill>
              <w14:schemeClr w14:val="tx1"/>
            </w14:solidFill>
          </w14:textFill>
        </w:rPr>
        <w:sectPr>
          <w:footerReference r:id="rId6" w:type="default"/>
          <w:pgSz w:w="11906" w:h="16839"/>
          <w:pgMar w:top="1440" w:right="1080" w:bottom="1440" w:left="1080" w:header="1200" w:footer="1134" w:gutter="0"/>
          <w:pgBorders>
            <w:top w:val="none" w:sz="0" w:space="0"/>
            <w:left w:val="none" w:sz="0" w:space="0"/>
            <w:bottom w:val="none" w:sz="0" w:space="0"/>
            <w:right w:val="none" w:sz="0" w:space="0"/>
          </w:pgBorders>
          <w:pgNumType w:fmt="decimal" w:start="1"/>
          <w:cols w:space="720" w:num="1"/>
        </w:sectPr>
      </w:pPr>
    </w:p>
    <w:p w14:paraId="6253E80F">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_Toc24290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4"/>
          <w:szCs w:val="24"/>
          <w:highlight w:val="none"/>
          <w14:textFill>
            <w14:solidFill>
              <w14:schemeClr w14:val="tx1"/>
            </w14:solidFill>
          </w14:textFill>
        </w:rPr>
        <w:t>格式五 法定代表人身份证明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_Toc24290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6BC02258">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_Toc733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4"/>
          <w:szCs w:val="24"/>
          <w:highlight w:val="none"/>
          <w14:textFill>
            <w14:solidFill>
              <w14:schemeClr w14:val="tx1"/>
            </w14:solidFill>
          </w14:textFill>
        </w:rPr>
        <w:t>格式六 联合体协议书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68</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65D041C4">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_Toc24967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4"/>
          <w:szCs w:val="24"/>
          <w:highlight w:val="none"/>
          <w14:textFill>
            <w14:solidFill>
              <w14:schemeClr w14:val="tx1"/>
            </w14:solidFill>
          </w14:textFill>
        </w:rPr>
        <w:t>格式七 投标人基本情况表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_Toc24967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69</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0050D7BB">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_Toc10594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4"/>
          <w:szCs w:val="24"/>
          <w:highlight w:val="none"/>
          <w14:textFill>
            <w14:solidFill>
              <w14:schemeClr w14:val="tx1"/>
            </w14:solidFill>
          </w14:textFill>
        </w:rPr>
        <w:t>格式八 项目经理简历表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_Toc10594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41CBDFE6">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_Toc6967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4"/>
          <w:szCs w:val="24"/>
          <w:highlight w:val="none"/>
          <w14:textFill>
            <w14:solidFill>
              <w14:schemeClr w14:val="tx1"/>
            </w14:solidFill>
          </w14:textFill>
        </w:rPr>
        <w:t>格式九 项目经理任职声明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_Toc6967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4269C1F9">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_Toc19125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4"/>
          <w:szCs w:val="24"/>
          <w:highlight w:val="none"/>
          <w14:textFill>
            <w14:solidFill>
              <w14:schemeClr w14:val="tx1"/>
            </w14:solidFill>
          </w14:textFill>
        </w:rPr>
        <w:t>格式十 项目技术负责人简历表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_Toc19125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72</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5BEEAB94">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_Toc18872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4"/>
          <w:szCs w:val="24"/>
          <w:highlight w:val="none"/>
          <w14:textFill>
            <w14:solidFill>
              <w14:schemeClr w14:val="tx1"/>
            </w14:solidFill>
          </w14:textFill>
        </w:rPr>
        <w:t>格式十一 项目管理机构组成表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_Toc18872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5B3B3988">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_Toc3823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4"/>
          <w:szCs w:val="24"/>
          <w:highlight w:val="none"/>
          <w14:textFill>
            <w14:solidFill>
              <w14:schemeClr w14:val="tx1"/>
            </w14:solidFill>
          </w14:textFill>
        </w:rPr>
        <w:t>格式十二 建造师查询页（有效期+建造师签字）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_Toc3823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7C5471F0">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_Toc30843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4"/>
          <w:szCs w:val="24"/>
          <w:highlight w:val="none"/>
          <w14:textFill>
            <w14:solidFill>
              <w14:schemeClr w14:val="tx1"/>
            </w14:solidFill>
          </w14:textFill>
        </w:rPr>
        <w:t>格式十三：</w:t>
      </w:r>
      <w:r>
        <w:rPr>
          <w:rFonts w:hint="eastAsia" w:ascii="宋体" w:hAnsi="宋体" w:eastAsia="宋体" w:cs="宋体"/>
          <w:bCs/>
          <w:color w:val="000000" w:themeColor="text1"/>
          <w:spacing w:val="7"/>
          <w:szCs w:val="22"/>
          <w:highlight w:val="none"/>
          <w14:textFill>
            <w14:solidFill>
              <w14:schemeClr w14:val="tx1"/>
            </w14:solidFill>
          </w14:textFill>
        </w:rPr>
        <w:t>危险性较大的分部分项工程清单及超过一定规模的危险性较大的</w:t>
      </w:r>
      <w:r>
        <w:rPr>
          <w:rFonts w:hint="eastAsia" w:ascii="宋体" w:hAnsi="宋体" w:eastAsia="宋体" w:cs="宋体"/>
          <w:bCs/>
          <w:color w:val="000000" w:themeColor="text1"/>
          <w:spacing w:val="5"/>
          <w:szCs w:val="22"/>
          <w:highlight w:val="none"/>
          <w14:textFill>
            <w14:solidFill>
              <w14:schemeClr w14:val="tx1"/>
            </w14:solidFill>
          </w14:textFill>
        </w:rPr>
        <w:t>分部分项工程清单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_Toc30843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01130330">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_Toc2618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4"/>
          <w:szCs w:val="24"/>
          <w:highlight w:val="none"/>
          <w14:textFill>
            <w14:solidFill>
              <w14:schemeClr w14:val="tx1"/>
            </w14:solidFill>
          </w14:textFill>
        </w:rPr>
        <w:t>格式十四</w:t>
      </w:r>
      <w:r>
        <w:rPr>
          <w:rFonts w:hint="eastAsia" w:ascii="宋体" w:hAnsi="宋体" w:eastAsia="宋体" w:cs="宋体"/>
          <w:bCs/>
          <w:color w:val="000000" w:themeColor="text1"/>
          <w:spacing w:val="-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4"/>
          <w:position w:val="3"/>
          <w:szCs w:val="21"/>
          <w:highlight w:val="none"/>
          <w14:textFill>
            <w14:solidFill>
              <w14:schemeClr w14:val="tx1"/>
            </w14:solidFill>
          </w14:textFill>
        </w:rPr>
        <w:t>投标保证金信用承诺函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4E732B0C">
      <w:pPr>
        <w:pStyle w:val="6"/>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_Toc22936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4"/>
          <w:szCs w:val="24"/>
          <w:highlight w:val="none"/>
          <w14:textFill>
            <w14:solidFill>
              <w14:schemeClr w14:val="tx1"/>
            </w14:solidFill>
          </w14:textFill>
        </w:rPr>
        <w:t>格式十</w:t>
      </w:r>
      <w:r>
        <w:rPr>
          <w:rFonts w:hint="eastAsia" w:ascii="宋体" w:hAnsi="宋体" w:eastAsia="宋体" w:cs="宋体"/>
          <w:bCs/>
          <w:color w:val="000000" w:themeColor="text1"/>
          <w:spacing w:val="-4"/>
          <w:szCs w:val="24"/>
          <w:highlight w:val="none"/>
          <w:lang w:eastAsia="zh-CN"/>
          <w14:textFill>
            <w14:solidFill>
              <w14:schemeClr w14:val="tx1"/>
            </w14:solidFill>
          </w14:textFill>
        </w:rPr>
        <w:t>五</w:t>
      </w:r>
      <w:r>
        <w:rPr>
          <w:rFonts w:hint="eastAsia" w:ascii="宋体" w:hAnsi="宋体" w:eastAsia="宋体" w:cs="宋体"/>
          <w:bCs/>
          <w:color w:val="000000" w:themeColor="text1"/>
          <w:spacing w:val="-4"/>
          <w:szCs w:val="24"/>
          <w:highlight w:val="none"/>
          <w14:textFill>
            <w14:solidFill>
              <w14:schemeClr w14:val="tx1"/>
            </w14:solidFill>
          </w14:textFill>
        </w:rPr>
        <w:t xml:space="preserve">  原件一览表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_Toc22936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2C20523B">
      <w:pPr>
        <w:pStyle w:val="9"/>
        <w:tabs>
          <w:tab w:val="right" w:leader="dot" w:pos="9746"/>
        </w:tabs>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_Toc28712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3"/>
          <w:szCs w:val="24"/>
          <w:highlight w:val="none"/>
          <w14:textFill>
            <w14:solidFill>
              <w14:schemeClr w14:val="tx1"/>
            </w14:solidFill>
          </w14:textFill>
        </w:rPr>
        <w:t>第七章</w:t>
      </w:r>
      <w:r>
        <w:rPr>
          <w:rFonts w:hint="eastAsia" w:ascii="宋体" w:hAnsi="宋体" w:eastAsia="宋体" w:cs="宋体"/>
          <w:color w:val="000000" w:themeColor="text1"/>
          <w:spacing w:val="-3"/>
          <w:szCs w:val="24"/>
          <w:highlight w:val="none"/>
          <w14:textFill>
            <w14:solidFill>
              <w14:schemeClr w14:val="tx1"/>
            </w14:solidFill>
          </w14:textFill>
        </w:rPr>
        <w:t xml:space="preserve"> </w:t>
      </w:r>
      <w:r>
        <w:rPr>
          <w:rFonts w:hint="eastAsia" w:ascii="宋体" w:hAnsi="宋体" w:eastAsia="宋体" w:cs="宋体"/>
          <w:bCs/>
          <w:color w:val="000000" w:themeColor="text1"/>
          <w:spacing w:val="-3"/>
          <w:szCs w:val="24"/>
          <w:highlight w:val="none"/>
          <w14:textFill>
            <w14:solidFill>
              <w14:schemeClr w14:val="tx1"/>
            </w14:solidFill>
          </w14:textFill>
        </w:rPr>
        <w:t>建设工程施工合同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638172DF">
      <w:pPr>
        <w:spacing w:line="220" w:lineRule="auto"/>
        <w:jc w:val="center"/>
        <w:rPr>
          <w:rFonts w:hint="eastAsia" w:ascii="宋体" w:hAnsi="宋体" w:eastAsia="宋体" w:cs="宋体"/>
          <w:color w:val="000000" w:themeColor="text1"/>
          <w:sz w:val="24"/>
          <w:szCs w:val="24"/>
          <w:highlight w:val="none"/>
          <w14:textFill>
            <w14:solidFill>
              <w14:schemeClr w14:val="tx1"/>
            </w14:solidFill>
          </w14:textFill>
        </w:rPr>
        <w:sectPr>
          <w:footerReference r:id="rId7" w:type="default"/>
          <w:pgSz w:w="11906" w:h="16839"/>
          <w:pgMar w:top="1440" w:right="1080" w:bottom="1440" w:left="1080" w:header="1200" w:footer="1134"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000000" w:themeColor="text1"/>
          <w:szCs w:val="24"/>
          <w:highlight w:val="none"/>
          <w14:textFill>
            <w14:solidFill>
              <w14:schemeClr w14:val="tx1"/>
            </w14:solidFill>
          </w14:textFill>
        </w:rPr>
        <w:fldChar w:fldCharType="end"/>
      </w:r>
    </w:p>
    <w:p w14:paraId="73063668">
      <w:pPr>
        <w:pStyle w:val="5"/>
        <w:spacing w:line="272" w:lineRule="auto"/>
        <w:rPr>
          <w:rFonts w:hint="eastAsia" w:ascii="宋体" w:hAnsi="宋体" w:eastAsia="宋体" w:cs="宋体"/>
          <w:color w:val="000000" w:themeColor="text1"/>
          <w:highlight w:val="none"/>
          <w14:textFill>
            <w14:solidFill>
              <w14:schemeClr w14:val="tx1"/>
            </w14:solidFill>
          </w14:textFill>
        </w:rPr>
      </w:pPr>
    </w:p>
    <w:p w14:paraId="49639CDB">
      <w:pPr>
        <w:spacing w:before="78" w:line="219" w:lineRule="auto"/>
        <w:ind w:left="3416"/>
        <w:outlineLvl w:val="0"/>
        <w:rPr>
          <w:rFonts w:hint="eastAsia" w:ascii="宋体" w:hAnsi="宋体" w:eastAsia="宋体" w:cs="宋体"/>
          <w:color w:val="000000" w:themeColor="text1"/>
          <w:sz w:val="24"/>
          <w:szCs w:val="24"/>
          <w:highlight w:val="none"/>
          <w14:textFill>
            <w14:solidFill>
              <w14:schemeClr w14:val="tx1"/>
            </w14:solidFill>
          </w14:textFill>
        </w:rPr>
      </w:pPr>
      <w:bookmarkStart w:id="4" w:name="bookmark1"/>
      <w:bookmarkEnd w:id="4"/>
      <w:bookmarkStart w:id="5" w:name="_Toc28044"/>
      <w:r>
        <w:rPr>
          <w:rFonts w:hint="eastAsia" w:ascii="宋体" w:hAnsi="宋体" w:eastAsia="宋体" w:cs="宋体"/>
          <w:b/>
          <w:bCs/>
          <w:color w:val="000000" w:themeColor="text1"/>
          <w:spacing w:val="-3"/>
          <w:sz w:val="24"/>
          <w:szCs w:val="24"/>
          <w:highlight w:val="none"/>
          <w14:textFill>
            <w14:solidFill>
              <w14:schemeClr w14:val="tx1"/>
            </w14:solidFill>
          </w14:textFill>
        </w:rPr>
        <w:t>第一章</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14:textFill>
            <w14:solidFill>
              <w14:schemeClr w14:val="tx1"/>
            </w14:solidFill>
          </w14:textFill>
        </w:rPr>
        <w:t>投标人须知</w:t>
      </w:r>
      <w:bookmarkEnd w:id="5"/>
    </w:p>
    <w:p w14:paraId="0C219C57">
      <w:pPr>
        <w:spacing w:before="156" w:line="219" w:lineRule="auto"/>
        <w:ind w:left="17"/>
        <w:outlineLvl w:val="1"/>
        <w:rPr>
          <w:rFonts w:hint="eastAsia" w:ascii="宋体" w:hAnsi="宋体" w:eastAsia="宋体" w:cs="宋体"/>
          <w:color w:val="000000" w:themeColor="text1"/>
          <w:sz w:val="24"/>
          <w:szCs w:val="24"/>
          <w:highlight w:val="none"/>
          <w14:textFill>
            <w14:solidFill>
              <w14:schemeClr w14:val="tx1"/>
            </w14:solidFill>
          </w14:textFill>
        </w:rPr>
      </w:pPr>
      <w:bookmarkStart w:id="6" w:name="bookmark3"/>
      <w:bookmarkEnd w:id="6"/>
      <w:bookmarkStart w:id="7" w:name="_Toc23469"/>
      <w:r>
        <w:rPr>
          <w:rFonts w:hint="eastAsia" w:ascii="宋体" w:hAnsi="宋体" w:eastAsia="宋体" w:cs="宋体"/>
          <w:b/>
          <w:bCs/>
          <w:color w:val="000000" w:themeColor="text1"/>
          <w:spacing w:val="-3"/>
          <w:sz w:val="24"/>
          <w:szCs w:val="24"/>
          <w:highlight w:val="none"/>
          <w14:textFill>
            <w14:solidFill>
              <w14:schemeClr w14:val="tx1"/>
            </w14:solidFill>
          </w14:textFill>
        </w:rPr>
        <w:t>第一节</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14:textFill>
            <w14:solidFill>
              <w14:schemeClr w14:val="tx1"/>
            </w14:solidFill>
          </w14:textFill>
        </w:rPr>
        <w:t>投标人须知前附表</w:t>
      </w:r>
      <w:bookmarkEnd w:id="7"/>
    </w:p>
    <w:p w14:paraId="451443B4">
      <w:pPr>
        <w:spacing w:before="25"/>
        <w:rPr>
          <w:rFonts w:hint="eastAsia" w:ascii="宋体" w:hAnsi="宋体" w:eastAsia="宋体" w:cs="宋体"/>
          <w:color w:val="000000" w:themeColor="text1"/>
          <w:highlight w:val="none"/>
          <w14:textFill>
            <w14:solidFill>
              <w14:schemeClr w14:val="tx1"/>
            </w14:solidFill>
          </w14:textFill>
        </w:rPr>
      </w:pPr>
    </w:p>
    <w:tbl>
      <w:tblPr>
        <w:tblStyle w:val="12"/>
        <w:tblW w:w="970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8"/>
        <w:gridCol w:w="1800"/>
        <w:gridCol w:w="7179"/>
      </w:tblGrid>
      <w:tr w14:paraId="7ACC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trPr>
        <w:tc>
          <w:tcPr>
            <w:tcW w:w="728" w:type="dxa"/>
            <w:vAlign w:val="top"/>
          </w:tcPr>
          <w:p w14:paraId="4758577E">
            <w:pPr>
              <w:spacing w:before="203" w:line="209" w:lineRule="auto"/>
              <w:ind w:left="0" w:leftChars="0" w:firstLine="0" w:firstLine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序号</w:t>
            </w:r>
          </w:p>
        </w:tc>
        <w:tc>
          <w:tcPr>
            <w:tcW w:w="1800" w:type="dxa"/>
            <w:vAlign w:val="center"/>
          </w:tcPr>
          <w:p w14:paraId="7B8ED52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内容</w:t>
            </w:r>
          </w:p>
        </w:tc>
        <w:tc>
          <w:tcPr>
            <w:tcW w:w="7179" w:type="dxa"/>
            <w:vAlign w:val="center"/>
          </w:tcPr>
          <w:p w14:paraId="0575BAF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说明与要求</w:t>
            </w:r>
          </w:p>
        </w:tc>
      </w:tr>
      <w:tr w14:paraId="53CA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728" w:type="dxa"/>
            <w:vAlign w:val="center"/>
          </w:tcPr>
          <w:p w14:paraId="34D199C6">
            <w:pPr>
              <w:spacing w:before="223" w:line="195"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8" w:name="OLE_LINK2" w:colFirst="2" w:colLast="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1800" w:type="dxa"/>
            <w:vAlign w:val="center"/>
          </w:tcPr>
          <w:p w14:paraId="6E81DB5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项目名称</w:t>
            </w:r>
          </w:p>
        </w:tc>
        <w:tc>
          <w:tcPr>
            <w:tcW w:w="7179" w:type="dxa"/>
            <w:vAlign w:val="center"/>
          </w:tcPr>
          <w:p w14:paraId="62C2E40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武江区2024年第二批老旧小区改造项目施工</w:t>
            </w:r>
          </w:p>
        </w:tc>
      </w:tr>
      <w:tr w14:paraId="1C49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728" w:type="dxa"/>
            <w:vAlign w:val="center"/>
          </w:tcPr>
          <w:p w14:paraId="5546609D">
            <w:pPr>
              <w:spacing w:before="222" w:line="195"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1800" w:type="dxa"/>
            <w:vAlign w:val="center"/>
          </w:tcPr>
          <w:p w14:paraId="28FBECF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项目业主</w:t>
            </w:r>
          </w:p>
        </w:tc>
        <w:tc>
          <w:tcPr>
            <w:tcW w:w="7179" w:type="dxa"/>
            <w:vAlign w:val="center"/>
          </w:tcPr>
          <w:p w14:paraId="6B4C0B9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韶关市武江区人民政府新华街道办事处</w:t>
            </w:r>
          </w:p>
        </w:tc>
      </w:tr>
      <w:tr w14:paraId="42F2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9" w:hRule="atLeast"/>
        </w:trPr>
        <w:tc>
          <w:tcPr>
            <w:tcW w:w="728" w:type="dxa"/>
            <w:vAlign w:val="center"/>
          </w:tcPr>
          <w:p w14:paraId="2FE483DA">
            <w:pPr>
              <w:spacing w:before="58" w:line="195"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1800" w:type="dxa"/>
            <w:vAlign w:val="center"/>
          </w:tcPr>
          <w:p w14:paraId="31041B2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项目批准部门及项目批准文号</w:t>
            </w:r>
          </w:p>
        </w:tc>
        <w:tc>
          <w:tcPr>
            <w:tcW w:w="7179" w:type="dxa"/>
            <w:vAlign w:val="center"/>
          </w:tcPr>
          <w:p w14:paraId="70B1BA1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韶关市武江区发展和改革局</w:t>
            </w:r>
          </w:p>
          <w:p w14:paraId="141A5A4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韶武发改投审〔2024〕95号、韶武发改投审〔2024〕122号</w:t>
            </w:r>
          </w:p>
        </w:tc>
      </w:tr>
      <w:tr w14:paraId="58FC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728" w:type="dxa"/>
            <w:vAlign w:val="center"/>
          </w:tcPr>
          <w:p w14:paraId="6065D891">
            <w:pPr>
              <w:spacing w:before="225" w:line="195"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4</w:t>
            </w:r>
          </w:p>
        </w:tc>
        <w:tc>
          <w:tcPr>
            <w:tcW w:w="1800" w:type="dxa"/>
            <w:vAlign w:val="center"/>
          </w:tcPr>
          <w:p w14:paraId="2161DF4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建设地点</w:t>
            </w:r>
          </w:p>
        </w:tc>
        <w:tc>
          <w:tcPr>
            <w:tcW w:w="7179" w:type="dxa"/>
            <w:tcMar>
              <w:top w:w="0" w:type="dxa"/>
              <w:left w:w="0" w:type="dxa"/>
              <w:bottom w:w="0" w:type="dxa"/>
              <w:right w:w="0" w:type="dxa"/>
            </w:tcMar>
            <w:vAlign w:val="center"/>
          </w:tcPr>
          <w:p w14:paraId="17B62E4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韶关市武江区新华街道物资局宿舍三栋、春晖楼、工商局宿舍、印染厂宿舍、惠民南路56号、惠民南路58号、惠民南路62号、粤海花园、沙洲路38号、新城里ABC栋等10个老旧小区。</w:t>
            </w:r>
          </w:p>
        </w:tc>
      </w:tr>
      <w:tr w14:paraId="767A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728" w:type="dxa"/>
            <w:vAlign w:val="center"/>
          </w:tcPr>
          <w:p w14:paraId="62C389A3">
            <w:pPr>
              <w:spacing w:before="226" w:line="192"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w:t>
            </w:r>
          </w:p>
        </w:tc>
        <w:tc>
          <w:tcPr>
            <w:tcW w:w="1800" w:type="dxa"/>
            <w:vAlign w:val="center"/>
          </w:tcPr>
          <w:p w14:paraId="4E0519E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项目代码</w:t>
            </w:r>
          </w:p>
        </w:tc>
        <w:tc>
          <w:tcPr>
            <w:tcW w:w="7179" w:type="dxa"/>
            <w:vAlign w:val="center"/>
          </w:tcPr>
          <w:p w14:paraId="168A8C9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2410-440203-17-05-127331</w:t>
            </w:r>
          </w:p>
        </w:tc>
      </w:tr>
      <w:tr w14:paraId="4134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trPr>
        <w:tc>
          <w:tcPr>
            <w:tcW w:w="728" w:type="dxa"/>
            <w:vAlign w:val="center"/>
          </w:tcPr>
          <w:p w14:paraId="27F55D58">
            <w:pPr>
              <w:spacing w:before="58" w:line="195"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w:t>
            </w:r>
          </w:p>
        </w:tc>
        <w:tc>
          <w:tcPr>
            <w:tcW w:w="1800" w:type="dxa"/>
            <w:vAlign w:val="center"/>
          </w:tcPr>
          <w:p w14:paraId="54684E3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资金来源及落实情况</w:t>
            </w:r>
          </w:p>
        </w:tc>
        <w:tc>
          <w:tcPr>
            <w:tcW w:w="7179" w:type="dxa"/>
            <w:vAlign w:val="center"/>
          </w:tcPr>
          <w:p w14:paraId="0168322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中央、省级补助资金解决，100%</w:t>
            </w:r>
          </w:p>
        </w:tc>
      </w:tr>
      <w:tr w14:paraId="55E0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728" w:type="dxa"/>
            <w:vAlign w:val="center"/>
          </w:tcPr>
          <w:p w14:paraId="13A867CC">
            <w:pPr>
              <w:spacing w:before="228" w:line="192"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w:t>
            </w:r>
          </w:p>
        </w:tc>
        <w:tc>
          <w:tcPr>
            <w:tcW w:w="1800" w:type="dxa"/>
            <w:vAlign w:val="center"/>
          </w:tcPr>
          <w:p w14:paraId="1395956E">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招标人</w:t>
            </w:r>
          </w:p>
        </w:tc>
        <w:tc>
          <w:tcPr>
            <w:tcW w:w="7179" w:type="dxa"/>
            <w:vAlign w:val="center"/>
          </w:tcPr>
          <w:p w14:paraId="2D9D595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韶关市武江区人民政府新华街道办事处</w:t>
            </w:r>
          </w:p>
        </w:tc>
      </w:tr>
      <w:tr w14:paraId="38A7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728" w:type="dxa"/>
            <w:vAlign w:val="center"/>
          </w:tcPr>
          <w:p w14:paraId="6A89B71E">
            <w:pPr>
              <w:spacing w:before="224" w:line="195"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w:t>
            </w:r>
          </w:p>
        </w:tc>
        <w:tc>
          <w:tcPr>
            <w:tcW w:w="1800" w:type="dxa"/>
            <w:vAlign w:val="center"/>
          </w:tcPr>
          <w:p w14:paraId="35B8FC2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招标代理机构</w:t>
            </w:r>
          </w:p>
        </w:tc>
        <w:tc>
          <w:tcPr>
            <w:tcW w:w="7179" w:type="dxa"/>
            <w:vAlign w:val="center"/>
          </w:tcPr>
          <w:p w14:paraId="7B44CAF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广东合正项目管理有限公司</w:t>
            </w:r>
          </w:p>
        </w:tc>
      </w:tr>
      <w:tr w14:paraId="45E3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28" w:type="dxa"/>
            <w:vAlign w:val="center"/>
          </w:tcPr>
          <w:p w14:paraId="6EE48A18">
            <w:pPr>
              <w:spacing w:before="225" w:line="195"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w:t>
            </w:r>
          </w:p>
        </w:tc>
        <w:tc>
          <w:tcPr>
            <w:tcW w:w="1800" w:type="dxa"/>
            <w:vAlign w:val="center"/>
          </w:tcPr>
          <w:p w14:paraId="2173F83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设计单位</w:t>
            </w:r>
          </w:p>
        </w:tc>
        <w:tc>
          <w:tcPr>
            <w:tcW w:w="7179" w:type="dxa"/>
            <w:vAlign w:val="center"/>
          </w:tcPr>
          <w:p w14:paraId="363B6AC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中诚圣苑工程设计有限公司</w:t>
            </w:r>
          </w:p>
        </w:tc>
      </w:tr>
      <w:bookmarkEnd w:id="8"/>
      <w:tr w14:paraId="3BFA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728" w:type="dxa"/>
            <w:vAlign w:val="center"/>
          </w:tcPr>
          <w:p w14:paraId="1635C0FD">
            <w:pPr>
              <w:spacing w:before="245" w:line="195"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10</w:t>
            </w:r>
          </w:p>
        </w:tc>
        <w:tc>
          <w:tcPr>
            <w:tcW w:w="1800" w:type="dxa"/>
            <w:vAlign w:val="center"/>
          </w:tcPr>
          <w:p w14:paraId="2495ED4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造价咨询单位</w:t>
            </w:r>
          </w:p>
        </w:tc>
        <w:tc>
          <w:tcPr>
            <w:tcW w:w="7179" w:type="dxa"/>
            <w:vAlign w:val="center"/>
          </w:tcPr>
          <w:p w14:paraId="6BD3EE2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□非全过程造价咨询</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☑全过程造价咨询</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 xml:space="preserve">  </w:t>
            </w:r>
          </w:p>
        </w:tc>
      </w:tr>
      <w:tr w14:paraId="3692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28" w:type="dxa"/>
            <w:vAlign w:val="center"/>
          </w:tcPr>
          <w:p w14:paraId="09F5224E">
            <w:pPr>
              <w:spacing w:before="242" w:line="195"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11</w:t>
            </w:r>
          </w:p>
        </w:tc>
        <w:tc>
          <w:tcPr>
            <w:tcW w:w="1800" w:type="dxa"/>
            <w:vAlign w:val="center"/>
          </w:tcPr>
          <w:p w14:paraId="1084556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监理单位</w:t>
            </w:r>
          </w:p>
        </w:tc>
        <w:tc>
          <w:tcPr>
            <w:tcW w:w="7179" w:type="dxa"/>
            <w:vAlign w:val="center"/>
          </w:tcPr>
          <w:p w14:paraId="0067EC3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□已确定监理单位</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☑未确定监理单位</w:t>
            </w:r>
          </w:p>
        </w:tc>
      </w:tr>
      <w:tr w14:paraId="2E54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trPr>
        <w:tc>
          <w:tcPr>
            <w:tcW w:w="728" w:type="dxa"/>
            <w:vAlign w:val="center"/>
          </w:tcPr>
          <w:p w14:paraId="2D733243">
            <w:pPr>
              <w:spacing w:before="58" w:line="195"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2</w:t>
            </w:r>
          </w:p>
        </w:tc>
        <w:tc>
          <w:tcPr>
            <w:tcW w:w="1800" w:type="dxa"/>
            <w:vAlign w:val="center"/>
          </w:tcPr>
          <w:p w14:paraId="526340D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建设内容和规模</w:t>
            </w:r>
          </w:p>
        </w:tc>
        <w:tc>
          <w:tcPr>
            <w:tcW w:w="7179" w:type="dxa"/>
            <w:vAlign w:val="center"/>
          </w:tcPr>
          <w:p w14:paraId="5C660F0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□建设规模：</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w:t>
            </w:r>
          </w:p>
          <w:p w14:paraId="7E68E26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☑建设内容：</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更新改造楼梯和公共空间、建筑外立面、给排水设施、供配电和照明设施、垃圾分类与环卫设施、文体活动设施等；整治小区风貌，小区道路，停车设施，消防安全设施等。</w:t>
            </w:r>
          </w:p>
        </w:tc>
      </w:tr>
      <w:tr w14:paraId="6450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trPr>
        <w:tc>
          <w:tcPr>
            <w:tcW w:w="728" w:type="dxa"/>
            <w:vAlign w:val="center"/>
          </w:tcPr>
          <w:p w14:paraId="4519A5EB">
            <w:pPr>
              <w:spacing w:before="57" w:line="195"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13</w:t>
            </w:r>
          </w:p>
        </w:tc>
        <w:tc>
          <w:tcPr>
            <w:tcW w:w="1800" w:type="dxa"/>
            <w:vAlign w:val="center"/>
          </w:tcPr>
          <w:p w14:paraId="15BC8529">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项目总投资</w:t>
            </w:r>
          </w:p>
        </w:tc>
        <w:tc>
          <w:tcPr>
            <w:tcW w:w="7179" w:type="dxa"/>
            <w:vAlign w:val="center"/>
          </w:tcPr>
          <w:p w14:paraId="051183D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项目概算总投资1170.10万元，其中工程费用1006.04万元，工程建设其他费用129.98万元，预备费用34.08万元。</w:t>
            </w:r>
          </w:p>
        </w:tc>
      </w:tr>
      <w:tr w14:paraId="09BB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trPr>
        <w:tc>
          <w:tcPr>
            <w:tcW w:w="728" w:type="dxa"/>
            <w:vAlign w:val="center"/>
          </w:tcPr>
          <w:p w14:paraId="2280C6D3">
            <w:pPr>
              <w:spacing w:before="58" w:line="195"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14</w:t>
            </w:r>
          </w:p>
        </w:tc>
        <w:tc>
          <w:tcPr>
            <w:tcW w:w="1800" w:type="dxa"/>
            <w:vAlign w:val="center"/>
          </w:tcPr>
          <w:p w14:paraId="58FC513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招标范围</w:t>
            </w:r>
          </w:p>
        </w:tc>
        <w:tc>
          <w:tcPr>
            <w:tcW w:w="7179" w:type="dxa"/>
            <w:vAlign w:val="center"/>
          </w:tcPr>
          <w:p w14:paraId="2CC19A7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按审查合格的施工图纸及工程量清单内容施工</w:t>
            </w:r>
          </w:p>
        </w:tc>
      </w:tr>
      <w:tr w14:paraId="3290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28" w:type="dxa"/>
            <w:vAlign w:val="center"/>
          </w:tcPr>
          <w:p w14:paraId="334CDB2D">
            <w:pPr>
              <w:spacing w:before="58" w:line="195"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15</w:t>
            </w:r>
          </w:p>
        </w:tc>
        <w:tc>
          <w:tcPr>
            <w:tcW w:w="1800" w:type="dxa"/>
            <w:vAlign w:val="center"/>
          </w:tcPr>
          <w:p w14:paraId="56FA5F4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标段划分</w:t>
            </w:r>
          </w:p>
        </w:tc>
        <w:tc>
          <w:tcPr>
            <w:tcW w:w="7179" w:type="dxa"/>
            <w:vAlign w:val="center"/>
          </w:tcPr>
          <w:p w14:paraId="5B21ACD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 xml:space="preserve">本招标项目不划分标段。 </w:t>
            </w:r>
          </w:p>
        </w:tc>
      </w:tr>
      <w:tr w14:paraId="5A1C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28" w:type="dxa"/>
            <w:vAlign w:val="center"/>
          </w:tcPr>
          <w:p w14:paraId="01C9B2F3">
            <w:pPr>
              <w:spacing w:before="57" w:line="195" w:lineRule="auto"/>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16</w:t>
            </w:r>
          </w:p>
        </w:tc>
        <w:tc>
          <w:tcPr>
            <w:tcW w:w="1800" w:type="dxa"/>
            <w:vAlign w:val="center"/>
          </w:tcPr>
          <w:p w14:paraId="20F526C7">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工期</w:t>
            </w:r>
          </w:p>
        </w:tc>
        <w:tc>
          <w:tcPr>
            <w:tcW w:w="7179" w:type="dxa"/>
            <w:vAlign w:val="top"/>
          </w:tcPr>
          <w:p w14:paraId="2ACB4A1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本招标项目招标工期为</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240个日历天</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。具体如下：</w:t>
            </w:r>
          </w:p>
          <w:p w14:paraId="320C3CB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☑总工期：</w:t>
            </w:r>
            <w:r>
              <w:rPr>
                <w:rFonts w:hint="eastAsia" w:asciiTheme="minorEastAsia" w:hAnsiTheme="minorEastAsia" w:eastAsiaTheme="minorEastAsia" w:cstheme="minorEastAsia"/>
                <w:snapToGrid w:val="0"/>
                <w:color w:val="000000" w:themeColor="text1"/>
                <w:kern w:val="0"/>
                <w:sz w:val="21"/>
                <w:szCs w:val="2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1"/>
                <w:szCs w:val="21"/>
                <w:highlight w:val="none"/>
                <w:u w:val="single"/>
                <w:lang w:val="en-US" w:eastAsia="zh-CN"/>
                <w14:textFill>
                  <w14:solidFill>
                    <w14:schemeClr w14:val="tx1"/>
                  </w14:solidFill>
                </w14:textFill>
              </w:rPr>
              <w:t>240</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天 （日历天）。</w:t>
            </w:r>
          </w:p>
          <w:p w14:paraId="4BF2E44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□计划开工日期：</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日（具体开工日期以合同为准）</w:t>
            </w:r>
          </w:p>
          <w:p w14:paraId="35D8577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□计划竣工日期：</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日</w:t>
            </w:r>
          </w:p>
          <w:p w14:paraId="3D4184C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 xml:space="preserve">□除上述总工期外，发包人还要求以下阶段工期：        </w:t>
            </w:r>
          </w:p>
        </w:tc>
      </w:tr>
      <w:tr w14:paraId="59EF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728" w:type="dxa"/>
            <w:vAlign w:val="center"/>
          </w:tcPr>
          <w:p w14:paraId="416E216C">
            <w:pPr>
              <w:spacing w:before="57" w:line="195"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17</w:t>
            </w:r>
          </w:p>
        </w:tc>
        <w:tc>
          <w:tcPr>
            <w:tcW w:w="1800" w:type="dxa"/>
            <w:vAlign w:val="center"/>
          </w:tcPr>
          <w:p w14:paraId="529D0EDA">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质量标准</w:t>
            </w:r>
          </w:p>
        </w:tc>
        <w:tc>
          <w:tcPr>
            <w:tcW w:w="7179" w:type="dxa"/>
            <w:vAlign w:val="top"/>
          </w:tcPr>
          <w:p w14:paraId="01174D1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☑质量目标：</w:t>
            </w:r>
            <w:r>
              <w:rPr>
                <w:rFonts w:hint="eastAsia" w:asciiTheme="minorEastAsia" w:hAnsiTheme="minorEastAsia" w:eastAsiaTheme="minorEastAsia" w:cstheme="minorEastAsia"/>
                <w:snapToGrid w:val="0"/>
                <w:color w:val="000000" w:themeColor="text1"/>
                <w:kern w:val="0"/>
                <w:sz w:val="21"/>
                <w:szCs w:val="21"/>
                <w:highlight w:val="none"/>
                <w:u w:val="single"/>
                <w:lang w:eastAsia="zh-CN"/>
                <w14:textFill>
                  <w14:solidFill>
                    <w14:schemeClr w14:val="tx1"/>
                  </w14:solidFill>
                </w14:textFill>
              </w:rPr>
              <w:t>合格</w:t>
            </w:r>
          </w:p>
          <w:p w14:paraId="689C1B0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☑质量标准：达到《建筑工程施工质量验收统一标准》(GB50300-2013)和《建筑与市政工程施工质量控制通用规范》（GB55032-2022）合格。</w:t>
            </w:r>
          </w:p>
          <w:p w14:paraId="17421BC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□优质工程要求：</w:t>
            </w:r>
            <w:r>
              <w:rPr>
                <w:rFonts w:hint="eastAsia" w:asciiTheme="minorEastAsia" w:hAnsiTheme="minorEastAsia" w:eastAsiaTheme="minorEastAsia" w:cstheme="minorEastAsia"/>
                <w:snapToGrid w:val="0"/>
                <w:color w:val="000000" w:themeColor="text1"/>
                <w:kern w:val="0"/>
                <w:sz w:val="21"/>
                <w:szCs w:val="21"/>
                <w:highlight w:val="none"/>
                <w:u w:val="single"/>
                <w:lang w:eastAsia="zh-CN"/>
                <w14:textFill>
                  <w14:solidFill>
                    <w14:schemeClr w14:val="tx1"/>
                  </w14:solidFill>
                </w14:textFill>
              </w:rPr>
              <w:t>无</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p>
          <w:p w14:paraId="7B9EFA3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工程优质费：☑无</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□有：</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w:t>
            </w:r>
          </w:p>
        </w:tc>
      </w:tr>
      <w:tr w14:paraId="07BA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8" w:hRule="atLeast"/>
        </w:trPr>
        <w:tc>
          <w:tcPr>
            <w:tcW w:w="728" w:type="dxa"/>
            <w:vMerge w:val="restart"/>
            <w:vAlign w:val="center"/>
          </w:tcPr>
          <w:p w14:paraId="2FAF8482">
            <w:pPr>
              <w:spacing w:before="57" w:line="195"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18</w:t>
            </w:r>
          </w:p>
        </w:tc>
        <w:tc>
          <w:tcPr>
            <w:tcW w:w="1800" w:type="dxa"/>
            <w:vMerge w:val="restart"/>
            <w:vAlign w:val="center"/>
          </w:tcPr>
          <w:p w14:paraId="684E171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合同类型</w:t>
            </w:r>
          </w:p>
        </w:tc>
        <w:tc>
          <w:tcPr>
            <w:tcW w:w="7179" w:type="dxa"/>
            <w:vAlign w:val="top"/>
          </w:tcPr>
          <w:p w14:paraId="5B0CC98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☑单价合同：发承包双方约定以工程量清单及其综合单价进行合 同价款计算、调整和确认的建设工程施工合同。</w:t>
            </w:r>
          </w:p>
          <w:p w14:paraId="37B161E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注：实行工程量清单计价的工程，应采用单价合同方式，即合同 中的工程量清单项目综合单价在合同约定的条件内固定不变（不正常 报价除外，这部分按招标文件、合同约定的原则调整综合单价），超 过合同约定条件时，依据合同约定进行调整；工程量清单项目及工程 量依据承包人实际完成且应予计量的工程量确定。</w:t>
            </w:r>
          </w:p>
        </w:tc>
      </w:tr>
      <w:tr w14:paraId="6B7E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728" w:type="dxa"/>
            <w:vMerge w:val="continue"/>
            <w:vAlign w:val="center"/>
          </w:tcPr>
          <w:p w14:paraId="001972E5">
            <w:pPr>
              <w:spacing w:before="57" w:line="195" w:lineRule="auto"/>
              <w:jc w:val="cente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p>
        </w:tc>
        <w:tc>
          <w:tcPr>
            <w:tcW w:w="1800" w:type="dxa"/>
            <w:vMerge w:val="continue"/>
            <w:vAlign w:val="center"/>
          </w:tcPr>
          <w:p w14:paraId="114EAAC5">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p>
        </w:tc>
        <w:tc>
          <w:tcPr>
            <w:tcW w:w="7179" w:type="dxa"/>
            <w:vAlign w:val="top"/>
          </w:tcPr>
          <w:p w14:paraId="208620C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 xml:space="preserve">□总价合同：发承包双方约定以施工图及其预算和有关条件进行合同价款计算、调整和确认的建设工程施工合同。 </w:t>
            </w:r>
          </w:p>
          <w:p w14:paraId="0E5FC1B3">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注：总价合同是以施工图纸、规范为基础，在工程任务内容明确、发包人的要求条件清楚、计价依据和要求确定的条件下，发承包双方依据承包人编制的施工图预算商谈确定合同价款。当合同约定工程施工内容和有关条件不发生变化时，发包人付给承包人的工程价款总额保持不变。当工程施工内容和有关条件发生变化时，发承包双方根据变化情况和合同约定仅调整发生变化部分的工程价款，且对工程量变化引起的合同价款调整应遵循现行建设工程工程量清单计价规范原则。</w:t>
            </w:r>
          </w:p>
        </w:tc>
      </w:tr>
      <w:tr w14:paraId="548B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trPr>
        <w:tc>
          <w:tcPr>
            <w:tcW w:w="728" w:type="dxa"/>
            <w:vAlign w:val="center"/>
          </w:tcPr>
          <w:p w14:paraId="4F5536D8">
            <w:pPr>
              <w:spacing w:before="19"/>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19</w:t>
            </w:r>
          </w:p>
        </w:tc>
        <w:tc>
          <w:tcPr>
            <w:tcW w:w="1800" w:type="dxa"/>
            <w:vAlign w:val="center"/>
          </w:tcPr>
          <w:p w14:paraId="0F7CD5C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房屋建筑工程绿色建筑标准</w:t>
            </w:r>
          </w:p>
        </w:tc>
        <w:tc>
          <w:tcPr>
            <w:tcW w:w="7179" w:type="dxa"/>
            <w:vAlign w:val="center"/>
          </w:tcPr>
          <w:p w14:paraId="523371B7">
            <w:pPr>
              <w:pageBreakBefore w:val="0"/>
              <w:widowControl w:val="0"/>
              <w:kinsoku/>
              <w:wordWrap w:val="0"/>
              <w:overflowPunct/>
              <w:topLinePunct w:val="0"/>
              <w:autoSpaceDE/>
              <w:autoSpaceDN/>
              <w:bidi w:val="0"/>
              <w:adjustRightInd w:val="0"/>
              <w:snapToGrid w:val="0"/>
              <w:spacing w:line="400" w:lineRule="exact"/>
              <w:ind w:firstLine="210" w:firstLineChars="100"/>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本招标项目</w:t>
            </w:r>
            <w:r>
              <w:rPr>
                <w:rFonts w:hint="eastAsia" w:asciiTheme="minorEastAsia" w:hAnsiTheme="minorEastAsia" w:eastAsiaTheme="minorEastAsia" w:cstheme="minorEastAsia"/>
                <w:snapToGrid w:val="0"/>
                <w:color w:val="000000" w:themeColor="text1"/>
                <w:kern w:val="0"/>
                <w:sz w:val="21"/>
                <w:szCs w:val="21"/>
                <w:highlight w:val="none"/>
                <w:u w:val="single"/>
                <w:lang w:val="en-US" w:eastAsia="zh-CN"/>
                <w14:textFill>
                  <w14:solidFill>
                    <w14:schemeClr w14:val="tx1"/>
                  </w14:solidFill>
                </w14:textFill>
              </w:rPr>
              <w:t>不</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纳入绿色建设实施范围。</w:t>
            </w:r>
          </w:p>
        </w:tc>
      </w:tr>
      <w:tr w14:paraId="44A5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728" w:type="dxa"/>
            <w:vAlign w:val="center"/>
          </w:tcPr>
          <w:p w14:paraId="1CD2CF21">
            <w:pPr>
              <w:spacing w:before="58" w:line="195"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19.</w:t>
            </w:r>
            <w:r>
              <w:rPr>
                <w:rFonts w:hint="eastAsia" w:asciiTheme="minorEastAsia" w:hAnsiTheme="minorEastAsia" w:eastAsiaTheme="minorEastAsia" w:cstheme="minorEastAsia"/>
                <w:color w:val="000000" w:themeColor="text1"/>
                <w:spacing w:val="-26"/>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1</w:t>
            </w:r>
          </w:p>
        </w:tc>
        <w:tc>
          <w:tcPr>
            <w:tcW w:w="1800" w:type="dxa"/>
            <w:vAlign w:val="center"/>
          </w:tcPr>
          <w:p w14:paraId="4D336BF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装配式建筑标准</w:t>
            </w:r>
          </w:p>
        </w:tc>
        <w:tc>
          <w:tcPr>
            <w:tcW w:w="7179" w:type="dxa"/>
            <w:vAlign w:val="center"/>
          </w:tcPr>
          <w:p w14:paraId="7FEA000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本招标项目</w:t>
            </w:r>
            <w:r>
              <w:rPr>
                <w:rFonts w:hint="eastAsia" w:asciiTheme="minorEastAsia" w:hAnsiTheme="minorEastAsia" w:eastAsiaTheme="minorEastAsia" w:cstheme="minorEastAsia"/>
                <w:snapToGrid w:val="0"/>
                <w:color w:val="000000" w:themeColor="text1"/>
                <w:kern w:val="0"/>
                <w:sz w:val="21"/>
                <w:szCs w:val="21"/>
                <w:highlight w:val="none"/>
                <w:u w:val="single"/>
                <w:lang w:val="en-US" w:eastAsia="zh-CN"/>
                <w14:textFill>
                  <w14:solidFill>
                    <w14:schemeClr w14:val="tx1"/>
                  </w14:solidFill>
                </w14:textFill>
              </w:rPr>
              <w:t>不</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纳入装配式建造建设实施范围。</w:t>
            </w:r>
          </w:p>
        </w:tc>
      </w:tr>
      <w:tr w14:paraId="2E1C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trPr>
        <w:tc>
          <w:tcPr>
            <w:tcW w:w="728" w:type="dxa"/>
            <w:vAlign w:val="center"/>
          </w:tcPr>
          <w:p w14:paraId="64746E48">
            <w:pPr>
              <w:spacing w:before="69" w:line="188"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20</w:t>
            </w:r>
          </w:p>
        </w:tc>
        <w:tc>
          <w:tcPr>
            <w:tcW w:w="1800" w:type="dxa"/>
            <w:vAlign w:val="center"/>
          </w:tcPr>
          <w:p w14:paraId="649F4D0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发包人提供材料和工程设备</w:t>
            </w:r>
          </w:p>
        </w:tc>
        <w:tc>
          <w:tcPr>
            <w:tcW w:w="7179" w:type="dxa"/>
            <w:vAlign w:val="center"/>
          </w:tcPr>
          <w:p w14:paraId="77FB08D3">
            <w:pPr>
              <w:pageBreakBefore w:val="0"/>
              <w:widowControl w:val="0"/>
              <w:kinsoku/>
              <w:wordWrap w:val="0"/>
              <w:overflowPunct/>
              <w:topLinePunct w:val="0"/>
              <w:autoSpaceDE/>
              <w:autoSpaceDN/>
              <w:bidi w:val="0"/>
              <w:adjustRightInd w:val="0"/>
              <w:snapToGrid w:val="0"/>
              <w:spacing w:line="400" w:lineRule="exact"/>
              <w:ind w:firstLine="210" w:firstLineChars="100"/>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发包人提供材料和工程设备： ☑无     □有：</w:t>
            </w:r>
          </w:p>
        </w:tc>
      </w:tr>
      <w:tr w14:paraId="119B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28" w:type="dxa"/>
            <w:vAlign w:val="center"/>
          </w:tcPr>
          <w:p w14:paraId="2622591F">
            <w:pPr>
              <w:spacing w:before="69" w:line="188"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21</w:t>
            </w:r>
          </w:p>
        </w:tc>
        <w:tc>
          <w:tcPr>
            <w:tcW w:w="1800" w:type="dxa"/>
            <w:vAlign w:val="center"/>
          </w:tcPr>
          <w:p w14:paraId="6A6F9E67">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承包人提供材料和工程设备</w:t>
            </w:r>
          </w:p>
        </w:tc>
        <w:tc>
          <w:tcPr>
            <w:tcW w:w="7179" w:type="dxa"/>
            <w:vAlign w:val="top"/>
          </w:tcPr>
          <w:p w14:paraId="7329718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除招标文件约定的发包人提供的甲供材料外，合同工程所需的材料和工程设备应由承包人负责采购、运输和保管，并对其采购的材料 和工程设备提供质量证明文件，满足合同约定的质量标准。若承包人 提供的材料和工程设备没有合格证明材料或经检测不符合合同约定 的质量标准，应立即更换，由此增加的费用和（或）工期延误由承包 人承担。对发包人要求检测承包人己具有合格证明的材料、工程设备， 但经检测证明该项材料、工程设备符合合同约定的质量标准的，发包 人应承担由此增加的费用和（或）工期延误，并向承包人支付合理利 润。</w:t>
            </w:r>
          </w:p>
          <w:p w14:paraId="716D254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□其它说明：鼓励承包人积极采购环保产品进行施工。</w:t>
            </w:r>
          </w:p>
        </w:tc>
      </w:tr>
      <w:tr w14:paraId="3B0B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rPr>
        <w:tc>
          <w:tcPr>
            <w:tcW w:w="728" w:type="dxa"/>
            <w:vAlign w:val="center"/>
          </w:tcPr>
          <w:p w14:paraId="23CFF5B2">
            <w:pPr>
              <w:spacing w:before="69" w:line="188"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22</w:t>
            </w:r>
          </w:p>
        </w:tc>
        <w:tc>
          <w:tcPr>
            <w:tcW w:w="1800" w:type="dxa"/>
            <w:vAlign w:val="center"/>
          </w:tcPr>
          <w:p w14:paraId="08D2DAC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招标控制价</w:t>
            </w:r>
          </w:p>
        </w:tc>
        <w:tc>
          <w:tcPr>
            <w:tcW w:w="7179" w:type="dxa"/>
            <w:vAlign w:val="center"/>
          </w:tcPr>
          <w:p w14:paraId="73FF3F4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本招标项目的招标控制价、工程量清单、</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施工图纸</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在投标截止时间15天前以补充公告的形式在广东省招标投标监管网（http://zbtb.gd.gov.cn）、全国公共资源交易平台（广东省·韶关市）（https://ygp.gdzwfw.gov.cn/ggzy-portal/#/440200/index）网站公布。</w:t>
            </w:r>
          </w:p>
        </w:tc>
      </w:tr>
      <w:tr w14:paraId="0706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28" w:type="dxa"/>
            <w:vAlign w:val="center"/>
          </w:tcPr>
          <w:p w14:paraId="14D57F0A">
            <w:pPr>
              <w:spacing w:before="69" w:line="188"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23</w:t>
            </w:r>
          </w:p>
        </w:tc>
        <w:tc>
          <w:tcPr>
            <w:tcW w:w="1800" w:type="dxa"/>
            <w:vAlign w:val="center"/>
          </w:tcPr>
          <w:p w14:paraId="4EDFFAA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投标人的投标报价</w:t>
            </w:r>
          </w:p>
        </w:tc>
        <w:tc>
          <w:tcPr>
            <w:tcW w:w="7179" w:type="dxa"/>
            <w:vAlign w:val="center"/>
          </w:tcPr>
          <w:p w14:paraId="449D521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投标人投标时响应招标文件要求所报出的对已标价工程量清单汇总后标明的总价。投标人在投标报价填写的工程量清单的项目编码、项目名称、项目特征、计量单位、工程数量必须与招标人招标文件中提供的一致，投标价不能低于工程成本、高于最高投标限价。</w:t>
            </w:r>
          </w:p>
          <w:p w14:paraId="270EDCA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投标报价方式： ☑工程量清单报</w:t>
            </w:r>
          </w:p>
          <w:p w14:paraId="134467A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本招标项目的招标控制价、工程量清单</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施工图纸</w:t>
            </w:r>
            <w:r>
              <w:rPr>
                <w:rFonts w:hint="eastAsia" w:asciiTheme="minorEastAsia" w:hAnsiTheme="minorEastAsia" w:eastAsiaTheme="minorEastAsia" w:cstheme="minorEastAsia"/>
                <w:b w:val="0"/>
                <w:bCs w:val="0"/>
                <w:snapToGrid w:val="0"/>
                <w:color w:val="000000" w:themeColor="text1"/>
                <w:kern w:val="0"/>
                <w:sz w:val="21"/>
                <w:szCs w:val="21"/>
                <w:highlight w:val="none"/>
                <w:lang w:eastAsia="zh-CN"/>
                <w14:textFill>
                  <w14:solidFill>
                    <w14:schemeClr w14:val="tx1"/>
                  </w14:solidFill>
                </w14:textFill>
              </w:rPr>
              <w:t>在</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投标截止时间15天前以补充公告的形式在广东省招标投标监管网（http://zbtb.gd.gov.cn）、全国公共资源交易平台（广东省·韶关市）（https://ygp.gdzwfw.gov.cn/ggzy-portal/#/440200/index）网站公布。</w:t>
            </w:r>
          </w:p>
        </w:tc>
      </w:tr>
      <w:tr w14:paraId="3A26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28" w:type="dxa"/>
            <w:vAlign w:val="center"/>
          </w:tcPr>
          <w:p w14:paraId="78D804F4">
            <w:pPr>
              <w:spacing w:before="69" w:line="188"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24</w:t>
            </w:r>
          </w:p>
        </w:tc>
        <w:tc>
          <w:tcPr>
            <w:tcW w:w="1800" w:type="dxa"/>
            <w:vAlign w:val="center"/>
          </w:tcPr>
          <w:p w14:paraId="75D56106">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投标报价风险</w:t>
            </w:r>
          </w:p>
        </w:tc>
        <w:tc>
          <w:tcPr>
            <w:tcW w:w="7179" w:type="dxa"/>
            <w:vAlign w:val="center"/>
          </w:tcPr>
          <w:p w14:paraId="09F1294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☑投标人依据招标文件约定自行考虑风险因素，一旦中标，投标报价（合同价）除合同另有约定外将不因市场变化而调整。</w:t>
            </w:r>
          </w:p>
          <w:p w14:paraId="4AE8FF5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☑投标报价中应包括工程量清单项目所发生的人工费、材料费、机具费、管理费、利润、措施项目费、其它项目费、税金、暂列金额、暂估价以及所有风险、责任等各项费用。</w:t>
            </w:r>
          </w:p>
          <w:p w14:paraId="0FDFC6A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☑人工费、材料费、机具费、管理费、利润、措施项目费（不含绿色施工安全防护措施费）投标人漏报或不报，招标人视为有关费用 已包括在工程量清单项目的其它单价及合价中不予另外增加。</w:t>
            </w:r>
          </w:p>
          <w:p w14:paraId="1D4B24BC">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☑措施项目中的绿色施工安全防护措施费，必须按国家、省级、市级（即工程所在地）行业建设主管部门的规定计算，不得作为竞争 性费用。</w:t>
            </w:r>
          </w:p>
          <w:p w14:paraId="2BDA8BB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☑投标人应按照招标文件提供的工程量清单逐项填写单价和合价，投标人未填写的项目，招标人将视为此项费用已包括在工程量清单项目的其它单价及合价中不予另外增加。</w:t>
            </w:r>
          </w:p>
          <w:p w14:paraId="0598AA6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投标人应按《广东省建设工程计价依据（2018）》规定的费率对预算包干费进行报价，若招标工程量清单明确说明不计算预算包干费或另外确定预算包干费费率的，则按招标工程量清单报价，若投标人不按规定报价的，则中标后无条件接受招标人对投标报价的调整。</w:t>
            </w:r>
          </w:p>
          <w:p w14:paraId="042F334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☑招标人向投标人提供的有关施工现场资料及数据，是招标人现有的能使投标人利用的资料，招标人对投标人据此作出的推论及理解概不负责。</w:t>
            </w:r>
          </w:p>
          <w:p w14:paraId="12C0474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☑投标人应依据招标人提供的所有资料和自己对现场查勘来编 制投标文件，并对招标人提供的所有资料的理解、推断和应用负责。在投标人提交其投标文件之前，视为已经考虑了现场及其周围环境的影响，中标后，不得以不完全了解现场情况为理由提出追加款项或者延长工期等索赔的要求。</w:t>
            </w:r>
          </w:p>
          <w:p w14:paraId="7883DF1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☑错漏项的认定。中标人已标价工程量清单中，任一清单项目未填报价格或价格为零的，招标人将视为此项费用已包括在工程量清单项目的其它单价及合价中不予另外增加。</w:t>
            </w:r>
          </w:p>
        </w:tc>
      </w:tr>
      <w:tr w14:paraId="4F80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28" w:type="dxa"/>
            <w:vAlign w:val="center"/>
          </w:tcPr>
          <w:p w14:paraId="2A703940">
            <w:pPr>
              <w:spacing w:before="284" w:line="188"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25</w:t>
            </w:r>
          </w:p>
        </w:tc>
        <w:tc>
          <w:tcPr>
            <w:tcW w:w="1800" w:type="dxa"/>
            <w:vAlign w:val="center"/>
          </w:tcPr>
          <w:p w14:paraId="169F8CD2">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投标费用</w:t>
            </w:r>
          </w:p>
        </w:tc>
        <w:tc>
          <w:tcPr>
            <w:tcW w:w="7179" w:type="dxa"/>
            <w:vAlign w:val="center"/>
          </w:tcPr>
          <w:p w14:paraId="6A66A49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投标人自行承担编制与递交投标文件的一切费用。</w:t>
            </w:r>
          </w:p>
        </w:tc>
      </w:tr>
      <w:tr w14:paraId="5958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28" w:type="dxa"/>
            <w:vAlign w:val="center"/>
          </w:tcPr>
          <w:p w14:paraId="39B3D201">
            <w:pPr>
              <w:spacing w:before="69" w:line="188"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26</w:t>
            </w:r>
          </w:p>
        </w:tc>
        <w:tc>
          <w:tcPr>
            <w:tcW w:w="1800" w:type="dxa"/>
            <w:vAlign w:val="center"/>
          </w:tcPr>
          <w:p w14:paraId="728110B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投标人资格要求</w:t>
            </w:r>
          </w:p>
        </w:tc>
        <w:tc>
          <w:tcPr>
            <w:tcW w:w="7179" w:type="dxa"/>
            <w:vAlign w:val="center"/>
          </w:tcPr>
          <w:p w14:paraId="37C1591E">
            <w:pPr>
              <w:widowControl w:val="0"/>
              <w:kinsoku/>
              <w:wordWrap w:val="0"/>
              <w:autoSpaceDE/>
              <w:autoSpaceDN/>
              <w:adjustRightInd w:val="0"/>
              <w:snapToGrid w:val="0"/>
              <w:spacing w:line="360" w:lineRule="exact"/>
              <w:ind w:firstLine="420" w:firstLineChars="200"/>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1.本工程</w:t>
            </w:r>
            <w:r>
              <w:rPr>
                <w:rFonts w:hint="eastAsia" w:asciiTheme="minorEastAsia" w:hAnsiTheme="minorEastAsia" w:eastAsiaTheme="minorEastAsia" w:cstheme="minorEastAsia"/>
                <w:b/>
                <w:bCs/>
                <w:snapToGrid w:val="0"/>
                <w:color w:val="000000" w:themeColor="text1"/>
                <w:kern w:val="0"/>
                <w:sz w:val="21"/>
                <w:szCs w:val="21"/>
                <w:highlight w:val="none"/>
                <w:lang w:eastAsia="zh-CN"/>
                <w14:textFill>
                  <w14:solidFill>
                    <w14:schemeClr w14:val="tx1"/>
                  </w14:solidFill>
                </w14:textFill>
              </w:rPr>
              <w:t>接受</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联合体投标。</w:t>
            </w:r>
          </w:p>
          <w:p w14:paraId="6741F449">
            <w:pPr>
              <w:widowControl w:val="0"/>
              <w:kinsoku/>
              <w:wordWrap w:val="0"/>
              <w:autoSpaceDE/>
              <w:autoSpaceDN/>
              <w:adjustRightInd w:val="0"/>
              <w:snapToGrid w:val="0"/>
              <w:spacing w:line="360" w:lineRule="exact"/>
              <w:ind w:firstLine="420" w:firstLineChars="200"/>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1.1联合体成员数量不超过2个，且均应具备规定的相应资格条件。由同一专业的单位组成的联合体，按照资质等级较低的单位确定资质等级。</w:t>
            </w:r>
          </w:p>
          <w:p w14:paraId="1259645A">
            <w:pPr>
              <w:widowControl w:val="0"/>
              <w:kinsoku/>
              <w:wordWrap w:val="0"/>
              <w:autoSpaceDE/>
              <w:autoSpaceDN/>
              <w:adjustRightInd w:val="0"/>
              <w:snapToGrid w:val="0"/>
              <w:spacing w:line="360" w:lineRule="exact"/>
              <w:ind w:firstLine="420" w:firstLineChars="200"/>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1.2 联合体各方应按招标文件提供的格式签订联合体协议书，明确联合体牵头人和各方权利义务，并承诺就中标项目向招标人承担连带责任。《联合体协议书》作为投标文件的组成部分向招标人提交。</w:t>
            </w:r>
          </w:p>
          <w:p w14:paraId="103DECE8">
            <w:pPr>
              <w:widowControl w:val="0"/>
              <w:kinsoku/>
              <w:wordWrap w:val="0"/>
              <w:autoSpaceDE/>
              <w:autoSpaceDN/>
              <w:adjustRightInd w:val="0"/>
              <w:snapToGrid w:val="0"/>
              <w:spacing w:line="360" w:lineRule="exact"/>
              <w:ind w:firstLine="420" w:firstLineChars="200"/>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1.3 联合体各方不得再以自己名义单独或参加其他联合体在本工程中投标，否则各相关投标均无效。</w:t>
            </w:r>
          </w:p>
          <w:p w14:paraId="3F277D7E">
            <w:pPr>
              <w:widowControl w:val="0"/>
              <w:kinsoku/>
              <w:wordWrap w:val="0"/>
              <w:autoSpaceDE/>
              <w:autoSpaceDN/>
              <w:adjustRightInd w:val="0"/>
              <w:snapToGrid w:val="0"/>
              <w:spacing w:line="360" w:lineRule="exact"/>
              <w:ind w:firstLine="420" w:firstLineChars="200"/>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2．资质要求</w:t>
            </w:r>
          </w:p>
          <w:p w14:paraId="65AF7175">
            <w:pPr>
              <w:widowControl w:val="0"/>
              <w:kinsoku/>
              <w:wordWrap w:val="0"/>
              <w:autoSpaceDE/>
              <w:autoSpaceDN/>
              <w:adjustRightInd w:val="0"/>
              <w:snapToGrid w:val="0"/>
              <w:spacing w:line="360" w:lineRule="exact"/>
              <w:ind w:firstLine="420" w:firstLineChars="200"/>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2.1 投标人须具备独立法人资格，按国家法律经营。</w:t>
            </w:r>
          </w:p>
          <w:p w14:paraId="31AA34C2">
            <w:pPr>
              <w:widowControl w:val="0"/>
              <w:kinsoku/>
              <w:wordWrap w:val="0"/>
              <w:autoSpaceDE/>
              <w:autoSpaceDN/>
              <w:adjustRightInd w:val="0"/>
              <w:snapToGrid w:val="0"/>
              <w:spacing w:line="360" w:lineRule="exact"/>
              <w:ind w:firstLine="420" w:firstLineChars="200"/>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2.2 投标人须持有建设行政主管部门颁发的企业资质证书及安全生产许可证。</w:t>
            </w:r>
          </w:p>
          <w:p w14:paraId="3DA04166">
            <w:pPr>
              <w:widowControl w:val="0"/>
              <w:kinsoku/>
              <w:wordWrap w:val="0"/>
              <w:autoSpaceDE/>
              <w:autoSpaceDN/>
              <w:adjustRightInd w:val="0"/>
              <w:snapToGrid w:val="0"/>
              <w:spacing w:line="360" w:lineRule="exact"/>
              <w:ind w:firstLine="420" w:firstLineChars="200"/>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2.3 参加投标的投标人可以是单一独立法人或由不超过两家独立法人组成的联合体（必须注明其中一家为牵头人），联合体各方不得再以自己的名义单独申请，也不得同时参加两个或两个以上的联合体进行本项目的投标。单一独立法人必须至少同时具备以下①和②资质，组成联合体投标的，联合后必须至少具备以下①和②资质，联合体牵头人必须具备①</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或</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②资质：</w:t>
            </w:r>
          </w:p>
          <w:p w14:paraId="011D186E">
            <w:pPr>
              <w:widowControl w:val="0"/>
              <w:kinsoku/>
              <w:wordWrap w:val="0"/>
              <w:autoSpaceDE/>
              <w:autoSpaceDN/>
              <w:adjustRightInd w:val="0"/>
              <w:snapToGrid w:val="0"/>
              <w:spacing w:line="360" w:lineRule="exact"/>
              <w:ind w:firstLine="420" w:firstLineChars="200"/>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①</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建筑工程施工总承包三级以上（含三级）资质</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p>
          <w:p w14:paraId="660416A9">
            <w:pPr>
              <w:widowControl w:val="0"/>
              <w:kinsoku/>
              <w:wordWrap w:val="0"/>
              <w:autoSpaceDE/>
              <w:autoSpaceDN/>
              <w:adjustRightInd w:val="0"/>
              <w:snapToGrid w:val="0"/>
              <w:spacing w:line="360" w:lineRule="exact"/>
              <w:ind w:firstLine="420" w:firstLineChars="200"/>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②</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市政公用工程施工总承包三级以上（含三级）资质</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p>
          <w:p w14:paraId="3FF2D457">
            <w:pPr>
              <w:widowControl w:val="0"/>
              <w:kinsoku/>
              <w:wordWrap w:val="0"/>
              <w:autoSpaceDE/>
              <w:autoSpaceDN/>
              <w:adjustRightInd w:val="0"/>
              <w:snapToGrid w:val="0"/>
              <w:spacing w:line="360" w:lineRule="exact"/>
              <w:ind w:firstLine="420" w:firstLineChars="200"/>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2.4 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7A41AF8F">
            <w:pPr>
              <w:widowControl w:val="0"/>
              <w:kinsoku/>
              <w:wordWrap w:val="0"/>
              <w:autoSpaceDE/>
              <w:autoSpaceDN/>
              <w:adjustRightInd w:val="0"/>
              <w:snapToGrid w:val="0"/>
              <w:spacing w:line="360" w:lineRule="exact"/>
              <w:ind w:firstLine="420" w:firstLineChars="200"/>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3．相关人员要求</w:t>
            </w:r>
          </w:p>
          <w:p w14:paraId="4E0CA247">
            <w:pPr>
              <w:widowControl w:val="0"/>
              <w:kinsoku/>
              <w:wordWrap w:val="0"/>
              <w:autoSpaceDE/>
              <w:autoSpaceDN/>
              <w:adjustRightInd w:val="0"/>
              <w:snapToGrid w:val="0"/>
              <w:spacing w:line="360" w:lineRule="exact"/>
              <w:ind w:firstLine="420"/>
              <w:jc w:val="both"/>
              <w:textAlignment w:val="auto"/>
              <w:rPr>
                <w:rFonts w:hint="eastAsia" w:asciiTheme="minorEastAsia" w:hAnsiTheme="minorEastAsia" w:eastAsiaTheme="minorEastAsia" w:cstheme="minorEastAsia"/>
                <w:strike w:val="0"/>
                <w:dstrike w:val="0"/>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 xml:space="preserve">3.1 </w:t>
            </w:r>
            <w:r>
              <w:rPr>
                <w:rFonts w:hint="eastAsia" w:asciiTheme="minorEastAsia" w:hAnsiTheme="minorEastAsia" w:eastAsiaTheme="minorEastAsia" w:cstheme="minorEastAsia"/>
                <w:strike w:val="0"/>
                <w:dstrike w:val="0"/>
                <w:snapToGrid w:val="0"/>
                <w:color w:val="000000" w:themeColor="text1"/>
                <w:kern w:val="0"/>
                <w:sz w:val="21"/>
                <w:szCs w:val="21"/>
                <w:highlight w:val="none"/>
                <w:lang w:eastAsia="zh-CN"/>
                <w14:textFill>
                  <w14:solidFill>
                    <w14:schemeClr w14:val="tx1"/>
                  </w14:solidFill>
                </w14:textFill>
              </w:rPr>
              <w:t xml:space="preserve"> 拟派项目经理为</w:t>
            </w:r>
            <w:r>
              <w:rPr>
                <w:rFonts w:hint="eastAsia" w:asciiTheme="minorEastAsia" w:hAnsiTheme="minorEastAsia" w:eastAsiaTheme="minorEastAsia" w:cstheme="minorEastAsia"/>
                <w:strike w:val="0"/>
                <w:dstrike w:val="0"/>
                <w:snapToGrid w:val="0"/>
                <w:color w:val="000000" w:themeColor="text1"/>
                <w:kern w:val="0"/>
                <w:sz w:val="21"/>
                <w:szCs w:val="21"/>
                <w:highlight w:val="none"/>
                <w:u w:val="single"/>
                <w:lang w:val="en-US" w:eastAsia="zh-CN"/>
                <w14:textFill>
                  <w14:solidFill>
                    <w14:schemeClr w14:val="tx1"/>
                  </w14:solidFill>
                </w14:textFill>
              </w:rPr>
              <w:t>建筑</w:t>
            </w:r>
            <w:r>
              <w:rPr>
                <w:rFonts w:hint="eastAsia" w:asciiTheme="minorEastAsia" w:hAnsiTheme="minorEastAsia" w:eastAsiaTheme="minorEastAsia" w:cstheme="minorEastAsia"/>
                <w:strike w:val="0"/>
                <w:dstrike w:val="0"/>
                <w:snapToGrid w:val="0"/>
                <w:color w:val="000000" w:themeColor="text1"/>
                <w:kern w:val="0"/>
                <w:sz w:val="21"/>
                <w:szCs w:val="21"/>
                <w:highlight w:val="none"/>
                <w:u w:val="single"/>
                <w:lang w:eastAsia="zh-CN"/>
                <w14:textFill>
                  <w14:solidFill>
                    <w14:schemeClr w14:val="tx1"/>
                  </w14:solidFill>
                </w14:textFill>
              </w:rPr>
              <w:t>工程</w:t>
            </w:r>
            <w:r>
              <w:rPr>
                <w:rFonts w:hint="eastAsia" w:asciiTheme="minorEastAsia" w:hAnsiTheme="minorEastAsia" w:eastAsiaTheme="minorEastAsia" w:cstheme="minorEastAsia"/>
                <w:strike w:val="0"/>
                <w:dstrike w:val="0"/>
                <w:snapToGrid w:val="0"/>
                <w:color w:val="000000" w:themeColor="text1"/>
                <w:kern w:val="0"/>
                <w:sz w:val="21"/>
                <w:szCs w:val="21"/>
                <w:highlight w:val="none"/>
                <w:u w:val="single"/>
                <w:lang w:val="en-US" w:eastAsia="zh-CN"/>
                <w14:textFill>
                  <w14:solidFill>
                    <w14:schemeClr w14:val="tx1"/>
                  </w14:solidFill>
                </w14:textFill>
              </w:rPr>
              <w:t>或市政公用工程</w:t>
            </w:r>
            <w:r>
              <w:rPr>
                <w:rFonts w:hint="eastAsia" w:asciiTheme="minorEastAsia" w:hAnsiTheme="minorEastAsia" w:eastAsiaTheme="minorEastAsia" w:cstheme="minorEastAsia"/>
                <w:strike w:val="0"/>
                <w:dstrike w:val="0"/>
                <w:snapToGrid w:val="0"/>
                <w:color w:val="000000" w:themeColor="text1"/>
                <w:kern w:val="0"/>
                <w:sz w:val="21"/>
                <w:szCs w:val="21"/>
                <w:highlight w:val="none"/>
                <w:lang w:eastAsia="zh-CN"/>
                <w14:textFill>
                  <w14:solidFill>
                    <w14:schemeClr w14:val="tx1"/>
                  </w14:solidFill>
                </w14:textFill>
              </w:rPr>
              <w:t>专业一级或二级注册建造师，应持有住建部门印发的在使用有效期内的有效电子注册证书，其中一级注册建造师应持有国家住建部印发的有效注册证书，二级注册建造师应持有考试取得执业资格的省、自治区、直辖市住建部门核准的有效电子注册证书。同时须具备有效安全生产考核合格证明（B证，安全生产考核合格证书或“广东省建筑施工企业管理人员安全生产考核信息系统”考核合格信息打印页），且未担任其他在施（包括已中标未开工、已开工未竣工）建设工程项目的项目经理。</w:t>
            </w:r>
          </w:p>
          <w:p w14:paraId="03091C6C">
            <w:pPr>
              <w:widowControl w:val="0"/>
              <w:kinsoku/>
              <w:wordWrap w:val="0"/>
              <w:autoSpaceDE/>
              <w:autoSpaceDN/>
              <w:adjustRightInd w:val="0"/>
              <w:snapToGrid w:val="0"/>
              <w:spacing w:line="360" w:lineRule="exact"/>
              <w:ind w:firstLine="420" w:firstLineChars="200"/>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3.2 拟派项目技术负责人须具备</w:t>
            </w:r>
            <w:r>
              <w:rPr>
                <w:rFonts w:hint="eastAsia" w:asciiTheme="minorEastAsia" w:hAnsiTheme="minorEastAsia" w:eastAsiaTheme="minorEastAsia" w:cstheme="minorEastAsia"/>
                <w:snapToGrid w:val="0"/>
                <w:color w:val="000000" w:themeColor="text1"/>
                <w:kern w:val="0"/>
                <w:sz w:val="21"/>
                <w:szCs w:val="2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strike w:val="0"/>
                <w:dstrike w:val="0"/>
                <w:snapToGrid w:val="0"/>
                <w:color w:val="000000" w:themeColor="text1"/>
                <w:kern w:val="0"/>
                <w:sz w:val="21"/>
                <w:szCs w:val="21"/>
                <w:highlight w:val="none"/>
                <w:u w:val="single"/>
                <w:lang w:val="en-US" w:eastAsia="zh-CN"/>
                <w14:textFill>
                  <w14:solidFill>
                    <w14:schemeClr w14:val="tx1"/>
                  </w14:solidFill>
                </w14:textFill>
              </w:rPr>
              <w:t>建筑</w:t>
            </w:r>
            <w:r>
              <w:rPr>
                <w:rFonts w:hint="eastAsia" w:asciiTheme="minorEastAsia" w:hAnsiTheme="minorEastAsia" w:eastAsiaTheme="minorEastAsia" w:cstheme="minorEastAsia"/>
                <w:strike w:val="0"/>
                <w:dstrike w:val="0"/>
                <w:snapToGrid w:val="0"/>
                <w:color w:val="000000" w:themeColor="text1"/>
                <w:kern w:val="0"/>
                <w:sz w:val="21"/>
                <w:szCs w:val="21"/>
                <w:highlight w:val="none"/>
                <w:u w:val="single"/>
                <w:lang w:eastAsia="zh-CN"/>
                <w14:textFill>
                  <w14:solidFill>
                    <w14:schemeClr w14:val="tx1"/>
                  </w14:solidFill>
                </w14:textFill>
              </w:rPr>
              <w:t>工程</w:t>
            </w:r>
            <w:r>
              <w:rPr>
                <w:rFonts w:hint="eastAsia" w:asciiTheme="minorEastAsia" w:hAnsiTheme="minorEastAsia" w:eastAsiaTheme="minorEastAsia" w:cstheme="minorEastAsia"/>
                <w:strike w:val="0"/>
                <w:dstrike w:val="0"/>
                <w:snapToGrid w:val="0"/>
                <w:color w:val="000000" w:themeColor="text1"/>
                <w:kern w:val="0"/>
                <w:sz w:val="21"/>
                <w:szCs w:val="21"/>
                <w:highlight w:val="none"/>
                <w:u w:val="single"/>
                <w:lang w:val="en-US" w:eastAsia="zh-CN"/>
                <w14:textFill>
                  <w14:solidFill>
                    <w14:schemeClr w14:val="tx1"/>
                  </w14:solidFill>
                </w14:textFill>
              </w:rPr>
              <w:t>或市政公用工程</w:t>
            </w:r>
            <w:r>
              <w:rPr>
                <w:rFonts w:hint="eastAsia" w:asciiTheme="minorEastAsia" w:hAnsiTheme="minorEastAsia" w:eastAsiaTheme="minorEastAsia" w:cstheme="minorEastAsia"/>
                <w:snapToGrid w:val="0"/>
                <w:color w:val="000000" w:themeColor="text1"/>
                <w:kern w:val="0"/>
                <w:sz w:val="21"/>
                <w:szCs w:val="2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相关专业</w:t>
            </w:r>
            <w:r>
              <w:rPr>
                <w:rFonts w:hint="eastAsia" w:asciiTheme="minorEastAsia" w:hAnsiTheme="minorEastAsia" w:eastAsiaTheme="minorEastAsia" w:cstheme="minorEastAsia"/>
                <w:snapToGrid w:val="0"/>
                <w:color w:val="000000" w:themeColor="text1"/>
                <w:kern w:val="0"/>
                <w:sz w:val="21"/>
                <w:szCs w:val="21"/>
                <w:highlight w:val="none"/>
                <w:u w:val="single"/>
                <w:lang w:val="en-US" w:eastAsia="zh-CN"/>
                <w14:textFill>
                  <w14:solidFill>
                    <w14:schemeClr w14:val="tx1"/>
                  </w14:solidFill>
                </w14:textFill>
              </w:rPr>
              <w:t>中</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级以上（含</w:t>
            </w:r>
            <w:r>
              <w:rPr>
                <w:rFonts w:hint="eastAsia" w:asciiTheme="minorEastAsia" w:hAnsiTheme="minorEastAsia" w:eastAsiaTheme="minorEastAsia" w:cstheme="minorEastAsia"/>
                <w:snapToGrid w:val="0"/>
                <w:color w:val="000000" w:themeColor="text1"/>
                <w:kern w:val="0"/>
                <w:sz w:val="21"/>
                <w:szCs w:val="21"/>
                <w:highlight w:val="none"/>
                <w:u w:val="single"/>
                <w:lang w:val="en-US" w:eastAsia="zh-CN"/>
                <w14:textFill>
                  <w14:solidFill>
                    <w14:schemeClr w14:val="tx1"/>
                  </w14:solidFill>
                </w14:textFill>
              </w:rPr>
              <w:t>中</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级）技术职称。</w:t>
            </w:r>
          </w:p>
          <w:p w14:paraId="72EBF697">
            <w:pPr>
              <w:widowControl w:val="0"/>
              <w:kinsoku/>
              <w:wordWrap w:val="0"/>
              <w:autoSpaceDE/>
              <w:autoSpaceDN/>
              <w:adjustRightInd w:val="0"/>
              <w:snapToGrid w:val="0"/>
              <w:spacing w:line="360" w:lineRule="exact"/>
              <w:ind w:firstLine="420"/>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3.3 投标人拟派专职安全生产管理人员须具备有效安全生产考核合格证明（C证，安全生产考核合格证书或“广东省建筑施工企业管理人员安全生产考核系统”考核合格信息打印页），且不少于</w:t>
            </w:r>
            <w:r>
              <w:rPr>
                <w:rFonts w:hint="eastAsia" w:asciiTheme="minorEastAsia" w:hAnsiTheme="minorEastAsia" w:eastAsiaTheme="minorEastAsia" w:cstheme="minorEastAsia"/>
                <w:snapToGrid w:val="0"/>
                <w:color w:val="000000" w:themeColor="text1"/>
                <w:kern w:val="0"/>
                <w:sz w:val="21"/>
                <w:szCs w:val="2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1"/>
                <w:szCs w:val="21"/>
                <w:highlight w:val="none"/>
                <w:u w:val="single"/>
                <w:lang w:val="en-US" w:eastAsia="zh-CN"/>
                <w14:textFill>
                  <w14:solidFill>
                    <w14:schemeClr w14:val="tx1"/>
                  </w14:solidFill>
                </w14:textFill>
              </w:rPr>
              <w:t xml:space="preserve">1 </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人。</w:t>
            </w:r>
          </w:p>
          <w:p w14:paraId="0A5B9CC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3.4 投标人（包括组成联合体的所有成员单位）与其拟派往本项目管理机构的所有人员之间必须具备合法、唯一的劳动聘用关系。拟派人员中具备注册执业资格的，其注册单位须与投标人保持一致。</w:t>
            </w:r>
          </w:p>
          <w:p w14:paraId="68CF7C1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4 ．禁止投标条款：</w:t>
            </w:r>
          </w:p>
          <w:p w14:paraId="756E14C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4.1  投标人不得存在下列情形之一：</w:t>
            </w:r>
          </w:p>
          <w:p w14:paraId="68C2B4A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（1）为招标人不具有独立法人资格的附属机构（单位）；</w:t>
            </w:r>
          </w:p>
          <w:p w14:paraId="44593C8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（2）为本招标项目前期准备提供设计或咨询服务的；</w:t>
            </w:r>
          </w:p>
          <w:p w14:paraId="59CFF19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（3）与本招标项目的其他投标人为同一个单位负责人；</w:t>
            </w:r>
          </w:p>
          <w:p w14:paraId="2AE6D683">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（4）与本招标项目的其他投标人存在控股、管理关系；</w:t>
            </w:r>
          </w:p>
          <w:p w14:paraId="38CFB62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（5）为本招标项目的监理人；</w:t>
            </w:r>
          </w:p>
          <w:p w14:paraId="1419324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（6）为本招标项目的代建人；</w:t>
            </w:r>
          </w:p>
          <w:p w14:paraId="170099A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（7）为本招标项目的招标代理机构；</w:t>
            </w:r>
          </w:p>
          <w:p w14:paraId="062B5CB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（8）与本招标项目的监理人或代建人或招标代理机构同为一个 法定代表人；</w:t>
            </w:r>
          </w:p>
          <w:p w14:paraId="76338A8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（9）与本招标项目的监理人或代建人或招标代理机构存在控股 或参股关系；</w:t>
            </w:r>
          </w:p>
          <w:p w14:paraId="2A915A3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（10）与本招标项目的监理人或代建人或招标代理机构存在相互 任职或工作关系；</w:t>
            </w:r>
          </w:p>
          <w:p w14:paraId="2D49455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（11）被依法暂停或者取消投标资格；</w:t>
            </w:r>
          </w:p>
          <w:p w14:paraId="335907D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（12）被责令停产停业、暂扣或者吊销许可证、暂扣或者吊销执 照；</w:t>
            </w:r>
          </w:p>
          <w:p w14:paraId="146AB41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（13）进入清算程序，或被宣告破产，或其他丧失履约能力的情 形；</w:t>
            </w:r>
          </w:p>
          <w:p w14:paraId="730679D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（14）在最近三年内发生重大工程质量或安全问题（以相关行业 主管部门的行政处罚决定或司法机关出具的有关法律文书为准）；</w:t>
            </w:r>
          </w:p>
          <w:p w14:paraId="4202D8C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（15）被“信用中国 ”网站（https://www.creditchina.gov.cn）发布的 《法人和非法人组织公共信用信息报告》列为严重失信主体名单的。</w:t>
            </w:r>
          </w:p>
          <w:p w14:paraId="587EA45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4.2  招标人拒绝以下名单中的单位参加本次投标：</w:t>
            </w:r>
          </w:p>
          <w:tbl>
            <w:tblPr>
              <w:tblStyle w:val="12"/>
              <w:tblW w:w="6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830"/>
              <w:gridCol w:w="3163"/>
            </w:tblGrid>
            <w:tr w14:paraId="526D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46" w:type="dxa"/>
                  <w:vAlign w:val="center"/>
                </w:tcPr>
                <w:p w14:paraId="60DBAAFB">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序号</w:t>
                  </w:r>
                </w:p>
              </w:tc>
              <w:tc>
                <w:tcPr>
                  <w:tcW w:w="2830" w:type="dxa"/>
                  <w:vAlign w:val="center"/>
                </w:tcPr>
                <w:p w14:paraId="7B05472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单位名称</w:t>
                  </w:r>
                </w:p>
              </w:tc>
              <w:tc>
                <w:tcPr>
                  <w:tcW w:w="3163" w:type="dxa"/>
                  <w:vAlign w:val="center"/>
                </w:tcPr>
                <w:p w14:paraId="4FE91A1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拒绝原因</w:t>
                  </w:r>
                </w:p>
              </w:tc>
            </w:tr>
            <w:tr w14:paraId="0D97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46" w:type="dxa"/>
                  <w:vAlign w:val="center"/>
                </w:tcPr>
                <w:p w14:paraId="681D054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1</w:t>
                  </w:r>
                </w:p>
              </w:tc>
              <w:tc>
                <w:tcPr>
                  <w:tcW w:w="2830" w:type="dxa"/>
                  <w:vAlign w:val="center"/>
                </w:tcPr>
                <w:p w14:paraId="53846CBD">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无</w:t>
                  </w:r>
                </w:p>
              </w:tc>
              <w:tc>
                <w:tcPr>
                  <w:tcW w:w="3163" w:type="dxa"/>
                  <w:vAlign w:val="center"/>
                </w:tcPr>
                <w:p w14:paraId="0BBAABD1">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为招标人不具有独立法人资格的附属机构</w:t>
                  </w:r>
                </w:p>
              </w:tc>
            </w:tr>
            <w:tr w14:paraId="2E63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46" w:type="dxa"/>
                  <w:vAlign w:val="center"/>
                </w:tcPr>
                <w:p w14:paraId="5DDBE29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2</w:t>
                  </w:r>
                </w:p>
              </w:tc>
              <w:tc>
                <w:tcPr>
                  <w:tcW w:w="2830" w:type="dxa"/>
                  <w:vAlign w:val="center"/>
                </w:tcPr>
                <w:p w14:paraId="69460C90">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韶关市武江区人民政府新华街道办事处</w:t>
                  </w:r>
                </w:p>
              </w:tc>
              <w:tc>
                <w:tcPr>
                  <w:tcW w:w="3163" w:type="dxa"/>
                  <w:vAlign w:val="center"/>
                </w:tcPr>
                <w:p w14:paraId="6BF7F2D4">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为本招标项目的业主单位</w:t>
                  </w:r>
                </w:p>
              </w:tc>
            </w:tr>
            <w:tr w14:paraId="5F4C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46" w:type="dxa"/>
                  <w:vAlign w:val="center"/>
                </w:tcPr>
                <w:p w14:paraId="782E82D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3</w:t>
                  </w:r>
                </w:p>
              </w:tc>
              <w:tc>
                <w:tcPr>
                  <w:tcW w:w="2830" w:type="dxa"/>
                  <w:vAlign w:val="center"/>
                </w:tcPr>
                <w:p w14:paraId="6F602A52">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韶关市武江区人民政府新华街道办事处</w:t>
                  </w:r>
                </w:p>
              </w:tc>
              <w:tc>
                <w:tcPr>
                  <w:tcW w:w="3163" w:type="dxa"/>
                  <w:vAlign w:val="center"/>
                </w:tcPr>
                <w:p w14:paraId="35D6D51A">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为本招标项目的</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招标人</w:t>
                  </w:r>
                </w:p>
              </w:tc>
            </w:tr>
            <w:tr w14:paraId="57E2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46" w:type="dxa"/>
                  <w:vAlign w:val="center"/>
                </w:tcPr>
                <w:p w14:paraId="09FBB3A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4</w:t>
                  </w:r>
                </w:p>
              </w:tc>
              <w:tc>
                <w:tcPr>
                  <w:tcW w:w="2830" w:type="dxa"/>
                  <w:vAlign w:val="center"/>
                </w:tcPr>
                <w:p w14:paraId="7829106C">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中资锐诚工程项目管理有限公司</w:t>
                  </w:r>
                </w:p>
              </w:tc>
              <w:tc>
                <w:tcPr>
                  <w:tcW w:w="3163" w:type="dxa"/>
                  <w:vAlign w:val="center"/>
                </w:tcPr>
                <w:p w14:paraId="76E6DCBE">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为本招标项目的</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概算审核单位</w:t>
                  </w:r>
                </w:p>
              </w:tc>
            </w:tr>
            <w:tr w14:paraId="25FF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46" w:type="dxa"/>
                  <w:vAlign w:val="center"/>
                </w:tcPr>
                <w:p w14:paraId="2AE3F86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5</w:t>
                  </w:r>
                </w:p>
              </w:tc>
              <w:tc>
                <w:tcPr>
                  <w:tcW w:w="2830" w:type="dxa"/>
                  <w:vAlign w:val="center"/>
                </w:tcPr>
                <w:p w14:paraId="0EC8FC6E">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中诚圣苑工程设计有限公司</w:t>
                  </w:r>
                </w:p>
              </w:tc>
              <w:tc>
                <w:tcPr>
                  <w:tcW w:w="3163" w:type="dxa"/>
                  <w:vAlign w:val="center"/>
                </w:tcPr>
                <w:p w14:paraId="0F6E88EE">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为本招标项目的</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设计</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单位</w:t>
                  </w:r>
                </w:p>
              </w:tc>
            </w:tr>
            <w:tr w14:paraId="1CD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46" w:type="dxa"/>
                  <w:vAlign w:val="center"/>
                </w:tcPr>
                <w:p w14:paraId="7D48B4E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6</w:t>
                  </w:r>
                </w:p>
              </w:tc>
              <w:tc>
                <w:tcPr>
                  <w:tcW w:w="2830" w:type="dxa"/>
                  <w:vAlign w:val="center"/>
                </w:tcPr>
                <w:p w14:paraId="0AD6D621">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广东省华源建设项目管理有限公司</w:t>
                  </w:r>
                </w:p>
              </w:tc>
              <w:tc>
                <w:tcPr>
                  <w:tcW w:w="3163" w:type="dxa"/>
                  <w:vAlign w:val="center"/>
                </w:tcPr>
                <w:p w14:paraId="10F288AC">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为本招标项目的</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全过程造价</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单位</w:t>
                  </w:r>
                </w:p>
              </w:tc>
            </w:tr>
            <w:tr w14:paraId="3964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46" w:type="dxa"/>
                  <w:vAlign w:val="center"/>
                </w:tcPr>
                <w:p w14:paraId="50FEF22C">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7</w:t>
                  </w:r>
                </w:p>
              </w:tc>
              <w:tc>
                <w:tcPr>
                  <w:tcW w:w="2830" w:type="dxa"/>
                  <w:vAlign w:val="center"/>
                </w:tcPr>
                <w:p w14:paraId="550352BB">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广东合正项目管理有限公司</w:t>
                  </w:r>
                </w:p>
              </w:tc>
              <w:tc>
                <w:tcPr>
                  <w:tcW w:w="3163" w:type="dxa"/>
                  <w:vAlign w:val="center"/>
                </w:tcPr>
                <w:p w14:paraId="28A2D587">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为本招标项目的招标代理机构</w:t>
                  </w:r>
                </w:p>
              </w:tc>
            </w:tr>
            <w:tr w14:paraId="406B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46" w:type="dxa"/>
                  <w:vAlign w:val="center"/>
                </w:tcPr>
                <w:p w14:paraId="5720B74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8</w:t>
                  </w:r>
                </w:p>
              </w:tc>
              <w:tc>
                <w:tcPr>
                  <w:tcW w:w="2830" w:type="dxa"/>
                  <w:vAlign w:val="center"/>
                </w:tcPr>
                <w:p w14:paraId="6884148E">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广东粤湾施工图审查有限公司</w:t>
                  </w:r>
                </w:p>
              </w:tc>
              <w:tc>
                <w:tcPr>
                  <w:tcW w:w="3163" w:type="dxa"/>
                  <w:vAlign w:val="center"/>
                </w:tcPr>
                <w:p w14:paraId="75630BCD">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为本招标项目的</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审图单位</w:t>
                  </w:r>
                </w:p>
              </w:tc>
            </w:tr>
            <w:tr w14:paraId="15EC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46" w:type="dxa"/>
                  <w:vAlign w:val="center"/>
                </w:tcPr>
                <w:p w14:paraId="7D72BE1C">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9</w:t>
                  </w:r>
                </w:p>
              </w:tc>
              <w:tc>
                <w:tcPr>
                  <w:tcW w:w="2830" w:type="dxa"/>
                  <w:vAlign w:val="center"/>
                </w:tcPr>
                <w:p w14:paraId="7FB6C1D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待定</w:t>
                  </w:r>
                </w:p>
              </w:tc>
              <w:tc>
                <w:tcPr>
                  <w:tcW w:w="3163" w:type="dxa"/>
                  <w:vAlign w:val="center"/>
                </w:tcPr>
                <w:p w14:paraId="332C28A8">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为本招标项目的</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监理单位</w:t>
                  </w:r>
                </w:p>
              </w:tc>
            </w:tr>
          </w:tbl>
          <w:p w14:paraId="7E7C597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5 ．其他要求</w:t>
            </w:r>
          </w:p>
          <w:p w14:paraId="15FDD12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省外企业及其拟派往本项目管理机构的所有人员均须按照《广东省住房和城乡建设厅关于取消省外建筑企业和人员进粤信息备案有关工作的通知》（粤建市﹝2015 ﹞52 号）规定在“进粤企业和人员诚信信息登记平台 ”录入相关信息并通过数据规范检查。</w:t>
            </w:r>
          </w:p>
        </w:tc>
      </w:tr>
      <w:tr w14:paraId="67DD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728" w:type="dxa"/>
            <w:vAlign w:val="center"/>
          </w:tcPr>
          <w:p w14:paraId="703F9879">
            <w:pPr>
              <w:spacing w:before="19"/>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27</w:t>
            </w:r>
          </w:p>
        </w:tc>
        <w:tc>
          <w:tcPr>
            <w:tcW w:w="1800" w:type="dxa"/>
            <w:vAlign w:val="center"/>
          </w:tcPr>
          <w:p w14:paraId="4CB5E433">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投标有效期</w:t>
            </w:r>
          </w:p>
        </w:tc>
        <w:tc>
          <w:tcPr>
            <w:tcW w:w="7179" w:type="dxa"/>
            <w:vAlign w:val="center"/>
          </w:tcPr>
          <w:p w14:paraId="3D83EF0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本次招标的投标有效期为</w:t>
            </w:r>
            <w:r>
              <w:rPr>
                <w:rFonts w:hint="eastAsia" w:asciiTheme="minorEastAsia" w:hAnsiTheme="minorEastAsia" w:eastAsiaTheme="minorEastAsia" w:cstheme="minorEastAsia"/>
                <w:snapToGrid w:val="0"/>
                <w:color w:val="000000" w:themeColor="text1"/>
                <w:kern w:val="0"/>
                <w:sz w:val="21"/>
                <w:szCs w:val="21"/>
                <w:highlight w:val="none"/>
                <w:u w:val="single"/>
                <w:lang w:eastAsia="zh-CN"/>
                <w14:textFill>
                  <w14:solidFill>
                    <w14:schemeClr w14:val="tx1"/>
                  </w14:solidFill>
                </w14:textFill>
              </w:rPr>
              <w:t>90</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 xml:space="preserve"> 个日历天。</w:t>
            </w:r>
          </w:p>
        </w:tc>
      </w:tr>
      <w:tr w14:paraId="6150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728" w:type="dxa"/>
            <w:vAlign w:val="center"/>
          </w:tcPr>
          <w:p w14:paraId="75B295D4">
            <w:pPr>
              <w:spacing w:before="69" w:line="188" w:lineRule="auto"/>
              <w:ind w:left="205"/>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28</w:t>
            </w:r>
          </w:p>
        </w:tc>
        <w:tc>
          <w:tcPr>
            <w:tcW w:w="1800" w:type="dxa"/>
            <w:vAlign w:val="center"/>
          </w:tcPr>
          <w:p w14:paraId="4BFBD8CB">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投标文件组成</w:t>
            </w:r>
          </w:p>
        </w:tc>
        <w:tc>
          <w:tcPr>
            <w:tcW w:w="7179" w:type="dxa"/>
            <w:vAlign w:val="center"/>
          </w:tcPr>
          <w:p w14:paraId="142ADE0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投标文件包括商务标书、经济标书、施工组织设计三个分册。</w:t>
            </w:r>
          </w:p>
        </w:tc>
      </w:tr>
      <w:tr w14:paraId="5A82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trPr>
        <w:tc>
          <w:tcPr>
            <w:tcW w:w="728" w:type="dxa"/>
            <w:vAlign w:val="center"/>
          </w:tcPr>
          <w:p w14:paraId="30846F92">
            <w:pPr>
              <w:spacing w:before="69" w:line="188" w:lineRule="auto"/>
              <w:ind w:left="205"/>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29</w:t>
            </w:r>
          </w:p>
        </w:tc>
        <w:tc>
          <w:tcPr>
            <w:tcW w:w="1800" w:type="dxa"/>
            <w:vAlign w:val="center"/>
          </w:tcPr>
          <w:p w14:paraId="0FC3CC3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施工组织设计评审方式</w:t>
            </w:r>
          </w:p>
        </w:tc>
        <w:tc>
          <w:tcPr>
            <w:tcW w:w="7179" w:type="dxa"/>
            <w:vAlign w:val="center"/>
          </w:tcPr>
          <w:p w14:paraId="4C6491C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本次招标施工组织设计 不采用 “暗标 ”方式进行评审。</w:t>
            </w:r>
          </w:p>
        </w:tc>
      </w:tr>
      <w:tr w14:paraId="253B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3" w:hRule="atLeast"/>
        </w:trPr>
        <w:tc>
          <w:tcPr>
            <w:tcW w:w="728" w:type="dxa"/>
            <w:vAlign w:val="center"/>
          </w:tcPr>
          <w:p w14:paraId="78D49806">
            <w:pPr>
              <w:spacing w:before="69" w:line="188" w:lineRule="auto"/>
              <w:ind w:left="209"/>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30</w:t>
            </w:r>
          </w:p>
        </w:tc>
        <w:tc>
          <w:tcPr>
            <w:tcW w:w="1800" w:type="dxa"/>
            <w:vAlign w:val="center"/>
          </w:tcPr>
          <w:p w14:paraId="65ACF683">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评标委员会</w:t>
            </w:r>
          </w:p>
        </w:tc>
        <w:tc>
          <w:tcPr>
            <w:tcW w:w="7179" w:type="dxa"/>
            <w:vAlign w:val="top"/>
          </w:tcPr>
          <w:p w14:paraId="61B142C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评标委员会由 5 人组成，其中招标人代表 0 人，专家 5 人。专家从广东省综合评标评审专家库-韶关区域中随机抽取，其中技术类专家 3 人，经济类专家 2 人。</w:t>
            </w:r>
          </w:p>
        </w:tc>
      </w:tr>
      <w:tr w14:paraId="4DBB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trPr>
        <w:tc>
          <w:tcPr>
            <w:tcW w:w="728" w:type="dxa"/>
            <w:vAlign w:val="center"/>
          </w:tcPr>
          <w:p w14:paraId="52927E18">
            <w:pPr>
              <w:spacing w:before="258" w:line="188" w:lineRule="auto"/>
              <w:ind w:left="209"/>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31</w:t>
            </w:r>
          </w:p>
        </w:tc>
        <w:tc>
          <w:tcPr>
            <w:tcW w:w="1800" w:type="dxa"/>
            <w:vAlign w:val="center"/>
          </w:tcPr>
          <w:p w14:paraId="3720AA4B">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评标方法</w:t>
            </w:r>
          </w:p>
        </w:tc>
        <w:tc>
          <w:tcPr>
            <w:tcW w:w="7179" w:type="dxa"/>
            <w:vAlign w:val="center"/>
          </w:tcPr>
          <w:p w14:paraId="3B1753D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 A＋B 值评标法  □经评审的最低投标价法   ☑综合评估法</w:t>
            </w:r>
          </w:p>
        </w:tc>
      </w:tr>
      <w:tr w14:paraId="4E70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8" w:hRule="atLeast"/>
        </w:trPr>
        <w:tc>
          <w:tcPr>
            <w:tcW w:w="728" w:type="dxa"/>
            <w:vAlign w:val="center"/>
          </w:tcPr>
          <w:p w14:paraId="56B959FD">
            <w:pPr>
              <w:spacing w:before="57" w:line="195"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p>
        </w:tc>
        <w:tc>
          <w:tcPr>
            <w:tcW w:w="1800" w:type="dxa"/>
            <w:vAlign w:val="center"/>
          </w:tcPr>
          <w:p w14:paraId="5FAEFFC6">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招标文件要求提交的用于评审的证书、证件、证明原件</w:t>
            </w:r>
          </w:p>
        </w:tc>
        <w:tc>
          <w:tcPr>
            <w:tcW w:w="7179" w:type="dxa"/>
            <w:vAlign w:val="top"/>
          </w:tcPr>
          <w:p w14:paraId="71660FC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投标人在提交用于评审的证书、证件、证明原件的，投标人应自   行将所需原件密封于文件袋（箱）中，并自行准备两张“原件一览表 ” (详见格式十五，投标人须自行填写，表格可扩展)，一张贴于文件袋（箱），一份在递交文件袋（箱）时由招标代理机构、投标人签字后交招标代理机构。招标代理机构仅代签收，不对文件袋（箱）中资料的数量、内容及真实性负责。评标结束后，招标代理机构将退回投标人的原件。若投标人未按要求提交相应证明材料原件或投标文件中证   明材料的复印件与原件不一致，评审时相应证明材料不予认可。</w:t>
            </w:r>
          </w:p>
        </w:tc>
      </w:tr>
      <w:tr w14:paraId="2D98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2" w:hRule="atLeast"/>
        </w:trPr>
        <w:tc>
          <w:tcPr>
            <w:tcW w:w="728" w:type="dxa"/>
            <w:vAlign w:val="center"/>
          </w:tcPr>
          <w:p w14:paraId="0C69718A">
            <w:pPr>
              <w:spacing w:before="69" w:line="188" w:lineRule="auto"/>
              <w:ind w:left="209"/>
              <w:rPr>
                <w:rFonts w:hint="eastAsia" w:asciiTheme="minorEastAsia" w:hAnsiTheme="minorEastAsia" w:eastAsiaTheme="minorEastAsia" w:cstheme="minorEastAsia"/>
                <w:color w:val="000000" w:themeColor="text1"/>
                <w:spacing w:val="-5"/>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lang w:eastAsia="zh-CN"/>
                <w14:textFill>
                  <w14:solidFill>
                    <w14:schemeClr w14:val="tx1"/>
                  </w14:solidFill>
                </w14:textFill>
              </w:rPr>
              <w:t>33</w:t>
            </w:r>
          </w:p>
        </w:tc>
        <w:tc>
          <w:tcPr>
            <w:tcW w:w="1800" w:type="dxa"/>
            <w:vAlign w:val="center"/>
          </w:tcPr>
          <w:p w14:paraId="20A44A5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招标代理费和评标专家酬劳</w:t>
            </w:r>
          </w:p>
        </w:tc>
        <w:tc>
          <w:tcPr>
            <w:tcW w:w="7179" w:type="dxa"/>
            <w:vAlign w:val="center"/>
          </w:tcPr>
          <w:p w14:paraId="0F863CA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本工程的招标代理费和评标专家酬劳由中标人支付，该费用不再另行报价，由投标人在投标报价时综合考虑在内。中标人须向招标代理机构一次性支付（招标代理服务费：参照《招标代理服务收费管理暂行办法》计价格[2002]1980号文，以最终中标金额为计算基数计算并下浮20%。评标专家酬劳由招标代理机构在开标当日预先支付）。</w:t>
            </w:r>
          </w:p>
        </w:tc>
      </w:tr>
      <w:tr w14:paraId="7AAB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4" w:hRule="atLeast"/>
        </w:trPr>
        <w:tc>
          <w:tcPr>
            <w:tcW w:w="728" w:type="dxa"/>
            <w:vAlign w:val="center"/>
          </w:tcPr>
          <w:p w14:paraId="75B13CC6">
            <w:pPr>
              <w:spacing w:before="69" w:line="188" w:lineRule="auto"/>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34</w:t>
            </w:r>
          </w:p>
        </w:tc>
        <w:tc>
          <w:tcPr>
            <w:tcW w:w="1800" w:type="dxa"/>
            <w:vAlign w:val="center"/>
          </w:tcPr>
          <w:p w14:paraId="198B1BD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招标人</w:t>
            </w:r>
          </w:p>
          <w:p w14:paraId="2C622AED">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联系方式</w:t>
            </w:r>
          </w:p>
        </w:tc>
        <w:tc>
          <w:tcPr>
            <w:tcW w:w="7179" w:type="dxa"/>
            <w:vAlign w:val="center"/>
          </w:tcPr>
          <w:p w14:paraId="3B26595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单位名称：韶关市武江区人民政府新华街道办事处</w:t>
            </w:r>
          </w:p>
          <w:p w14:paraId="0FF4118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办公地址：武江区新民路21号</w:t>
            </w:r>
          </w:p>
          <w:p w14:paraId="396848A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联系人（部门）：吴工</w:t>
            </w:r>
          </w:p>
          <w:p w14:paraId="7951F14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 xml:space="preserve">联系电话：0751-8709819 </w:t>
            </w:r>
          </w:p>
        </w:tc>
      </w:tr>
      <w:tr w14:paraId="1335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4" w:hRule="atLeast"/>
        </w:trPr>
        <w:tc>
          <w:tcPr>
            <w:tcW w:w="728" w:type="dxa"/>
            <w:vAlign w:val="center"/>
          </w:tcPr>
          <w:p w14:paraId="1022974A">
            <w:pPr>
              <w:spacing w:before="69" w:line="188" w:lineRule="auto"/>
              <w:jc w:val="center"/>
              <w:rPr>
                <w:rFonts w:hint="eastAsia" w:asciiTheme="minorEastAsia" w:hAnsiTheme="minorEastAsia" w:eastAsiaTheme="minorEastAsia" w:cstheme="minorEastAsia"/>
                <w:color w:val="000000" w:themeColor="text1"/>
                <w:spacing w:val="-5"/>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lang w:eastAsia="zh-CN"/>
                <w14:textFill>
                  <w14:solidFill>
                    <w14:schemeClr w14:val="tx1"/>
                  </w14:solidFill>
                </w14:textFill>
              </w:rPr>
              <w:t>35</w:t>
            </w:r>
          </w:p>
        </w:tc>
        <w:tc>
          <w:tcPr>
            <w:tcW w:w="1800" w:type="dxa"/>
            <w:vAlign w:val="center"/>
          </w:tcPr>
          <w:p w14:paraId="7F3AD70B">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招标代理机构</w:t>
            </w:r>
          </w:p>
          <w:p w14:paraId="0B65885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联系方式</w:t>
            </w:r>
          </w:p>
        </w:tc>
        <w:tc>
          <w:tcPr>
            <w:tcW w:w="7179" w:type="dxa"/>
            <w:vAlign w:val="center"/>
          </w:tcPr>
          <w:p w14:paraId="3FDF192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单位名称：广东合正项目管理有限公司</w:t>
            </w:r>
          </w:p>
          <w:p w14:paraId="1552714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办公地址：广东省韶关市武江区百旺大道42号莞韶双创中心研发办公楼5楼</w:t>
            </w:r>
          </w:p>
          <w:p w14:paraId="76C406D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联系人(部门)：何工</w:t>
            </w:r>
          </w:p>
          <w:p w14:paraId="152237A3">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联系电话：0751-8219991</w:t>
            </w:r>
          </w:p>
        </w:tc>
      </w:tr>
      <w:tr w14:paraId="4E2F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4" w:hRule="atLeast"/>
        </w:trPr>
        <w:tc>
          <w:tcPr>
            <w:tcW w:w="728" w:type="dxa"/>
            <w:vAlign w:val="center"/>
          </w:tcPr>
          <w:p w14:paraId="7AEA0C33">
            <w:pPr>
              <w:spacing w:before="69" w:line="188" w:lineRule="auto"/>
              <w:jc w:val="center"/>
              <w:rPr>
                <w:rFonts w:hint="eastAsia" w:asciiTheme="minorEastAsia" w:hAnsiTheme="minorEastAsia" w:eastAsiaTheme="minorEastAsia" w:cstheme="minorEastAsia"/>
                <w:color w:val="000000" w:themeColor="text1"/>
                <w:spacing w:val="-5"/>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lang w:eastAsia="zh-CN"/>
                <w14:textFill>
                  <w14:solidFill>
                    <w14:schemeClr w14:val="tx1"/>
                  </w14:solidFill>
                </w14:textFill>
              </w:rPr>
              <w:t>36</w:t>
            </w:r>
          </w:p>
        </w:tc>
        <w:tc>
          <w:tcPr>
            <w:tcW w:w="1800" w:type="dxa"/>
            <w:vAlign w:val="center"/>
          </w:tcPr>
          <w:p w14:paraId="7DFD4527">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交易场所联系方式</w:t>
            </w:r>
          </w:p>
        </w:tc>
        <w:tc>
          <w:tcPr>
            <w:tcW w:w="7179" w:type="dxa"/>
            <w:vAlign w:val="center"/>
          </w:tcPr>
          <w:p w14:paraId="740E572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单位名称：韶关市公共资源交易中心</w:t>
            </w:r>
          </w:p>
          <w:p w14:paraId="04C009D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 xml:space="preserve">办公地址：广东省韶关市武江区西联镇 </w:t>
            </w:r>
          </w:p>
          <w:p w14:paraId="60A498A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联系人（部门）：工程交易部</w:t>
            </w:r>
          </w:p>
          <w:p w14:paraId="58D14DD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联系电话：0751-8633071 、0751-8633211</w:t>
            </w:r>
          </w:p>
        </w:tc>
      </w:tr>
      <w:tr w14:paraId="04B8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trPr>
        <w:tc>
          <w:tcPr>
            <w:tcW w:w="728" w:type="dxa"/>
            <w:vAlign w:val="center"/>
          </w:tcPr>
          <w:p w14:paraId="3E200AD1">
            <w:pPr>
              <w:spacing w:before="69" w:line="188" w:lineRule="auto"/>
              <w:jc w:val="center"/>
              <w:rPr>
                <w:rFonts w:hint="eastAsia" w:asciiTheme="minorEastAsia" w:hAnsiTheme="minorEastAsia" w:eastAsiaTheme="minorEastAsia" w:cstheme="minorEastAsia"/>
                <w:color w:val="000000" w:themeColor="text1"/>
                <w:spacing w:val="-5"/>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lang w:eastAsia="zh-CN"/>
                <w14:textFill>
                  <w14:solidFill>
                    <w14:schemeClr w14:val="tx1"/>
                  </w14:solidFill>
                </w14:textFill>
              </w:rPr>
              <w:t>37</w:t>
            </w:r>
          </w:p>
        </w:tc>
        <w:tc>
          <w:tcPr>
            <w:tcW w:w="1800" w:type="dxa"/>
            <w:vAlign w:val="center"/>
          </w:tcPr>
          <w:p w14:paraId="49D0B385">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行政监督部</w:t>
            </w:r>
          </w:p>
          <w:p w14:paraId="5F176A1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门联系方式</w:t>
            </w:r>
          </w:p>
        </w:tc>
        <w:tc>
          <w:tcPr>
            <w:tcW w:w="7179" w:type="dxa"/>
            <w:vAlign w:val="center"/>
          </w:tcPr>
          <w:p w14:paraId="6232B55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单位名称：韶关市住房和城乡建设管理局</w:t>
            </w:r>
          </w:p>
          <w:p w14:paraId="185A874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办公地址：广东省韶关市武江区芙蓉东路 5 号</w:t>
            </w:r>
          </w:p>
          <w:p w14:paraId="2D64E4E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联系人（部门）：建筑业市场管理科</w:t>
            </w:r>
          </w:p>
          <w:p w14:paraId="1F03F15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联系电话：0751-8892601</w:t>
            </w:r>
          </w:p>
        </w:tc>
      </w:tr>
    </w:tbl>
    <w:p w14:paraId="3AFC61DD">
      <w:pPr>
        <w:rPr>
          <w:rFonts w:hint="eastAsia" w:ascii="宋体" w:hAnsi="宋体" w:eastAsia="宋体" w:cs="宋体"/>
          <w:b/>
          <w:bCs/>
          <w:color w:val="000000" w:themeColor="text1"/>
          <w:spacing w:val="-3"/>
          <w:sz w:val="24"/>
          <w:szCs w:val="24"/>
          <w:highlight w:val="none"/>
          <w14:textFill>
            <w14:solidFill>
              <w14:schemeClr w14:val="tx1"/>
            </w14:solidFill>
          </w14:textFill>
        </w:rPr>
      </w:pPr>
      <w:bookmarkStart w:id="9" w:name="bookmark115"/>
      <w:bookmarkEnd w:id="9"/>
      <w:bookmarkStart w:id="10" w:name="_Toc5546"/>
      <w:r>
        <w:rPr>
          <w:rFonts w:hint="eastAsia" w:ascii="宋体" w:hAnsi="宋体" w:eastAsia="宋体" w:cs="宋体"/>
          <w:b/>
          <w:bCs/>
          <w:color w:val="000000" w:themeColor="text1"/>
          <w:spacing w:val="-3"/>
          <w:sz w:val="24"/>
          <w:szCs w:val="24"/>
          <w:highlight w:val="none"/>
          <w14:textFill>
            <w14:solidFill>
              <w14:schemeClr w14:val="tx1"/>
            </w14:solidFill>
          </w14:textFill>
        </w:rPr>
        <w:br w:type="page"/>
      </w:r>
    </w:p>
    <w:p w14:paraId="1789A482">
      <w:pPr>
        <w:spacing w:before="156" w:line="219" w:lineRule="auto"/>
        <w:ind w:left="17"/>
        <w:jc w:val="left"/>
        <w:outlineLvl w:val="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第二节 重要事项时间地点一览表</w:t>
      </w:r>
      <w:bookmarkEnd w:id="10"/>
    </w:p>
    <w:p w14:paraId="44D452CF">
      <w:pPr>
        <w:pStyle w:val="5"/>
        <w:rPr>
          <w:rFonts w:hint="eastAsia" w:ascii="宋体" w:hAnsi="宋体" w:eastAsia="宋体" w:cs="宋体"/>
          <w:color w:val="000000" w:themeColor="text1"/>
          <w:highlight w:val="none"/>
          <w14:textFill>
            <w14:solidFill>
              <w14:schemeClr w14:val="tx1"/>
            </w14:solidFill>
          </w14:textFill>
        </w:rPr>
      </w:pPr>
    </w:p>
    <w:tbl>
      <w:tblPr>
        <w:tblStyle w:val="12"/>
        <w:tblW w:w="10404" w:type="dxa"/>
        <w:tblInd w:w="-14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
      <w:tblGrid>
        <w:gridCol w:w="504"/>
        <w:gridCol w:w="1796"/>
        <w:gridCol w:w="8104"/>
      </w:tblGrid>
      <w:tr w14:paraId="7F7329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73"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560E3FF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1</w:t>
            </w:r>
          </w:p>
        </w:tc>
        <w:tc>
          <w:tcPr>
            <w:tcW w:w="1796" w:type="dxa"/>
            <w:tcBorders>
              <w:top w:val="single" w:color="080000" w:sz="4" w:space="0"/>
              <w:left w:val="single" w:color="080000" w:sz="4" w:space="0"/>
              <w:bottom w:val="single" w:color="080000" w:sz="4" w:space="0"/>
              <w:right w:val="single" w:color="080000" w:sz="4" w:space="0"/>
            </w:tcBorders>
            <w:vAlign w:val="center"/>
          </w:tcPr>
          <w:p w14:paraId="0CFB037F">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招标公告</w:t>
            </w:r>
          </w:p>
          <w:p w14:paraId="452265C7">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发布时间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4599451E">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u w:val="single"/>
                <w14:textFill>
                  <w14:solidFill>
                    <w14:schemeClr w14:val="tx1"/>
                  </w14:solidFill>
                </w14:textFill>
              </w:rPr>
              <w:t>202</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4</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年</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11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月</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8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日</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20  </w:t>
            </w:r>
            <w:r>
              <w:rPr>
                <w:rFonts w:hint="eastAsia" w:ascii="宋体" w:hAnsi="宋体" w:eastAsia="宋体" w:cs="宋体"/>
                <w:b w:val="0"/>
                <w:bCs w:val="0"/>
                <w:snapToGrid w:val="0"/>
                <w:color w:val="000000" w:themeColor="text1"/>
                <w:kern w:val="0"/>
                <w:sz w:val="21"/>
                <w:szCs w:val="21"/>
                <w:highlight w:val="none"/>
                <w:u w:val="none"/>
                <w14:textFill>
                  <w14:solidFill>
                    <w14:schemeClr w14:val="tx1"/>
                  </w14:solidFill>
                </w14:textFill>
              </w:rPr>
              <w:t>时</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00</w:t>
            </w:r>
            <w:r>
              <w:rPr>
                <w:rFonts w:hint="eastAsia" w:ascii="宋体" w:hAnsi="宋体" w:eastAsia="宋体" w:cs="宋体"/>
                <w:b w:val="0"/>
                <w:bCs w:val="0"/>
                <w:snapToGrid w:val="0"/>
                <w:color w:val="000000" w:themeColor="text1"/>
                <w:kern w:val="0"/>
                <w:sz w:val="21"/>
                <w:szCs w:val="21"/>
                <w:highlight w:val="none"/>
                <w:u w:val="single"/>
                <w14:textFill>
                  <w14:solidFill>
                    <w14:schemeClr w14:val="tx1"/>
                  </w14:solidFill>
                </w14:textFill>
              </w:rPr>
              <w:t>分</w:t>
            </w:r>
          </w:p>
        </w:tc>
      </w:tr>
      <w:tr w14:paraId="542FA4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83"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5884D2AA">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2</w:t>
            </w:r>
          </w:p>
        </w:tc>
        <w:tc>
          <w:tcPr>
            <w:tcW w:w="1796" w:type="dxa"/>
            <w:tcBorders>
              <w:top w:val="single" w:color="080000" w:sz="4" w:space="0"/>
              <w:left w:val="single" w:color="080000" w:sz="4" w:space="0"/>
              <w:bottom w:val="single" w:color="080000" w:sz="4" w:space="0"/>
              <w:right w:val="single" w:color="080000" w:sz="4" w:space="0"/>
            </w:tcBorders>
            <w:vAlign w:val="center"/>
          </w:tcPr>
          <w:p w14:paraId="491A9546">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获取招标文件截止时间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38140291">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u w:val="single"/>
                <w14:textFill>
                  <w14:solidFill>
                    <w14:schemeClr w14:val="tx1"/>
                  </w14:solidFill>
                </w14:textFill>
              </w:rPr>
              <w:t>202</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4</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年</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11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月</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29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日</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9 </w:t>
            </w:r>
            <w:r>
              <w:rPr>
                <w:rFonts w:hint="eastAsia" w:ascii="宋体" w:hAnsi="宋体" w:eastAsia="宋体" w:cs="宋体"/>
                <w:b w:val="0"/>
                <w:bCs w:val="0"/>
                <w:color w:val="000000" w:themeColor="text1"/>
                <w:sz w:val="21"/>
                <w:szCs w:val="21"/>
                <w:highlight w:val="none"/>
                <w14:textFill>
                  <w14:solidFill>
                    <w14:schemeClr w14:val="tx1"/>
                  </w14:solidFill>
                </w14:textFill>
              </w:rPr>
              <w:t>时</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r>
      <w:tr w14:paraId="0F3B90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12"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50BB5C3E">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3</w:t>
            </w:r>
          </w:p>
        </w:tc>
        <w:tc>
          <w:tcPr>
            <w:tcW w:w="1796" w:type="dxa"/>
            <w:tcBorders>
              <w:top w:val="single" w:color="080000" w:sz="4" w:space="0"/>
              <w:left w:val="single" w:color="080000" w:sz="4" w:space="0"/>
              <w:bottom w:val="single" w:color="080000" w:sz="4" w:space="0"/>
              <w:right w:val="single" w:color="080000" w:sz="4" w:space="0"/>
            </w:tcBorders>
            <w:vAlign w:val="center"/>
          </w:tcPr>
          <w:p w14:paraId="197783B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网上提问</w:t>
            </w:r>
          </w:p>
          <w:p w14:paraId="4826D86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截止时间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41C18FBE">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u w:val="single"/>
                <w14:textFill>
                  <w14:solidFill>
                    <w14:schemeClr w14:val="tx1"/>
                  </w14:solidFill>
                </w14:textFill>
              </w:rPr>
              <w:t>202</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4</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年</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11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月</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19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日</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16</w:t>
            </w:r>
            <w:r>
              <w:rPr>
                <w:rFonts w:hint="eastAsia" w:ascii="宋体" w:hAnsi="宋体" w:eastAsia="宋体" w:cs="宋体"/>
                <w:b w:val="0"/>
                <w:bCs w:val="0"/>
                <w:color w:val="000000" w:themeColor="text1"/>
                <w:sz w:val="21"/>
                <w:szCs w:val="21"/>
                <w:highlight w:val="none"/>
                <w14:textFill>
                  <w14:solidFill>
                    <w14:schemeClr w14:val="tx1"/>
                  </w14:solidFill>
                </w14:textFill>
              </w:rPr>
              <w:t>时</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00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r>
      <w:tr w14:paraId="33764C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82"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1078570E">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4</w:t>
            </w:r>
          </w:p>
        </w:tc>
        <w:tc>
          <w:tcPr>
            <w:tcW w:w="1796" w:type="dxa"/>
            <w:tcBorders>
              <w:top w:val="single" w:color="080000" w:sz="4" w:space="0"/>
              <w:left w:val="single" w:color="080000" w:sz="4" w:space="0"/>
              <w:bottom w:val="single" w:color="080000" w:sz="4" w:space="0"/>
              <w:right w:val="single" w:color="080000" w:sz="4" w:space="0"/>
            </w:tcBorders>
            <w:vAlign w:val="center"/>
          </w:tcPr>
          <w:p w14:paraId="793B175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网上答疑</w:t>
            </w:r>
          </w:p>
          <w:p w14:paraId="187C025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23E747B2">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u w:val="single"/>
                <w14:textFill>
                  <w14:solidFill>
                    <w14:schemeClr w14:val="tx1"/>
                  </w14:solidFill>
                </w14:textFill>
              </w:rPr>
              <w:t>202</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4</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年</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11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月</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19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日</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16</w:t>
            </w:r>
            <w:r>
              <w:rPr>
                <w:rFonts w:hint="eastAsia" w:ascii="宋体" w:hAnsi="宋体" w:eastAsia="宋体" w:cs="宋体"/>
                <w:b w:val="0"/>
                <w:bCs w:val="0"/>
                <w:color w:val="000000" w:themeColor="text1"/>
                <w:sz w:val="21"/>
                <w:szCs w:val="21"/>
                <w:highlight w:val="none"/>
                <w14:textFill>
                  <w14:solidFill>
                    <w14:schemeClr w14:val="tx1"/>
                  </w14:solidFill>
                </w14:textFill>
              </w:rPr>
              <w:t>时</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至</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2024</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年</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11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月</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22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日</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16</w:t>
            </w:r>
            <w:r>
              <w:rPr>
                <w:rFonts w:hint="eastAsia" w:ascii="宋体" w:hAnsi="宋体" w:eastAsia="宋体" w:cs="宋体"/>
                <w:b w:val="0"/>
                <w:bCs w:val="0"/>
                <w:color w:val="000000" w:themeColor="text1"/>
                <w:sz w:val="21"/>
                <w:szCs w:val="21"/>
                <w:highlight w:val="none"/>
                <w14:textFill>
                  <w14:solidFill>
                    <w14:schemeClr w14:val="tx1"/>
                  </w14:solidFill>
                </w14:textFill>
              </w:rPr>
              <w:t>时</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00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r>
      <w:tr w14:paraId="17BD4B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373"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04A76E4B">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5</w:t>
            </w:r>
          </w:p>
        </w:tc>
        <w:tc>
          <w:tcPr>
            <w:tcW w:w="1796" w:type="dxa"/>
            <w:tcBorders>
              <w:top w:val="single" w:color="080000" w:sz="4" w:space="0"/>
              <w:left w:val="single" w:color="080000" w:sz="4" w:space="0"/>
              <w:bottom w:val="single" w:color="080000" w:sz="4" w:space="0"/>
              <w:right w:val="single" w:color="080000" w:sz="4" w:space="0"/>
            </w:tcBorders>
            <w:vAlign w:val="center"/>
          </w:tcPr>
          <w:p w14:paraId="229E32B0">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投标保证缴</w:t>
            </w:r>
          </w:p>
          <w:p w14:paraId="3B99C26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纳截止时间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2E890CA1">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投标保证金到账截止时间：</w:t>
            </w:r>
            <w:r>
              <w:rPr>
                <w:rFonts w:hint="eastAsia" w:ascii="宋体" w:hAnsi="宋体" w:eastAsia="宋体" w:cs="宋体"/>
                <w:b w:val="0"/>
                <w:bCs w:val="0"/>
                <w:snapToGrid w:val="0"/>
                <w:color w:val="000000" w:themeColor="text1"/>
                <w:kern w:val="0"/>
                <w:sz w:val="21"/>
                <w:szCs w:val="21"/>
                <w:highlight w:val="none"/>
                <w:u w:val="single"/>
                <w14:textFill>
                  <w14:solidFill>
                    <w14:schemeClr w14:val="tx1"/>
                  </w14:solidFill>
                </w14:textFill>
              </w:rPr>
              <w:t>202</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4</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年</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11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月</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28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日</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9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时</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30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分</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w:t>
            </w:r>
          </w:p>
          <w:p w14:paraId="0587EAC1">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投标保证担保上传截止时间：</w:t>
            </w:r>
            <w:r>
              <w:rPr>
                <w:rFonts w:hint="eastAsia" w:ascii="宋体" w:hAnsi="宋体" w:eastAsia="宋体" w:cs="宋体"/>
                <w:b w:val="0"/>
                <w:bCs w:val="0"/>
                <w:snapToGrid w:val="0"/>
                <w:color w:val="000000" w:themeColor="text1"/>
                <w:kern w:val="0"/>
                <w:sz w:val="21"/>
                <w:szCs w:val="21"/>
                <w:highlight w:val="none"/>
                <w:u w:val="single"/>
                <w14:textFill>
                  <w14:solidFill>
                    <w14:schemeClr w14:val="tx1"/>
                  </w14:solidFill>
                </w14:textFill>
              </w:rPr>
              <w:t>202</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4</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年</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11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月</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28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日</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9 </w:t>
            </w:r>
            <w:r>
              <w:rPr>
                <w:rFonts w:hint="eastAsia" w:ascii="宋体" w:hAnsi="宋体" w:eastAsia="宋体" w:cs="宋体"/>
                <w:b w:val="0"/>
                <w:bCs w:val="0"/>
                <w:color w:val="000000" w:themeColor="text1"/>
                <w:sz w:val="21"/>
                <w:szCs w:val="21"/>
                <w:highlight w:val="none"/>
                <w14:textFill>
                  <w14:solidFill>
                    <w14:schemeClr w14:val="tx1"/>
                  </w14:solidFill>
                </w14:textFill>
              </w:rPr>
              <w:t>时</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w:t>
            </w:r>
          </w:p>
          <w:p w14:paraId="182FA30E">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投标保证保险投保截止时间：</w:t>
            </w:r>
            <w:r>
              <w:rPr>
                <w:rFonts w:hint="eastAsia" w:ascii="宋体" w:hAnsi="宋体" w:eastAsia="宋体" w:cs="宋体"/>
                <w:b w:val="0"/>
                <w:bCs w:val="0"/>
                <w:snapToGrid w:val="0"/>
                <w:color w:val="000000" w:themeColor="text1"/>
                <w:kern w:val="0"/>
                <w:sz w:val="21"/>
                <w:szCs w:val="21"/>
                <w:highlight w:val="none"/>
                <w:u w:val="single"/>
                <w14:textFill>
                  <w14:solidFill>
                    <w14:schemeClr w14:val="tx1"/>
                  </w14:solidFill>
                </w14:textFill>
              </w:rPr>
              <w:t>202</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4</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年</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11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月</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28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日</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9 </w:t>
            </w:r>
            <w:r>
              <w:rPr>
                <w:rFonts w:hint="eastAsia" w:ascii="宋体" w:hAnsi="宋体" w:eastAsia="宋体" w:cs="宋体"/>
                <w:b w:val="0"/>
                <w:bCs w:val="0"/>
                <w:color w:val="000000" w:themeColor="text1"/>
                <w:sz w:val="21"/>
                <w:szCs w:val="21"/>
                <w:highlight w:val="none"/>
                <w14:textFill>
                  <w14:solidFill>
                    <w14:schemeClr w14:val="tx1"/>
                  </w14:solidFill>
                </w14:textFill>
              </w:rPr>
              <w:t>时</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w:t>
            </w:r>
          </w:p>
        </w:tc>
      </w:tr>
      <w:tr w14:paraId="288088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21"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57357A7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6</w:t>
            </w:r>
          </w:p>
        </w:tc>
        <w:tc>
          <w:tcPr>
            <w:tcW w:w="1796" w:type="dxa"/>
            <w:tcBorders>
              <w:top w:val="single" w:color="080000" w:sz="4" w:space="0"/>
              <w:left w:val="single" w:color="080000" w:sz="4" w:space="0"/>
              <w:bottom w:val="single" w:color="080000" w:sz="4" w:space="0"/>
              <w:right w:val="single" w:color="080000" w:sz="4" w:space="0"/>
            </w:tcBorders>
            <w:vAlign w:val="center"/>
          </w:tcPr>
          <w:p w14:paraId="6B8EC62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电子投标</w:t>
            </w:r>
          </w:p>
          <w:p w14:paraId="31C5280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截止时间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00FE8154">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u w:val="single"/>
                <w14:textFill>
                  <w14:solidFill>
                    <w14:schemeClr w14:val="tx1"/>
                  </w14:solidFill>
                </w14:textFill>
              </w:rPr>
              <w:t>202</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4</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年</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11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月</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29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日</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9 </w:t>
            </w:r>
            <w:r>
              <w:rPr>
                <w:rFonts w:hint="eastAsia" w:ascii="宋体" w:hAnsi="宋体" w:eastAsia="宋体" w:cs="宋体"/>
                <w:b w:val="0"/>
                <w:bCs w:val="0"/>
                <w:color w:val="000000" w:themeColor="text1"/>
                <w:sz w:val="21"/>
                <w:szCs w:val="21"/>
                <w:highlight w:val="none"/>
                <w14:textFill>
                  <w14:solidFill>
                    <w14:schemeClr w14:val="tx1"/>
                  </w14:solidFill>
                </w14:textFill>
              </w:rPr>
              <w:t>时</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r>
      <w:tr w14:paraId="78DB15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99"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7491E2E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7</w:t>
            </w:r>
          </w:p>
        </w:tc>
        <w:tc>
          <w:tcPr>
            <w:tcW w:w="1796" w:type="dxa"/>
            <w:tcBorders>
              <w:top w:val="single" w:color="080000" w:sz="4" w:space="0"/>
              <w:left w:val="single" w:color="080000" w:sz="4" w:space="0"/>
              <w:bottom w:val="single" w:color="080000" w:sz="4" w:space="0"/>
              <w:right w:val="single" w:color="080000" w:sz="4" w:space="0"/>
            </w:tcBorders>
            <w:vAlign w:val="center"/>
          </w:tcPr>
          <w:p w14:paraId="494EF25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投标</w:t>
            </w:r>
            <w:r>
              <w:rPr>
                <w:rFonts w:hint="eastAsia" w:ascii="宋体" w:hAnsi="宋体" w:eastAsia="宋体" w:cs="宋体"/>
                <w:b w:val="0"/>
                <w:bCs w:val="0"/>
                <w:snapToGrid w:val="0"/>
                <w:color w:val="000000" w:themeColor="text1"/>
                <w:kern w:val="0"/>
                <w:sz w:val="21"/>
                <w:szCs w:val="21"/>
                <w:highlight w:val="none"/>
                <w:lang w:val="en-US" w:eastAsia="zh-CN"/>
                <w14:textFill>
                  <w14:solidFill>
                    <w14:schemeClr w14:val="tx1"/>
                  </w14:solidFill>
                </w14:textFill>
              </w:rPr>
              <w:t>相关资料</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(如有)递交时间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006D7635">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u w:val="single"/>
                <w14:textFill>
                  <w14:solidFill>
                    <w14:schemeClr w14:val="tx1"/>
                  </w14:solidFill>
                </w14:textFill>
              </w:rPr>
              <w:t>202</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4</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年</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11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月</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29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日</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9 </w:t>
            </w:r>
            <w:r>
              <w:rPr>
                <w:rFonts w:hint="eastAsia" w:ascii="宋体" w:hAnsi="宋体" w:eastAsia="宋体" w:cs="宋体"/>
                <w:b w:val="0"/>
                <w:bCs w:val="0"/>
                <w:color w:val="000000" w:themeColor="text1"/>
                <w:sz w:val="21"/>
                <w:szCs w:val="21"/>
                <w:highlight w:val="none"/>
                <w14:textFill>
                  <w14:solidFill>
                    <w14:schemeClr w14:val="tx1"/>
                  </w14:solidFill>
                </w14:textFill>
              </w:rPr>
              <w:t>时</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00</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至</w:t>
            </w:r>
            <w:r>
              <w:rPr>
                <w:rFonts w:hint="eastAsia" w:ascii="宋体" w:hAnsi="宋体" w:eastAsia="宋体" w:cs="宋体"/>
                <w:b w:val="0"/>
                <w:bCs w:val="0"/>
                <w:snapToGrid w:val="0"/>
                <w:color w:val="000000" w:themeColor="text1"/>
                <w:kern w:val="0"/>
                <w:sz w:val="21"/>
                <w:szCs w:val="21"/>
                <w:highlight w:val="none"/>
                <w:u w:val="single"/>
                <w14:textFill>
                  <w14:solidFill>
                    <w14:schemeClr w14:val="tx1"/>
                  </w14:solidFill>
                </w14:textFill>
              </w:rPr>
              <w:t>202</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4</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年</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11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月</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29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日</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9 </w:t>
            </w:r>
            <w:r>
              <w:rPr>
                <w:rFonts w:hint="eastAsia" w:ascii="宋体" w:hAnsi="宋体" w:eastAsia="宋体" w:cs="宋体"/>
                <w:b w:val="0"/>
                <w:bCs w:val="0"/>
                <w:color w:val="000000" w:themeColor="text1"/>
                <w:sz w:val="21"/>
                <w:szCs w:val="21"/>
                <w:highlight w:val="none"/>
                <w14:textFill>
                  <w14:solidFill>
                    <w14:schemeClr w14:val="tx1"/>
                  </w14:solidFill>
                </w14:textFill>
              </w:rPr>
              <w:t>时</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r>
      <w:tr w14:paraId="60F89B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01"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0F77F927">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8</w:t>
            </w:r>
          </w:p>
        </w:tc>
        <w:tc>
          <w:tcPr>
            <w:tcW w:w="1796" w:type="dxa"/>
            <w:tcBorders>
              <w:top w:val="single" w:color="080000" w:sz="4" w:space="0"/>
              <w:left w:val="single" w:color="080000" w:sz="4" w:space="0"/>
              <w:bottom w:val="single" w:color="080000" w:sz="4" w:space="0"/>
              <w:right w:val="single" w:color="080000" w:sz="4" w:space="0"/>
            </w:tcBorders>
            <w:vAlign w:val="center"/>
          </w:tcPr>
          <w:p w14:paraId="3C9975B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投标</w:t>
            </w:r>
            <w:r>
              <w:rPr>
                <w:rFonts w:hint="eastAsia" w:ascii="宋体" w:hAnsi="宋体" w:eastAsia="宋体" w:cs="宋体"/>
                <w:b w:val="0"/>
                <w:bCs w:val="0"/>
                <w:snapToGrid w:val="0"/>
                <w:color w:val="000000" w:themeColor="text1"/>
                <w:kern w:val="0"/>
                <w:sz w:val="21"/>
                <w:szCs w:val="21"/>
                <w:highlight w:val="none"/>
                <w:lang w:val="en-US" w:eastAsia="zh-CN"/>
                <w14:textFill>
                  <w14:solidFill>
                    <w14:schemeClr w14:val="tx1"/>
                  </w14:solidFill>
                </w14:textFill>
              </w:rPr>
              <w:t>相关资料</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(如有)递交地点</w:t>
            </w:r>
          </w:p>
        </w:tc>
        <w:tc>
          <w:tcPr>
            <w:tcW w:w="8104" w:type="dxa"/>
            <w:tcBorders>
              <w:top w:val="single" w:color="080000" w:sz="4" w:space="0"/>
              <w:left w:val="single" w:color="080000" w:sz="4" w:space="0"/>
              <w:bottom w:val="single" w:color="080000" w:sz="4" w:space="0"/>
              <w:right w:val="single" w:color="080000" w:sz="4" w:space="0"/>
            </w:tcBorders>
            <w:vAlign w:val="center"/>
          </w:tcPr>
          <w:p w14:paraId="79B466AB">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lang w:val="en-US" w:eastAsia="zh-CN"/>
                <w14:textFill>
                  <w14:solidFill>
                    <w14:schemeClr w14:val="tx1"/>
                  </w14:solidFill>
                </w14:textFill>
              </w:rPr>
              <w:t>递交场所：韶关市公共资源交易中心，地址：韶关市公共资源交易中心（广东省韶关市武江区西联镇），具体房间号以当日现场通知为准。</w:t>
            </w:r>
          </w:p>
        </w:tc>
      </w:tr>
      <w:tr w14:paraId="62372E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55"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3E85E2EF">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9</w:t>
            </w:r>
          </w:p>
        </w:tc>
        <w:tc>
          <w:tcPr>
            <w:tcW w:w="1796" w:type="dxa"/>
            <w:tcBorders>
              <w:top w:val="single" w:color="080000" w:sz="4" w:space="0"/>
              <w:left w:val="single" w:color="080000" w:sz="4" w:space="0"/>
              <w:bottom w:val="single" w:color="080000" w:sz="4" w:space="0"/>
              <w:right w:val="single" w:color="080000" w:sz="4" w:space="0"/>
            </w:tcBorders>
            <w:vAlign w:val="center"/>
          </w:tcPr>
          <w:p w14:paraId="52D8B37F">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开标时间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01DAF19B">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u w:val="single"/>
                <w14:textFill>
                  <w14:solidFill>
                    <w14:schemeClr w14:val="tx1"/>
                  </w14:solidFill>
                </w14:textFill>
              </w:rPr>
              <w:t>202</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4</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年</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11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月</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29</w:t>
            </w:r>
            <w:bookmarkStart w:id="274" w:name="_GoBack"/>
            <w:bookmarkEnd w:id="274"/>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日</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9 </w:t>
            </w:r>
            <w:r>
              <w:rPr>
                <w:rFonts w:hint="eastAsia" w:ascii="宋体" w:hAnsi="宋体" w:eastAsia="宋体" w:cs="宋体"/>
                <w:b w:val="0"/>
                <w:bCs w:val="0"/>
                <w:color w:val="000000" w:themeColor="text1"/>
                <w:sz w:val="21"/>
                <w:szCs w:val="21"/>
                <w:highlight w:val="none"/>
                <w14:textFill>
                  <w14:solidFill>
                    <w14:schemeClr w14:val="tx1"/>
                  </w14:solidFill>
                </w14:textFill>
              </w:rPr>
              <w:t>时</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30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r>
      <w:tr w14:paraId="4A2DB9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67"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0723E63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10</w:t>
            </w:r>
          </w:p>
        </w:tc>
        <w:tc>
          <w:tcPr>
            <w:tcW w:w="1796" w:type="dxa"/>
            <w:tcBorders>
              <w:top w:val="single" w:color="080000" w:sz="4" w:space="0"/>
              <w:left w:val="single" w:color="080000" w:sz="4" w:space="0"/>
              <w:bottom w:val="single" w:color="080000" w:sz="4" w:space="0"/>
              <w:right w:val="single" w:color="080000" w:sz="4" w:space="0"/>
            </w:tcBorders>
            <w:vAlign w:val="center"/>
          </w:tcPr>
          <w:p w14:paraId="3D7CC71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开标地点</w:t>
            </w:r>
          </w:p>
        </w:tc>
        <w:tc>
          <w:tcPr>
            <w:tcW w:w="8104" w:type="dxa"/>
            <w:tcBorders>
              <w:top w:val="single" w:color="080000" w:sz="4" w:space="0"/>
              <w:left w:val="single" w:color="080000" w:sz="4" w:space="0"/>
              <w:bottom w:val="single" w:color="080000" w:sz="4" w:space="0"/>
              <w:right w:val="single" w:color="080000" w:sz="4" w:space="0"/>
            </w:tcBorders>
            <w:vAlign w:val="center"/>
          </w:tcPr>
          <w:p w14:paraId="72162BBF">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aps w:val="0"/>
                <w:smallCaps w:val="0"/>
                <w:snapToGrid w:val="0"/>
                <w:color w:val="000000" w:themeColor="text1"/>
                <w:spacing w:val="0"/>
                <w:kern w:val="0"/>
                <w:sz w:val="21"/>
                <w:szCs w:val="21"/>
                <w:highlight w:val="none"/>
                <w:u w:val="none"/>
                <w:lang w:val="en-US" w:eastAsia="zh-CN" w:bidi="ar-SA"/>
                <w14:textFill>
                  <w14:solidFill>
                    <w14:schemeClr w14:val="tx1"/>
                  </w14:solidFill>
                </w14:textFill>
              </w:rPr>
              <w:t>开标场所：韶关市公共资源交易中心，地址：韶关市公共资源交易中心（广东省韶关市武江区西联镇），具体房间号以当日现场通知为准。</w:t>
            </w:r>
          </w:p>
        </w:tc>
      </w:tr>
      <w:tr w14:paraId="09C0EF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419" w:hRule="atLeast"/>
        </w:trPr>
        <w:tc>
          <w:tcPr>
            <w:tcW w:w="2300" w:type="dxa"/>
            <w:gridSpan w:val="2"/>
            <w:tcBorders>
              <w:top w:val="single" w:color="080000" w:sz="4" w:space="0"/>
              <w:left w:val="single" w:color="080000" w:sz="4" w:space="0"/>
              <w:bottom w:val="single" w:color="080000" w:sz="4" w:space="0"/>
              <w:right w:val="single" w:color="080000" w:sz="4" w:space="0"/>
            </w:tcBorders>
            <w:vAlign w:val="center"/>
          </w:tcPr>
          <w:p w14:paraId="60D94B1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备注</w:t>
            </w:r>
          </w:p>
        </w:tc>
        <w:tc>
          <w:tcPr>
            <w:tcW w:w="8104" w:type="dxa"/>
            <w:tcBorders>
              <w:top w:val="single" w:color="080000" w:sz="4" w:space="0"/>
              <w:left w:val="single" w:color="080000" w:sz="4" w:space="0"/>
              <w:bottom w:val="single" w:color="080000" w:sz="4" w:space="0"/>
              <w:right w:val="single" w:color="080000" w:sz="4" w:space="0"/>
            </w:tcBorders>
            <w:vAlign w:val="center"/>
          </w:tcPr>
          <w:p w14:paraId="509C937C">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投标人应按有关计划时间安排办理企业CA认证、企业入库等，自行下载招标文件等资料文件、招标答疑书等。若由于投标人自身原因未能及时取得上述资料的，由此发生的任何责任由投标人自负。</w:t>
            </w:r>
          </w:p>
        </w:tc>
      </w:tr>
    </w:tbl>
    <w:p w14:paraId="43A4A8E3">
      <w:pPr>
        <w:tabs>
          <w:tab w:val="left" w:pos="8820"/>
        </w:tabs>
        <w:rPr>
          <w:rFonts w:hint="eastAsia" w:ascii="宋体" w:hAnsi="宋体" w:eastAsia="宋体" w:cs="宋体"/>
          <w:b w:val="0"/>
          <w:bCs w:val="0"/>
          <w:color w:val="000000" w:themeColor="text1"/>
          <w:sz w:val="24"/>
          <w:szCs w:val="24"/>
          <w:highlight w:val="none"/>
          <w14:textFill>
            <w14:solidFill>
              <w14:schemeClr w14:val="tx1"/>
            </w14:solidFill>
          </w14:textFill>
        </w:rPr>
        <w:sectPr>
          <w:headerReference r:id="rId8" w:type="default"/>
          <w:footerReference r:id="rId9" w:type="default"/>
          <w:pgSz w:w="11906" w:h="16839"/>
          <w:pgMar w:top="1440" w:right="1080" w:bottom="1440" w:left="1080" w:header="0" w:footer="1085" w:gutter="0"/>
          <w:pgBorders>
            <w:top w:val="none" w:sz="0" w:space="0"/>
            <w:left w:val="none" w:sz="0" w:space="0"/>
            <w:bottom w:val="none" w:sz="0" w:space="0"/>
            <w:right w:val="none" w:sz="0" w:space="0"/>
          </w:pgBorders>
          <w:pgNumType w:fmt="decimal"/>
          <w:cols w:space="720" w:num="1"/>
        </w:sectPr>
      </w:pPr>
    </w:p>
    <w:p w14:paraId="4035F05F">
      <w:pPr>
        <w:jc w:val="center"/>
        <w:outlineLvl w:val="1"/>
        <w:rPr>
          <w:rFonts w:hint="eastAsia" w:ascii="宋体" w:hAnsi="宋体" w:eastAsia="宋体" w:cs="宋体"/>
          <w:color w:val="000000" w:themeColor="text1"/>
          <w:sz w:val="24"/>
          <w:szCs w:val="24"/>
          <w:highlight w:val="none"/>
          <w14:textFill>
            <w14:solidFill>
              <w14:schemeClr w14:val="tx1"/>
            </w14:solidFill>
          </w14:textFill>
        </w:rPr>
      </w:pPr>
      <w:bookmarkStart w:id="11" w:name="_Toc27205"/>
      <w:r>
        <w:rPr>
          <w:rFonts w:hint="eastAsia" w:ascii="宋体" w:hAnsi="宋体" w:eastAsia="宋体" w:cs="宋体"/>
          <w:b/>
          <w:bCs/>
          <w:color w:val="000000" w:themeColor="text1"/>
          <w:spacing w:val="-3"/>
          <w:sz w:val="24"/>
          <w:szCs w:val="24"/>
          <w:highlight w:val="none"/>
          <w14:textFill>
            <w14:solidFill>
              <w14:schemeClr w14:val="tx1"/>
            </w14:solidFill>
          </w14:textFill>
        </w:rPr>
        <w:t>第三节</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14:textFill>
            <w14:solidFill>
              <w14:schemeClr w14:val="tx1"/>
            </w14:solidFill>
          </w14:textFill>
        </w:rPr>
        <w:t>投标人须知正文</w:t>
      </w:r>
      <w:bookmarkEnd w:id="11"/>
    </w:p>
    <w:p w14:paraId="5DD28753">
      <w:pPr>
        <w:pStyle w:val="5"/>
        <w:spacing w:line="256" w:lineRule="auto"/>
        <w:rPr>
          <w:rFonts w:hint="eastAsia" w:ascii="宋体" w:hAnsi="宋体" w:eastAsia="宋体" w:cs="宋体"/>
          <w:color w:val="000000" w:themeColor="text1"/>
          <w:highlight w:val="none"/>
          <w14:textFill>
            <w14:solidFill>
              <w14:schemeClr w14:val="tx1"/>
            </w14:solidFill>
          </w14:textFill>
        </w:rPr>
      </w:pPr>
    </w:p>
    <w:p w14:paraId="217B4480">
      <w:pPr>
        <w:pStyle w:val="5"/>
        <w:spacing w:line="257" w:lineRule="auto"/>
        <w:rPr>
          <w:rFonts w:hint="eastAsia" w:ascii="宋体" w:hAnsi="宋体" w:eastAsia="宋体" w:cs="宋体"/>
          <w:color w:val="000000" w:themeColor="text1"/>
          <w:highlight w:val="none"/>
          <w14:textFill>
            <w14:solidFill>
              <w14:schemeClr w14:val="tx1"/>
            </w14:solidFill>
          </w14:textFill>
        </w:rPr>
      </w:pPr>
    </w:p>
    <w:p w14:paraId="0AF44FDE">
      <w:pPr>
        <w:keepNext w:val="0"/>
        <w:keepLines w:val="0"/>
        <w:widowControl/>
        <w:suppressLineNumbers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武江区2024年第二批老旧小区改造项目</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业</w:t>
      </w:r>
      <w:r>
        <w:rPr>
          <w:rFonts w:hint="eastAsia" w:ascii="宋体" w:hAnsi="宋体" w:eastAsia="宋体" w:cs="宋体"/>
          <w:snapToGrid w:val="0"/>
          <w:color w:val="000000" w:themeColor="text1"/>
          <w:kern w:val="0"/>
          <w:sz w:val="24"/>
          <w:szCs w:val="24"/>
          <w:highlight w:val="none"/>
          <w14:textFill>
            <w14:solidFill>
              <w14:schemeClr w14:val="tx1"/>
            </w14:solidFill>
          </w14:textFill>
        </w:rPr>
        <w:t>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韶关市武江区发展和改革局</w:t>
      </w:r>
      <w:r>
        <w:rPr>
          <w:rFonts w:hint="eastAsia" w:ascii="宋体" w:hAnsi="宋体" w:eastAsia="宋体" w:cs="宋体"/>
          <w:snapToGrid w:val="0"/>
          <w:color w:val="000000" w:themeColor="text1"/>
          <w:kern w:val="0"/>
          <w:sz w:val="24"/>
          <w:szCs w:val="24"/>
          <w:highlight w:val="none"/>
          <w14:textFill>
            <w14:solidFill>
              <w14:schemeClr w14:val="tx1"/>
            </w14:solidFill>
          </w14:textFill>
        </w:rPr>
        <w:t>以</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韶关市武江区发展和改革局关于武江区2024年第二批老旧小区改造项目可行性研究报告的批复</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kern w:val="0"/>
          <w:sz w:val="24"/>
          <w:szCs w:val="24"/>
          <w:highlight w:val="none"/>
          <w:u w:val="single"/>
          <w:lang w:eastAsia="zh-CN"/>
          <w14:textFill>
            <w14:solidFill>
              <w14:schemeClr w14:val="tx1"/>
            </w14:solidFill>
          </w14:textFill>
        </w:rPr>
        <w:t>韶武发改投审〔2024〕95号</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kern w:val="0"/>
          <w:sz w:val="24"/>
          <w:szCs w:val="24"/>
          <w:highlight w:val="none"/>
          <w:u w:val="single"/>
          <w:lang w:eastAsia="zh-CN"/>
          <w14:textFill>
            <w14:solidFill>
              <w14:schemeClr w14:val="tx1"/>
            </w14:solidFill>
          </w14:textFill>
        </w:rPr>
        <w:t>、《韶关市武江区发展和改革局关于武江区2024年第二批老旧小区改造项目</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初步设计概算</w:t>
      </w:r>
      <w:r>
        <w:rPr>
          <w:rFonts w:hint="eastAsia" w:ascii="宋体" w:hAnsi="宋体" w:eastAsia="宋体" w:cs="宋体"/>
          <w:snapToGrid w:val="0"/>
          <w:color w:val="000000" w:themeColor="text1"/>
          <w:kern w:val="0"/>
          <w:sz w:val="24"/>
          <w:szCs w:val="24"/>
          <w:highlight w:val="none"/>
          <w:u w:val="single"/>
          <w:lang w:eastAsia="zh-CN"/>
          <w14:textFill>
            <w14:solidFill>
              <w14:schemeClr w14:val="tx1"/>
            </w14:solidFill>
          </w14:textFill>
        </w:rPr>
        <w:t>的批复》（韶武发改投审〔2024〕122号）</w:t>
      </w:r>
      <w:r>
        <w:rPr>
          <w:rFonts w:hint="eastAsia" w:ascii="宋体" w:hAnsi="宋体" w:eastAsia="宋体" w:cs="宋体"/>
          <w:snapToGrid w:val="0"/>
          <w:color w:val="000000" w:themeColor="text1"/>
          <w:kern w:val="0"/>
          <w:sz w:val="24"/>
          <w:szCs w:val="24"/>
          <w:highlight w:val="none"/>
          <w14:textFill>
            <w14:solidFill>
              <w14:schemeClr w14:val="tx1"/>
            </w14:solidFill>
          </w14:textFill>
        </w:rPr>
        <w:t>批准建设，项目代码为</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2410-440203-17-05-127331</w:t>
      </w:r>
      <w:r>
        <w:rPr>
          <w:rFonts w:hint="eastAsia" w:ascii="宋体" w:hAnsi="宋体" w:eastAsia="宋体" w:cs="宋体"/>
          <w:snapToGrid w:val="0"/>
          <w:color w:val="000000" w:themeColor="text1"/>
          <w:kern w:val="0"/>
          <w:sz w:val="24"/>
          <w:szCs w:val="24"/>
          <w:highlight w:val="none"/>
          <w14:textFill>
            <w14:solidFill>
              <w14:schemeClr w14:val="tx1"/>
            </w14:solidFill>
          </w14:textFill>
        </w:rPr>
        <w:t>。本项目业主为</w:t>
      </w:r>
      <w:r>
        <w:rPr>
          <w:rFonts w:hint="eastAsia" w:ascii="宋体" w:hAnsi="宋体" w:eastAsia="宋体" w:cs="宋体"/>
          <w:snapToGrid w:val="0"/>
          <w:color w:val="000000" w:themeColor="text1"/>
          <w:kern w:val="0"/>
          <w:sz w:val="24"/>
          <w:szCs w:val="24"/>
          <w:highlight w:val="none"/>
          <w:u w:val="single"/>
          <w:lang w:eastAsia="zh-CN"/>
          <w14:textFill>
            <w14:solidFill>
              <w14:schemeClr w14:val="tx1"/>
            </w14:solidFill>
          </w14:textFill>
        </w:rPr>
        <w:t>韶关市武江区人民政府新华街道办事处</w:t>
      </w:r>
      <w:r>
        <w:rPr>
          <w:rFonts w:hint="eastAsia" w:ascii="宋体" w:hAnsi="宋体" w:eastAsia="宋体" w:cs="宋体"/>
          <w:snapToGrid w:val="0"/>
          <w:color w:val="000000" w:themeColor="text1"/>
          <w:kern w:val="0"/>
          <w:sz w:val="24"/>
          <w:szCs w:val="24"/>
          <w:highlight w:val="none"/>
          <w14:textFill>
            <w14:solidFill>
              <w14:schemeClr w14:val="tx1"/>
            </w14:solidFill>
          </w14:textFill>
        </w:rPr>
        <w:t>，建设资金来自</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中央、省级补助资金解决</w:t>
      </w: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14:textFill>
            <w14:solidFill>
              <w14:schemeClr w14:val="tx1"/>
            </w14:solidFill>
          </w14:textFill>
        </w:rPr>
        <w:t>出资比例为</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100%</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14:textFill>
            <w14:solidFill>
              <w14:schemeClr w14:val="tx1"/>
            </w14:solidFill>
          </w14:textFill>
        </w:rPr>
        <w:t>招标人为</w:t>
      </w:r>
      <w:r>
        <w:rPr>
          <w:rFonts w:hint="eastAsia" w:ascii="宋体" w:hAnsi="宋体" w:eastAsia="宋体" w:cs="宋体"/>
          <w:snapToGrid w:val="0"/>
          <w:color w:val="000000" w:themeColor="text1"/>
          <w:kern w:val="0"/>
          <w:sz w:val="24"/>
          <w:szCs w:val="24"/>
          <w:highlight w:val="none"/>
          <w:u w:val="single"/>
          <w:lang w:eastAsia="zh-CN"/>
          <w14:textFill>
            <w14:solidFill>
              <w14:schemeClr w14:val="tx1"/>
            </w14:solidFill>
          </w14:textFill>
        </w:rPr>
        <w:t>韶关市武江区人民政府新华街道办事处</w:t>
      </w:r>
      <w:r>
        <w:rPr>
          <w:rFonts w:hint="eastAsia" w:ascii="宋体" w:hAnsi="宋体" w:eastAsia="宋体" w:cs="宋体"/>
          <w:snapToGrid w:val="0"/>
          <w:color w:val="000000" w:themeColor="text1"/>
          <w:kern w:val="0"/>
          <w:sz w:val="24"/>
          <w:szCs w:val="24"/>
          <w:highlight w:val="none"/>
          <w14:textFill>
            <w14:solidFill>
              <w14:schemeClr w14:val="tx1"/>
            </w14:solidFill>
          </w14:textFill>
        </w:rPr>
        <w:t>，招标代理机构为</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广东合正项目管理有限公司</w:t>
      </w:r>
      <w:r>
        <w:rPr>
          <w:rFonts w:hint="eastAsia" w:ascii="宋体" w:hAnsi="宋体" w:eastAsia="宋体" w:cs="宋体"/>
          <w:snapToGrid w:val="0"/>
          <w:color w:val="000000" w:themeColor="text1"/>
          <w:kern w:val="0"/>
          <w:sz w:val="24"/>
          <w:szCs w:val="24"/>
          <w:highlight w:val="none"/>
          <w14:textFill>
            <w14:solidFill>
              <w14:schemeClr w14:val="tx1"/>
            </w14:solidFill>
          </w14:textFill>
        </w:rPr>
        <w:t>。项目已具备招标条件，现对该项目的</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该项目的</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施工</w:t>
      </w:r>
      <w:r>
        <w:rPr>
          <w:rFonts w:hint="eastAsia" w:ascii="宋体" w:hAnsi="宋体" w:eastAsia="宋体" w:cs="宋体"/>
          <w:snapToGrid w:val="0"/>
          <w:color w:val="000000" w:themeColor="text1"/>
          <w:kern w:val="0"/>
          <w:sz w:val="24"/>
          <w:szCs w:val="24"/>
          <w:highlight w:val="none"/>
          <w14:textFill>
            <w14:solidFill>
              <w14:schemeClr w14:val="tx1"/>
            </w14:solidFill>
          </w14:textFill>
        </w:rPr>
        <w:t>进行公开招标。</w:t>
      </w:r>
    </w:p>
    <w:p w14:paraId="238EB322">
      <w:pPr>
        <w:spacing w:before="78" w:line="220" w:lineRule="auto"/>
        <w:ind w:left="496"/>
        <w:outlineLvl w:val="2"/>
        <w:rPr>
          <w:rFonts w:hint="eastAsia" w:ascii="宋体" w:hAnsi="宋体" w:eastAsia="宋体" w:cs="宋体"/>
          <w:color w:val="000000" w:themeColor="text1"/>
          <w:sz w:val="24"/>
          <w:szCs w:val="24"/>
          <w:highlight w:val="none"/>
          <w14:textFill>
            <w14:solidFill>
              <w14:schemeClr w14:val="tx1"/>
            </w14:solidFill>
          </w14:textFill>
        </w:rPr>
      </w:pPr>
      <w:bookmarkStart w:id="12" w:name="bookmark73"/>
      <w:bookmarkEnd w:id="12"/>
      <w:bookmarkStart w:id="13" w:name="bookmark52"/>
      <w:bookmarkEnd w:id="13"/>
      <w:bookmarkStart w:id="14" w:name="bookmark59"/>
      <w:bookmarkEnd w:id="14"/>
      <w:bookmarkStart w:id="15" w:name="_Toc30132"/>
      <w:bookmarkStart w:id="16" w:name="_Toc15993"/>
      <w:r>
        <w:rPr>
          <w:rFonts w:hint="eastAsia" w:ascii="宋体" w:hAnsi="宋体" w:eastAsia="宋体" w:cs="宋体"/>
          <w:b/>
          <w:bCs/>
          <w:color w:val="000000" w:themeColor="text1"/>
          <w:spacing w:val="-4"/>
          <w:sz w:val="24"/>
          <w:szCs w:val="24"/>
          <w:highlight w:val="none"/>
          <w14:textFill>
            <w14:solidFill>
              <w14:schemeClr w14:val="tx1"/>
            </w14:solidFill>
          </w14:textFill>
        </w:rPr>
        <w:t>1</w:t>
      </w:r>
      <w:r>
        <w:rPr>
          <w:rFonts w:hint="eastAsia" w:ascii="宋体" w:hAnsi="宋体" w:eastAsia="宋体" w:cs="宋体"/>
          <w:b/>
          <w:bCs/>
          <w:color w:val="000000" w:themeColor="text1"/>
          <w:spacing w:val="-23"/>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14:textFill>
            <w14:solidFill>
              <w14:schemeClr w14:val="tx1"/>
            </w14:solidFill>
          </w14:textFill>
        </w:rPr>
        <w:t>．项目概况、招标范围和标段划分、投标费用等</w:t>
      </w:r>
      <w:bookmarkEnd w:id="15"/>
      <w:bookmarkEnd w:id="16"/>
    </w:p>
    <w:p w14:paraId="26BED16D">
      <w:pPr>
        <w:spacing w:before="153" w:line="360" w:lineRule="auto"/>
        <w:ind w:left="4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5"/>
          <w:sz w:val="24"/>
          <w:szCs w:val="24"/>
          <w:highlight w:val="none"/>
          <w14:textFill>
            <w14:solidFill>
              <w14:schemeClr w14:val="tx1"/>
            </w14:solidFill>
          </w14:textFill>
        </w:rPr>
        <w:t>1.1</w:t>
      </w:r>
      <w:r>
        <w:rPr>
          <w:rFonts w:hint="eastAsia" w:ascii="宋体" w:hAnsi="宋体" w:eastAsia="宋体" w:cs="宋体"/>
          <w:b/>
          <w:bCs/>
          <w:color w:val="000000" w:themeColor="text1"/>
          <w:spacing w:val="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项目概况</w:t>
      </w:r>
    </w:p>
    <w:p w14:paraId="33A0C0A8">
      <w:pPr>
        <w:spacing w:before="151" w:line="360" w:lineRule="auto"/>
        <w:ind w:left="496"/>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1.1.1  </w:t>
      </w:r>
      <w:r>
        <w:rPr>
          <w:rFonts w:hint="eastAsia" w:ascii="宋体" w:hAnsi="宋体" w:eastAsia="宋体" w:cs="宋体"/>
          <w:color w:val="000000" w:themeColor="text1"/>
          <w:spacing w:val="-2"/>
          <w:sz w:val="24"/>
          <w:szCs w:val="24"/>
          <w:highlight w:val="none"/>
          <w14:textFill>
            <w14:solidFill>
              <w14:schemeClr w14:val="tx1"/>
            </w14:solidFill>
          </w14:textFill>
        </w:rPr>
        <w:t>建设地点：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韶关市武江区新华街道物资局宿舍三栋、春晖楼、工商局宿舍、印染厂宿舍、惠民南路56号、惠民南路58号、惠民南路62号、粤海花园、沙洲路38号、新城里ABC栋等10个老旧小区。</w:t>
      </w:r>
    </w:p>
    <w:p w14:paraId="3C1299B2">
      <w:pPr>
        <w:spacing w:before="151" w:line="360" w:lineRule="auto"/>
        <w:ind w:left="496"/>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1.1.2  </w:t>
      </w:r>
      <w:r>
        <w:rPr>
          <w:rFonts w:hint="eastAsia" w:ascii="宋体" w:hAnsi="宋体" w:eastAsia="宋体" w:cs="宋体"/>
          <w:color w:val="000000" w:themeColor="text1"/>
          <w:spacing w:val="-2"/>
          <w:sz w:val="24"/>
          <w:szCs w:val="24"/>
          <w:highlight w:val="none"/>
          <w14:textFill>
            <w14:solidFill>
              <w14:schemeClr w14:val="tx1"/>
            </w14:solidFill>
          </w14:textFill>
        </w:rPr>
        <w:t>建设内容和规模：</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更新改造楼梯和公共空间、建筑外立面、给排水设施、供配电和照明设施、垃圾分类与环卫设施、文体活动设施等；整治小区风貌，小区道路，停车设施，消防安全设施等。</w:t>
      </w:r>
    </w:p>
    <w:p w14:paraId="582D5F1D">
      <w:pPr>
        <w:spacing w:before="151" w:line="360" w:lineRule="auto"/>
        <w:ind w:left="496"/>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1.1.3  </w:t>
      </w:r>
      <w:r>
        <w:rPr>
          <w:rFonts w:hint="eastAsia" w:ascii="宋体" w:hAnsi="宋体" w:eastAsia="宋体" w:cs="宋体"/>
          <w:color w:val="000000" w:themeColor="text1"/>
          <w:spacing w:val="-2"/>
          <w:sz w:val="24"/>
          <w:szCs w:val="24"/>
          <w:highlight w:val="none"/>
          <w14:textFill>
            <w14:solidFill>
              <w14:schemeClr w14:val="tx1"/>
            </w14:solidFill>
          </w14:textFill>
        </w:rPr>
        <w:t>项目总投资</w:t>
      </w:r>
      <w:r>
        <w:rPr>
          <w:rStyle w:val="16"/>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项目概算总投资1170.10万元，其中工程费用1006.04万元，工程建设其他费用129.98万元，预备费用34.08万元。</w:t>
      </w:r>
    </w:p>
    <w:p w14:paraId="16BD1157">
      <w:pPr>
        <w:spacing w:before="151" w:line="360" w:lineRule="auto"/>
        <w:ind w:left="496"/>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b/>
          <w:bCs/>
          <w:color w:val="000000" w:themeColor="text1"/>
          <w:spacing w:val="-2"/>
          <w:sz w:val="24"/>
          <w:szCs w:val="24"/>
          <w:highlight w:val="none"/>
          <w:u w:val="none"/>
          <w:lang w:val="en-US" w:eastAsia="zh-CN"/>
          <w14:textFill>
            <w14:solidFill>
              <w14:schemeClr w14:val="tx1"/>
            </w14:solidFill>
          </w14:textFill>
        </w:rPr>
        <w:t xml:space="preserve">.2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招标范围和标段划分</w:t>
      </w:r>
    </w:p>
    <w:p w14:paraId="03788986">
      <w:pPr>
        <w:spacing w:before="152" w:line="360" w:lineRule="auto"/>
        <w:ind w:left="496"/>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1.2.1  </w:t>
      </w:r>
      <w:r>
        <w:rPr>
          <w:rFonts w:hint="eastAsia" w:ascii="宋体" w:hAnsi="宋体" w:eastAsia="宋体" w:cs="宋体"/>
          <w:color w:val="000000" w:themeColor="text1"/>
          <w:spacing w:val="-2"/>
          <w:sz w:val="24"/>
          <w:szCs w:val="24"/>
          <w:highlight w:val="none"/>
          <w14:textFill>
            <w14:solidFill>
              <w14:schemeClr w14:val="tx1"/>
            </w14:solidFill>
          </w14:textFill>
        </w:rPr>
        <w:t>招标范围：</w:t>
      </w:r>
      <w:r>
        <w:rPr>
          <w:rFonts w:hint="eastAsia" w:ascii="宋体" w:hAnsi="宋体" w:eastAsia="宋体" w:cs="宋体"/>
          <w:color w:val="000000" w:themeColor="text1"/>
          <w:spacing w:val="-1"/>
          <w:sz w:val="24"/>
          <w:szCs w:val="24"/>
          <w:highlight w:val="none"/>
          <w14:textFill>
            <w14:solidFill>
              <w14:schemeClr w14:val="tx1"/>
            </w14:solidFill>
          </w14:textFill>
        </w:rPr>
        <w:t>按审查合格的施工图纸及工程量清单内容施工</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p>
    <w:p w14:paraId="0DFB5F34">
      <w:pPr>
        <w:spacing w:before="134" w:line="360" w:lineRule="auto"/>
        <w:ind w:left="496"/>
        <w:outlineLvl w:val="9"/>
        <w:rPr>
          <w:rFonts w:hint="eastAsia" w:ascii="宋体" w:hAnsi="宋体" w:eastAsia="宋体" w:cs="宋体"/>
          <w:color w:val="000000" w:themeColor="text1"/>
          <w:sz w:val="24"/>
          <w:szCs w:val="24"/>
          <w:highlight w:val="none"/>
          <w14:textFill>
            <w14:solidFill>
              <w14:schemeClr w14:val="tx1"/>
            </w14:solidFill>
          </w14:textFill>
        </w:rPr>
      </w:pPr>
      <w:bookmarkStart w:id="17" w:name="_Toc20855"/>
      <w:bookmarkStart w:id="18" w:name="_Toc28202"/>
      <w:bookmarkStart w:id="19" w:name="_Toc14190"/>
      <w:bookmarkStart w:id="20" w:name="_Toc24593"/>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1.2.2  </w:t>
      </w:r>
      <w:r>
        <w:rPr>
          <w:rFonts w:hint="eastAsia" w:ascii="宋体" w:hAnsi="宋体" w:eastAsia="宋体" w:cs="宋体"/>
          <w:color w:val="000000" w:themeColor="text1"/>
          <w:spacing w:val="-2"/>
          <w:sz w:val="24"/>
          <w:szCs w:val="24"/>
          <w:highlight w:val="none"/>
          <w14:textFill>
            <w14:solidFill>
              <w14:schemeClr w14:val="tx1"/>
            </w14:solidFill>
          </w14:textFill>
        </w:rPr>
        <w:t>标段划分：本招标项目不划分标段。</w:t>
      </w:r>
      <w:bookmarkEnd w:id="17"/>
      <w:bookmarkEnd w:id="18"/>
      <w:bookmarkEnd w:id="19"/>
      <w:bookmarkEnd w:id="20"/>
    </w:p>
    <w:p w14:paraId="3BE6141C">
      <w:pPr>
        <w:spacing w:before="151" w:line="360" w:lineRule="auto"/>
        <w:ind w:left="13" w:right="65" w:firstLine="53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1.3  </w:t>
      </w:r>
      <w:r>
        <w:rPr>
          <w:rFonts w:hint="eastAsia" w:ascii="宋体" w:hAnsi="宋体" w:eastAsia="宋体" w:cs="宋体"/>
          <w:color w:val="000000" w:themeColor="text1"/>
          <w:spacing w:val="-1"/>
          <w:sz w:val="24"/>
          <w:szCs w:val="24"/>
          <w:highlight w:val="none"/>
          <w14:textFill>
            <w14:solidFill>
              <w14:schemeClr w14:val="tx1"/>
            </w14:solidFill>
          </w14:textFill>
        </w:rPr>
        <w:t>投标费用：投标人应承担所有准备和参加投标的相关费用，不</w:t>
      </w:r>
      <w:r>
        <w:rPr>
          <w:rFonts w:hint="eastAsia" w:ascii="宋体" w:hAnsi="宋体" w:eastAsia="宋体" w:cs="宋体"/>
          <w:color w:val="000000" w:themeColor="text1"/>
          <w:spacing w:val="-2"/>
          <w:sz w:val="24"/>
          <w:szCs w:val="24"/>
          <w:highlight w:val="none"/>
          <w14:textFill>
            <w14:solidFill>
              <w14:schemeClr w14:val="tx1"/>
            </w14:solidFill>
          </w14:textFill>
        </w:rPr>
        <w:t>论投标结果如</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何，招标人均无义务和责任承担这些费用。</w:t>
      </w:r>
    </w:p>
    <w:p w14:paraId="6DC29DD6">
      <w:pPr>
        <w:spacing w:before="22" w:line="360" w:lineRule="auto"/>
        <w:ind w:left="4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 xml:space="preserve">1.4  </w:t>
      </w:r>
      <w:r>
        <w:rPr>
          <w:rFonts w:hint="eastAsia" w:ascii="宋体" w:hAnsi="宋体" w:eastAsia="宋体" w:cs="宋体"/>
          <w:color w:val="000000" w:themeColor="text1"/>
          <w:spacing w:val="-6"/>
          <w:sz w:val="24"/>
          <w:szCs w:val="24"/>
          <w:highlight w:val="none"/>
          <w14:textFill>
            <w14:solidFill>
              <w14:schemeClr w14:val="tx1"/>
            </w14:solidFill>
          </w14:textFill>
        </w:rPr>
        <w:t>招标代理费用：</w:t>
      </w:r>
      <w:r>
        <w:rPr>
          <w:rFonts w:hint="eastAsia" w:ascii="宋体" w:hAnsi="宋体" w:eastAsia="宋体" w:cs="宋体"/>
          <w:color w:val="000000" w:themeColor="text1"/>
          <w:spacing w:val="1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2"/>
          <w:sz w:val="24"/>
          <w:szCs w:val="24"/>
          <w:highlight w:val="none"/>
          <w:shd w:val="clear" w:color="auto" w:fill="FFFFFF"/>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shd w:val="clear" w:color="auto" w:fill="FFFFFF"/>
          <w14:textFill>
            <w14:solidFill>
              <w14:schemeClr w14:val="tx1"/>
            </w14:solidFill>
          </w14:textFill>
        </w:rPr>
        <w:t>由</w:t>
      </w:r>
      <w:r>
        <w:rPr>
          <w:rFonts w:hint="eastAsia" w:ascii="宋体" w:hAnsi="宋体" w:eastAsia="宋体" w:cs="宋体"/>
          <w:color w:val="000000" w:themeColor="text1"/>
          <w:spacing w:val="6"/>
          <w:sz w:val="24"/>
          <w:szCs w:val="24"/>
          <w:highlight w:val="none"/>
          <w14:textFill>
            <w14:solidFill>
              <w14:schemeClr w14:val="tx1"/>
            </w14:solidFill>
          </w14:textFill>
        </w:rPr>
        <w:t>项目业主</w:t>
      </w:r>
      <w:r>
        <w:rPr>
          <w:rFonts w:hint="eastAsia" w:ascii="宋体" w:hAnsi="宋体" w:eastAsia="宋体" w:cs="宋体"/>
          <w:color w:val="000000" w:themeColor="text1"/>
          <w:spacing w:val="-6"/>
          <w:sz w:val="24"/>
          <w:szCs w:val="24"/>
          <w:highlight w:val="none"/>
          <w:shd w:val="clear" w:color="auto" w:fill="FFFFFF"/>
          <w14:textFill>
            <w14:solidFill>
              <w14:schemeClr w14:val="tx1"/>
            </w14:solidFill>
          </w14:textFill>
        </w:rPr>
        <w:t>支</w:t>
      </w:r>
      <w:r>
        <w:rPr>
          <w:rFonts w:hint="eastAsia" w:ascii="宋体" w:hAnsi="宋体" w:eastAsia="宋体" w:cs="宋体"/>
          <w:color w:val="000000" w:themeColor="text1"/>
          <w:spacing w:val="-6"/>
          <w:sz w:val="24"/>
          <w:szCs w:val="24"/>
          <w:highlight w:val="none"/>
          <w14:textFill>
            <w14:solidFill>
              <w14:schemeClr w14:val="tx1"/>
            </w14:solidFill>
          </w14:textFill>
        </w:rPr>
        <w:t>付</w:t>
      </w:r>
      <w:r>
        <w:rPr>
          <w:rFonts w:hint="eastAsia" w:ascii="宋体" w:hAnsi="宋体" w:eastAsia="宋体" w:cs="宋体"/>
          <w:color w:val="000000" w:themeColor="text1"/>
          <w:position w:val="-6"/>
          <w:sz w:val="24"/>
          <w:szCs w:val="24"/>
          <w:highlight w:val="none"/>
          <w:shd w:val="clear" w:color="auto" w:fill="FFFFFF"/>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pacing w:val="-81"/>
          <w:sz w:val="24"/>
          <w:szCs w:val="24"/>
          <w:highlight w:val="none"/>
          <w:shd w:val="clear" w:color="auto" w:fill="FFFFFF"/>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shd w:val="clear" w:color="auto" w:fill="FFFFFF"/>
          <w14:textFill>
            <w14:solidFill>
              <w14:schemeClr w14:val="tx1"/>
            </w14:solidFill>
          </w14:textFill>
        </w:rPr>
        <w:t>由中标人支付。</w:t>
      </w:r>
    </w:p>
    <w:p w14:paraId="3514024E">
      <w:pPr>
        <w:wordWrap w:val="0"/>
        <w:adjustRightInd w:val="0"/>
        <w:snapToGrid w:val="0"/>
        <w:spacing w:line="360" w:lineRule="auto"/>
        <w:ind w:firstLine="482" w:firstLineChars="200"/>
        <w:jc w:val="left"/>
        <w:outlineLvl w:val="2"/>
        <w:rPr>
          <w:rFonts w:hint="eastAsia" w:ascii="宋体" w:hAnsi="宋体" w:eastAsia="宋体" w:cs="宋体"/>
          <w:b/>
          <w:bCs/>
          <w:color w:val="000000" w:themeColor="text1"/>
          <w:sz w:val="24"/>
          <w:szCs w:val="24"/>
          <w:highlight w:val="none"/>
          <w14:textFill>
            <w14:solidFill>
              <w14:schemeClr w14:val="tx1"/>
            </w14:solidFill>
          </w14:textFill>
        </w:rPr>
      </w:pPr>
      <w:bookmarkStart w:id="21" w:name="_Toc17618"/>
      <w:r>
        <w:rPr>
          <w:rFonts w:hint="eastAsia" w:ascii="宋体" w:hAnsi="宋体" w:eastAsia="宋体" w:cs="宋体"/>
          <w:b/>
          <w:bCs/>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14:textFill>
            <w14:solidFill>
              <w14:schemeClr w14:val="tx1"/>
            </w14:solidFill>
          </w14:textFill>
        </w:rPr>
        <w:t>资质要求</w:t>
      </w:r>
      <w:bookmarkEnd w:id="21"/>
    </w:p>
    <w:p w14:paraId="5A724B4A">
      <w:pPr>
        <w:pStyle w:val="20"/>
        <w:pageBreakBefore w:val="0"/>
        <w:kinsoku/>
        <w:overflowPunct/>
        <w:topLinePunct w:val="0"/>
        <w:autoSpaceDE/>
        <w:autoSpaceDN/>
        <w:bidi w:val="0"/>
        <w:snapToGrid w:val="0"/>
        <w:spacing w:line="288" w:lineRule="auto"/>
        <w:ind w:firstLine="723" w:firstLineChars="300"/>
        <w:jc w:val="left"/>
        <w:rPr>
          <w:rStyle w:val="16"/>
          <w:rFonts w:hint="eastAsia" w:ascii="宋体" w:hAnsi="宋体" w:eastAsia="宋体" w:cs="宋体"/>
          <w:color w:val="000000" w:themeColor="text1"/>
          <w:kern w:val="0"/>
          <w:sz w:val="24"/>
          <w:szCs w:val="24"/>
          <w:highlight w:val="none"/>
          <w:lang w:eastAsia="zh-CN"/>
          <w14:textFill>
            <w14:solidFill>
              <w14:schemeClr w14:val="tx1"/>
            </w14:solidFill>
          </w14:textFill>
        </w:rPr>
      </w:pPr>
      <w:r>
        <w:rPr>
          <w:rStyle w:val="16"/>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w:t>
      </w:r>
      <w:r>
        <w:rPr>
          <w:rStyle w:val="16"/>
          <w:rFonts w:hint="eastAsia" w:ascii="宋体" w:hAnsi="宋体" w:eastAsia="宋体" w:cs="宋体"/>
          <w:b/>
          <w:bCs/>
          <w:color w:val="000000" w:themeColor="text1"/>
          <w:kern w:val="0"/>
          <w:sz w:val="24"/>
          <w:szCs w:val="24"/>
          <w:highlight w:val="none"/>
          <w14:textFill>
            <w14:solidFill>
              <w14:schemeClr w14:val="tx1"/>
            </w14:solidFill>
          </w14:textFill>
        </w:rPr>
        <w:t>1</w:t>
      </w:r>
      <w:r>
        <w:rPr>
          <w:rStyle w:val="16"/>
          <w:rFonts w:hint="eastAsia" w:ascii="宋体" w:hAnsi="宋体" w:eastAsia="宋体" w:cs="宋体"/>
          <w:color w:val="000000" w:themeColor="text1"/>
          <w:kern w:val="0"/>
          <w:sz w:val="24"/>
          <w:szCs w:val="24"/>
          <w:highlight w:val="none"/>
          <w:lang w:eastAsia="zh-CN"/>
          <w14:textFill>
            <w14:solidFill>
              <w14:schemeClr w14:val="tx1"/>
            </w14:solidFill>
          </w14:textFill>
        </w:rPr>
        <w:t>本工程</w:t>
      </w:r>
      <w:r>
        <w:rPr>
          <w:rStyle w:val="16"/>
          <w:rFonts w:hint="eastAsia" w:ascii="宋体" w:hAnsi="宋体" w:eastAsia="宋体" w:cs="宋体"/>
          <w:b/>
          <w:bCs/>
          <w:color w:val="000000" w:themeColor="text1"/>
          <w:kern w:val="0"/>
          <w:sz w:val="24"/>
          <w:szCs w:val="24"/>
          <w:highlight w:val="none"/>
          <w:lang w:eastAsia="zh-CN"/>
          <w14:textFill>
            <w14:solidFill>
              <w14:schemeClr w14:val="tx1"/>
            </w14:solidFill>
          </w14:textFill>
        </w:rPr>
        <w:t>接受</w:t>
      </w:r>
      <w:r>
        <w:rPr>
          <w:rStyle w:val="16"/>
          <w:rFonts w:hint="eastAsia" w:ascii="宋体" w:hAnsi="宋体" w:eastAsia="宋体" w:cs="宋体"/>
          <w:color w:val="000000" w:themeColor="text1"/>
          <w:kern w:val="0"/>
          <w:sz w:val="24"/>
          <w:szCs w:val="24"/>
          <w:highlight w:val="none"/>
          <w:lang w:eastAsia="zh-CN"/>
          <w14:textFill>
            <w14:solidFill>
              <w14:schemeClr w14:val="tx1"/>
            </w14:solidFill>
          </w14:textFill>
        </w:rPr>
        <w:t>联合体投标。</w:t>
      </w:r>
    </w:p>
    <w:p w14:paraId="50A4E2E2">
      <w:pPr>
        <w:pStyle w:val="20"/>
        <w:pageBreakBefore w:val="0"/>
        <w:kinsoku/>
        <w:overflowPunct/>
        <w:topLinePunct w:val="0"/>
        <w:autoSpaceDE/>
        <w:autoSpaceDN/>
        <w:bidi w:val="0"/>
        <w:snapToGrid w:val="0"/>
        <w:spacing w:line="288" w:lineRule="auto"/>
        <w:ind w:firstLine="720" w:firstLineChars="300"/>
        <w:jc w:val="left"/>
        <w:rPr>
          <w:rFonts w:hint="eastAsia" w:ascii="宋体" w:hAnsi="宋体" w:eastAsia="宋体" w:cs="宋体"/>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b w:val="0"/>
          <w:bCs w:val="0"/>
          <w:snapToGrid w:val="0"/>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b w:val="0"/>
          <w:bCs w:val="0"/>
          <w:snapToGrid w:val="0"/>
          <w:color w:val="000000" w:themeColor="text1"/>
          <w:kern w:val="0"/>
          <w:sz w:val="24"/>
          <w:szCs w:val="24"/>
          <w:highlight w:val="none"/>
          <w:lang w:val="en-US" w:eastAsia="zh-CN" w:bidi="ar-SA"/>
          <w14:textFill>
            <w14:solidFill>
              <w14:schemeClr w14:val="tx1"/>
            </w14:solidFill>
          </w14:textFill>
        </w:rPr>
        <w:t>1.1联合体成员数量不超过2个，且均应具备规定的相应资格条件。由同一专业的单位组成的联合体，按照资质等级较低的单位确定资质等级。</w:t>
      </w:r>
    </w:p>
    <w:p w14:paraId="4564E732">
      <w:pPr>
        <w:pStyle w:val="20"/>
        <w:pageBreakBefore w:val="0"/>
        <w:kinsoku/>
        <w:overflowPunct/>
        <w:topLinePunct w:val="0"/>
        <w:autoSpaceDE/>
        <w:autoSpaceDN/>
        <w:bidi w:val="0"/>
        <w:snapToGrid w:val="0"/>
        <w:spacing w:line="288" w:lineRule="auto"/>
        <w:ind w:firstLine="720" w:firstLineChars="300"/>
        <w:jc w:val="left"/>
        <w:rPr>
          <w:rFonts w:hint="eastAsia" w:ascii="宋体" w:hAnsi="宋体" w:eastAsia="宋体" w:cs="宋体"/>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bidi="ar-SA"/>
          <w14:textFill>
            <w14:solidFill>
              <w14:schemeClr w14:val="tx1"/>
            </w14:solidFill>
          </w14:textFill>
        </w:rPr>
        <w:t>2.1.2 联合体各方应按招标文件提供的格式签订联合体协议书，明确联合体牵头人和各方权利义务，并承诺就中标项目向招标人承担连带责任。《联合体协议书》作为投标文件的组成部分向招标人提交。</w:t>
      </w:r>
    </w:p>
    <w:p w14:paraId="4572F764">
      <w:pPr>
        <w:pStyle w:val="20"/>
        <w:pageBreakBefore w:val="0"/>
        <w:kinsoku/>
        <w:overflowPunct/>
        <w:topLinePunct w:val="0"/>
        <w:autoSpaceDE/>
        <w:autoSpaceDN/>
        <w:bidi w:val="0"/>
        <w:snapToGrid w:val="0"/>
        <w:spacing w:line="288" w:lineRule="auto"/>
        <w:ind w:firstLine="720" w:firstLineChars="300"/>
        <w:jc w:val="left"/>
        <w:rPr>
          <w:rFonts w:hint="eastAsia" w:ascii="宋体" w:hAnsi="宋体" w:eastAsia="宋体" w:cs="宋体"/>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bidi="ar-SA"/>
          <w14:textFill>
            <w14:solidFill>
              <w14:schemeClr w14:val="tx1"/>
            </w14:solidFill>
          </w14:textFill>
        </w:rPr>
        <w:t>2.1.3 联合体各方不得再以自己名义单独或参加其他联合体在本工程中投标，否则各相关投标均无效。</w:t>
      </w:r>
    </w:p>
    <w:p w14:paraId="5384AB81">
      <w:pPr>
        <w:pStyle w:val="20"/>
        <w:pageBreakBefore w:val="0"/>
        <w:kinsoku/>
        <w:overflowPunct/>
        <w:topLinePunct w:val="0"/>
        <w:autoSpaceDE/>
        <w:autoSpaceDN/>
        <w:bidi w:val="0"/>
        <w:snapToGrid w:val="0"/>
        <w:spacing w:line="288" w:lineRule="auto"/>
        <w:ind w:firstLine="723" w:firstLineChars="300"/>
        <w:jc w:val="left"/>
        <w:rPr>
          <w:rStyle w:val="16"/>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lang w:val="en-US" w:eastAsia="zh-CN" w:bidi="ar-SA"/>
          <w14:textFill>
            <w14:solidFill>
              <w14:schemeClr w14:val="tx1"/>
            </w14:solidFill>
          </w14:textFill>
        </w:rPr>
        <w:t xml:space="preserve">2.2 </w:t>
      </w:r>
      <w:r>
        <w:rPr>
          <w:rFonts w:hint="eastAsia" w:ascii="宋体" w:hAnsi="宋体" w:eastAsia="宋体" w:cs="宋体"/>
          <w:b w:val="0"/>
          <w:bCs w:val="0"/>
          <w:snapToGrid w:val="0"/>
          <w:color w:val="000000" w:themeColor="text1"/>
          <w:kern w:val="0"/>
          <w:sz w:val="24"/>
          <w:szCs w:val="24"/>
          <w:highlight w:val="none"/>
          <w:lang w:val="en-US" w:eastAsia="zh-CN" w:bidi="ar-SA"/>
          <w14:textFill>
            <w14:solidFill>
              <w14:schemeClr w14:val="tx1"/>
            </w14:solidFill>
          </w14:textFill>
        </w:rPr>
        <w:t>资格资质要求</w:t>
      </w:r>
    </w:p>
    <w:p w14:paraId="1F53E8ED">
      <w:pPr>
        <w:pStyle w:val="4"/>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 xml:space="preserve">2.1 </w:t>
      </w:r>
      <w:r>
        <w:rPr>
          <w:rFonts w:hint="eastAsia" w:ascii="宋体" w:hAnsi="宋体" w:eastAsia="宋体" w:cs="宋体"/>
          <w:color w:val="000000" w:themeColor="text1"/>
          <w:sz w:val="24"/>
          <w:szCs w:val="24"/>
          <w:highlight w:val="none"/>
          <w:lang w:eastAsia="zh-CN"/>
          <w14:textFill>
            <w14:solidFill>
              <w14:schemeClr w14:val="tx1"/>
            </w14:solidFill>
          </w14:textFill>
        </w:rPr>
        <w:t>投标人须具备独立法人资格，按国家法律经营。</w:t>
      </w:r>
    </w:p>
    <w:p w14:paraId="1C3A5D18">
      <w:pPr>
        <w:pStyle w:val="4"/>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2.2</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投标人须持有建设行政主管部门颁发的企业资质证书及安全生产许可证。</w:t>
      </w:r>
    </w:p>
    <w:p w14:paraId="43DE86E8">
      <w:pPr>
        <w:pStyle w:val="4"/>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t xml:space="preserve"> 参加投标的投标人可以是单一独立法人或由不超过两家独立法人组成的联合体（必须注明其中一家为牵头人），联合体各方不得再以自己的名义单独申请，也不得同时参加两个或两个以上的联合体进行本项目的投标。单一独立法人必须至少同时具备以下①和②资质，组成联合体投标的，联合后必须至少具备以下①和②资质，联合体牵头人必须具备①或②资质：</w:t>
      </w:r>
    </w:p>
    <w:p w14:paraId="33702AE9">
      <w:pPr>
        <w:pStyle w:val="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①建筑工程施工总承包三级以上（含三级）资质。</w:t>
      </w:r>
    </w:p>
    <w:p w14:paraId="06EBB05E">
      <w:pPr>
        <w:pStyle w:val="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②市政公用工程施工总承包三级以上（含三级）资质。</w:t>
      </w:r>
    </w:p>
    <w:p w14:paraId="2C380975">
      <w:pPr>
        <w:wordWrap w:val="0"/>
        <w:adjustRightInd w:val="0"/>
        <w:snapToGrid w:val="0"/>
        <w:spacing w:line="360" w:lineRule="auto"/>
        <w:ind w:firstLine="482" w:firstLineChars="20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2.4</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3F71F7C6">
      <w:pPr>
        <w:pStyle w:val="4"/>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相关人员要求</w:t>
      </w:r>
    </w:p>
    <w:p w14:paraId="65D992C8">
      <w:pPr>
        <w:widowControl/>
        <w:spacing w:line="360" w:lineRule="auto"/>
        <w:ind w:firstLine="482"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3.1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拟派项目经理为</w:t>
      </w:r>
      <w:r>
        <w:rPr>
          <w:rFonts w:hint="eastAsia" w:ascii="宋体" w:hAnsi="宋体" w:eastAsia="宋体" w:cs="宋体"/>
          <w:color w:val="000000" w:themeColor="text1"/>
          <w:kern w:val="0"/>
          <w:sz w:val="24"/>
          <w:szCs w:val="24"/>
          <w:highlight w:val="none"/>
          <w:u w:val="single"/>
          <w:lang w:eastAsia="zh-CN" w:bidi="ar"/>
          <w14:textFill>
            <w14:solidFill>
              <w14:schemeClr w14:val="tx1"/>
            </w14:solidFill>
          </w14:textFill>
        </w:rPr>
        <w:t>建筑工程或市政公用工程专业</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一级或二级注册建造师，应持有住建部门印发的在使用有效期内的有效电子注册证书，其中一级注册建造师应持有国家住建部印发的有效注册证书，二级注册建造师应持有考试取得执业资格的省、自治区、直辖市住建部门核准的有效电子注册证书。同时须具备有效安全生产考核合格证明（B证，安全生产考核合格证书或“广东省建筑施工企业管理人员安全生产考核信息系统”考核合格信息打印页），且未担任其他在施（包括已中标未开工、已开工未竣工）建设工程项目的项目经理。</w:t>
      </w:r>
    </w:p>
    <w:p w14:paraId="7C6DAD2F">
      <w:pPr>
        <w:pStyle w:val="4"/>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3.2</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拟派项目技术负责人须具备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建筑工程或市政公用工程 </w:t>
      </w:r>
      <w:r>
        <w:rPr>
          <w:rFonts w:hint="eastAsia" w:ascii="宋体" w:hAnsi="宋体" w:eastAsia="宋体" w:cs="宋体"/>
          <w:color w:val="000000" w:themeColor="text1"/>
          <w:sz w:val="24"/>
          <w:szCs w:val="24"/>
          <w:highlight w:val="none"/>
          <w14:textFill>
            <w14:solidFill>
              <w14:schemeClr w14:val="tx1"/>
            </w14:solidFill>
          </w14:textFill>
        </w:rPr>
        <w:t>相关专业</w:t>
      </w:r>
      <w:r>
        <w:rPr>
          <w:rFonts w:hint="eastAsia" w:ascii="宋体" w:hAnsi="宋体" w:eastAsia="宋体" w:cs="宋体"/>
          <w:color w:val="000000" w:themeColor="text1"/>
          <w:sz w:val="24"/>
          <w:szCs w:val="24"/>
          <w:highlight w:val="none"/>
          <w:u w:val="single"/>
          <w14:textFill>
            <w14:solidFill>
              <w14:schemeClr w14:val="tx1"/>
            </w14:solidFill>
          </w14:textFill>
        </w:rPr>
        <w:t>中</w:t>
      </w:r>
      <w:r>
        <w:rPr>
          <w:rFonts w:hint="eastAsia" w:ascii="宋体" w:hAnsi="宋体" w:eastAsia="宋体" w:cs="宋体"/>
          <w:color w:val="000000" w:themeColor="text1"/>
          <w:sz w:val="24"/>
          <w:szCs w:val="24"/>
          <w:highlight w:val="none"/>
          <w14:textFill>
            <w14:solidFill>
              <w14:schemeClr w14:val="tx1"/>
            </w14:solidFill>
          </w14:textFill>
        </w:rPr>
        <w:t>级以上（含</w:t>
      </w:r>
      <w:r>
        <w:rPr>
          <w:rFonts w:hint="eastAsia" w:ascii="宋体" w:hAnsi="宋体" w:eastAsia="宋体" w:cs="宋体"/>
          <w:color w:val="000000" w:themeColor="text1"/>
          <w:sz w:val="24"/>
          <w:szCs w:val="24"/>
          <w:highlight w:val="none"/>
          <w:u w:val="single"/>
          <w14:textFill>
            <w14:solidFill>
              <w14:schemeClr w14:val="tx1"/>
            </w14:solidFill>
          </w14:textFill>
        </w:rPr>
        <w:t>中</w:t>
      </w:r>
      <w:r>
        <w:rPr>
          <w:rFonts w:hint="eastAsia" w:ascii="宋体" w:hAnsi="宋体" w:eastAsia="宋体" w:cs="宋体"/>
          <w:color w:val="000000" w:themeColor="text1"/>
          <w:sz w:val="24"/>
          <w:szCs w:val="24"/>
          <w:highlight w:val="none"/>
          <w14:textFill>
            <w14:solidFill>
              <w14:schemeClr w14:val="tx1"/>
            </w14:solidFill>
          </w14:textFill>
        </w:rPr>
        <w:t>级）技术职称。</w:t>
      </w:r>
    </w:p>
    <w:p w14:paraId="1E2916D5">
      <w:pPr>
        <w:pStyle w:val="4"/>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3.3</w:t>
      </w:r>
      <w:r>
        <w:rPr>
          <w:rFonts w:hint="eastAsia" w:ascii="宋体" w:hAnsi="宋体" w:eastAsia="宋体" w:cs="宋体"/>
          <w:color w:val="000000" w:themeColor="text1"/>
          <w:sz w:val="24"/>
          <w:szCs w:val="24"/>
          <w:highlight w:val="none"/>
          <w14:textFill>
            <w14:solidFill>
              <w14:schemeClr w14:val="tx1"/>
            </w14:solidFill>
          </w14:textFill>
        </w:rPr>
        <w:t xml:space="preserve"> 投标人拟派专职安全生产管理人员须具备有效安全生产考核合格证明（C证，安全生产考核合格证书或“广东省建筑施工企业管理人员安全生产考核系统”考核合格信息打印页），且不少于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1</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w:t>
      </w:r>
    </w:p>
    <w:p w14:paraId="09CDC0D0">
      <w:pPr>
        <w:wordWrap w:val="0"/>
        <w:adjustRightInd w:val="0"/>
        <w:snapToGrid w:val="0"/>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3.4</w:t>
      </w:r>
      <w:r>
        <w:rPr>
          <w:rFonts w:hint="eastAsia" w:ascii="宋体" w:hAnsi="宋体" w:eastAsia="宋体" w:cs="宋体"/>
          <w:color w:val="000000" w:themeColor="text1"/>
          <w:sz w:val="24"/>
          <w:szCs w:val="24"/>
          <w:highlight w:val="none"/>
          <w14:textFill>
            <w14:solidFill>
              <w14:schemeClr w14:val="tx1"/>
            </w14:solidFill>
          </w14:textFill>
        </w:rPr>
        <w:t xml:space="preserve"> 投标人（包括组成联合体的所有成员单位）与其拟派往本项目管理机构的所有人员之间必须具备合法、唯一的劳动聘用关系。拟派人员中具备注册执业资格的，其注册单位须与投标人保持一致。</w:t>
      </w:r>
    </w:p>
    <w:p w14:paraId="6B5D9824">
      <w:pPr>
        <w:spacing w:before="78" w:line="220" w:lineRule="auto"/>
        <w:ind w:left="4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2.4  </w:t>
      </w:r>
      <w:r>
        <w:rPr>
          <w:rFonts w:hint="eastAsia" w:ascii="宋体" w:hAnsi="宋体" w:eastAsia="宋体" w:cs="宋体"/>
          <w:color w:val="000000" w:themeColor="text1"/>
          <w:spacing w:val="-1"/>
          <w:sz w:val="24"/>
          <w:szCs w:val="24"/>
          <w:highlight w:val="none"/>
          <w14:textFill>
            <w14:solidFill>
              <w14:schemeClr w14:val="tx1"/>
            </w14:solidFill>
          </w14:textFill>
        </w:rPr>
        <w:t>禁止投标条款</w:t>
      </w:r>
    </w:p>
    <w:p w14:paraId="4F43481F">
      <w:pPr>
        <w:spacing w:before="153" w:line="220" w:lineRule="auto"/>
        <w:ind w:left="4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2.4.1  </w:t>
      </w:r>
      <w:r>
        <w:rPr>
          <w:rFonts w:hint="eastAsia" w:ascii="宋体" w:hAnsi="宋体" w:eastAsia="宋体" w:cs="宋体"/>
          <w:color w:val="000000" w:themeColor="text1"/>
          <w:spacing w:val="-1"/>
          <w:sz w:val="24"/>
          <w:szCs w:val="24"/>
          <w:highlight w:val="none"/>
          <w14:textFill>
            <w14:solidFill>
              <w14:schemeClr w14:val="tx1"/>
            </w14:solidFill>
          </w14:textFill>
        </w:rPr>
        <w:t>投标人不得存在下列情形之一：</w:t>
      </w:r>
    </w:p>
    <w:p w14:paraId="43B6008C">
      <w:pPr>
        <w:spacing w:before="153" w:line="219" w:lineRule="auto"/>
        <w:ind w:left="50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（1）为招标人不具有独立法人资格的附属机构（单位</w:t>
      </w:r>
      <w:r>
        <w:rPr>
          <w:rFonts w:hint="eastAsia" w:ascii="宋体" w:hAnsi="宋体" w:eastAsia="宋体" w:cs="宋体"/>
          <w:color w:val="000000" w:themeColor="text1"/>
          <w:spacing w:val="1"/>
          <w:sz w:val="24"/>
          <w:szCs w:val="24"/>
          <w:highlight w:val="none"/>
          <w14:textFill>
            <w14:solidFill>
              <w14:schemeClr w14:val="tx1"/>
            </w14:solidFill>
          </w14:textFill>
        </w:rPr>
        <w:t>）；</w:t>
      </w:r>
    </w:p>
    <w:p w14:paraId="34F26461">
      <w:pPr>
        <w:spacing w:before="157" w:line="219" w:lineRule="auto"/>
        <w:ind w:left="50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（2）为本招标项目前期准备提供设计或咨询服务的；</w:t>
      </w:r>
    </w:p>
    <w:p w14:paraId="256BE667">
      <w:pPr>
        <w:spacing w:before="154" w:line="219" w:lineRule="auto"/>
        <w:ind w:left="50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（3）与本招标项目的其他投标人为同一个单位负责人；</w:t>
      </w:r>
    </w:p>
    <w:p w14:paraId="4B6D9AE2">
      <w:pPr>
        <w:spacing w:before="155" w:line="219" w:lineRule="auto"/>
        <w:ind w:left="50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（4）与本招标项目的其他投标人存在控股、管理关系；</w:t>
      </w:r>
    </w:p>
    <w:p w14:paraId="719D22E5">
      <w:pPr>
        <w:spacing w:before="157" w:line="219" w:lineRule="auto"/>
        <w:ind w:left="50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（5）为本招标项目的监理人；</w:t>
      </w:r>
    </w:p>
    <w:p w14:paraId="37ABFA43">
      <w:pPr>
        <w:spacing w:before="154" w:line="219" w:lineRule="auto"/>
        <w:ind w:left="50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（6）为本招标项目的代建人；</w:t>
      </w:r>
    </w:p>
    <w:p w14:paraId="6A7D9770">
      <w:pPr>
        <w:spacing w:before="155" w:line="219" w:lineRule="auto"/>
        <w:ind w:left="50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（7）为本招标项目的招标代理机构；</w:t>
      </w:r>
    </w:p>
    <w:p w14:paraId="04FC0558">
      <w:pPr>
        <w:spacing w:before="157" w:line="219" w:lineRule="auto"/>
        <w:ind w:left="50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（8）与本招标项目的监理人或代建人或招标代理机构同为一个法定代表人；</w:t>
      </w:r>
    </w:p>
    <w:p w14:paraId="7A74398D">
      <w:pPr>
        <w:spacing w:before="154" w:line="219" w:lineRule="auto"/>
        <w:ind w:left="50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（9）与本招标项目的监理人或代建人或招标代理机构存在控股或参股关系；</w:t>
      </w:r>
    </w:p>
    <w:p w14:paraId="55FA81B7">
      <w:pPr>
        <w:spacing w:before="155" w:line="219" w:lineRule="auto"/>
        <w:ind w:firstLine="468"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（10）与本招标项目的监理人或代建人或招标代理机构存在相互</w:t>
      </w:r>
      <w:r>
        <w:rPr>
          <w:rFonts w:hint="eastAsia" w:ascii="宋体" w:hAnsi="宋体" w:eastAsia="宋体" w:cs="宋体"/>
          <w:color w:val="000000" w:themeColor="text1"/>
          <w:spacing w:val="-4"/>
          <w:sz w:val="24"/>
          <w:szCs w:val="24"/>
          <w:highlight w:val="none"/>
          <w14:textFill>
            <w14:solidFill>
              <w14:schemeClr w14:val="tx1"/>
            </w14:solidFill>
          </w14:textFill>
        </w:rPr>
        <w:t>任职或工作关系；</w:t>
      </w:r>
    </w:p>
    <w:p w14:paraId="0A1984B9">
      <w:pPr>
        <w:spacing w:before="157" w:line="219" w:lineRule="auto"/>
        <w:ind w:left="50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（11）被依法暂停或者取消投标资格；</w:t>
      </w:r>
    </w:p>
    <w:p w14:paraId="7D558099">
      <w:pPr>
        <w:spacing w:before="154" w:line="219" w:lineRule="auto"/>
        <w:ind w:left="50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（12）被责令停产停业、暂扣或者吊销许可证、暂扣或者吊销执照；</w:t>
      </w:r>
    </w:p>
    <w:p w14:paraId="43CBFE9A">
      <w:pPr>
        <w:spacing w:before="154" w:line="219" w:lineRule="auto"/>
        <w:ind w:left="50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（13）进入清算程序，或被宣告破产，或其他丧失履约能力的情形；</w:t>
      </w:r>
    </w:p>
    <w:p w14:paraId="09D9D348">
      <w:pPr>
        <w:pStyle w:val="18"/>
        <w:wordWrap w:val="0"/>
        <w:adjustRightInd w:val="0"/>
        <w:snapToGrid w:val="0"/>
        <w:spacing w:line="440" w:lineRule="exact"/>
        <w:ind w:firstLine="480"/>
        <w:jc w:val="left"/>
        <w:rPr>
          <w:rFonts w:hint="eastAsia" w:ascii="宋体" w:hAnsi="宋体" w:eastAsia="宋体" w:cs="宋体"/>
          <w:color w:val="000000" w:themeColor="text1"/>
          <w:spacing w:val="2"/>
          <w:sz w:val="24"/>
          <w:szCs w:val="24"/>
          <w:highlight w:val="none"/>
          <w14:textFill>
            <w14:solidFill>
              <w14:schemeClr w14:val="tx1"/>
            </w14:solidFill>
          </w14:textFill>
        </w:rPr>
      </w:pPr>
      <w:bookmarkStart w:id="22" w:name="bookmark116"/>
      <w:bookmarkEnd w:id="22"/>
      <w:r>
        <w:rPr>
          <w:rFonts w:hint="eastAsia" w:ascii="宋体" w:hAnsi="宋体" w:eastAsia="宋体" w:cs="宋体"/>
          <w:color w:val="000000" w:themeColor="text1"/>
          <w:spacing w:val="-1"/>
          <w:sz w:val="24"/>
          <w:szCs w:val="24"/>
          <w:highlight w:val="none"/>
          <w14:textFill>
            <w14:solidFill>
              <w14:schemeClr w14:val="tx1"/>
            </w14:solidFill>
          </w14:textFill>
        </w:rPr>
        <w:t>处罚决定或司法机关出具的有关法律文书为准</w:t>
      </w:r>
      <w:r>
        <w:rPr>
          <w:rFonts w:hint="eastAsia" w:ascii="宋体" w:hAnsi="宋体" w:eastAsia="宋体" w:cs="宋体"/>
          <w:color w:val="000000" w:themeColor="text1"/>
          <w:spacing w:val="2"/>
          <w:sz w:val="24"/>
          <w:szCs w:val="24"/>
          <w:highlight w:val="none"/>
          <w14:textFill>
            <w14:solidFill>
              <w14:schemeClr w14:val="tx1"/>
            </w14:solidFill>
          </w14:textFill>
        </w:rPr>
        <w:t>）；</w:t>
      </w:r>
    </w:p>
    <w:p w14:paraId="520547F5">
      <w:pPr>
        <w:pStyle w:val="18"/>
        <w:wordWrap w:val="0"/>
        <w:adjustRightInd w:val="0"/>
        <w:snapToGrid w:val="0"/>
        <w:spacing w:line="440" w:lineRule="exact"/>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（14）在最近三年内发生重大工程质量或安全问题（以相关行业主管部门的行政处罚决定或司法机关出具的有关法律文书为准）；</w:t>
      </w:r>
    </w:p>
    <w:p w14:paraId="6EF72CB7">
      <w:pPr>
        <w:spacing w:before="118" w:line="293" w:lineRule="auto"/>
        <w:ind w:left="232" w:right="99" w:firstLine="3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（15）被“信用中国</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”网站（https://www.creditchina.gov.cn）发布的《法人和</w:t>
      </w:r>
      <w:r>
        <w:rPr>
          <w:rFonts w:hint="eastAsia" w:ascii="宋体" w:hAnsi="宋体" w:eastAsia="宋体" w:cs="宋体"/>
          <w:color w:val="000000" w:themeColor="text1"/>
          <w:spacing w:val="-3"/>
          <w:sz w:val="24"/>
          <w:szCs w:val="24"/>
          <w:highlight w:val="none"/>
          <w14:textFill>
            <w14:solidFill>
              <w14:schemeClr w14:val="tx1"/>
            </w14:solidFill>
          </w14:textFill>
        </w:rPr>
        <w:t>非法</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人组织公共信用信息报告》列为</w:t>
      </w:r>
      <w:r>
        <w:rPr>
          <w:rFonts w:hint="eastAsia" w:ascii="宋体" w:hAnsi="宋体" w:eastAsia="宋体" w:cs="宋体"/>
          <w:color w:val="000000" w:themeColor="text1"/>
          <w:spacing w:val="3"/>
          <w:sz w:val="20"/>
          <w:szCs w:val="20"/>
          <w:highlight w:val="none"/>
          <w14:textFill>
            <w14:solidFill>
              <w14:schemeClr w14:val="tx1"/>
            </w14:solidFill>
          </w14:textFill>
        </w:rPr>
        <w:t>严重失信主</w:t>
      </w:r>
      <w:r>
        <w:rPr>
          <w:rFonts w:hint="eastAsia" w:ascii="宋体" w:hAnsi="宋体" w:eastAsia="宋体" w:cs="宋体"/>
          <w:color w:val="000000" w:themeColor="text1"/>
          <w:spacing w:val="2"/>
          <w:sz w:val="20"/>
          <w:szCs w:val="20"/>
          <w:highlight w:val="none"/>
          <w14:textFill>
            <w14:solidFill>
              <w14:schemeClr w14:val="tx1"/>
            </w14:solidFill>
          </w14:textFill>
        </w:rPr>
        <w:t>体名单</w:t>
      </w:r>
      <w:r>
        <w:rPr>
          <w:rFonts w:hint="eastAsia" w:ascii="宋体" w:hAnsi="宋体" w:eastAsia="宋体" w:cs="宋体"/>
          <w:color w:val="000000" w:themeColor="text1"/>
          <w:spacing w:val="2"/>
          <w:sz w:val="24"/>
          <w:szCs w:val="24"/>
          <w:highlight w:val="none"/>
          <w14:textFill>
            <w14:solidFill>
              <w14:schemeClr w14:val="tx1"/>
            </w14:solidFill>
          </w14:textFill>
        </w:rPr>
        <w:t>的。</w:t>
      </w:r>
    </w:p>
    <w:p w14:paraId="28B49AD7">
      <w:pPr>
        <w:spacing w:before="155" w:line="219" w:lineRule="auto"/>
        <w:ind w:left="70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2.4.2  </w:t>
      </w:r>
      <w:r>
        <w:rPr>
          <w:rFonts w:hint="eastAsia" w:ascii="宋体" w:hAnsi="宋体" w:eastAsia="宋体" w:cs="宋体"/>
          <w:color w:val="000000" w:themeColor="text1"/>
          <w:sz w:val="24"/>
          <w:szCs w:val="24"/>
          <w:highlight w:val="none"/>
          <w14:textFill>
            <w14:solidFill>
              <w14:schemeClr w14:val="tx1"/>
            </w14:solidFill>
          </w14:textFill>
        </w:rPr>
        <w:t>招标人拒绝以下名单中的单位</w:t>
      </w:r>
      <w:r>
        <w:rPr>
          <w:rFonts w:hint="eastAsia" w:ascii="宋体" w:hAnsi="宋体" w:eastAsia="宋体" w:cs="宋体"/>
          <w:color w:val="000000" w:themeColor="text1"/>
          <w:spacing w:val="-1"/>
          <w:sz w:val="24"/>
          <w:szCs w:val="24"/>
          <w:highlight w:val="none"/>
          <w14:textFill>
            <w14:solidFill>
              <w14:schemeClr w14:val="tx1"/>
            </w14:solidFill>
          </w14:textFill>
        </w:rPr>
        <w:t>参加本次投标：</w:t>
      </w:r>
    </w:p>
    <w:tbl>
      <w:tblPr>
        <w:tblStyle w:val="12"/>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4034"/>
        <w:gridCol w:w="4836"/>
      </w:tblGrid>
      <w:tr w14:paraId="0ED6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89" w:type="dxa"/>
            <w:vAlign w:val="center"/>
          </w:tcPr>
          <w:p w14:paraId="57B8B0C9">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序号</w:t>
            </w:r>
          </w:p>
        </w:tc>
        <w:tc>
          <w:tcPr>
            <w:tcW w:w="4034" w:type="dxa"/>
            <w:vAlign w:val="center"/>
          </w:tcPr>
          <w:p w14:paraId="4DE43DA9">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单位名称</w:t>
            </w:r>
          </w:p>
        </w:tc>
        <w:tc>
          <w:tcPr>
            <w:tcW w:w="4836" w:type="dxa"/>
            <w:vAlign w:val="center"/>
          </w:tcPr>
          <w:p w14:paraId="46A5AD43">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拒绝原因</w:t>
            </w:r>
          </w:p>
        </w:tc>
      </w:tr>
      <w:tr w14:paraId="7009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9" w:type="dxa"/>
            <w:vAlign w:val="center"/>
          </w:tcPr>
          <w:p w14:paraId="42F57F86">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1</w:t>
            </w:r>
          </w:p>
        </w:tc>
        <w:tc>
          <w:tcPr>
            <w:tcW w:w="4034" w:type="dxa"/>
            <w:vAlign w:val="center"/>
          </w:tcPr>
          <w:p w14:paraId="764882D5">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无</w:t>
            </w:r>
          </w:p>
        </w:tc>
        <w:tc>
          <w:tcPr>
            <w:tcW w:w="4836" w:type="dxa"/>
            <w:vAlign w:val="center"/>
          </w:tcPr>
          <w:p w14:paraId="73FD199D">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snapToGrid w:val="0"/>
                <w:color w:val="000000" w:themeColor="text1"/>
                <w:kern w:val="0"/>
                <w:sz w:val="24"/>
                <w:szCs w:val="24"/>
                <w:highlight w:val="none"/>
                <w:lang w:val="en-US"/>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为招标人不具有独立法人资格的附属机构</w:t>
            </w:r>
          </w:p>
        </w:tc>
      </w:tr>
      <w:tr w14:paraId="61C6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89" w:type="dxa"/>
            <w:vAlign w:val="center"/>
          </w:tcPr>
          <w:p w14:paraId="775E0BD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2</w:t>
            </w:r>
          </w:p>
        </w:tc>
        <w:tc>
          <w:tcPr>
            <w:tcW w:w="4034" w:type="dxa"/>
            <w:vAlign w:val="center"/>
          </w:tcPr>
          <w:p w14:paraId="1CD1FB1D">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韶关市武江区人民政府新华街道办事处</w:t>
            </w:r>
          </w:p>
        </w:tc>
        <w:tc>
          <w:tcPr>
            <w:tcW w:w="4836" w:type="dxa"/>
            <w:vAlign w:val="center"/>
          </w:tcPr>
          <w:p w14:paraId="2188B903">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为本招标项目的业主单位</w:t>
            </w:r>
          </w:p>
        </w:tc>
      </w:tr>
      <w:tr w14:paraId="570F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89" w:type="dxa"/>
            <w:vAlign w:val="center"/>
          </w:tcPr>
          <w:p w14:paraId="4CCBB8A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3</w:t>
            </w:r>
          </w:p>
        </w:tc>
        <w:tc>
          <w:tcPr>
            <w:tcW w:w="4034" w:type="dxa"/>
            <w:vAlign w:val="center"/>
          </w:tcPr>
          <w:p w14:paraId="252C3449">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韶关市武江区人民政府新华街道办事处</w:t>
            </w:r>
          </w:p>
        </w:tc>
        <w:tc>
          <w:tcPr>
            <w:tcW w:w="4836" w:type="dxa"/>
            <w:vAlign w:val="center"/>
          </w:tcPr>
          <w:p w14:paraId="73F5347C">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为本招标项目的</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招标人</w:t>
            </w:r>
          </w:p>
        </w:tc>
      </w:tr>
      <w:tr w14:paraId="04FC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89" w:type="dxa"/>
            <w:vAlign w:val="center"/>
          </w:tcPr>
          <w:p w14:paraId="5A8C6CD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4</w:t>
            </w:r>
          </w:p>
        </w:tc>
        <w:tc>
          <w:tcPr>
            <w:tcW w:w="4034" w:type="dxa"/>
            <w:vAlign w:val="center"/>
          </w:tcPr>
          <w:p w14:paraId="7D0A334D">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中资锐诚工程项目管理有限公司</w:t>
            </w:r>
          </w:p>
        </w:tc>
        <w:tc>
          <w:tcPr>
            <w:tcW w:w="4836" w:type="dxa"/>
            <w:vAlign w:val="center"/>
          </w:tcPr>
          <w:p w14:paraId="766C61A2">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为本招标项目的</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概算审核单位</w:t>
            </w:r>
          </w:p>
        </w:tc>
      </w:tr>
      <w:tr w14:paraId="662F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89" w:type="dxa"/>
            <w:vAlign w:val="center"/>
          </w:tcPr>
          <w:p w14:paraId="1C35EEE9">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5</w:t>
            </w:r>
          </w:p>
        </w:tc>
        <w:tc>
          <w:tcPr>
            <w:tcW w:w="4034" w:type="dxa"/>
            <w:vAlign w:val="center"/>
          </w:tcPr>
          <w:p w14:paraId="570D2B57">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中诚圣苑工程设计有限公司</w:t>
            </w:r>
          </w:p>
        </w:tc>
        <w:tc>
          <w:tcPr>
            <w:tcW w:w="4836" w:type="dxa"/>
            <w:vAlign w:val="center"/>
          </w:tcPr>
          <w:p w14:paraId="619F2DFF">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为本招标项目的</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设计</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单位</w:t>
            </w:r>
          </w:p>
        </w:tc>
      </w:tr>
      <w:tr w14:paraId="4837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89" w:type="dxa"/>
            <w:vAlign w:val="center"/>
          </w:tcPr>
          <w:p w14:paraId="2525BDD3">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6</w:t>
            </w:r>
          </w:p>
        </w:tc>
        <w:tc>
          <w:tcPr>
            <w:tcW w:w="4034" w:type="dxa"/>
            <w:vAlign w:val="center"/>
          </w:tcPr>
          <w:p w14:paraId="22251DDF">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广东省华源建设项目管理有限公司</w:t>
            </w:r>
          </w:p>
        </w:tc>
        <w:tc>
          <w:tcPr>
            <w:tcW w:w="4836" w:type="dxa"/>
            <w:vAlign w:val="center"/>
          </w:tcPr>
          <w:p w14:paraId="2DA048A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宋体" w:hAnsi="宋体" w:eastAsia="宋体" w:cs="宋体"/>
                <w:iCs/>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为本招标项目的</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全过程造价</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单位</w:t>
            </w:r>
          </w:p>
        </w:tc>
      </w:tr>
      <w:tr w14:paraId="12AC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9" w:type="dxa"/>
            <w:vAlign w:val="center"/>
          </w:tcPr>
          <w:p w14:paraId="3B67016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7</w:t>
            </w:r>
          </w:p>
        </w:tc>
        <w:tc>
          <w:tcPr>
            <w:tcW w:w="4034" w:type="dxa"/>
            <w:vAlign w:val="center"/>
          </w:tcPr>
          <w:p w14:paraId="2947FE31">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广东合正项目管理有限公司</w:t>
            </w:r>
          </w:p>
        </w:tc>
        <w:tc>
          <w:tcPr>
            <w:tcW w:w="4836" w:type="dxa"/>
            <w:vAlign w:val="center"/>
          </w:tcPr>
          <w:p w14:paraId="73EA2488">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为本招标项目的招标代理机构</w:t>
            </w:r>
          </w:p>
        </w:tc>
      </w:tr>
      <w:tr w14:paraId="5B45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89" w:type="dxa"/>
            <w:vAlign w:val="center"/>
          </w:tcPr>
          <w:p w14:paraId="6FADD87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8</w:t>
            </w:r>
          </w:p>
        </w:tc>
        <w:tc>
          <w:tcPr>
            <w:tcW w:w="4034" w:type="dxa"/>
            <w:vAlign w:val="center"/>
          </w:tcPr>
          <w:p w14:paraId="43AD0628">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广东粤湾施工图审查有限公司</w:t>
            </w:r>
          </w:p>
        </w:tc>
        <w:tc>
          <w:tcPr>
            <w:tcW w:w="4836" w:type="dxa"/>
            <w:vAlign w:val="center"/>
          </w:tcPr>
          <w:p w14:paraId="6AAC9D72">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iCs/>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为本招标项目的</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审图单位</w:t>
            </w:r>
          </w:p>
        </w:tc>
      </w:tr>
      <w:tr w14:paraId="78E8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89" w:type="dxa"/>
            <w:vAlign w:val="center"/>
          </w:tcPr>
          <w:p w14:paraId="31DCC9D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9</w:t>
            </w:r>
          </w:p>
        </w:tc>
        <w:tc>
          <w:tcPr>
            <w:tcW w:w="4034" w:type="dxa"/>
            <w:vAlign w:val="center"/>
          </w:tcPr>
          <w:p w14:paraId="7102E4C3">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待定</w:t>
            </w:r>
          </w:p>
        </w:tc>
        <w:tc>
          <w:tcPr>
            <w:tcW w:w="4836" w:type="dxa"/>
            <w:vAlign w:val="center"/>
          </w:tcPr>
          <w:p w14:paraId="386E3CB1">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为本招标项目的</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监理单位</w:t>
            </w:r>
          </w:p>
        </w:tc>
      </w:tr>
    </w:tbl>
    <w:p w14:paraId="1227243E">
      <w:pPr>
        <w:spacing w:line="93" w:lineRule="auto"/>
        <w:rPr>
          <w:rFonts w:hint="eastAsia" w:ascii="宋体" w:hAnsi="宋体" w:eastAsia="宋体" w:cs="宋体"/>
          <w:color w:val="000000" w:themeColor="text1"/>
          <w:sz w:val="2"/>
          <w:highlight w:val="none"/>
          <w14:textFill>
            <w14:solidFill>
              <w14:schemeClr w14:val="tx1"/>
            </w14:solidFill>
          </w14:textFill>
        </w:rPr>
      </w:pPr>
    </w:p>
    <w:p w14:paraId="103B6326">
      <w:pPr>
        <w:spacing w:before="153" w:line="221" w:lineRule="auto"/>
        <w:ind w:left="70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2.5  </w:t>
      </w:r>
      <w:r>
        <w:rPr>
          <w:rFonts w:hint="eastAsia" w:ascii="宋体" w:hAnsi="宋体" w:eastAsia="宋体" w:cs="宋体"/>
          <w:color w:val="000000" w:themeColor="text1"/>
          <w:spacing w:val="-1"/>
          <w:sz w:val="24"/>
          <w:szCs w:val="24"/>
          <w:highlight w:val="none"/>
          <w14:textFill>
            <w14:solidFill>
              <w14:schemeClr w14:val="tx1"/>
            </w14:solidFill>
          </w14:textFill>
        </w:rPr>
        <w:t>其他要求</w:t>
      </w:r>
    </w:p>
    <w:p w14:paraId="52CC1666">
      <w:pPr>
        <w:spacing w:before="150" w:line="334" w:lineRule="auto"/>
        <w:ind w:left="232" w:right="99" w:firstLine="48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省外企业及其拟派往本项目管理机构的所有人员均须按照《广东省住房和城乡建设厅关于取消省外建筑企业和人员进粤信息备案有关工作的通知》（粤建市﹝2015 ﹞52 号）规定在“进粤企业和人员诚信信息登记平台 ”录入相关信息并通过数据规范检查。</w:t>
      </w:r>
    </w:p>
    <w:p w14:paraId="495DD04A">
      <w:pPr>
        <w:pStyle w:val="5"/>
        <w:spacing w:line="273" w:lineRule="auto"/>
        <w:rPr>
          <w:rFonts w:hint="eastAsia" w:ascii="宋体" w:hAnsi="宋体" w:eastAsia="宋体" w:cs="宋体"/>
          <w:color w:val="000000" w:themeColor="text1"/>
          <w:highlight w:val="none"/>
          <w14:textFill>
            <w14:solidFill>
              <w14:schemeClr w14:val="tx1"/>
            </w14:solidFill>
          </w14:textFill>
        </w:rPr>
      </w:pPr>
    </w:p>
    <w:p w14:paraId="1FE05A34">
      <w:pPr>
        <w:spacing w:before="79" w:line="220" w:lineRule="auto"/>
        <w:ind w:left="715"/>
        <w:outlineLvl w:val="2"/>
        <w:rPr>
          <w:rFonts w:hint="eastAsia" w:ascii="宋体" w:hAnsi="宋体" w:eastAsia="宋体" w:cs="宋体"/>
          <w:color w:val="000000" w:themeColor="text1"/>
          <w:sz w:val="24"/>
          <w:szCs w:val="24"/>
          <w:highlight w:val="none"/>
          <w14:textFill>
            <w14:solidFill>
              <w14:schemeClr w14:val="tx1"/>
            </w14:solidFill>
          </w14:textFill>
        </w:rPr>
      </w:pPr>
      <w:bookmarkStart w:id="23" w:name="_Toc7079"/>
      <w:bookmarkStart w:id="24" w:name="_Toc23243"/>
      <w:r>
        <w:rPr>
          <w:rFonts w:hint="eastAsia" w:ascii="宋体" w:hAnsi="宋体" w:eastAsia="宋体" w:cs="宋体"/>
          <w:b/>
          <w:bCs/>
          <w:color w:val="000000" w:themeColor="text1"/>
          <w:spacing w:val="-4"/>
          <w:sz w:val="24"/>
          <w:szCs w:val="24"/>
          <w:highlight w:val="none"/>
          <w14:textFill>
            <w14:solidFill>
              <w14:schemeClr w14:val="tx1"/>
            </w14:solidFill>
          </w14:textFill>
        </w:rPr>
        <w:t>3．招标文件的获取</w:t>
      </w:r>
      <w:bookmarkEnd w:id="23"/>
      <w:bookmarkEnd w:id="24"/>
    </w:p>
    <w:p w14:paraId="58025C1D">
      <w:pPr>
        <w:spacing w:before="182" w:line="219" w:lineRule="auto"/>
        <w:ind w:left="70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3.1  </w:t>
      </w:r>
      <w:r>
        <w:rPr>
          <w:rFonts w:hint="eastAsia" w:ascii="宋体" w:hAnsi="宋体" w:eastAsia="宋体" w:cs="宋体"/>
          <w:color w:val="000000" w:themeColor="text1"/>
          <w:spacing w:val="-1"/>
          <w:sz w:val="24"/>
          <w:szCs w:val="24"/>
          <w:highlight w:val="none"/>
          <w14:textFill>
            <w14:solidFill>
              <w14:schemeClr w14:val="tx1"/>
            </w14:solidFill>
          </w14:textFill>
        </w:rPr>
        <w:t>本次招标实行电子投标。</w:t>
      </w:r>
    </w:p>
    <w:p w14:paraId="29156863">
      <w:pPr>
        <w:spacing w:before="178" w:line="355" w:lineRule="auto"/>
        <w:ind w:left="229" w:firstLine="48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本次招标实行电子投标。本项目招标文件随招标公</w:t>
      </w:r>
      <w:r>
        <w:rPr>
          <w:rFonts w:hint="eastAsia" w:ascii="宋体" w:hAnsi="宋体" w:eastAsia="宋体" w:cs="宋体"/>
          <w:color w:val="000000" w:themeColor="text1"/>
          <w:spacing w:val="-2"/>
          <w:sz w:val="24"/>
          <w:szCs w:val="24"/>
          <w:highlight w:val="none"/>
          <w14:textFill>
            <w14:solidFill>
              <w14:schemeClr w14:val="tx1"/>
            </w14:solidFill>
          </w14:textFill>
        </w:rPr>
        <w:t>告一并在全国公共资源交易平</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台（广东省</w:t>
      </w:r>
      <w:r>
        <w:rPr>
          <w:rFonts w:hint="eastAsia" w:ascii="宋体" w:hAnsi="宋体" w:eastAsia="宋体" w:cs="宋体"/>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·韶关市</w:t>
      </w:r>
      <w:r>
        <w:rPr>
          <w:rFonts w:hint="eastAsia" w:ascii="宋体" w:hAnsi="宋体" w:eastAsia="宋体" w:cs="宋体"/>
          <w:color w:val="000000" w:themeColor="text1"/>
          <w:spacing w:val="-56"/>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https://yg</w:t>
      </w:r>
      <w:r>
        <w:rPr>
          <w:rFonts w:hint="eastAsia" w:ascii="宋体" w:hAnsi="宋体" w:eastAsia="宋体" w:cs="宋体"/>
          <w:color w:val="000000" w:themeColor="text1"/>
          <w:spacing w:val="-3"/>
          <w:sz w:val="24"/>
          <w:szCs w:val="24"/>
          <w:highlight w:val="none"/>
          <w14:textFill>
            <w14:solidFill>
              <w14:schemeClr w14:val="tx1"/>
            </w14:solidFill>
          </w14:textFill>
        </w:rPr>
        <w:t>p.gdzwfw.gov.cn/ggzy-portal/#/440200/index）</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网站发布。招标文件一经发布，视为发送投标人，招标文件及相</w:t>
      </w:r>
      <w:r>
        <w:rPr>
          <w:rFonts w:hint="eastAsia" w:ascii="宋体" w:hAnsi="宋体" w:eastAsia="宋体" w:cs="宋体"/>
          <w:color w:val="000000" w:themeColor="text1"/>
          <w:spacing w:val="-2"/>
          <w:sz w:val="24"/>
          <w:szCs w:val="24"/>
          <w:highlight w:val="none"/>
          <w14:textFill>
            <w14:solidFill>
              <w14:schemeClr w14:val="tx1"/>
            </w14:solidFill>
          </w14:textFill>
        </w:rPr>
        <w:t>关附件由投标人自行</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在全国公共资源交易平台（广东省</w:t>
      </w:r>
      <w:r>
        <w:rPr>
          <w:rFonts w:hint="eastAsia" w:ascii="宋体" w:hAnsi="宋体" w:eastAsia="宋体" w:cs="宋体"/>
          <w:color w:val="000000" w:themeColor="text1"/>
          <w:spacing w:val="-2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·韶关市）网站下载。请于招标文件获取期间,（见</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本章第二节“重要事项时间地点一览表</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”）招标文件获取期间与招标公告发</w:t>
      </w:r>
      <w:r>
        <w:rPr>
          <w:rFonts w:hint="eastAsia" w:ascii="宋体" w:hAnsi="宋体" w:eastAsia="宋体" w:cs="宋体"/>
          <w:color w:val="000000" w:themeColor="text1"/>
          <w:spacing w:val="-3"/>
          <w:sz w:val="24"/>
          <w:szCs w:val="24"/>
          <w:highlight w:val="none"/>
          <w14:textFill>
            <w14:solidFill>
              <w14:schemeClr w14:val="tx1"/>
            </w14:solidFill>
          </w14:textFill>
        </w:rPr>
        <w:t>布时间一</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致，投标人须登录全国公共资源交易平台（广东省</w:t>
      </w:r>
      <w:r>
        <w:rPr>
          <w:rFonts w:hint="eastAsia" w:ascii="宋体" w:hAnsi="宋体" w:eastAsia="宋体" w:cs="宋体"/>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·韶关市</w:t>
      </w:r>
      <w:r>
        <w:rPr>
          <w:rFonts w:hint="eastAsia" w:ascii="宋体" w:hAnsi="宋体" w:eastAsia="宋体" w:cs="宋体"/>
          <w:color w:val="000000" w:themeColor="text1"/>
          <w:spacing w:val="-40"/>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https://ygp.gdzwfw.</w:t>
      </w:r>
      <w:r>
        <w:rPr>
          <w:rFonts w:hint="eastAsia" w:ascii="宋体" w:hAnsi="宋体" w:eastAsia="宋体" w:cs="宋体"/>
          <w:color w:val="000000" w:themeColor="text1"/>
          <w:sz w:val="24"/>
          <w:szCs w:val="24"/>
          <w:highlight w:val="none"/>
          <w14:textFill>
            <w14:solidFill>
              <w14:schemeClr w14:val="tx1"/>
            </w14:solidFill>
          </w14:textFill>
        </w:rPr>
        <w:t xml:space="preserve">  gov</w:t>
      </w: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cn</w:t>
      </w: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ggzy</w:t>
      </w: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portal</w:t>
      </w:r>
      <w:r>
        <w:rPr>
          <w:rFonts w:hint="eastAsia" w:ascii="宋体" w:hAnsi="宋体" w:eastAsia="宋体" w:cs="宋体"/>
          <w:color w:val="000000" w:themeColor="text1"/>
          <w:spacing w:val="2"/>
          <w:sz w:val="24"/>
          <w:szCs w:val="24"/>
          <w:highlight w:val="none"/>
          <w14:textFill>
            <w14:solidFill>
              <w14:schemeClr w14:val="tx1"/>
            </w14:solidFill>
          </w14:textFill>
        </w:rPr>
        <w:t>/#/440200/</w:t>
      </w:r>
      <w:r>
        <w:rPr>
          <w:rFonts w:hint="eastAsia" w:ascii="宋体" w:hAnsi="宋体" w:eastAsia="宋体" w:cs="宋体"/>
          <w:color w:val="000000" w:themeColor="text1"/>
          <w:sz w:val="24"/>
          <w:szCs w:val="24"/>
          <w:highlight w:val="none"/>
          <w14:textFill>
            <w14:solidFill>
              <w14:schemeClr w14:val="tx1"/>
            </w14:solidFill>
          </w14:textFill>
        </w:rPr>
        <w:t>index</w:t>
      </w:r>
      <w:r>
        <w:rPr>
          <w:rFonts w:hint="eastAsia" w:ascii="宋体" w:hAnsi="宋体" w:eastAsia="宋体" w:cs="宋体"/>
          <w:color w:val="000000" w:themeColor="text1"/>
          <w:spacing w:val="7"/>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使用新建设工程交易系统进行下载</w:t>
      </w:r>
      <w:r>
        <w:rPr>
          <w:rFonts w:hint="eastAsia" w:ascii="宋体" w:hAnsi="宋体" w:eastAsia="宋体" w:cs="宋体"/>
          <w:color w:val="000000" w:themeColor="text1"/>
          <w:spacing w:val="1"/>
          <w:sz w:val="24"/>
          <w:szCs w:val="24"/>
          <w:highlight w:val="none"/>
          <w14:textFill>
            <w14:solidFill>
              <w14:schemeClr w14:val="tx1"/>
            </w14:solidFill>
          </w14:textFill>
        </w:rPr>
        <w:t>招标文</w:t>
      </w:r>
      <w:r>
        <w:rPr>
          <w:rFonts w:hint="eastAsia" w:ascii="宋体" w:hAnsi="宋体" w:eastAsia="宋体" w:cs="宋体"/>
          <w:color w:val="000000" w:themeColor="text1"/>
          <w:spacing w:val="-6"/>
          <w:sz w:val="24"/>
          <w:szCs w:val="24"/>
          <w:highlight w:val="none"/>
          <w14:textFill>
            <w14:solidFill>
              <w14:schemeClr w14:val="tx1"/>
            </w14:solidFill>
          </w14:textFill>
        </w:rPr>
        <w:t>件及相关附件，并于电子投标截止时间（见本章第二节“重要事项时间地点一览表</w:t>
      </w:r>
      <w:r>
        <w:rPr>
          <w:rFonts w:hint="eastAsia" w:ascii="宋体" w:hAnsi="宋体" w:eastAsia="宋体" w:cs="宋体"/>
          <w:color w:val="000000" w:themeColor="text1"/>
          <w:spacing w:val="-7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前完成电子投标。投标人可登录全国公共资源交易平</w:t>
      </w:r>
      <w:r>
        <w:rPr>
          <w:rFonts w:hint="eastAsia" w:ascii="宋体" w:hAnsi="宋体" w:eastAsia="宋体" w:cs="宋体"/>
          <w:color w:val="000000" w:themeColor="text1"/>
          <w:spacing w:val="-3"/>
          <w:sz w:val="24"/>
          <w:szCs w:val="24"/>
          <w:highlight w:val="none"/>
          <w14:textFill>
            <w14:solidFill>
              <w14:schemeClr w14:val="tx1"/>
            </w14:solidFill>
          </w14:textFill>
        </w:rPr>
        <w:t>台（广东省</w:t>
      </w:r>
      <w:r>
        <w:rPr>
          <w:rFonts w:hint="eastAsia" w:ascii="宋体" w:hAnsi="宋体" w:eastAsia="宋体" w:cs="宋体"/>
          <w:color w:val="000000" w:themeColor="text1"/>
          <w:spacing w:val="-2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·韶关市</w:t>
      </w:r>
      <w:r>
        <w:rPr>
          <w:rFonts w:hint="eastAsia" w:ascii="宋体" w:hAnsi="宋体" w:eastAsia="宋体" w:cs="宋体"/>
          <w:color w:val="000000" w:themeColor="text1"/>
          <w:spacing w:val="-25"/>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https:</w:t>
      </w:r>
      <w:r>
        <w:rPr>
          <w:rFonts w:hint="eastAsia" w:ascii="宋体" w:hAnsi="宋体" w:eastAsia="宋体" w:cs="宋体"/>
          <w:color w:val="000000" w:themeColor="text1"/>
          <w:sz w:val="24"/>
          <w:szCs w:val="24"/>
          <w:highlight w:val="none"/>
          <w14:textFill>
            <w14:solidFill>
              <w14:schemeClr w14:val="tx1"/>
            </w14:solidFill>
          </w14:textFill>
        </w:rPr>
        <w:t xml:space="preserve">  //ygp.gdzwfw.gov.cn/ggz</w:t>
      </w:r>
      <w:r>
        <w:rPr>
          <w:rFonts w:hint="eastAsia" w:ascii="宋体" w:hAnsi="宋体" w:eastAsia="宋体" w:cs="宋体"/>
          <w:color w:val="000000" w:themeColor="text1"/>
          <w:spacing w:val="-1"/>
          <w:sz w:val="24"/>
          <w:szCs w:val="24"/>
          <w:highlight w:val="none"/>
          <w14:textFill>
            <w14:solidFill>
              <w14:schemeClr w14:val="tx1"/>
            </w14:solidFill>
          </w14:textFill>
        </w:rPr>
        <w:t>y-portal/#/440200/index</w:t>
      </w:r>
      <w:r>
        <w:rPr>
          <w:rFonts w:hint="eastAsia" w:ascii="宋体" w:hAnsi="宋体" w:eastAsia="宋体" w:cs="宋体"/>
          <w:color w:val="000000" w:themeColor="text1"/>
          <w:spacing w:val="-6"/>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在【服务指南】栏目中建设</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工程交易中下载《韶关市公共资源建设工程交易系统-投</w:t>
      </w:r>
      <w:r>
        <w:rPr>
          <w:rFonts w:hint="eastAsia" w:ascii="宋体" w:hAnsi="宋体" w:eastAsia="宋体" w:cs="宋体"/>
          <w:color w:val="000000" w:themeColor="text1"/>
          <w:spacing w:val="-1"/>
          <w:sz w:val="24"/>
          <w:szCs w:val="24"/>
          <w:highlight w:val="none"/>
          <w14:textFill>
            <w14:solidFill>
              <w14:schemeClr w14:val="tx1"/>
            </w14:solidFill>
          </w14:textFill>
        </w:rPr>
        <w:t>标人操作指南（电子评标）》 （附件 2），了解网上获取招标文件操作流程。技术咨询电话：0751-837</w:t>
      </w:r>
      <w:r>
        <w:rPr>
          <w:rFonts w:hint="eastAsia" w:ascii="宋体" w:hAnsi="宋体" w:eastAsia="宋体" w:cs="宋体"/>
          <w:color w:val="000000" w:themeColor="text1"/>
          <w:spacing w:val="-4"/>
          <w:sz w:val="24"/>
          <w:szCs w:val="24"/>
          <w:highlight w:val="none"/>
          <w14:textFill>
            <w14:solidFill>
              <w14:schemeClr w14:val="tx1"/>
            </w14:solidFill>
          </w14:textFill>
        </w:rPr>
        <w:t>9671 伍</w:t>
      </w:r>
      <w:r>
        <w:rPr>
          <w:rFonts w:hint="eastAsia" w:ascii="宋体" w:hAnsi="宋体" w:eastAsia="宋体" w:cs="宋体"/>
          <w:color w:val="000000" w:themeColor="text1"/>
          <w:spacing w:val="-5"/>
          <w:sz w:val="24"/>
          <w:szCs w:val="24"/>
          <w:highlight w:val="none"/>
          <w14:textFill>
            <w14:solidFill>
              <w14:schemeClr w14:val="tx1"/>
            </w14:solidFill>
          </w14:textFill>
        </w:rPr>
        <w:t>先生，</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业务咨询电话：0751-8633211、8633071。</w:t>
      </w:r>
    </w:p>
    <w:p w14:paraId="039A8FB6">
      <w:pPr>
        <w:spacing w:before="142" w:line="330" w:lineRule="auto"/>
        <w:ind w:left="11" w:right="105" w:firstLine="473"/>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3.2  </w:t>
      </w:r>
      <w:r>
        <w:rPr>
          <w:rFonts w:hint="eastAsia" w:ascii="宋体" w:hAnsi="宋体" w:eastAsia="宋体" w:cs="宋体"/>
          <w:color w:val="000000" w:themeColor="text1"/>
          <w:spacing w:val="-1"/>
          <w:sz w:val="24"/>
          <w:szCs w:val="24"/>
          <w:highlight w:val="none"/>
          <w14:textFill>
            <w14:solidFill>
              <w14:schemeClr w14:val="tx1"/>
            </w14:solidFill>
          </w14:textFill>
        </w:rPr>
        <w:t>只有申领了数字证书（CA）、“粤企签</w:t>
      </w:r>
      <w:r>
        <w:rPr>
          <w:rFonts w:hint="eastAsia" w:ascii="宋体" w:hAnsi="宋体" w:eastAsia="宋体" w:cs="宋体"/>
          <w:color w:val="000000" w:themeColor="text1"/>
          <w:spacing w:val="-7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”或</w:t>
      </w:r>
      <w:r>
        <w:rPr>
          <w:rFonts w:hint="eastAsia" w:ascii="宋体" w:hAnsi="宋体" w:eastAsia="宋体" w:cs="宋体"/>
          <w:color w:val="000000" w:themeColor="text1"/>
          <w:spacing w:val="-5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GDCA/SZCA/NETCA</w:t>
      </w:r>
      <w:r>
        <w:rPr>
          <w:rFonts w:hint="eastAsia" w:ascii="宋体" w:hAnsi="宋体" w:eastAsia="宋体" w:cs="宋体"/>
          <w:color w:val="000000" w:themeColor="text1"/>
          <w:spacing w:val="-4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等符合法律法</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规规定的电子印章，并在交易系统中完成企业信息数据入库</w:t>
      </w:r>
      <w:r>
        <w:rPr>
          <w:rFonts w:hint="eastAsia" w:ascii="宋体" w:hAnsi="宋体" w:eastAsia="宋体" w:cs="宋体"/>
          <w:color w:val="000000" w:themeColor="text1"/>
          <w:spacing w:val="-2"/>
          <w:sz w:val="24"/>
          <w:szCs w:val="24"/>
          <w:highlight w:val="none"/>
          <w14:textFill>
            <w14:solidFill>
              <w14:schemeClr w14:val="tx1"/>
            </w14:solidFill>
          </w14:textFill>
        </w:rPr>
        <w:t>的投标人，方可使用建设</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工程交易系统进行招标文件及附件获取和电子投标。</w:t>
      </w:r>
    </w:p>
    <w:p w14:paraId="2FE752CB">
      <w:pPr>
        <w:spacing w:before="32" w:line="332" w:lineRule="auto"/>
        <w:ind w:left="10" w:right="90" w:firstLine="483"/>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首次在韶关市参与建设工程招标投标活动的</w:t>
      </w:r>
      <w:r>
        <w:rPr>
          <w:rFonts w:hint="eastAsia" w:ascii="宋体" w:hAnsi="宋体" w:eastAsia="宋体" w:cs="宋体"/>
          <w:color w:val="000000" w:themeColor="text1"/>
          <w:spacing w:val="-2"/>
          <w:sz w:val="24"/>
          <w:szCs w:val="24"/>
          <w:highlight w:val="none"/>
          <w14:textFill>
            <w14:solidFill>
              <w14:schemeClr w14:val="tx1"/>
            </w14:solidFill>
          </w14:textFill>
        </w:rPr>
        <w:t>投标人，必须在平台系统上传企业相</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关资料办理企业入库事宜。投标人可登录全国公共资源</w:t>
      </w:r>
      <w:r>
        <w:rPr>
          <w:rFonts w:hint="eastAsia" w:ascii="宋体" w:hAnsi="宋体" w:eastAsia="宋体" w:cs="宋体"/>
          <w:color w:val="000000" w:themeColor="text1"/>
          <w:spacing w:val="-4"/>
          <w:sz w:val="24"/>
          <w:szCs w:val="24"/>
          <w:highlight w:val="none"/>
          <w14:textFill>
            <w14:solidFill>
              <w14:schemeClr w14:val="tx1"/>
            </w14:solidFill>
          </w14:textFill>
        </w:rPr>
        <w:t>交易平台（广东省</w:t>
      </w:r>
      <w:r>
        <w:rPr>
          <w:rFonts w:hint="eastAsia" w:ascii="宋体" w:hAnsi="宋体" w:eastAsia="宋体" w:cs="宋体"/>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·韶关市）</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"https://ygp.gdzwfw.gov.cn/ggzy-portal/#/440200/index"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pacing w:val="-1"/>
          <w:sz w:val="24"/>
          <w:szCs w:val="24"/>
          <w:highlight w:val="none"/>
          <w14:textFill>
            <w14:solidFill>
              <w14:schemeClr w14:val="tx1"/>
            </w14:solidFill>
          </w14:textFill>
        </w:rPr>
        <w:t>https://ygp.gdzwfw.gov.cn/ggzy-portal/#/440200/index</w:t>
      </w:r>
      <w:r>
        <w:rPr>
          <w:rFonts w:hint="eastAsia" w:ascii="宋体" w:hAnsi="宋体" w:eastAsia="宋体" w:cs="宋体"/>
          <w:color w:val="000000" w:themeColor="text1"/>
          <w:spacing w:val="-1"/>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1"/>
          <w:sz w:val="24"/>
          <w:szCs w:val="24"/>
          <w:highlight w:val="none"/>
          <w14:textFill>
            <w14:solidFill>
              <w14:schemeClr w14:val="tx1"/>
            </w14:solidFill>
          </w14:textFill>
        </w:rPr>
        <w:t>）办理企业入库、数字</w:t>
      </w:r>
      <w:r>
        <w:rPr>
          <w:rFonts w:hint="eastAsia" w:ascii="宋体" w:hAnsi="宋体" w:eastAsia="宋体" w:cs="宋体"/>
          <w:color w:val="000000" w:themeColor="text1"/>
          <w:spacing w:val="1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证书及电子印章事宜，具体请在平台查阅相应的交易指引。</w:t>
      </w:r>
    </w:p>
    <w:p w14:paraId="6F360068">
      <w:pPr>
        <w:spacing w:before="37" w:line="329" w:lineRule="auto"/>
        <w:ind w:left="9" w:right="105" w:firstLine="507"/>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已入库企业有关信息（如单位名称、基本账号、资质、人员等）发生变化</w:t>
      </w:r>
      <w:r>
        <w:rPr>
          <w:rFonts w:hint="eastAsia" w:ascii="宋体" w:hAnsi="宋体" w:eastAsia="宋体" w:cs="宋体"/>
          <w:color w:val="000000" w:themeColor="text1"/>
          <w:spacing w:val="-3"/>
          <w:sz w:val="24"/>
          <w:szCs w:val="24"/>
          <w:highlight w:val="none"/>
          <w14:textFill>
            <w14:solidFill>
              <w14:schemeClr w14:val="tx1"/>
            </w14:solidFill>
          </w14:textFill>
        </w:rPr>
        <w:t>的，须</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及时在交易系统进行相应变更。投标人未及时变更信息而造成的</w:t>
      </w:r>
      <w:r>
        <w:rPr>
          <w:rFonts w:hint="eastAsia" w:ascii="宋体" w:hAnsi="宋体" w:eastAsia="宋体" w:cs="宋体"/>
          <w:color w:val="000000" w:themeColor="text1"/>
          <w:spacing w:val="-2"/>
          <w:sz w:val="24"/>
          <w:szCs w:val="24"/>
          <w:highlight w:val="none"/>
          <w14:textFill>
            <w14:solidFill>
              <w14:schemeClr w14:val="tx1"/>
            </w14:solidFill>
          </w14:textFill>
        </w:rPr>
        <w:t>损失和后果，由投标</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人自行承担。</w:t>
      </w:r>
    </w:p>
    <w:p w14:paraId="1BE8084A">
      <w:pPr>
        <w:spacing w:before="33" w:line="335" w:lineRule="auto"/>
        <w:ind w:left="10" w:right="105" w:firstLine="50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电子印章：是指获得国家工业和信息化部颁发的《电子认证服务许可</w:t>
      </w:r>
      <w:r>
        <w:rPr>
          <w:rFonts w:hint="eastAsia" w:ascii="宋体" w:hAnsi="宋体" w:eastAsia="宋体" w:cs="宋体"/>
          <w:color w:val="000000" w:themeColor="text1"/>
          <w:spacing w:val="-3"/>
          <w:sz w:val="24"/>
          <w:szCs w:val="24"/>
          <w:highlight w:val="none"/>
          <w14:textFill>
            <w14:solidFill>
              <w14:schemeClr w14:val="tx1"/>
            </w14:solidFill>
          </w14:textFill>
        </w:rPr>
        <w:t>证》、国家</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密码管理局颁发的《电子认证服务使用密码许可证》等资质，</w:t>
      </w:r>
      <w:r>
        <w:rPr>
          <w:rFonts w:hint="eastAsia" w:ascii="宋体" w:hAnsi="宋体" w:eastAsia="宋体" w:cs="宋体"/>
          <w:color w:val="000000" w:themeColor="text1"/>
          <w:spacing w:val="-2"/>
          <w:sz w:val="24"/>
          <w:szCs w:val="24"/>
          <w:highlight w:val="none"/>
          <w14:textFill>
            <w14:solidFill>
              <w14:schemeClr w14:val="tx1"/>
            </w14:solidFill>
          </w14:textFill>
        </w:rPr>
        <w:t>具备承担因数字证书原</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因产生纠纷的相关责任的能力，且在广东省内具有数量基础和</w:t>
      </w:r>
      <w:r>
        <w:rPr>
          <w:rFonts w:hint="eastAsia" w:ascii="宋体" w:hAnsi="宋体" w:eastAsia="宋体" w:cs="宋体"/>
          <w:color w:val="000000" w:themeColor="text1"/>
          <w:spacing w:val="-2"/>
          <w:sz w:val="24"/>
          <w:szCs w:val="24"/>
          <w:highlight w:val="none"/>
          <w14:textFill>
            <w14:solidFill>
              <w14:schemeClr w14:val="tx1"/>
            </w14:solidFill>
          </w14:textFill>
        </w:rPr>
        <w:t>服务能力的依法设立的</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电子认证服务机构签发的电子签章认证证书（即</w:t>
      </w:r>
      <w:r>
        <w:rPr>
          <w:rFonts w:hint="eastAsia" w:ascii="宋体" w:hAnsi="宋体" w:eastAsia="宋体" w:cs="宋体"/>
          <w:color w:val="000000" w:themeColor="text1"/>
          <w:sz w:val="24"/>
          <w:szCs w:val="24"/>
          <w:highlight w:val="none"/>
          <w14:textFill>
            <w14:solidFill>
              <w14:schemeClr w14:val="tx1"/>
            </w14:solidFill>
          </w14:textFill>
        </w:rPr>
        <w:t>CA</w:t>
      </w:r>
      <w:r>
        <w:rPr>
          <w:rFonts w:hint="eastAsia" w:ascii="宋体" w:hAnsi="宋体" w:eastAsia="宋体" w:cs="宋体"/>
          <w:color w:val="000000" w:themeColor="text1"/>
          <w:spacing w:val="-3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数字证书）。投标人应当到相关</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服务机构办理并取得数字证书介质和应用。电子印章包括机构</w:t>
      </w:r>
      <w:r>
        <w:rPr>
          <w:rFonts w:hint="eastAsia" w:ascii="宋体" w:hAnsi="宋体" w:eastAsia="宋体" w:cs="宋体"/>
          <w:color w:val="000000" w:themeColor="text1"/>
          <w:spacing w:val="-2"/>
          <w:sz w:val="24"/>
          <w:szCs w:val="24"/>
          <w:highlight w:val="none"/>
          <w14:textFill>
            <w14:solidFill>
              <w14:schemeClr w14:val="tx1"/>
            </w14:solidFill>
          </w14:textFill>
        </w:rPr>
        <w:t>法人电子形式印章，单</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位法定代表人、被委托人及其他个人的电子形式印章。电子印</w:t>
      </w:r>
      <w:r>
        <w:rPr>
          <w:rFonts w:hint="eastAsia" w:ascii="宋体" w:hAnsi="宋体" w:eastAsia="宋体" w:cs="宋体"/>
          <w:color w:val="000000" w:themeColor="text1"/>
          <w:spacing w:val="-2"/>
          <w:sz w:val="24"/>
          <w:szCs w:val="24"/>
          <w:highlight w:val="none"/>
          <w14:textFill>
            <w14:solidFill>
              <w14:schemeClr w14:val="tx1"/>
            </w14:solidFill>
          </w14:textFill>
        </w:rPr>
        <w:t>章与手写签名或者盖章</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具有同等的法律效力。</w:t>
      </w:r>
    </w:p>
    <w:p w14:paraId="40CA127C">
      <w:pPr>
        <w:spacing w:before="33" w:line="221" w:lineRule="auto"/>
        <w:ind w:left="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3.3</w:t>
      </w:r>
      <w:r>
        <w:rPr>
          <w:rFonts w:hint="eastAsia" w:ascii="宋体" w:hAnsi="宋体" w:eastAsia="宋体" w:cs="宋体"/>
          <w:b/>
          <w:bCs/>
          <w:color w:val="000000" w:themeColor="text1"/>
          <w:spacing w:val="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投标保证</w:t>
      </w:r>
    </w:p>
    <w:p w14:paraId="734994B7">
      <w:pPr>
        <w:spacing w:before="152" w:line="280" w:lineRule="auto"/>
        <w:ind w:left="8" w:right="105" w:firstLine="47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3.3.1  </w:t>
      </w:r>
      <w:r>
        <w:rPr>
          <w:rFonts w:hint="eastAsia" w:ascii="宋体" w:hAnsi="宋体" w:eastAsia="宋体" w:cs="宋体"/>
          <w:color w:val="000000" w:themeColor="text1"/>
          <w:spacing w:val="-1"/>
          <w:sz w:val="24"/>
          <w:szCs w:val="24"/>
          <w:highlight w:val="none"/>
          <w14:textFill>
            <w14:solidFill>
              <w14:schemeClr w14:val="tx1"/>
            </w14:solidFill>
          </w14:textFill>
        </w:rPr>
        <w:t>投标人须缴纳金额为</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10万元</w:t>
      </w:r>
      <w:r>
        <w:rPr>
          <w:rFonts w:hint="eastAsia" w:ascii="宋体" w:hAnsi="宋体" w:eastAsia="宋体" w:cs="宋体"/>
          <w:color w:val="000000" w:themeColor="text1"/>
          <w:spacing w:val="-1"/>
          <w:sz w:val="24"/>
          <w:szCs w:val="24"/>
          <w:highlight w:val="none"/>
          <w14:textFill>
            <w14:solidFill>
              <w14:schemeClr w14:val="tx1"/>
            </w14:solidFill>
          </w14:textFill>
        </w:rPr>
        <w:t>人民币的投标保证。 联合体投标的，由联合体牵头人</w:t>
      </w:r>
      <w:r>
        <w:rPr>
          <w:rFonts w:hint="eastAsia" w:ascii="宋体" w:hAnsi="宋体" w:eastAsia="宋体" w:cs="宋体"/>
          <w:color w:val="000000" w:themeColor="text1"/>
          <w:spacing w:val="-3"/>
          <w:sz w:val="24"/>
          <w:szCs w:val="24"/>
          <w:highlight w:val="none"/>
          <w14:textFill>
            <w14:solidFill>
              <w14:schemeClr w14:val="tx1"/>
            </w14:solidFill>
          </w14:textFill>
        </w:rPr>
        <w:t>缴纳。</w:t>
      </w:r>
    </w:p>
    <w:p w14:paraId="5595FFDA">
      <w:pPr>
        <w:spacing w:before="35" w:line="325" w:lineRule="auto"/>
        <w:ind w:left="12" w:right="108" w:firstLine="47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3.3.2  </w:t>
      </w:r>
      <w:r>
        <w:rPr>
          <w:rFonts w:hint="eastAsia" w:ascii="宋体" w:hAnsi="宋体" w:eastAsia="宋体" w:cs="宋体"/>
          <w:color w:val="000000" w:themeColor="text1"/>
          <w:spacing w:val="2"/>
          <w:sz w:val="24"/>
          <w:szCs w:val="24"/>
          <w:highlight w:val="none"/>
          <w14:textFill>
            <w14:solidFill>
              <w14:schemeClr w14:val="tx1"/>
            </w14:solidFill>
          </w14:textFill>
        </w:rPr>
        <w:t>投标保证的形式包括投标保证金、投标保证担保、投标保证保险三种</w:t>
      </w:r>
      <w:r>
        <w:rPr>
          <w:rFonts w:hint="eastAsia" w:ascii="宋体" w:hAnsi="宋体" w:eastAsia="宋体" w:cs="宋体"/>
          <w:color w:val="000000" w:themeColor="text1"/>
          <w:spacing w:val="1"/>
          <w:sz w:val="24"/>
          <w:szCs w:val="24"/>
          <w:highlight w:val="none"/>
          <w14:textFill>
            <w14:solidFill>
              <w14:schemeClr w14:val="tx1"/>
            </w14:solidFill>
          </w14:textFill>
        </w:rPr>
        <w:t>，由</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投标人自主选择。</w:t>
      </w:r>
    </w:p>
    <w:p w14:paraId="52BC198A">
      <w:pPr>
        <w:spacing w:before="78" w:line="334" w:lineRule="auto"/>
        <w:ind w:left="12" w:right="2" w:firstLine="490"/>
        <w:jc w:val="both"/>
        <w:rPr>
          <w:rFonts w:hint="eastAsia" w:ascii="宋体" w:hAnsi="宋体" w:eastAsia="宋体" w:cs="宋体"/>
          <w:color w:val="000000" w:themeColor="text1"/>
          <w:spacing w:val="-1"/>
          <w:sz w:val="24"/>
          <w:szCs w:val="24"/>
          <w:highlight w:val="none"/>
          <w14:textFill>
            <w14:solidFill>
              <w14:schemeClr w14:val="tx1"/>
            </w14:solidFill>
          </w14:textFill>
        </w:rPr>
      </w:pPr>
      <w:bookmarkStart w:id="25" w:name="bookmark117"/>
      <w:bookmarkEnd w:id="25"/>
      <w:r>
        <w:rPr>
          <w:rFonts w:hint="eastAsia" w:ascii="宋体" w:hAnsi="宋体" w:eastAsia="宋体" w:cs="宋体"/>
          <w:color w:val="000000" w:themeColor="text1"/>
          <w:spacing w:val="2"/>
          <w:sz w:val="24"/>
          <w:szCs w:val="24"/>
          <w:highlight w:val="none"/>
          <w14:textFill>
            <w14:solidFill>
              <w14:schemeClr w14:val="tx1"/>
            </w14:solidFill>
          </w14:textFill>
        </w:rPr>
        <w:t>（1）采用投标保证金的，投标人在建设工程交易系统获取招</w:t>
      </w:r>
      <w:r>
        <w:rPr>
          <w:rFonts w:hint="eastAsia" w:ascii="宋体" w:hAnsi="宋体" w:eastAsia="宋体" w:cs="宋体"/>
          <w:color w:val="000000" w:themeColor="text1"/>
          <w:spacing w:val="1"/>
          <w:sz w:val="24"/>
          <w:szCs w:val="24"/>
          <w:highlight w:val="none"/>
          <w14:textFill>
            <w14:solidFill>
              <w14:schemeClr w14:val="tx1"/>
            </w14:solidFill>
          </w14:textFill>
        </w:rPr>
        <w:t>标文件完毕后，即</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可在系统申请缴纳投标保证金，获取本次招标投标保证金缴</w:t>
      </w:r>
      <w:r>
        <w:rPr>
          <w:rFonts w:hint="eastAsia" w:ascii="宋体" w:hAnsi="宋体" w:eastAsia="宋体" w:cs="宋体"/>
          <w:color w:val="000000" w:themeColor="text1"/>
          <w:spacing w:val="-2"/>
          <w:sz w:val="24"/>
          <w:szCs w:val="24"/>
          <w:highlight w:val="none"/>
          <w14:textFill>
            <w14:solidFill>
              <w14:schemeClr w14:val="tx1"/>
            </w14:solidFill>
          </w14:textFill>
        </w:rPr>
        <w:t>纳账号。投标人必须于投</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标保证金到账截</w:t>
      </w:r>
      <w:r>
        <w:rPr>
          <w:rFonts w:hint="eastAsia" w:ascii="宋体" w:hAnsi="宋体" w:eastAsia="宋体" w:cs="宋体"/>
          <w:color w:val="000000" w:themeColor="text1"/>
          <w:spacing w:val="-1"/>
          <w:sz w:val="24"/>
          <w:szCs w:val="24"/>
          <w:highlight w:val="none"/>
          <w14:textFill>
            <w14:solidFill>
              <w14:schemeClr w14:val="tx1"/>
            </w14:solidFill>
          </w14:textFill>
        </w:rPr>
        <w:t>止时间（见本招标文件“重要事项时间地点一览表 ”）前，从其基本账户将投标保证金转账到指定的缴纳账号。逾期到账的、从非投标人基本账户转出的， 其投标无效。</w:t>
      </w:r>
    </w:p>
    <w:p w14:paraId="5AD570B6">
      <w:pPr>
        <w:spacing w:before="78" w:line="334" w:lineRule="auto"/>
        <w:ind w:left="12" w:right="2" w:firstLine="490"/>
        <w:jc w:val="both"/>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（2）采用投标保证担保的，投标人应提交有效的电子保函或保证保险，电子保 函或保证保险的有效期不得短于投标有效期。投标人必须在投标保证担保截止时间（详见“重要事项时间地点一览表 ”）前，使用工程建设交易系统完成网上办理电子 保函或保证保险。</w:t>
      </w:r>
    </w:p>
    <w:p w14:paraId="66604B82">
      <w:pPr>
        <w:spacing w:before="78" w:line="334" w:lineRule="auto"/>
        <w:ind w:left="12" w:right="2" w:firstLine="490"/>
        <w:jc w:val="both"/>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（3）采用投标保证保险的，投标人须在投标保证保险投保截止时间（见本招标 文件“重要事项时间地点一览表 ”）前，使用建设工程交易系统完成网上投保。投标人可在系统选择保险机构、录入投保信息、支付保费、打印</w:t>
      </w:r>
      <w:r>
        <w:rPr>
          <w:rFonts w:hint="eastAsia" w:ascii="宋体" w:hAnsi="宋体" w:eastAsia="宋体" w:cs="宋体"/>
          <w:color w:val="000000" w:themeColor="text1"/>
          <w:spacing w:val="-2"/>
          <w:sz w:val="24"/>
          <w:szCs w:val="24"/>
          <w:highlight w:val="none"/>
          <w14:textFill>
            <w14:solidFill>
              <w14:schemeClr w14:val="tx1"/>
            </w14:solidFill>
          </w14:textFill>
        </w:rPr>
        <w:t>电子保单，电子保单的有</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效期不得短于投标有效期。投标人可登录全国公共资源交易平台（广东省 ·韶关市） （</w:t>
      </w:r>
      <w:r>
        <w:rPr>
          <w:rFonts w:hint="eastAsia" w:ascii="宋体" w:hAnsi="宋体" w:eastAsia="宋体" w:cs="宋体"/>
          <w:color w:val="000000" w:themeColor="text1"/>
          <w:spacing w:val="-3"/>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3"/>
          <w:sz w:val="24"/>
          <w:szCs w:val="24"/>
          <w:highlight w:val="none"/>
          <w14:textFill>
            <w14:solidFill>
              <w14:schemeClr w14:val="tx1"/>
            </w14:solidFill>
          </w14:textFill>
        </w:rPr>
        <w:instrText xml:space="preserve"> HYPERLINK "https://ygp.gdzwfw.gov.cn/ggzy-portal/#/440200/index" </w:instrText>
      </w:r>
      <w:r>
        <w:rPr>
          <w:rFonts w:hint="eastAsia" w:ascii="宋体" w:hAnsi="宋体" w:eastAsia="宋体" w:cs="宋体"/>
          <w:color w:val="000000" w:themeColor="text1"/>
          <w:spacing w:val="-3"/>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3"/>
          <w:sz w:val="24"/>
          <w:szCs w:val="24"/>
          <w:highlight w:val="none"/>
          <w14:textFill>
            <w14:solidFill>
              <w14:schemeClr w14:val="tx1"/>
            </w14:solidFill>
          </w14:textFill>
        </w:rPr>
        <w:t>https://ygp.gdzwfw.gov.cn/ggzy-portal/#/440200/index</w:t>
      </w:r>
      <w:r>
        <w:rPr>
          <w:rFonts w:hint="eastAsia" w:ascii="宋体" w:hAnsi="宋体" w:eastAsia="宋体" w:cs="宋体"/>
          <w:color w:val="000000" w:themeColor="text1"/>
          <w:spacing w:val="-3"/>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3"/>
          <w:sz w:val="24"/>
          <w:szCs w:val="24"/>
          <w:highlight w:val="none"/>
          <w14:textFill>
            <w14:solidFill>
              <w14:schemeClr w14:val="tx1"/>
            </w14:solidFill>
          </w14:textFill>
        </w:rPr>
        <w:t>），在【服务指南】栏 目中下载《建设工程网上交易系统保险保证金缴纳操作指南》，了解网上投保具体操 作流程。逾期投保的，其投标无效。</w:t>
      </w:r>
    </w:p>
    <w:p w14:paraId="20834965">
      <w:pPr>
        <w:spacing w:before="78" w:line="334" w:lineRule="auto"/>
        <w:ind w:left="12" w:right="2" w:firstLine="490"/>
        <w:jc w:val="both"/>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温馨提示：1.投标人采用投标保证担保或投标保证保险的，为避免在评标过程中 因有效期发生争议，建议投标人将银行保函或电子保单有效期设置为较招标文件规定 的投标有效期延长不少于 20 个日历天。</w:t>
      </w:r>
    </w:p>
    <w:p w14:paraId="6DF0EE35">
      <w:pPr>
        <w:spacing w:before="78" w:line="334" w:lineRule="auto"/>
        <w:ind w:left="12" w:right="2" w:firstLine="49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3.4 </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若投标人因自身原因未能正确完成获取招标文件</w:t>
      </w:r>
      <w:r>
        <w:rPr>
          <w:rFonts w:hint="eastAsia" w:ascii="宋体" w:hAnsi="宋体" w:eastAsia="宋体" w:cs="宋体"/>
          <w:color w:val="000000" w:themeColor="text1"/>
          <w:sz w:val="24"/>
          <w:szCs w:val="24"/>
          <w:highlight w:val="none"/>
          <w14:textFill>
            <w14:solidFill>
              <w14:schemeClr w14:val="tx1"/>
            </w14:solidFill>
          </w14:textFill>
        </w:rPr>
        <w:t>、电子投标、缴纳投标保证</w:t>
      </w:r>
      <w:r>
        <w:rPr>
          <w:rFonts w:hint="eastAsia" w:ascii="宋体" w:hAnsi="宋体" w:eastAsia="宋体" w:cs="宋体"/>
          <w:color w:val="000000" w:themeColor="text1"/>
          <w:spacing w:val="-4"/>
          <w:sz w:val="24"/>
          <w:szCs w:val="24"/>
          <w:highlight w:val="none"/>
          <w14:textFill>
            <w14:solidFill>
              <w14:schemeClr w14:val="tx1"/>
            </w14:solidFill>
          </w14:textFill>
        </w:rPr>
        <w:t>的，其投标无效。</w:t>
      </w:r>
    </w:p>
    <w:p w14:paraId="1EC47989">
      <w:pPr>
        <w:pStyle w:val="5"/>
        <w:spacing w:line="394" w:lineRule="auto"/>
        <w:rPr>
          <w:rFonts w:hint="eastAsia" w:ascii="宋体" w:hAnsi="宋体" w:eastAsia="宋体" w:cs="宋体"/>
          <w:color w:val="000000" w:themeColor="text1"/>
          <w:highlight w:val="none"/>
          <w14:textFill>
            <w14:solidFill>
              <w14:schemeClr w14:val="tx1"/>
            </w14:solidFill>
          </w14:textFill>
        </w:rPr>
      </w:pPr>
    </w:p>
    <w:p w14:paraId="385224D7">
      <w:pPr>
        <w:spacing w:before="79" w:line="221" w:lineRule="auto"/>
        <w:ind w:left="487"/>
        <w:outlineLvl w:val="2"/>
        <w:rPr>
          <w:rFonts w:hint="eastAsia" w:ascii="宋体" w:hAnsi="宋体" w:eastAsia="宋体" w:cs="宋体"/>
          <w:color w:val="000000" w:themeColor="text1"/>
          <w:sz w:val="24"/>
          <w:szCs w:val="24"/>
          <w:highlight w:val="none"/>
          <w14:textFill>
            <w14:solidFill>
              <w14:schemeClr w14:val="tx1"/>
            </w14:solidFill>
          </w14:textFill>
        </w:rPr>
      </w:pPr>
      <w:bookmarkStart w:id="26" w:name="bookmark78"/>
      <w:bookmarkEnd w:id="26"/>
      <w:bookmarkStart w:id="27" w:name="bookmark64"/>
      <w:bookmarkEnd w:id="27"/>
      <w:bookmarkStart w:id="28" w:name="_Toc15498"/>
      <w:bookmarkStart w:id="29" w:name="_Toc16717"/>
      <w:r>
        <w:rPr>
          <w:rFonts w:hint="eastAsia" w:ascii="宋体" w:hAnsi="宋体" w:eastAsia="宋体" w:cs="宋体"/>
          <w:b/>
          <w:bCs/>
          <w:color w:val="000000" w:themeColor="text1"/>
          <w:spacing w:val="-8"/>
          <w:sz w:val="24"/>
          <w:szCs w:val="24"/>
          <w:highlight w:val="none"/>
          <w14:textFill>
            <w14:solidFill>
              <w14:schemeClr w14:val="tx1"/>
            </w14:solidFill>
          </w14:textFill>
        </w:rPr>
        <w:t>4</w:t>
      </w:r>
      <w:r>
        <w:rPr>
          <w:rFonts w:hint="eastAsia" w:ascii="宋体" w:hAnsi="宋体" w:eastAsia="宋体" w:cs="宋体"/>
          <w:b/>
          <w:bCs/>
          <w:color w:val="000000" w:themeColor="text1"/>
          <w:spacing w:val="-8"/>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14:textFill>
            <w14:solidFill>
              <w14:schemeClr w14:val="tx1"/>
            </w14:solidFill>
          </w14:textFill>
        </w:rPr>
        <w:t>．工期要求</w:t>
      </w:r>
      <w:bookmarkEnd w:id="28"/>
      <w:bookmarkEnd w:id="29"/>
    </w:p>
    <w:p w14:paraId="10DC164E">
      <w:pPr>
        <w:spacing w:before="153" w:line="324" w:lineRule="auto"/>
        <w:ind w:left="30" w:right="65" w:firstLine="46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本招标项目招标工期为</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240个日历天</w:t>
      </w:r>
      <w:r>
        <w:rPr>
          <w:rFonts w:hint="eastAsia" w:ascii="宋体" w:hAnsi="宋体" w:eastAsia="宋体" w:cs="宋体"/>
          <w:color w:val="000000" w:themeColor="text1"/>
          <w:spacing w:val="-2"/>
          <w:sz w:val="24"/>
          <w:szCs w:val="24"/>
          <w:highlight w:val="none"/>
          <w14:textFill>
            <w14:solidFill>
              <w14:schemeClr w14:val="tx1"/>
            </w14:solidFill>
          </w14:textFill>
        </w:rPr>
        <w:t>，中标人必须在招标工期内完成招标范围内</w:t>
      </w:r>
      <w:r>
        <w:rPr>
          <w:rFonts w:hint="eastAsia" w:ascii="宋体" w:hAnsi="宋体" w:eastAsia="宋体" w:cs="宋体"/>
          <w:color w:val="000000" w:themeColor="text1"/>
          <w:spacing w:val="-5"/>
          <w:sz w:val="24"/>
          <w:szCs w:val="24"/>
          <w:highlight w:val="none"/>
          <w14:textFill>
            <w14:solidFill>
              <w14:schemeClr w14:val="tx1"/>
            </w14:solidFill>
          </w14:textFill>
        </w:rPr>
        <w:t>的全部内容。</w:t>
      </w:r>
    </w:p>
    <w:p w14:paraId="2574D13A">
      <w:pPr>
        <w:spacing w:before="78" w:line="219" w:lineRule="auto"/>
        <w:ind w:left="488"/>
        <w:outlineLvl w:val="2"/>
        <w:rPr>
          <w:rFonts w:hint="eastAsia" w:ascii="宋体" w:hAnsi="宋体" w:eastAsia="宋体" w:cs="宋体"/>
          <w:color w:val="000000" w:themeColor="text1"/>
          <w:sz w:val="24"/>
          <w:szCs w:val="24"/>
          <w:highlight w:val="none"/>
          <w14:textFill>
            <w14:solidFill>
              <w14:schemeClr w14:val="tx1"/>
            </w14:solidFill>
          </w14:textFill>
        </w:rPr>
      </w:pPr>
      <w:bookmarkStart w:id="30" w:name="_Toc4154"/>
      <w:bookmarkStart w:id="31" w:name="_Toc11737"/>
      <w:r>
        <w:rPr>
          <w:rFonts w:hint="eastAsia" w:ascii="宋体" w:hAnsi="宋体" w:eastAsia="宋体" w:cs="宋体"/>
          <w:b/>
          <w:bCs/>
          <w:color w:val="000000" w:themeColor="text1"/>
          <w:spacing w:val="-5"/>
          <w:sz w:val="24"/>
          <w:szCs w:val="24"/>
          <w:highlight w:val="none"/>
          <w14:textFill>
            <w14:solidFill>
              <w14:schemeClr w14:val="tx1"/>
            </w14:solidFill>
          </w14:textFill>
        </w:rPr>
        <w:t>5</w:t>
      </w:r>
      <w:r>
        <w:rPr>
          <w:rFonts w:hint="eastAsia" w:ascii="宋体" w:hAnsi="宋体" w:eastAsia="宋体" w:cs="宋体"/>
          <w:b/>
          <w:bCs/>
          <w:color w:val="000000" w:themeColor="text1"/>
          <w:spacing w:val="-5"/>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5"/>
          <w:sz w:val="24"/>
          <w:szCs w:val="24"/>
          <w:highlight w:val="none"/>
          <w14:textFill>
            <w14:solidFill>
              <w14:schemeClr w14:val="tx1"/>
            </w14:solidFill>
          </w14:textFill>
        </w:rPr>
        <w:t>．质量标准和材料、机械要求</w:t>
      </w:r>
      <w:bookmarkEnd w:id="30"/>
      <w:bookmarkEnd w:id="31"/>
    </w:p>
    <w:p w14:paraId="2EE63B7A">
      <w:pPr>
        <w:spacing w:before="154" w:line="279" w:lineRule="auto"/>
        <w:ind w:left="11" w:right="99" w:firstLine="47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5.1  </w:t>
      </w:r>
      <w:r>
        <w:rPr>
          <w:rFonts w:hint="eastAsia" w:ascii="宋体" w:hAnsi="宋体" w:eastAsia="宋体" w:cs="宋体"/>
          <w:color w:val="000000" w:themeColor="text1"/>
          <w:sz w:val="24"/>
          <w:szCs w:val="24"/>
          <w:highlight w:val="none"/>
          <w14:textFill>
            <w14:solidFill>
              <w14:schemeClr w14:val="tx1"/>
            </w14:solidFill>
          </w14:textFill>
        </w:rPr>
        <w:t>施工工艺严格按照国家和广东省的有关现行施工技术规范及标准执行，工程</w:t>
      </w:r>
      <w:r>
        <w:rPr>
          <w:rFonts w:hint="eastAsia" w:ascii="宋体" w:hAnsi="宋体" w:eastAsia="宋体" w:cs="宋体"/>
          <w:color w:val="000000" w:themeColor="text1"/>
          <w:spacing w:val="-1"/>
          <w:sz w:val="24"/>
          <w:szCs w:val="24"/>
          <w:highlight w:val="none"/>
          <w14:textFill>
            <w14:solidFill>
              <w14:schemeClr w14:val="tx1"/>
            </w14:solidFill>
          </w14:textFill>
        </w:rPr>
        <w:t>质量标准须达到</w:t>
      </w:r>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《建筑工程施工质量验收统一标准》(GB50300-2013)和《建筑与市政工程施工质量控制通用规范》（GB55032-2022）合格 </w:t>
      </w:r>
      <w:r>
        <w:rPr>
          <w:rFonts w:hint="eastAsia" w:ascii="宋体" w:hAnsi="宋体" w:eastAsia="宋体" w:cs="宋体"/>
          <w:color w:val="000000" w:themeColor="text1"/>
          <w:spacing w:val="-1"/>
          <w:sz w:val="24"/>
          <w:szCs w:val="24"/>
          <w:highlight w:val="none"/>
          <w14:textFill>
            <w14:solidFill>
              <w14:schemeClr w14:val="tx1"/>
            </w14:solidFill>
          </w14:textFill>
        </w:rPr>
        <w:t>。</w:t>
      </w:r>
    </w:p>
    <w:p w14:paraId="550F785F">
      <w:pPr>
        <w:spacing w:before="154" w:line="279" w:lineRule="auto"/>
        <w:ind w:left="10" w:right="99" w:firstLine="55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5.2</w:t>
      </w:r>
      <w:r>
        <w:rPr>
          <w:rFonts w:hint="eastAsia" w:ascii="宋体" w:hAnsi="宋体" w:eastAsia="宋体" w:cs="宋体"/>
          <w:b/>
          <w:bCs/>
          <w:color w:val="000000" w:themeColor="text1"/>
          <w:spacing w:val="21"/>
          <w:w w:val="10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中标人在施工中如果工程质量不符合设计要求和有关规定，招标人或监理单</w:t>
      </w:r>
      <w:r>
        <w:rPr>
          <w:rFonts w:hint="eastAsia" w:ascii="宋体" w:hAnsi="宋体" w:eastAsia="宋体" w:cs="宋体"/>
          <w:color w:val="000000" w:themeColor="text1"/>
          <w:sz w:val="24"/>
          <w:szCs w:val="24"/>
          <w:highlight w:val="none"/>
          <w14:textFill>
            <w14:solidFill>
              <w14:schemeClr w14:val="tx1"/>
            </w14:solidFill>
          </w14:textFill>
        </w:rPr>
        <w:t xml:space="preserve"> 位要求停工和返工的必须立即执行，并承担由此产生的各</w:t>
      </w:r>
      <w:r>
        <w:rPr>
          <w:rFonts w:hint="eastAsia" w:ascii="宋体" w:hAnsi="宋体" w:eastAsia="宋体" w:cs="宋体"/>
          <w:color w:val="000000" w:themeColor="text1"/>
          <w:spacing w:val="-1"/>
          <w:sz w:val="24"/>
          <w:szCs w:val="24"/>
          <w:highlight w:val="none"/>
          <w14:textFill>
            <w14:solidFill>
              <w14:schemeClr w14:val="tx1"/>
            </w14:solidFill>
          </w14:textFill>
        </w:rPr>
        <w:t>种费用，工期不予顺延。</w:t>
      </w:r>
    </w:p>
    <w:p w14:paraId="7AA414CC">
      <w:pPr>
        <w:spacing w:before="152" w:line="309" w:lineRule="auto"/>
        <w:ind w:left="9" w:firstLine="568"/>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 xml:space="preserve">5.3  </w:t>
      </w:r>
      <w:r>
        <w:rPr>
          <w:rFonts w:hint="eastAsia" w:ascii="宋体" w:hAnsi="宋体" w:eastAsia="宋体" w:cs="宋体"/>
          <w:color w:val="000000" w:themeColor="text1"/>
          <w:spacing w:val="-6"/>
          <w:sz w:val="24"/>
          <w:szCs w:val="24"/>
          <w:highlight w:val="none"/>
          <w14:textFill>
            <w14:solidFill>
              <w14:schemeClr w14:val="tx1"/>
            </w14:solidFill>
          </w14:textFill>
        </w:rPr>
        <w:t>保修期限按《建设工程质量管理条例》（中华人民共和国国务院令第</w:t>
      </w:r>
      <w:r>
        <w:rPr>
          <w:rFonts w:hint="eastAsia" w:ascii="宋体" w:hAnsi="宋体" w:eastAsia="宋体" w:cs="宋体"/>
          <w:color w:val="000000" w:themeColor="text1"/>
          <w:spacing w:val="-5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279</w:t>
      </w:r>
      <w:r>
        <w:rPr>
          <w:rFonts w:hint="eastAsia" w:ascii="宋体" w:hAnsi="宋体" w:eastAsia="宋体" w:cs="宋体"/>
          <w:color w:val="000000" w:themeColor="text1"/>
          <w:spacing w:val="1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号）</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规定执行，在保修期内因施工质量问题而造成返修，一切费用由中标人负责。中标人 在向招标人提交竣工验收报告时，应当向招标人出具质量保修书。质量保修书中应当 明确建设工程的保修范围、保修期限和保修责任等。</w:t>
      </w:r>
    </w:p>
    <w:p w14:paraId="46FB79BE">
      <w:pPr>
        <w:spacing w:before="152" w:line="309" w:lineRule="auto"/>
        <w:ind w:left="9" w:firstLine="568"/>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5.4</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根据韶关市人民政府《关于加快推进全市绿色建筑发展工作的通知》（韶府办明电〔2013〕277 号）有关规定，结合《韶关市住建管理局关于贯彻落实&lt;广东省绿色建筑条例&gt;有关工作的通知》（韶市建字〔2021〕85 号）等有关规定，</w:t>
      </w:r>
      <w:r>
        <w:rPr>
          <w:rFonts w:hint="eastAsia" w:ascii="宋体" w:hAnsi="宋体" w:eastAsia="宋体" w:cs="宋体"/>
          <w:color w:val="000000" w:themeColor="text1"/>
          <w:spacing w:val="-6"/>
          <w:sz w:val="24"/>
          <w:szCs w:val="24"/>
          <w:highlight w:val="none"/>
          <w14:textFill>
            <w14:solidFill>
              <w14:schemeClr w14:val="tx1"/>
            </w14:solidFill>
          </w14:textFill>
        </w:rPr>
        <w:t>本招标项目</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不</w:t>
      </w:r>
      <w:r>
        <w:rPr>
          <w:rFonts w:hint="eastAsia" w:ascii="宋体" w:hAnsi="宋体" w:eastAsia="宋体" w:cs="宋体"/>
          <w:color w:val="000000" w:themeColor="text1"/>
          <w:spacing w:val="-6"/>
          <w:sz w:val="24"/>
          <w:szCs w:val="24"/>
          <w:highlight w:val="none"/>
          <w14:textFill>
            <w14:solidFill>
              <w14:schemeClr w14:val="tx1"/>
            </w14:solidFill>
          </w14:textFill>
        </w:rPr>
        <w:t>纳入绿色建设实施范围</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p>
    <w:p w14:paraId="096BED74">
      <w:pPr>
        <w:spacing w:before="152" w:line="309" w:lineRule="auto"/>
        <w:ind w:left="9" w:firstLine="568"/>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5.5</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其它：</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本招标项目</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不</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纳入装配式建造建设实施范围。</w:t>
      </w:r>
    </w:p>
    <w:p w14:paraId="744CB0C9">
      <w:pPr>
        <w:spacing w:before="152" w:line="309" w:lineRule="auto"/>
        <w:ind w:left="9" w:firstLine="568"/>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5.6</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其它：本招标文件（包括答疑纪要、补充及修改文件）中招标人对材料或设 备有明确要求的，投标人必须响应招标人要求，如投标人在投标文件未明确响应者视为默认；或投标人在投标文件中的虽有响应但不符合招标人要求的，视为无效响应，中标后必须按招标人要求执行。如招标人在招标文件中对材料或设备没有明确要求</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则中标人必须使用合格材料或设备。</w:t>
      </w:r>
    </w:p>
    <w:p w14:paraId="65031B92">
      <w:pPr>
        <w:spacing w:before="152" w:line="309" w:lineRule="auto"/>
        <w:ind w:left="9" w:firstLine="568"/>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5.</w:t>
      </w: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7</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工程使用的主要材料质量要求：不低于强制标准、招标工程量清单所列的要求，主要材料必须先提供样板或相关资料给招标人和监理工程师验收，同意确定其规格、型号、颜色、等级等，并经发包人委托的第三方检测部门检测合格方可使用，所有材料必须使用合格产品。</w:t>
      </w:r>
    </w:p>
    <w:p w14:paraId="10FFFDBC">
      <w:pPr>
        <w:pStyle w:val="5"/>
        <w:spacing w:line="257" w:lineRule="auto"/>
        <w:rPr>
          <w:rFonts w:hint="eastAsia" w:ascii="宋体" w:hAnsi="宋体" w:eastAsia="宋体" w:cs="宋体"/>
          <w:color w:val="000000" w:themeColor="text1"/>
          <w:highlight w:val="none"/>
          <w14:textFill>
            <w14:solidFill>
              <w14:schemeClr w14:val="tx1"/>
            </w14:solidFill>
          </w14:textFill>
        </w:rPr>
      </w:pPr>
    </w:p>
    <w:p w14:paraId="54A8F521">
      <w:pPr>
        <w:spacing w:before="78" w:line="220" w:lineRule="auto"/>
        <w:ind w:left="489"/>
        <w:outlineLvl w:val="2"/>
        <w:rPr>
          <w:rFonts w:hint="eastAsia" w:ascii="宋体" w:hAnsi="宋体" w:eastAsia="宋体" w:cs="宋体"/>
          <w:color w:val="000000" w:themeColor="text1"/>
          <w:sz w:val="24"/>
          <w:szCs w:val="24"/>
          <w:highlight w:val="none"/>
          <w14:textFill>
            <w14:solidFill>
              <w14:schemeClr w14:val="tx1"/>
            </w14:solidFill>
          </w14:textFill>
        </w:rPr>
      </w:pPr>
      <w:bookmarkStart w:id="32" w:name="_Toc7763"/>
      <w:bookmarkStart w:id="33" w:name="_Toc31725"/>
      <w:r>
        <w:rPr>
          <w:rFonts w:hint="eastAsia" w:ascii="宋体" w:hAnsi="宋体" w:eastAsia="宋体" w:cs="宋体"/>
          <w:b/>
          <w:bCs/>
          <w:color w:val="000000" w:themeColor="text1"/>
          <w:spacing w:val="-6"/>
          <w:sz w:val="24"/>
          <w:szCs w:val="24"/>
          <w:highlight w:val="none"/>
          <w14:textFill>
            <w14:solidFill>
              <w14:schemeClr w14:val="tx1"/>
            </w14:solidFill>
          </w14:textFill>
        </w:rPr>
        <w:t>6</w:t>
      </w:r>
      <w:r>
        <w:rPr>
          <w:rFonts w:hint="eastAsia" w:ascii="宋体" w:hAnsi="宋体" w:eastAsia="宋体" w:cs="宋体"/>
          <w:b/>
          <w:bCs/>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14:textFill>
            <w14:solidFill>
              <w14:schemeClr w14:val="tx1"/>
            </w14:solidFill>
          </w14:textFill>
        </w:rPr>
        <w:t>．施工条件及现场踏勘</w:t>
      </w:r>
      <w:bookmarkEnd w:id="32"/>
      <w:bookmarkEnd w:id="33"/>
    </w:p>
    <w:p w14:paraId="33B1E63A">
      <w:pPr>
        <w:spacing w:before="155" w:line="324" w:lineRule="auto"/>
        <w:ind w:left="12" w:right="99" w:firstLine="556"/>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6.1  </w:t>
      </w:r>
      <w:r>
        <w:rPr>
          <w:rFonts w:hint="eastAsia" w:ascii="宋体" w:hAnsi="宋体" w:eastAsia="宋体" w:cs="宋体"/>
          <w:color w:val="000000" w:themeColor="text1"/>
          <w:spacing w:val="-2"/>
          <w:sz w:val="24"/>
          <w:szCs w:val="24"/>
          <w:highlight w:val="none"/>
          <w14:textFill>
            <w14:solidFill>
              <w14:schemeClr w14:val="tx1"/>
            </w14:solidFill>
          </w14:textFill>
        </w:rPr>
        <w:t>招标人仅在本招标项目征地红线范围内提供场地，其他一切场地费用由中标人自行负责（含临时道路）。</w:t>
      </w:r>
    </w:p>
    <w:p w14:paraId="43C889C7">
      <w:pPr>
        <w:spacing w:before="155" w:line="324" w:lineRule="auto"/>
        <w:ind w:left="12" w:right="99" w:firstLine="556"/>
        <w:rPr>
          <w:rFonts w:hint="eastAsia" w:ascii="宋体" w:hAnsi="宋体" w:eastAsia="宋体" w:cs="宋体"/>
          <w:color w:val="000000" w:themeColor="text1"/>
          <w:spacing w:val="-2"/>
          <w:sz w:val="24"/>
          <w:szCs w:val="24"/>
          <w:highlight w:val="none"/>
          <w14:textFill>
            <w14:solidFill>
              <w14:schemeClr w14:val="tx1"/>
            </w14:solidFill>
          </w14:textFill>
        </w:rPr>
      </w:pPr>
      <w:bookmarkStart w:id="34" w:name="bookmark118"/>
      <w:bookmarkEnd w:id="34"/>
      <w:r>
        <w:rPr>
          <w:rFonts w:hint="eastAsia" w:ascii="宋体" w:hAnsi="宋体" w:eastAsia="宋体" w:cs="宋体"/>
          <w:b/>
          <w:bCs/>
          <w:color w:val="000000" w:themeColor="text1"/>
          <w:spacing w:val="-2"/>
          <w:sz w:val="24"/>
          <w:szCs w:val="24"/>
          <w:highlight w:val="none"/>
          <w14:textFill>
            <w14:solidFill>
              <w14:schemeClr w14:val="tx1"/>
            </w14:solidFill>
          </w14:textFill>
        </w:rPr>
        <w:t>6.2</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施工用水：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由中标人自行解决，费用考虑在投标报价中</w:t>
      </w:r>
      <w:r>
        <w:rPr>
          <w:rFonts w:hint="eastAsia" w:ascii="宋体" w:hAnsi="宋体" w:eastAsia="宋体" w:cs="宋体"/>
          <w:color w:val="000000" w:themeColor="text1"/>
          <w:spacing w:val="-2"/>
          <w:sz w:val="24"/>
          <w:szCs w:val="24"/>
          <w:highlight w:val="none"/>
          <w14:textFill>
            <w14:solidFill>
              <w14:schemeClr w14:val="tx1"/>
            </w14:solidFill>
          </w14:textFill>
        </w:rPr>
        <w:t>。</w:t>
      </w:r>
    </w:p>
    <w:p w14:paraId="5DA5ED0F">
      <w:pPr>
        <w:spacing w:before="155" w:line="324" w:lineRule="auto"/>
        <w:ind w:left="12" w:right="99" w:firstLine="556"/>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6.3</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施工用电：</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由中标人自行解决，费用考虑在投标报价中</w:t>
      </w:r>
      <w:r>
        <w:rPr>
          <w:rFonts w:hint="eastAsia" w:ascii="宋体" w:hAnsi="宋体" w:eastAsia="宋体" w:cs="宋体"/>
          <w:color w:val="000000" w:themeColor="text1"/>
          <w:spacing w:val="-2"/>
          <w:sz w:val="24"/>
          <w:szCs w:val="24"/>
          <w:highlight w:val="none"/>
          <w14:textFill>
            <w14:solidFill>
              <w14:schemeClr w14:val="tx1"/>
            </w14:solidFill>
          </w14:textFill>
        </w:rPr>
        <w:t>。</w:t>
      </w:r>
    </w:p>
    <w:p w14:paraId="4117B1E2">
      <w:pPr>
        <w:spacing w:before="155" w:line="324" w:lineRule="auto"/>
        <w:ind w:left="12" w:right="99" w:firstLine="55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6.4</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施工用水、用电各提供一驳接点到现场边缘。要求中标人单独安装水表、电 表，其水、电费按项目所在地</w:t>
      </w:r>
      <w:r>
        <w:rPr>
          <w:rFonts w:hint="eastAsia" w:ascii="宋体" w:hAnsi="宋体" w:eastAsia="宋体" w:cs="宋体"/>
          <w:color w:val="000000" w:themeColor="text1"/>
          <w:spacing w:val="-2"/>
          <w:sz w:val="24"/>
          <w:szCs w:val="24"/>
          <w:highlight w:val="none"/>
          <w:u w:val="single"/>
          <w14:textFill>
            <w14:solidFill>
              <w14:schemeClr w14:val="tx1"/>
            </w14:solidFill>
          </w14:textFill>
        </w:rPr>
        <w:t>韶关市/</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武江区</w:t>
      </w:r>
      <w:r>
        <w:rPr>
          <w:rFonts w:hint="eastAsia" w:ascii="宋体" w:hAnsi="宋体" w:eastAsia="宋体" w:cs="宋体"/>
          <w:color w:val="000000" w:themeColor="text1"/>
          <w:spacing w:val="-2"/>
          <w:sz w:val="24"/>
          <w:szCs w:val="24"/>
          <w:highlight w:val="none"/>
          <w14:textFill>
            <w14:solidFill>
              <w14:schemeClr w14:val="tx1"/>
            </w14:solidFill>
          </w14:textFill>
        </w:rPr>
        <w:t>基建工程水、电计费</w:t>
      </w:r>
      <w:r>
        <w:rPr>
          <w:rFonts w:hint="eastAsia" w:ascii="宋体" w:hAnsi="宋体" w:eastAsia="宋体" w:cs="宋体"/>
          <w:color w:val="000000" w:themeColor="text1"/>
          <w:spacing w:val="-3"/>
          <w:sz w:val="24"/>
          <w:szCs w:val="24"/>
          <w:highlight w:val="none"/>
          <w14:textFill>
            <w14:solidFill>
              <w14:schemeClr w14:val="tx1"/>
            </w14:solidFill>
          </w14:textFill>
        </w:rPr>
        <w:t>标准计算并由中标人缴纳。</w:t>
      </w:r>
    </w:p>
    <w:p w14:paraId="7B035D82">
      <w:pPr>
        <w:spacing w:before="154" w:line="299" w:lineRule="auto"/>
        <w:ind w:left="9" w:right="16" w:firstLine="55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6.5  </w:t>
      </w:r>
      <w:r>
        <w:rPr>
          <w:rFonts w:hint="eastAsia" w:ascii="宋体" w:hAnsi="宋体" w:eastAsia="宋体" w:cs="宋体"/>
          <w:color w:val="000000" w:themeColor="text1"/>
          <w:spacing w:val="-2"/>
          <w:sz w:val="24"/>
          <w:szCs w:val="24"/>
          <w:highlight w:val="none"/>
          <w14:textFill>
            <w14:solidFill>
              <w14:schemeClr w14:val="tx1"/>
            </w14:solidFill>
          </w14:textFill>
        </w:rPr>
        <w:t>招标人不组织现场踏勘，但会在招标文件及有关设计文件中明确告知招标项</w:t>
      </w:r>
      <w:r>
        <w:rPr>
          <w:rFonts w:hint="eastAsia" w:ascii="宋体" w:hAnsi="宋体" w:eastAsia="宋体" w:cs="宋体"/>
          <w:color w:val="000000" w:themeColor="text1"/>
          <w:spacing w:val="-1"/>
          <w:sz w:val="24"/>
          <w:szCs w:val="24"/>
          <w:highlight w:val="none"/>
          <w14:textFill>
            <w14:solidFill>
              <w14:schemeClr w14:val="tx1"/>
            </w14:solidFill>
          </w14:textFill>
        </w:rPr>
        <w:t>目的具体位置和周边环境，并在现场设置足以识别的标识或提</w:t>
      </w:r>
      <w:r>
        <w:rPr>
          <w:rFonts w:hint="eastAsia" w:ascii="宋体" w:hAnsi="宋体" w:eastAsia="宋体" w:cs="宋体"/>
          <w:color w:val="000000" w:themeColor="text1"/>
          <w:spacing w:val="-2"/>
          <w:sz w:val="24"/>
          <w:szCs w:val="24"/>
          <w:highlight w:val="none"/>
          <w14:textFill>
            <w14:solidFill>
              <w14:schemeClr w14:val="tx1"/>
            </w14:solidFill>
          </w14:textFill>
        </w:rPr>
        <w:t>供足以表明招标项目具</w:t>
      </w:r>
      <w:r>
        <w:rPr>
          <w:rFonts w:hint="eastAsia" w:ascii="宋体" w:hAnsi="宋体" w:eastAsia="宋体" w:cs="宋体"/>
          <w:color w:val="000000" w:themeColor="text1"/>
          <w:sz w:val="24"/>
          <w:szCs w:val="24"/>
          <w:highlight w:val="none"/>
          <w14:textFill>
            <w14:solidFill>
              <w14:schemeClr w14:val="tx1"/>
            </w14:solidFill>
          </w14:textFill>
        </w:rPr>
        <w:t>体位置的文字或图片。投标人需要了解现场情况的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可自行进行现场踏勘。</w:t>
      </w:r>
    </w:p>
    <w:p w14:paraId="7738F7AC">
      <w:pPr>
        <w:spacing w:before="153" w:line="280" w:lineRule="auto"/>
        <w:ind w:left="9" w:right="16" w:firstLine="55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6.6  </w:t>
      </w:r>
      <w:r>
        <w:rPr>
          <w:rFonts w:hint="eastAsia" w:ascii="宋体" w:hAnsi="宋体" w:eastAsia="宋体" w:cs="宋体"/>
          <w:color w:val="000000" w:themeColor="text1"/>
          <w:spacing w:val="-2"/>
          <w:sz w:val="24"/>
          <w:szCs w:val="24"/>
          <w:highlight w:val="none"/>
          <w14:textFill>
            <w14:solidFill>
              <w14:schemeClr w14:val="tx1"/>
            </w14:solidFill>
          </w14:textFill>
        </w:rPr>
        <w:t>在现场踏勘过程中，投标人应确保自身安全，投标人如果发生人身伤亡、财</w:t>
      </w:r>
      <w:r>
        <w:rPr>
          <w:rFonts w:hint="eastAsia" w:ascii="宋体" w:hAnsi="宋体" w:eastAsia="宋体" w:cs="宋体"/>
          <w:color w:val="000000" w:themeColor="text1"/>
          <w:spacing w:val="-1"/>
          <w:sz w:val="24"/>
          <w:szCs w:val="24"/>
          <w:highlight w:val="none"/>
          <w14:textFill>
            <w14:solidFill>
              <w14:schemeClr w14:val="tx1"/>
            </w14:solidFill>
          </w14:textFill>
        </w:rPr>
        <w:t>物或其他损失，法律法规有规定的按有关规定处理，没有规定</w:t>
      </w:r>
      <w:r>
        <w:rPr>
          <w:rFonts w:hint="eastAsia" w:ascii="宋体" w:hAnsi="宋体" w:eastAsia="宋体" w:cs="宋体"/>
          <w:color w:val="000000" w:themeColor="text1"/>
          <w:spacing w:val="-2"/>
          <w:sz w:val="24"/>
          <w:szCs w:val="24"/>
          <w:highlight w:val="none"/>
          <w14:textFill>
            <w14:solidFill>
              <w14:schemeClr w14:val="tx1"/>
            </w14:solidFill>
          </w14:textFill>
        </w:rPr>
        <w:t>的由投标人自行负责。</w:t>
      </w:r>
    </w:p>
    <w:p w14:paraId="3397AEBB">
      <w:pPr>
        <w:spacing w:before="153" w:line="220" w:lineRule="auto"/>
        <w:ind w:left="5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6.7  </w:t>
      </w:r>
      <w:r>
        <w:rPr>
          <w:rFonts w:hint="eastAsia" w:ascii="宋体" w:hAnsi="宋体" w:eastAsia="宋体" w:cs="宋体"/>
          <w:color w:val="000000" w:themeColor="text1"/>
          <w:sz w:val="24"/>
          <w:szCs w:val="24"/>
          <w:highlight w:val="none"/>
          <w14:textFill>
            <w14:solidFill>
              <w14:schemeClr w14:val="tx1"/>
            </w14:solidFill>
          </w14:textFill>
        </w:rPr>
        <w:t>现场踏勘期间的交通、食宿由投标人</w:t>
      </w:r>
      <w:r>
        <w:rPr>
          <w:rFonts w:hint="eastAsia" w:ascii="宋体" w:hAnsi="宋体" w:eastAsia="宋体" w:cs="宋体"/>
          <w:color w:val="000000" w:themeColor="text1"/>
          <w:spacing w:val="-1"/>
          <w:sz w:val="24"/>
          <w:szCs w:val="24"/>
          <w:highlight w:val="none"/>
          <w14:textFill>
            <w14:solidFill>
              <w14:schemeClr w14:val="tx1"/>
            </w14:solidFill>
          </w14:textFill>
        </w:rPr>
        <w:t>自行安排，费用自理。</w:t>
      </w:r>
    </w:p>
    <w:p w14:paraId="7C1ED3BB">
      <w:pPr>
        <w:pStyle w:val="5"/>
        <w:spacing w:line="256" w:lineRule="auto"/>
        <w:rPr>
          <w:rFonts w:hint="eastAsia" w:ascii="宋体" w:hAnsi="宋体" w:eastAsia="宋体" w:cs="宋体"/>
          <w:color w:val="000000" w:themeColor="text1"/>
          <w:highlight w:val="none"/>
          <w14:textFill>
            <w14:solidFill>
              <w14:schemeClr w14:val="tx1"/>
            </w14:solidFill>
          </w14:textFill>
        </w:rPr>
      </w:pPr>
    </w:p>
    <w:p w14:paraId="7E2F99A6">
      <w:pPr>
        <w:pStyle w:val="5"/>
        <w:spacing w:line="257" w:lineRule="auto"/>
        <w:rPr>
          <w:rFonts w:hint="eastAsia" w:ascii="宋体" w:hAnsi="宋体" w:eastAsia="宋体" w:cs="宋体"/>
          <w:color w:val="000000" w:themeColor="text1"/>
          <w:highlight w:val="none"/>
          <w14:textFill>
            <w14:solidFill>
              <w14:schemeClr w14:val="tx1"/>
            </w14:solidFill>
          </w14:textFill>
        </w:rPr>
      </w:pPr>
    </w:p>
    <w:p w14:paraId="1757ED06">
      <w:pPr>
        <w:spacing w:before="78" w:line="220" w:lineRule="auto"/>
        <w:ind w:left="488"/>
        <w:outlineLvl w:val="2"/>
        <w:rPr>
          <w:rFonts w:hint="eastAsia" w:ascii="宋体" w:hAnsi="宋体" w:eastAsia="宋体" w:cs="宋体"/>
          <w:color w:val="000000" w:themeColor="text1"/>
          <w:sz w:val="24"/>
          <w:szCs w:val="24"/>
          <w:highlight w:val="none"/>
          <w14:textFill>
            <w14:solidFill>
              <w14:schemeClr w14:val="tx1"/>
            </w14:solidFill>
          </w14:textFill>
        </w:rPr>
      </w:pPr>
      <w:bookmarkStart w:id="35" w:name="bookmark67"/>
      <w:bookmarkEnd w:id="35"/>
      <w:bookmarkStart w:id="36" w:name="bookmark81"/>
      <w:bookmarkEnd w:id="36"/>
      <w:bookmarkStart w:id="37" w:name="bookmark69"/>
      <w:bookmarkEnd w:id="37"/>
      <w:bookmarkStart w:id="38" w:name="_Toc15543"/>
      <w:bookmarkStart w:id="39" w:name="_Toc4600"/>
      <w:r>
        <w:rPr>
          <w:rFonts w:hint="eastAsia" w:ascii="宋体" w:hAnsi="宋体" w:eastAsia="宋体" w:cs="宋体"/>
          <w:b/>
          <w:bCs/>
          <w:color w:val="000000" w:themeColor="text1"/>
          <w:spacing w:val="-5"/>
          <w:sz w:val="24"/>
          <w:szCs w:val="24"/>
          <w:highlight w:val="none"/>
          <w14:textFill>
            <w14:solidFill>
              <w14:schemeClr w14:val="tx1"/>
            </w14:solidFill>
          </w14:textFill>
        </w:rPr>
        <w:t>7</w:t>
      </w:r>
      <w:r>
        <w:rPr>
          <w:rFonts w:hint="eastAsia" w:ascii="宋体" w:hAnsi="宋体" w:eastAsia="宋体" w:cs="宋体"/>
          <w:b/>
          <w:bCs/>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5"/>
          <w:sz w:val="24"/>
          <w:szCs w:val="24"/>
          <w:highlight w:val="none"/>
          <w14:textFill>
            <w14:solidFill>
              <w14:schemeClr w14:val="tx1"/>
            </w14:solidFill>
          </w14:textFill>
        </w:rPr>
        <w:t>．招标文件的提问和答疑</w:t>
      </w:r>
      <w:bookmarkEnd w:id="38"/>
      <w:bookmarkEnd w:id="39"/>
    </w:p>
    <w:p w14:paraId="58203EDA">
      <w:pPr>
        <w:spacing w:before="153" w:line="299" w:lineRule="auto"/>
        <w:ind w:left="9" w:right="16" w:firstLine="47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7.1  </w:t>
      </w:r>
      <w:r>
        <w:rPr>
          <w:rFonts w:hint="eastAsia" w:ascii="宋体" w:hAnsi="宋体" w:eastAsia="宋体" w:cs="宋体"/>
          <w:color w:val="000000" w:themeColor="text1"/>
          <w:sz w:val="24"/>
          <w:szCs w:val="24"/>
          <w:highlight w:val="none"/>
          <w14:textFill>
            <w14:solidFill>
              <w14:schemeClr w14:val="tx1"/>
            </w14:solidFill>
          </w14:textFill>
        </w:rPr>
        <w:t>投标人若对招标文件（含施工图、招标工程量清单）有疑问，应在提问截止</w:t>
      </w:r>
      <w:r>
        <w:rPr>
          <w:rFonts w:hint="eastAsia" w:ascii="宋体" w:hAnsi="宋体" w:eastAsia="宋体" w:cs="宋体"/>
          <w:color w:val="000000" w:themeColor="text1"/>
          <w:spacing w:val="-2"/>
          <w:sz w:val="24"/>
          <w:szCs w:val="24"/>
          <w:highlight w:val="none"/>
          <w14:textFill>
            <w14:solidFill>
              <w14:schemeClr w14:val="tx1"/>
            </w14:solidFill>
          </w14:textFill>
        </w:rPr>
        <w:t>时间（见本章第二节“重要事项时间地点一览表</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”）前使用建设工程交易</w:t>
      </w:r>
      <w:r>
        <w:rPr>
          <w:rFonts w:hint="eastAsia" w:ascii="宋体" w:hAnsi="宋体" w:eastAsia="宋体" w:cs="宋体"/>
          <w:color w:val="000000" w:themeColor="text1"/>
          <w:spacing w:val="-3"/>
          <w:sz w:val="24"/>
          <w:szCs w:val="24"/>
          <w:highlight w:val="none"/>
          <w14:textFill>
            <w14:solidFill>
              <w14:schemeClr w14:val="tx1"/>
            </w14:solidFill>
          </w14:textFill>
        </w:rPr>
        <w:t>系统提出问</w:t>
      </w:r>
      <w:r>
        <w:rPr>
          <w:rFonts w:hint="eastAsia" w:ascii="宋体" w:hAnsi="宋体" w:eastAsia="宋体" w:cs="宋体"/>
          <w:color w:val="000000" w:themeColor="text1"/>
          <w:spacing w:val="-1"/>
          <w:sz w:val="24"/>
          <w:szCs w:val="24"/>
          <w:highlight w:val="none"/>
          <w14:textFill>
            <w14:solidFill>
              <w14:schemeClr w14:val="tx1"/>
            </w14:solidFill>
          </w14:textFill>
        </w:rPr>
        <w:t>题。未在指定时间前、未采用指定方式提出的，招标人不予受理。</w:t>
      </w:r>
    </w:p>
    <w:p w14:paraId="79A8D99B">
      <w:pPr>
        <w:spacing w:before="154" w:line="309" w:lineRule="auto"/>
        <w:ind w:left="9" w:right="16" w:firstLine="55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7.2  </w:t>
      </w:r>
      <w:r>
        <w:rPr>
          <w:rFonts w:hint="eastAsia" w:ascii="宋体" w:hAnsi="宋体" w:eastAsia="宋体" w:cs="宋体"/>
          <w:color w:val="000000" w:themeColor="text1"/>
          <w:spacing w:val="-1"/>
          <w:sz w:val="24"/>
          <w:szCs w:val="24"/>
          <w:highlight w:val="none"/>
          <w14:textFill>
            <w14:solidFill>
              <w14:schemeClr w14:val="tx1"/>
            </w14:solidFill>
          </w14:textFill>
        </w:rPr>
        <w:t>招标人在提问截止时间（见本章第二节“重要</w:t>
      </w:r>
      <w:r>
        <w:rPr>
          <w:rFonts w:hint="eastAsia" w:ascii="宋体" w:hAnsi="宋体" w:eastAsia="宋体" w:cs="宋体"/>
          <w:color w:val="000000" w:themeColor="text1"/>
          <w:spacing w:val="-2"/>
          <w:sz w:val="24"/>
          <w:szCs w:val="24"/>
          <w:highlight w:val="none"/>
          <w14:textFill>
            <w14:solidFill>
              <w14:schemeClr w14:val="tx1"/>
            </w14:solidFill>
          </w14:textFill>
        </w:rPr>
        <w:t>事项时间地点一览表</w:t>
      </w:r>
      <w:r>
        <w:rPr>
          <w:rFonts w:hint="eastAsia" w:ascii="宋体" w:hAnsi="宋体" w:eastAsia="宋体" w:cs="宋体"/>
          <w:color w:val="000000" w:themeColor="text1"/>
          <w:spacing w:val="-8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”）后</w:t>
      </w:r>
      <w:r>
        <w:rPr>
          <w:rFonts w:hint="eastAsia" w:ascii="宋体" w:hAnsi="宋体" w:eastAsia="宋体" w:cs="宋体"/>
          <w:color w:val="000000" w:themeColor="text1"/>
          <w:spacing w:val="-5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日内，一次性对收到的所有问题作出答复，并形成答疑（或修</w:t>
      </w:r>
      <w:r>
        <w:rPr>
          <w:rFonts w:hint="eastAsia" w:ascii="宋体" w:hAnsi="宋体" w:eastAsia="宋体" w:cs="宋体"/>
          <w:color w:val="000000" w:themeColor="text1"/>
          <w:spacing w:val="-2"/>
          <w:sz w:val="24"/>
          <w:szCs w:val="24"/>
          <w:highlight w:val="none"/>
          <w14:textFill>
            <w14:solidFill>
              <w14:schemeClr w14:val="tx1"/>
            </w14:solidFill>
          </w14:textFill>
        </w:rPr>
        <w:t>改）公告在发布招标公</w:t>
      </w:r>
      <w:r>
        <w:rPr>
          <w:rFonts w:hint="eastAsia" w:ascii="宋体" w:hAnsi="宋体" w:eastAsia="宋体" w:cs="宋体"/>
          <w:color w:val="000000" w:themeColor="text1"/>
          <w:spacing w:val="-1"/>
          <w:sz w:val="24"/>
          <w:szCs w:val="24"/>
          <w:highlight w:val="none"/>
          <w14:textFill>
            <w14:solidFill>
              <w14:schemeClr w14:val="tx1"/>
            </w14:solidFill>
          </w14:textFill>
        </w:rPr>
        <w:t>告的媒介上公开发布。答疑（或修改）公告一旦发布，即视所</w:t>
      </w:r>
      <w:r>
        <w:rPr>
          <w:rFonts w:hint="eastAsia" w:ascii="宋体" w:hAnsi="宋体" w:eastAsia="宋体" w:cs="宋体"/>
          <w:color w:val="000000" w:themeColor="text1"/>
          <w:spacing w:val="-2"/>
          <w:sz w:val="24"/>
          <w:szCs w:val="24"/>
          <w:highlight w:val="none"/>
          <w14:textFill>
            <w14:solidFill>
              <w14:schemeClr w14:val="tx1"/>
            </w14:solidFill>
          </w14:textFill>
        </w:rPr>
        <w:t>有潜在投标人已经知悉</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答疑（或修改）内容，投标人未及时关注而造成的损失和后果</w:t>
      </w:r>
      <w:r>
        <w:rPr>
          <w:rFonts w:hint="eastAsia" w:ascii="宋体" w:hAnsi="宋体" w:eastAsia="宋体" w:cs="宋体"/>
          <w:color w:val="000000" w:themeColor="text1"/>
          <w:spacing w:val="-2"/>
          <w:sz w:val="24"/>
          <w:szCs w:val="24"/>
          <w:highlight w:val="none"/>
          <w14:textFill>
            <w14:solidFill>
              <w14:schemeClr w14:val="tx1"/>
            </w14:solidFill>
          </w14:textFill>
        </w:rPr>
        <w:t>，由投标人自行承担。</w:t>
      </w:r>
    </w:p>
    <w:p w14:paraId="3753E34E">
      <w:pPr>
        <w:spacing w:before="152" w:line="219" w:lineRule="auto"/>
        <w:ind w:firstLine="478"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7.3  </w:t>
      </w:r>
      <w:r>
        <w:rPr>
          <w:rFonts w:hint="eastAsia" w:ascii="宋体" w:hAnsi="宋体" w:eastAsia="宋体" w:cs="宋体"/>
          <w:color w:val="000000" w:themeColor="text1"/>
          <w:spacing w:val="-1"/>
          <w:sz w:val="24"/>
          <w:szCs w:val="24"/>
          <w:highlight w:val="none"/>
          <w14:textFill>
            <w14:solidFill>
              <w14:schemeClr w14:val="tx1"/>
            </w14:solidFill>
          </w14:textFill>
        </w:rPr>
        <w:t>招标人对招标文件所作的答疑（或修改）公告，构成</w:t>
      </w:r>
      <w:r>
        <w:rPr>
          <w:rFonts w:hint="eastAsia" w:ascii="宋体" w:hAnsi="宋体" w:eastAsia="宋体" w:cs="宋体"/>
          <w:color w:val="000000" w:themeColor="text1"/>
          <w:spacing w:val="-2"/>
          <w:sz w:val="24"/>
          <w:szCs w:val="24"/>
          <w:highlight w:val="none"/>
          <w14:textFill>
            <w14:solidFill>
              <w14:schemeClr w14:val="tx1"/>
            </w14:solidFill>
          </w14:textFill>
        </w:rPr>
        <w:t>招标文件的组成部分。</w:t>
      </w:r>
    </w:p>
    <w:p w14:paraId="0A5DB1A8">
      <w:pPr>
        <w:pStyle w:val="5"/>
        <w:spacing w:line="257" w:lineRule="auto"/>
        <w:rPr>
          <w:rFonts w:hint="eastAsia" w:ascii="宋体" w:hAnsi="宋体" w:eastAsia="宋体" w:cs="宋体"/>
          <w:color w:val="000000" w:themeColor="text1"/>
          <w:highlight w:val="none"/>
          <w14:textFill>
            <w14:solidFill>
              <w14:schemeClr w14:val="tx1"/>
            </w14:solidFill>
          </w14:textFill>
        </w:rPr>
      </w:pPr>
    </w:p>
    <w:p w14:paraId="446874AE">
      <w:pPr>
        <w:pStyle w:val="5"/>
        <w:spacing w:line="257" w:lineRule="auto"/>
        <w:rPr>
          <w:rFonts w:hint="eastAsia" w:ascii="宋体" w:hAnsi="宋体" w:eastAsia="宋体" w:cs="宋体"/>
          <w:color w:val="000000" w:themeColor="text1"/>
          <w:highlight w:val="none"/>
          <w14:textFill>
            <w14:solidFill>
              <w14:schemeClr w14:val="tx1"/>
            </w14:solidFill>
          </w14:textFill>
        </w:rPr>
      </w:pPr>
    </w:p>
    <w:p w14:paraId="1850E2AC">
      <w:pPr>
        <w:spacing w:before="79" w:line="219" w:lineRule="auto"/>
        <w:ind w:left="488"/>
        <w:outlineLvl w:val="2"/>
        <w:rPr>
          <w:rFonts w:hint="eastAsia" w:ascii="宋体" w:hAnsi="宋体" w:eastAsia="宋体" w:cs="宋体"/>
          <w:color w:val="000000" w:themeColor="text1"/>
          <w:sz w:val="24"/>
          <w:szCs w:val="24"/>
          <w:highlight w:val="none"/>
          <w14:textFill>
            <w14:solidFill>
              <w14:schemeClr w14:val="tx1"/>
            </w14:solidFill>
          </w14:textFill>
        </w:rPr>
      </w:pPr>
      <w:bookmarkStart w:id="40" w:name="_Toc6897"/>
      <w:bookmarkStart w:id="41" w:name="_Toc23728"/>
      <w:r>
        <w:rPr>
          <w:rFonts w:hint="eastAsia" w:ascii="宋体" w:hAnsi="宋体" w:eastAsia="宋体" w:cs="宋体"/>
          <w:b/>
          <w:bCs/>
          <w:color w:val="000000" w:themeColor="text1"/>
          <w:spacing w:val="-5"/>
          <w:sz w:val="24"/>
          <w:szCs w:val="24"/>
          <w:highlight w:val="none"/>
          <w14:textFill>
            <w14:solidFill>
              <w14:schemeClr w14:val="tx1"/>
            </w14:solidFill>
          </w14:textFill>
        </w:rPr>
        <w:t>8</w:t>
      </w:r>
      <w:r>
        <w:rPr>
          <w:rFonts w:hint="eastAsia" w:ascii="宋体" w:hAnsi="宋体" w:eastAsia="宋体" w:cs="宋体"/>
          <w:b/>
          <w:bCs/>
          <w:color w:val="000000" w:themeColor="text1"/>
          <w:spacing w:val="-23"/>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5"/>
          <w:sz w:val="24"/>
          <w:szCs w:val="24"/>
          <w:highlight w:val="none"/>
          <w14:textFill>
            <w14:solidFill>
              <w14:schemeClr w14:val="tx1"/>
            </w14:solidFill>
          </w14:textFill>
        </w:rPr>
        <w:t>．</w:t>
      </w:r>
      <w:r>
        <w:rPr>
          <w:rFonts w:hint="eastAsia" w:ascii="宋体" w:hAnsi="宋体" w:eastAsia="宋体" w:cs="宋体"/>
          <w:b/>
          <w:bCs/>
          <w:color w:val="000000" w:themeColor="text1"/>
          <w:spacing w:val="-1"/>
          <w:sz w:val="24"/>
          <w:szCs w:val="24"/>
          <w:highlight w:val="none"/>
          <w14:textFill>
            <w14:solidFill>
              <w14:schemeClr w14:val="tx1"/>
            </w14:solidFill>
          </w14:textFill>
        </w:rPr>
        <w:t>招标控制价及最高投标限价</w:t>
      </w:r>
      <w:bookmarkEnd w:id="40"/>
      <w:bookmarkEnd w:id="41"/>
    </w:p>
    <w:p w14:paraId="37FBB470">
      <w:pPr>
        <w:spacing w:before="155" w:line="219" w:lineRule="auto"/>
        <w:ind w:left="48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8.1  </w:t>
      </w:r>
      <w:r>
        <w:rPr>
          <w:rFonts w:hint="eastAsia" w:ascii="宋体" w:hAnsi="宋体" w:eastAsia="宋体" w:cs="宋体"/>
          <w:color w:val="000000" w:themeColor="text1"/>
          <w:spacing w:val="-1"/>
          <w:sz w:val="24"/>
          <w:szCs w:val="24"/>
          <w:highlight w:val="none"/>
          <w14:textFill>
            <w14:solidFill>
              <w14:schemeClr w14:val="tx1"/>
            </w14:solidFill>
          </w14:textFill>
        </w:rPr>
        <w:t>本招标项目按照以下依据编制</w:t>
      </w:r>
      <w:r>
        <w:rPr>
          <w:rFonts w:hint="eastAsia" w:ascii="宋体" w:hAnsi="宋体" w:eastAsia="宋体" w:cs="宋体"/>
          <w:b/>
          <w:bCs/>
          <w:color w:val="000000" w:themeColor="text1"/>
          <w:spacing w:val="-1"/>
          <w:sz w:val="24"/>
          <w:szCs w:val="24"/>
          <w:highlight w:val="none"/>
          <w14:textFill>
            <w14:solidFill>
              <w14:schemeClr w14:val="tx1"/>
            </w14:solidFill>
          </w14:textFill>
        </w:rPr>
        <w:t>招标控制价</w:t>
      </w:r>
      <w:r>
        <w:rPr>
          <w:rFonts w:hint="eastAsia" w:ascii="宋体" w:hAnsi="宋体" w:eastAsia="宋体" w:cs="宋体"/>
          <w:color w:val="000000" w:themeColor="text1"/>
          <w:spacing w:val="-1"/>
          <w:sz w:val="24"/>
          <w:szCs w:val="24"/>
          <w:highlight w:val="none"/>
          <w14:textFill>
            <w14:solidFill>
              <w14:schemeClr w14:val="tx1"/>
            </w14:solidFill>
          </w14:textFill>
        </w:rPr>
        <w:t>：</w:t>
      </w:r>
    </w:p>
    <w:p w14:paraId="1070EE1C">
      <w:pPr>
        <w:spacing w:before="157" w:line="219"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（1）《建设工程工程量清单计价规范》（GB50500—2013）；</w:t>
      </w:r>
    </w:p>
    <w:p w14:paraId="4A7247E5">
      <w:pPr>
        <w:spacing w:before="153" w:line="309" w:lineRule="auto"/>
        <w:ind w:left="9" w:right="16" w:firstLine="49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（2）《广东省建设工程计价依据（2018）》。具体</w:t>
      </w:r>
      <w:r>
        <w:rPr>
          <w:rFonts w:hint="eastAsia" w:ascii="宋体" w:hAnsi="宋体" w:eastAsia="宋体" w:cs="宋体"/>
          <w:color w:val="000000" w:themeColor="text1"/>
          <w:spacing w:val="1"/>
          <w:sz w:val="24"/>
          <w:szCs w:val="24"/>
          <w:highlight w:val="none"/>
          <w14:textFill>
            <w14:solidFill>
              <w14:schemeClr w14:val="tx1"/>
            </w14:solidFill>
          </w14:textFill>
        </w:rPr>
        <w:t>包括：《广东省房屋建筑与</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装饰工程综合定额（2018）》《广东省市政工程综合定额（2018）》《</w:t>
      </w:r>
      <w:r>
        <w:rPr>
          <w:rFonts w:hint="eastAsia" w:ascii="宋体" w:hAnsi="宋体" w:eastAsia="宋体" w:cs="宋体"/>
          <w:color w:val="000000" w:themeColor="text1"/>
          <w:spacing w:val="-2"/>
          <w:sz w:val="24"/>
          <w:szCs w:val="24"/>
          <w:highlight w:val="none"/>
          <w14:textFill>
            <w14:solidFill>
              <w14:schemeClr w14:val="tx1"/>
            </w14:solidFill>
          </w14:textFill>
        </w:rPr>
        <w:t>广东省通用安</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装工程综合定额（2018）》《广东省园林绿化工程综合定额（2018）》</w:t>
      </w:r>
      <w:r>
        <w:rPr>
          <w:rFonts w:hint="eastAsia" w:ascii="宋体" w:hAnsi="宋体" w:eastAsia="宋体" w:cs="宋体"/>
          <w:color w:val="000000" w:themeColor="text1"/>
          <w:spacing w:val="-2"/>
          <w:sz w:val="24"/>
          <w:szCs w:val="24"/>
          <w:highlight w:val="none"/>
          <w14:textFill>
            <w14:solidFill>
              <w14:schemeClr w14:val="tx1"/>
            </w14:solidFill>
          </w14:textFill>
        </w:rPr>
        <w:t>《广东省建设</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工程施工机具台班费用编制规则（2018）》等；</w:t>
      </w:r>
    </w:p>
    <w:p w14:paraId="31DF117C">
      <w:pPr>
        <w:spacing w:before="154" w:line="221"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（3）施工图及相关资料；</w:t>
      </w:r>
    </w:p>
    <w:p w14:paraId="2964A12F">
      <w:pPr>
        <w:spacing w:before="78" w:line="220" w:lineRule="auto"/>
        <w:ind w:left="502"/>
        <w:rPr>
          <w:rFonts w:hint="eastAsia" w:ascii="宋体" w:hAnsi="宋体" w:eastAsia="宋体" w:cs="宋体"/>
          <w:color w:val="000000" w:themeColor="text1"/>
          <w:sz w:val="24"/>
          <w:szCs w:val="24"/>
          <w:highlight w:val="none"/>
          <w14:textFill>
            <w14:solidFill>
              <w14:schemeClr w14:val="tx1"/>
            </w14:solidFill>
          </w14:textFill>
        </w:rPr>
      </w:pPr>
      <w:bookmarkStart w:id="42" w:name="bookmark119"/>
      <w:bookmarkEnd w:id="42"/>
      <w:r>
        <w:rPr>
          <w:rFonts w:hint="eastAsia" w:ascii="宋体" w:hAnsi="宋体" w:eastAsia="宋体" w:cs="宋体"/>
          <w:color w:val="000000" w:themeColor="text1"/>
          <w:spacing w:val="-2"/>
          <w:sz w:val="24"/>
          <w:szCs w:val="24"/>
          <w:highlight w:val="none"/>
          <w14:textFill>
            <w14:solidFill>
              <w14:schemeClr w14:val="tx1"/>
            </w14:solidFill>
          </w14:textFill>
        </w:rPr>
        <w:t>（4）招标文件及招标工程量清单；</w:t>
      </w:r>
    </w:p>
    <w:p w14:paraId="76D0A57F">
      <w:pPr>
        <w:spacing w:before="155" w:line="220" w:lineRule="auto"/>
        <w:ind w:left="50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（5）施工现场情况、工程特点及常规施工方案；</w:t>
      </w:r>
    </w:p>
    <w:p w14:paraId="504E4C98">
      <w:pPr>
        <w:spacing w:before="153" w:line="278" w:lineRule="auto"/>
        <w:ind w:left="12" w:right="136" w:firstLine="4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（6）项目所在地工程造价管理机构发布的工程造价信息，工程造</w:t>
      </w:r>
      <w:r>
        <w:rPr>
          <w:rFonts w:hint="eastAsia" w:ascii="宋体" w:hAnsi="宋体" w:eastAsia="宋体" w:cs="宋体"/>
          <w:color w:val="000000" w:themeColor="text1"/>
          <w:spacing w:val="-4"/>
          <w:sz w:val="24"/>
          <w:szCs w:val="24"/>
          <w:highlight w:val="none"/>
          <w14:textFill>
            <w14:solidFill>
              <w14:schemeClr w14:val="tx1"/>
            </w14:solidFill>
          </w14:textFill>
        </w:rPr>
        <w:t>价信息缺项的，</w:t>
      </w:r>
      <w:r>
        <w:rPr>
          <w:rFonts w:hint="eastAsia" w:ascii="宋体" w:hAnsi="宋体" w:eastAsia="宋体" w:cs="宋体"/>
          <w:color w:val="000000" w:themeColor="text1"/>
          <w:spacing w:val="-2"/>
          <w:sz w:val="24"/>
          <w:szCs w:val="24"/>
          <w:highlight w:val="none"/>
          <w14:textFill>
            <w14:solidFill>
              <w14:schemeClr w14:val="tx1"/>
            </w14:solidFill>
          </w14:textFill>
        </w:rPr>
        <w:t>参照市场价格；</w:t>
      </w:r>
    </w:p>
    <w:p w14:paraId="6B6B220A">
      <w:pPr>
        <w:spacing w:before="157" w:line="220" w:lineRule="auto"/>
        <w:ind w:left="50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（7）与建设项目相关的标准、规范、技术资料。</w:t>
      </w:r>
    </w:p>
    <w:p w14:paraId="5D519EB1">
      <w:pPr>
        <w:spacing w:before="79" w:line="333" w:lineRule="auto"/>
        <w:ind w:left="11" w:firstLine="479"/>
        <w:jc w:val="both"/>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8.2</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lang w:eastAsia="zh-CN"/>
          <w14:textFill>
            <w14:solidFill>
              <w14:schemeClr w14:val="tx1"/>
            </w14:solidFill>
          </w14:textFill>
        </w:rPr>
        <w:t>本招标项目的招标控制价、工程量清单、</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施工图纸</w:t>
      </w:r>
      <w:r>
        <w:rPr>
          <w:rFonts w:hint="eastAsia" w:ascii="宋体" w:hAnsi="宋体" w:eastAsia="宋体" w:cs="宋体"/>
          <w:b/>
          <w:bCs/>
          <w:color w:val="000000" w:themeColor="text1"/>
          <w:sz w:val="24"/>
          <w:szCs w:val="24"/>
          <w:highlight w:val="none"/>
          <w:lang w:eastAsia="zh-CN"/>
          <w14:textFill>
            <w14:solidFill>
              <w14:schemeClr w14:val="tx1"/>
            </w14:solidFill>
          </w14:textFill>
        </w:rPr>
        <w:t>在投标截止时间15天前以补充公告的形式在广东省招标投标监管网（http://zbtb.gd.gov.cn）、全国公共资源交易平台（广东省·韶关市）（https://ygp.gdzwfw.gov.cn/ggzy-portal/#/440200/index）网站公布。</w:t>
      </w:r>
    </w:p>
    <w:p w14:paraId="458077E8">
      <w:pPr>
        <w:spacing w:before="79" w:line="333" w:lineRule="auto"/>
        <w:ind w:left="11" w:firstLine="479"/>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8.</w:t>
      </w:r>
      <w:r>
        <w:rPr>
          <w:rFonts w:hint="eastAsia" w:ascii="宋体" w:hAnsi="宋体" w:eastAsia="宋体" w:cs="宋体"/>
          <w:b/>
          <w:bCs/>
          <w:color w:val="000000" w:themeColor="text1"/>
          <w:sz w:val="24"/>
          <w:szCs w:val="24"/>
          <w:highlight w:val="none"/>
          <w:lang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暂估价指招标工程量清单中提供的用于支付必然发生但暂时不能确定价格的</w:t>
      </w:r>
      <w:r>
        <w:rPr>
          <w:rFonts w:hint="eastAsia" w:ascii="宋体" w:hAnsi="宋体" w:eastAsia="宋体" w:cs="宋体"/>
          <w:color w:val="000000" w:themeColor="text1"/>
          <w:spacing w:val="-1"/>
          <w:sz w:val="24"/>
          <w:szCs w:val="24"/>
          <w:highlight w:val="none"/>
          <w14:textFill>
            <w14:solidFill>
              <w14:schemeClr w14:val="tx1"/>
            </w14:solidFill>
          </w14:textFill>
        </w:rPr>
        <w:t>材料、工程设备的单价以及专业工程的金额；暂列金额指招标</w:t>
      </w:r>
      <w:r>
        <w:rPr>
          <w:rFonts w:hint="eastAsia" w:ascii="宋体" w:hAnsi="宋体" w:eastAsia="宋体" w:cs="宋体"/>
          <w:color w:val="000000" w:themeColor="text1"/>
          <w:spacing w:val="-2"/>
          <w:sz w:val="24"/>
          <w:szCs w:val="24"/>
          <w:highlight w:val="none"/>
          <w14:textFill>
            <w14:solidFill>
              <w14:schemeClr w14:val="tx1"/>
            </w14:solidFill>
          </w14:textFill>
        </w:rPr>
        <w:t>工程量清单中暂定并包括在合同价款中的一笔款项，用于工程合同签订时尚未确定或</w:t>
      </w:r>
      <w:r>
        <w:rPr>
          <w:rFonts w:hint="eastAsia" w:ascii="宋体" w:hAnsi="宋体" w:eastAsia="宋体" w:cs="宋体"/>
          <w:color w:val="000000" w:themeColor="text1"/>
          <w:spacing w:val="-3"/>
          <w:sz w:val="24"/>
          <w:szCs w:val="24"/>
          <w:highlight w:val="none"/>
          <w14:textFill>
            <w14:solidFill>
              <w14:schemeClr w14:val="tx1"/>
            </w14:solidFill>
          </w14:textFill>
        </w:rPr>
        <w:t>者不可预见的所需材料、</w:t>
      </w:r>
      <w:r>
        <w:rPr>
          <w:rFonts w:hint="eastAsia" w:ascii="宋体" w:hAnsi="宋体" w:eastAsia="宋体" w:cs="宋体"/>
          <w:color w:val="000000" w:themeColor="text1"/>
          <w:spacing w:val="-1"/>
          <w:sz w:val="24"/>
          <w:szCs w:val="24"/>
          <w:highlight w:val="none"/>
          <w14:textFill>
            <w14:solidFill>
              <w14:schemeClr w14:val="tx1"/>
            </w14:solidFill>
          </w14:textFill>
        </w:rPr>
        <w:t>工程设备、服务的采购，施工中可能发生的工程变更、合同约</w:t>
      </w:r>
      <w:r>
        <w:rPr>
          <w:rFonts w:hint="eastAsia" w:ascii="宋体" w:hAnsi="宋体" w:eastAsia="宋体" w:cs="宋体"/>
          <w:color w:val="000000" w:themeColor="text1"/>
          <w:spacing w:val="-2"/>
          <w:sz w:val="24"/>
          <w:szCs w:val="24"/>
          <w:highlight w:val="none"/>
          <w14:textFill>
            <w14:solidFill>
              <w14:schemeClr w14:val="tx1"/>
            </w14:solidFill>
          </w14:textFill>
        </w:rPr>
        <w:t>定调整因素出现时的合</w:t>
      </w:r>
      <w:r>
        <w:rPr>
          <w:rFonts w:hint="eastAsia" w:ascii="宋体" w:hAnsi="宋体" w:eastAsia="宋体" w:cs="宋体"/>
          <w:color w:val="000000" w:themeColor="text1"/>
          <w:spacing w:val="-1"/>
          <w:sz w:val="24"/>
          <w:szCs w:val="24"/>
          <w:highlight w:val="none"/>
          <w14:textFill>
            <w14:solidFill>
              <w14:schemeClr w14:val="tx1"/>
            </w14:solidFill>
          </w14:textFill>
        </w:rPr>
        <w:t>同价款调整以及发生的索赔、现场签证确认等的费用。</w:t>
      </w:r>
    </w:p>
    <w:p w14:paraId="1698FFA3">
      <w:pPr>
        <w:spacing w:before="36" w:line="278" w:lineRule="auto"/>
        <w:ind w:left="10" w:right="200"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8.</w:t>
      </w:r>
      <w:r>
        <w:rPr>
          <w:rFonts w:hint="eastAsia" w:ascii="宋体" w:hAnsi="宋体" w:eastAsia="宋体" w:cs="宋体"/>
          <w:b/>
          <w:bCs/>
          <w:color w:val="000000" w:themeColor="text1"/>
          <w:sz w:val="24"/>
          <w:szCs w:val="24"/>
          <w:highlight w:val="none"/>
          <w:lang w:eastAsia="zh-CN"/>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本招标项目以暂估价形式列入招标工程量清单中的材料、工程设备、专业工</w:t>
      </w:r>
      <w:r>
        <w:rPr>
          <w:rFonts w:hint="eastAsia" w:ascii="宋体" w:hAnsi="宋体" w:eastAsia="宋体" w:cs="宋体"/>
          <w:color w:val="000000" w:themeColor="text1"/>
          <w:spacing w:val="-2"/>
          <w:sz w:val="24"/>
          <w:szCs w:val="24"/>
          <w:highlight w:val="none"/>
          <w14:textFill>
            <w14:solidFill>
              <w14:schemeClr w14:val="tx1"/>
            </w14:solidFill>
          </w14:textFill>
        </w:rPr>
        <w:t>程（以下统称“暂估价项目</w:t>
      </w:r>
      <w:r>
        <w:rPr>
          <w:rFonts w:hint="eastAsia" w:ascii="宋体" w:hAnsi="宋体" w:eastAsia="宋体" w:cs="宋体"/>
          <w:color w:val="000000" w:themeColor="text1"/>
          <w:spacing w:val="-8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”）包括：</w:t>
      </w:r>
      <w:r>
        <w:rPr>
          <w:rFonts w:hint="eastAsia" w:ascii="宋体" w:hAnsi="宋体" w:eastAsia="宋体" w:cs="宋体"/>
          <w:color w:val="000000" w:themeColor="text1"/>
          <w:sz w:val="24"/>
          <w:szCs w:val="24"/>
          <w:highlight w:val="none"/>
          <w:u w:val="single"/>
          <w14:textFill>
            <w14:solidFill>
              <w14:schemeClr w14:val="tx1"/>
            </w14:solidFill>
          </w14:textFill>
        </w:rPr>
        <w:t>为招标人在工程量清单中提供的用于支付必然发生但暂时不能确定价格的材料、工程设备的单价以及专业工程的金额。投标人必须按招标工程量清单中列出的单价、金额统一报价，其结算原则按本招标文件相关条款执行。</w:t>
      </w:r>
    </w:p>
    <w:p w14:paraId="27DBB8AB">
      <w:pPr>
        <w:spacing w:before="154" w:line="280" w:lineRule="auto"/>
        <w:ind w:left="12" w:right="200" w:firstLine="47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8.</w:t>
      </w:r>
      <w:r>
        <w:rPr>
          <w:rFonts w:hint="eastAsia" w:ascii="宋体" w:hAnsi="宋体" w:eastAsia="宋体" w:cs="宋体"/>
          <w:b/>
          <w:bCs/>
          <w:color w:val="000000" w:themeColor="text1"/>
          <w:sz w:val="24"/>
          <w:szCs w:val="24"/>
          <w:highlight w:val="none"/>
          <w:lang w:eastAsia="zh-CN"/>
          <w14:textFill>
            <w14:solidFill>
              <w14:schemeClr w14:val="tx1"/>
            </w14:solidFill>
          </w14:textFill>
        </w:rPr>
        <w:t>5</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当暂估价项目的内容、标准、要求在项目实施过程中得以深化、明确、固定</w:t>
      </w:r>
      <w:r>
        <w:rPr>
          <w:rFonts w:hint="eastAsia" w:ascii="宋体" w:hAnsi="宋体" w:eastAsia="宋体" w:cs="宋体"/>
          <w:color w:val="000000" w:themeColor="text1"/>
          <w:spacing w:val="-2"/>
          <w:sz w:val="24"/>
          <w:szCs w:val="24"/>
          <w:highlight w:val="none"/>
          <w14:textFill>
            <w14:solidFill>
              <w14:schemeClr w14:val="tx1"/>
            </w14:solidFill>
          </w14:textFill>
        </w:rPr>
        <w:t>后，按以下原则发包：</w:t>
      </w:r>
    </w:p>
    <w:p w14:paraId="2E6E5889">
      <w:pPr>
        <w:spacing w:before="153" w:line="219" w:lineRule="auto"/>
        <w:ind w:left="-3" w:leftChars="0" w:firstLine="488"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（1）暂估价项目按工程、货物（指材料或工程设备，下同）的类别分类汇总的金额，达到必须</w:t>
      </w:r>
      <w:r>
        <w:rPr>
          <w:rFonts w:hint="eastAsia" w:ascii="宋体" w:hAnsi="宋体" w:eastAsia="宋体" w:cs="宋体"/>
          <w:color w:val="000000" w:themeColor="text1"/>
          <w:spacing w:val="-3"/>
          <w:sz w:val="24"/>
          <w:szCs w:val="24"/>
          <w:highlight w:val="none"/>
          <w14:textFill>
            <w14:solidFill>
              <w14:schemeClr w14:val="tx1"/>
            </w14:solidFill>
          </w14:textFill>
        </w:rPr>
        <w:t>招标规模标准的，由</w:t>
      </w:r>
      <w:r>
        <w:rPr>
          <w:rFonts w:hint="eastAsia" w:ascii="宋体" w:hAnsi="宋体" w:eastAsia="宋体" w:cs="宋体"/>
          <w:b/>
          <w:bCs/>
          <w:color w:val="000000" w:themeColor="text1"/>
          <w:spacing w:val="2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1"/>
          <w:sz w:val="24"/>
          <w:szCs w:val="24"/>
          <w:highlight w:val="none"/>
          <w:u w:val="single"/>
          <w14:textFill>
            <w14:solidFill>
              <w14:schemeClr w14:val="tx1"/>
            </w14:solidFill>
          </w14:textFill>
        </w:rPr>
        <w:t xml:space="preserve">中标人招标，招标人参与管理 </w:t>
      </w:r>
      <w:r>
        <w:rPr>
          <w:rFonts w:hint="eastAsia" w:ascii="宋体" w:hAnsi="宋体" w:eastAsia="宋体" w:cs="宋体"/>
          <w:bCs/>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确定专业工程承包人（或材料、工程</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设备供应商）和合同价格。</w:t>
      </w:r>
    </w:p>
    <w:p w14:paraId="748F67E9">
      <w:pPr>
        <w:spacing w:before="30" w:line="299" w:lineRule="auto"/>
        <w:ind w:left="11" w:right="65" w:firstLine="4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（2）暂估价项目按工程、货物的类别分类汇总的金额，未</w:t>
      </w:r>
      <w:r>
        <w:rPr>
          <w:rFonts w:hint="eastAsia" w:ascii="宋体" w:hAnsi="宋体" w:eastAsia="宋体" w:cs="宋体"/>
          <w:color w:val="000000" w:themeColor="text1"/>
          <w:spacing w:val="1"/>
          <w:sz w:val="24"/>
          <w:szCs w:val="24"/>
          <w:highlight w:val="none"/>
          <w14:textFill>
            <w14:solidFill>
              <w14:schemeClr w14:val="tx1"/>
            </w14:solidFill>
          </w14:textFill>
        </w:rPr>
        <w:t>达到必须招标规模标</w:t>
      </w:r>
      <w:r>
        <w:rPr>
          <w:rFonts w:hint="eastAsia" w:ascii="宋体" w:hAnsi="宋体" w:eastAsia="宋体" w:cs="宋体"/>
          <w:color w:val="000000" w:themeColor="text1"/>
          <w:spacing w:val="-1"/>
          <w:sz w:val="24"/>
          <w:szCs w:val="24"/>
          <w:highlight w:val="none"/>
          <w14:textFill>
            <w14:solidFill>
              <w14:schemeClr w14:val="tx1"/>
            </w14:solidFill>
          </w14:textFill>
        </w:rPr>
        <w:t>准但适用政府采购规定的，按照政府采购规定确定专业工</w:t>
      </w:r>
      <w:r>
        <w:rPr>
          <w:rFonts w:hint="eastAsia" w:ascii="宋体" w:hAnsi="宋体" w:eastAsia="宋体" w:cs="宋体"/>
          <w:color w:val="000000" w:themeColor="text1"/>
          <w:spacing w:val="-2"/>
          <w:sz w:val="24"/>
          <w:szCs w:val="24"/>
          <w:highlight w:val="none"/>
          <w14:textFill>
            <w14:solidFill>
              <w14:schemeClr w14:val="tx1"/>
            </w14:solidFill>
          </w14:textFill>
        </w:rPr>
        <w:t>程承包人（或材料、工程设备供应商）和合同价格。</w:t>
      </w:r>
    </w:p>
    <w:p w14:paraId="6736DF1E">
      <w:pPr>
        <w:spacing w:before="154" w:line="309" w:lineRule="auto"/>
        <w:ind w:left="11" w:right="65" w:firstLine="4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（3）暂估价项目按工程、货物的类别分类汇总的金额，未</w:t>
      </w:r>
      <w:r>
        <w:rPr>
          <w:rFonts w:hint="eastAsia" w:ascii="宋体" w:hAnsi="宋体" w:eastAsia="宋体" w:cs="宋体"/>
          <w:color w:val="000000" w:themeColor="text1"/>
          <w:spacing w:val="1"/>
          <w:sz w:val="24"/>
          <w:szCs w:val="24"/>
          <w:highlight w:val="none"/>
          <w14:textFill>
            <w14:solidFill>
              <w14:schemeClr w14:val="tx1"/>
            </w14:solidFill>
          </w14:textFill>
        </w:rPr>
        <w:t>达到必须招标规模标</w:t>
      </w:r>
      <w:r>
        <w:rPr>
          <w:rFonts w:hint="eastAsia" w:ascii="宋体" w:hAnsi="宋体" w:eastAsia="宋体" w:cs="宋体"/>
          <w:color w:val="000000" w:themeColor="text1"/>
          <w:spacing w:val="-1"/>
          <w:sz w:val="24"/>
          <w:szCs w:val="24"/>
          <w:highlight w:val="none"/>
          <w14:textFill>
            <w14:solidFill>
              <w14:schemeClr w14:val="tx1"/>
            </w14:solidFill>
          </w14:textFill>
        </w:rPr>
        <w:t>准也不适用政府采购规定，中标人具备相应资格条件的，</w:t>
      </w:r>
      <w:r>
        <w:rPr>
          <w:rFonts w:hint="eastAsia" w:ascii="宋体" w:hAnsi="宋体" w:eastAsia="宋体" w:cs="宋体"/>
          <w:color w:val="000000" w:themeColor="text1"/>
          <w:spacing w:val="-2"/>
          <w:sz w:val="24"/>
          <w:szCs w:val="24"/>
          <w:highlight w:val="none"/>
          <w14:textFill>
            <w14:solidFill>
              <w14:schemeClr w14:val="tx1"/>
            </w14:solidFill>
          </w14:textFill>
        </w:rPr>
        <w:t>由中标人承包；中标人不具</w:t>
      </w:r>
      <w:r>
        <w:rPr>
          <w:rFonts w:hint="eastAsia" w:ascii="宋体" w:hAnsi="宋体" w:eastAsia="宋体" w:cs="宋体"/>
          <w:color w:val="000000" w:themeColor="text1"/>
          <w:spacing w:val="-1"/>
          <w:sz w:val="24"/>
          <w:szCs w:val="24"/>
          <w:highlight w:val="none"/>
          <w14:textFill>
            <w14:solidFill>
              <w14:schemeClr w14:val="tx1"/>
            </w14:solidFill>
          </w14:textFill>
        </w:rPr>
        <w:t>备相应资格条件但具备分包权的，由中标人分包，招标人</w:t>
      </w:r>
      <w:r>
        <w:rPr>
          <w:rFonts w:hint="eastAsia" w:ascii="宋体" w:hAnsi="宋体" w:eastAsia="宋体" w:cs="宋体"/>
          <w:color w:val="000000" w:themeColor="text1"/>
          <w:spacing w:val="-2"/>
          <w:sz w:val="24"/>
          <w:szCs w:val="24"/>
          <w:highlight w:val="none"/>
          <w14:textFill>
            <w14:solidFill>
              <w14:schemeClr w14:val="tx1"/>
            </w14:solidFill>
          </w14:textFill>
        </w:rPr>
        <w:t>同中标人结算原则按本招标</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文件相关条款执行。</w:t>
      </w:r>
    </w:p>
    <w:p w14:paraId="6EC26BD9">
      <w:pPr>
        <w:spacing w:before="154" w:line="299" w:lineRule="auto"/>
        <w:ind w:left="11" w:right="65" w:firstLine="4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（4）暂估价项目按工程、货物的类别分类汇总的金额，未</w:t>
      </w:r>
      <w:r>
        <w:rPr>
          <w:rFonts w:hint="eastAsia" w:ascii="宋体" w:hAnsi="宋体" w:eastAsia="宋体" w:cs="宋体"/>
          <w:color w:val="000000" w:themeColor="text1"/>
          <w:spacing w:val="1"/>
          <w:sz w:val="24"/>
          <w:szCs w:val="24"/>
          <w:highlight w:val="none"/>
          <w14:textFill>
            <w14:solidFill>
              <w14:schemeClr w14:val="tx1"/>
            </w14:solidFill>
          </w14:textFill>
        </w:rPr>
        <w:t>达到必须招标规模标</w:t>
      </w:r>
      <w:r>
        <w:rPr>
          <w:rFonts w:hint="eastAsia" w:ascii="宋体" w:hAnsi="宋体" w:eastAsia="宋体" w:cs="宋体"/>
          <w:color w:val="000000" w:themeColor="text1"/>
          <w:spacing w:val="-1"/>
          <w:sz w:val="24"/>
          <w:szCs w:val="24"/>
          <w:highlight w:val="none"/>
          <w14:textFill>
            <w14:solidFill>
              <w14:schemeClr w14:val="tx1"/>
            </w14:solidFill>
          </w14:textFill>
        </w:rPr>
        <w:t>准也不适用政府采购规定，中标人既不具备相应资格条件</w:t>
      </w:r>
      <w:r>
        <w:rPr>
          <w:rFonts w:hint="eastAsia" w:ascii="宋体" w:hAnsi="宋体" w:eastAsia="宋体" w:cs="宋体"/>
          <w:color w:val="000000" w:themeColor="text1"/>
          <w:spacing w:val="-2"/>
          <w:sz w:val="24"/>
          <w:szCs w:val="24"/>
          <w:highlight w:val="none"/>
          <w14:textFill>
            <w14:solidFill>
              <w14:schemeClr w14:val="tx1"/>
            </w14:solidFill>
          </w14:textFill>
        </w:rPr>
        <w:t>又不具备分包权的，由招标人另行发包。</w:t>
      </w:r>
    </w:p>
    <w:p w14:paraId="51638999">
      <w:pPr>
        <w:spacing w:before="155" w:line="279" w:lineRule="auto"/>
        <w:ind w:left="9" w:right="66" w:firstLine="49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（5）暂估价项目由其他承包人承包的，纳入中标人的管理</w:t>
      </w:r>
      <w:r>
        <w:rPr>
          <w:rFonts w:hint="eastAsia" w:ascii="宋体" w:hAnsi="宋体" w:eastAsia="宋体" w:cs="宋体"/>
          <w:color w:val="000000" w:themeColor="text1"/>
          <w:spacing w:val="1"/>
          <w:sz w:val="24"/>
          <w:szCs w:val="24"/>
          <w:highlight w:val="none"/>
          <w14:textFill>
            <w14:solidFill>
              <w14:schemeClr w14:val="tx1"/>
            </w14:solidFill>
          </w14:textFill>
        </w:rPr>
        <w:t>和协调范围，由其他</w:t>
      </w:r>
      <w:r>
        <w:rPr>
          <w:rFonts w:hint="eastAsia" w:ascii="宋体" w:hAnsi="宋体" w:eastAsia="宋体" w:cs="宋体"/>
          <w:color w:val="000000" w:themeColor="text1"/>
          <w:spacing w:val="-1"/>
          <w:sz w:val="24"/>
          <w:szCs w:val="24"/>
          <w:highlight w:val="none"/>
          <w14:textFill>
            <w14:solidFill>
              <w14:schemeClr w14:val="tx1"/>
            </w14:solidFill>
          </w14:textFill>
        </w:rPr>
        <w:t>承包人向中标人承担质量、安全、文明施工、工期责任，中标</w:t>
      </w:r>
      <w:r>
        <w:rPr>
          <w:rFonts w:hint="eastAsia" w:ascii="宋体" w:hAnsi="宋体" w:eastAsia="宋体" w:cs="宋体"/>
          <w:color w:val="000000" w:themeColor="text1"/>
          <w:spacing w:val="-2"/>
          <w:sz w:val="24"/>
          <w:szCs w:val="24"/>
          <w:highlight w:val="none"/>
          <w14:textFill>
            <w14:solidFill>
              <w14:schemeClr w14:val="tx1"/>
            </w14:solidFill>
          </w14:textFill>
        </w:rPr>
        <w:t>人向招标人承担责任。</w:t>
      </w:r>
    </w:p>
    <w:p w14:paraId="2C7F3A6E">
      <w:pPr>
        <w:spacing w:before="155" w:line="333" w:lineRule="auto"/>
        <w:ind w:left="10" w:right="65" w:firstLine="47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8</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本招标项目以暂列金额形式列入招标工程量清单中的所需货物和服务的采购</w:t>
      </w:r>
      <w:r>
        <w:rPr>
          <w:rFonts w:hint="eastAsia" w:ascii="宋体" w:hAnsi="宋体" w:eastAsia="宋体" w:cs="宋体"/>
          <w:color w:val="000000" w:themeColor="text1"/>
          <w:spacing w:val="-1"/>
          <w:sz w:val="24"/>
          <w:szCs w:val="24"/>
          <w:highlight w:val="none"/>
          <w14:textFill>
            <w14:solidFill>
              <w14:schemeClr w14:val="tx1"/>
            </w14:solidFill>
          </w14:textFill>
        </w:rPr>
        <w:t>（以下统称“暂列金额项目</w:t>
      </w:r>
      <w:r>
        <w:rPr>
          <w:rFonts w:hint="eastAsia" w:ascii="宋体" w:hAnsi="宋体" w:eastAsia="宋体" w:cs="宋体"/>
          <w:color w:val="000000" w:themeColor="text1"/>
          <w:spacing w:val="-7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”）若有发生，按照本节第</w:t>
      </w:r>
      <w:r>
        <w:rPr>
          <w:rFonts w:hint="eastAsia" w:ascii="宋体" w:hAnsi="宋体" w:eastAsia="宋体" w:cs="宋体"/>
          <w:color w:val="000000" w:themeColor="text1"/>
          <w:spacing w:val="-52"/>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8.5 </w:t>
      </w:r>
      <w:r>
        <w:rPr>
          <w:rFonts w:hint="eastAsia" w:ascii="宋体" w:hAnsi="宋体" w:eastAsia="宋体" w:cs="宋体"/>
          <w:color w:val="000000" w:themeColor="text1"/>
          <w:spacing w:val="-1"/>
          <w:sz w:val="24"/>
          <w:szCs w:val="24"/>
          <w:highlight w:val="none"/>
          <w14:textFill>
            <w14:solidFill>
              <w14:schemeClr w14:val="tx1"/>
            </w14:solidFill>
          </w14:textFill>
        </w:rPr>
        <w:t>条的规定确定货物（或服务）供应商和合同价格。暂列金额项目由其他承包人承包的</w:t>
      </w:r>
      <w:r>
        <w:rPr>
          <w:rFonts w:hint="eastAsia" w:ascii="宋体" w:hAnsi="宋体" w:eastAsia="宋体" w:cs="宋体"/>
          <w:color w:val="000000" w:themeColor="text1"/>
          <w:spacing w:val="-2"/>
          <w:sz w:val="24"/>
          <w:szCs w:val="24"/>
          <w:highlight w:val="none"/>
          <w14:textFill>
            <w14:solidFill>
              <w14:schemeClr w14:val="tx1"/>
            </w14:solidFill>
          </w14:textFill>
        </w:rPr>
        <w:t>，纳入中标人的管理和协</w:t>
      </w:r>
      <w:r>
        <w:rPr>
          <w:rFonts w:hint="eastAsia" w:ascii="宋体" w:hAnsi="宋体" w:eastAsia="宋体" w:cs="宋体"/>
          <w:color w:val="000000" w:themeColor="text1"/>
          <w:spacing w:val="-1"/>
          <w:sz w:val="24"/>
          <w:szCs w:val="24"/>
          <w:highlight w:val="none"/>
          <w14:textFill>
            <w14:solidFill>
              <w14:schemeClr w14:val="tx1"/>
            </w14:solidFill>
          </w14:textFill>
        </w:rPr>
        <w:t>调范围</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由其他承包人向中标人承担质量、安全、文明</w:t>
      </w:r>
      <w:r>
        <w:rPr>
          <w:rFonts w:hint="eastAsia" w:ascii="宋体" w:hAnsi="宋体" w:eastAsia="宋体" w:cs="宋体"/>
          <w:color w:val="000000" w:themeColor="text1"/>
          <w:spacing w:val="-2"/>
          <w:sz w:val="24"/>
          <w:szCs w:val="24"/>
          <w:highlight w:val="none"/>
          <w14:textFill>
            <w14:solidFill>
              <w14:schemeClr w14:val="tx1"/>
            </w14:solidFill>
          </w14:textFill>
        </w:rPr>
        <w:t>施工、工期责任，中标人向招标人承担责任。</w:t>
      </w:r>
    </w:p>
    <w:p w14:paraId="06A8222B">
      <w:pPr>
        <w:pStyle w:val="5"/>
        <w:spacing w:line="391" w:lineRule="auto"/>
        <w:rPr>
          <w:rFonts w:hint="eastAsia" w:ascii="宋体" w:hAnsi="宋体" w:eastAsia="宋体" w:cs="宋体"/>
          <w:color w:val="000000" w:themeColor="text1"/>
          <w:highlight w:val="none"/>
          <w14:textFill>
            <w14:solidFill>
              <w14:schemeClr w14:val="tx1"/>
            </w14:solidFill>
          </w14:textFill>
        </w:rPr>
      </w:pPr>
    </w:p>
    <w:p w14:paraId="44041CF4">
      <w:pPr>
        <w:spacing w:before="79" w:line="219" w:lineRule="auto"/>
        <w:ind w:left="487"/>
        <w:outlineLvl w:val="2"/>
        <w:rPr>
          <w:rFonts w:hint="eastAsia" w:ascii="宋体" w:hAnsi="宋体" w:eastAsia="宋体" w:cs="宋体"/>
          <w:color w:val="000000" w:themeColor="text1"/>
          <w:sz w:val="24"/>
          <w:szCs w:val="24"/>
          <w:highlight w:val="none"/>
          <w14:textFill>
            <w14:solidFill>
              <w14:schemeClr w14:val="tx1"/>
            </w14:solidFill>
          </w14:textFill>
        </w:rPr>
      </w:pPr>
      <w:bookmarkStart w:id="43" w:name="_Toc22978"/>
      <w:bookmarkStart w:id="44" w:name="_Toc27885"/>
      <w:r>
        <w:rPr>
          <w:rFonts w:hint="eastAsia" w:ascii="宋体" w:hAnsi="宋体" w:eastAsia="宋体" w:cs="宋体"/>
          <w:b/>
          <w:bCs/>
          <w:color w:val="000000" w:themeColor="text1"/>
          <w:spacing w:val="-8"/>
          <w:sz w:val="24"/>
          <w:szCs w:val="24"/>
          <w:highlight w:val="none"/>
          <w14:textFill>
            <w14:solidFill>
              <w14:schemeClr w14:val="tx1"/>
            </w14:solidFill>
          </w14:textFill>
        </w:rPr>
        <w:t>9</w:t>
      </w:r>
      <w:r>
        <w:rPr>
          <w:rFonts w:hint="eastAsia" w:ascii="宋体" w:hAnsi="宋体" w:eastAsia="宋体" w:cs="宋体"/>
          <w:b/>
          <w:bCs/>
          <w:color w:val="000000" w:themeColor="text1"/>
          <w:spacing w:val="-29"/>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14:textFill>
            <w14:solidFill>
              <w14:schemeClr w14:val="tx1"/>
            </w14:solidFill>
          </w14:textFill>
        </w:rPr>
        <w:t>．投标报价</w:t>
      </w:r>
      <w:bookmarkEnd w:id="43"/>
      <w:bookmarkEnd w:id="44"/>
    </w:p>
    <w:p w14:paraId="0ED2EF22">
      <w:pPr>
        <w:spacing w:before="157" w:line="219" w:lineRule="auto"/>
        <w:ind w:left="48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9.1  </w:t>
      </w:r>
      <w:r>
        <w:rPr>
          <w:rFonts w:hint="eastAsia" w:ascii="宋体" w:hAnsi="宋体" w:eastAsia="宋体" w:cs="宋体"/>
          <w:color w:val="000000" w:themeColor="text1"/>
          <w:spacing w:val="-1"/>
          <w:sz w:val="24"/>
          <w:szCs w:val="24"/>
          <w:highlight w:val="none"/>
          <w14:textFill>
            <w14:solidFill>
              <w14:schemeClr w14:val="tx1"/>
            </w14:solidFill>
          </w14:textFill>
        </w:rPr>
        <w:t>投标人应按照以下依据编制投标报价：</w:t>
      </w:r>
    </w:p>
    <w:p w14:paraId="5DFFCF42">
      <w:pPr>
        <w:spacing w:before="155" w:line="219"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（1）《建设工程工程量清单计价规范》（GB50500—2013</w:t>
      </w:r>
      <w:r>
        <w:rPr>
          <w:rFonts w:hint="eastAsia" w:ascii="宋体" w:hAnsi="宋体" w:eastAsia="宋体" w:cs="宋体"/>
          <w:color w:val="000000" w:themeColor="text1"/>
          <w:spacing w:val="4"/>
          <w:sz w:val="24"/>
          <w:szCs w:val="24"/>
          <w:highlight w:val="none"/>
          <w14:textFill>
            <w14:solidFill>
              <w14:schemeClr w14:val="tx1"/>
            </w14:solidFill>
          </w14:textFill>
        </w:rPr>
        <w:t>）；</w:t>
      </w:r>
    </w:p>
    <w:p w14:paraId="1C5DC104">
      <w:pPr>
        <w:spacing w:before="153" w:line="309" w:lineRule="auto"/>
        <w:ind w:left="9" w:right="65" w:firstLine="49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（2）《广东省建设工程计价依据（2018）》。具体</w:t>
      </w:r>
      <w:r>
        <w:rPr>
          <w:rFonts w:hint="eastAsia" w:ascii="宋体" w:hAnsi="宋体" w:eastAsia="宋体" w:cs="宋体"/>
          <w:color w:val="000000" w:themeColor="text1"/>
          <w:spacing w:val="1"/>
          <w:sz w:val="24"/>
          <w:szCs w:val="24"/>
          <w:highlight w:val="none"/>
          <w14:textFill>
            <w14:solidFill>
              <w14:schemeClr w14:val="tx1"/>
            </w14:solidFill>
          </w14:textFill>
        </w:rPr>
        <w:t>包括：《广东省房屋建筑与</w:t>
      </w:r>
      <w:r>
        <w:rPr>
          <w:rFonts w:hint="eastAsia" w:ascii="宋体" w:hAnsi="宋体" w:eastAsia="宋体" w:cs="宋体"/>
          <w:color w:val="000000" w:themeColor="text1"/>
          <w:spacing w:val="-1"/>
          <w:sz w:val="24"/>
          <w:szCs w:val="24"/>
          <w:highlight w:val="none"/>
          <w14:textFill>
            <w14:solidFill>
              <w14:schemeClr w14:val="tx1"/>
            </w14:solidFill>
          </w14:textFill>
        </w:rPr>
        <w:t>装饰工程综合定额（2018）》《广东省市政工程综合定额（2018）》《</w:t>
      </w:r>
      <w:r>
        <w:rPr>
          <w:rFonts w:hint="eastAsia" w:ascii="宋体" w:hAnsi="宋体" w:eastAsia="宋体" w:cs="宋体"/>
          <w:color w:val="000000" w:themeColor="text1"/>
          <w:spacing w:val="-2"/>
          <w:sz w:val="24"/>
          <w:szCs w:val="24"/>
          <w:highlight w:val="none"/>
          <w14:textFill>
            <w14:solidFill>
              <w14:schemeClr w14:val="tx1"/>
            </w14:solidFill>
          </w14:textFill>
        </w:rPr>
        <w:t>广东省通用安</w:t>
      </w:r>
      <w:r>
        <w:rPr>
          <w:rFonts w:hint="eastAsia" w:ascii="宋体" w:hAnsi="宋体" w:eastAsia="宋体" w:cs="宋体"/>
          <w:color w:val="000000" w:themeColor="text1"/>
          <w:spacing w:val="-1"/>
          <w:sz w:val="24"/>
          <w:szCs w:val="24"/>
          <w:highlight w:val="none"/>
          <w14:textFill>
            <w14:solidFill>
              <w14:schemeClr w14:val="tx1"/>
            </w14:solidFill>
          </w14:textFill>
        </w:rPr>
        <w:t>装工程综合定额（2018）》《广东省园林绿化工程综合定额（2018）》</w:t>
      </w:r>
      <w:r>
        <w:rPr>
          <w:rFonts w:hint="eastAsia" w:ascii="宋体" w:hAnsi="宋体" w:eastAsia="宋体" w:cs="宋体"/>
          <w:color w:val="000000" w:themeColor="text1"/>
          <w:spacing w:val="-2"/>
          <w:sz w:val="24"/>
          <w:szCs w:val="24"/>
          <w:highlight w:val="none"/>
          <w14:textFill>
            <w14:solidFill>
              <w14:schemeClr w14:val="tx1"/>
            </w14:solidFill>
          </w14:textFill>
        </w:rPr>
        <w:t>《广东省建设</w:t>
      </w:r>
      <w:r>
        <w:rPr>
          <w:rFonts w:hint="eastAsia" w:ascii="宋体" w:hAnsi="宋体" w:eastAsia="宋体" w:cs="宋体"/>
          <w:color w:val="000000" w:themeColor="text1"/>
          <w:spacing w:val="-1"/>
          <w:sz w:val="24"/>
          <w:szCs w:val="24"/>
          <w:highlight w:val="none"/>
          <w14:textFill>
            <w14:solidFill>
              <w14:schemeClr w14:val="tx1"/>
            </w14:solidFill>
          </w14:textFill>
        </w:rPr>
        <w:t>工程施工机具台班费用编制规则（2018）》等；</w:t>
      </w:r>
    </w:p>
    <w:p w14:paraId="56A82739">
      <w:pPr>
        <w:spacing w:before="78" w:line="220" w:lineRule="auto"/>
        <w:ind w:left="501"/>
        <w:rPr>
          <w:rFonts w:hint="eastAsia" w:ascii="宋体" w:hAnsi="宋体" w:eastAsia="宋体" w:cs="宋体"/>
          <w:color w:val="000000" w:themeColor="text1"/>
          <w:sz w:val="24"/>
          <w:szCs w:val="24"/>
          <w:highlight w:val="none"/>
          <w14:textFill>
            <w14:solidFill>
              <w14:schemeClr w14:val="tx1"/>
            </w14:solidFill>
          </w14:textFill>
        </w:rPr>
      </w:pPr>
      <w:bookmarkStart w:id="45" w:name="bookmark120"/>
      <w:bookmarkEnd w:id="45"/>
      <w:r>
        <w:rPr>
          <w:rFonts w:hint="eastAsia" w:ascii="宋体" w:hAnsi="宋体" w:eastAsia="宋体" w:cs="宋体"/>
          <w:color w:val="000000" w:themeColor="text1"/>
          <w:spacing w:val="-3"/>
          <w:sz w:val="24"/>
          <w:szCs w:val="24"/>
          <w:highlight w:val="none"/>
          <w14:textFill>
            <w14:solidFill>
              <w14:schemeClr w14:val="tx1"/>
            </w14:solidFill>
          </w14:textFill>
        </w:rPr>
        <w:t>（3）企业定额；</w:t>
      </w:r>
    </w:p>
    <w:p w14:paraId="21D7AB3A">
      <w:pPr>
        <w:spacing w:before="155" w:line="219"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（4）招标文件及其答疑（或修改）公告、招标工程量清单；</w:t>
      </w:r>
    </w:p>
    <w:p w14:paraId="6C148BBB">
      <w:pPr>
        <w:spacing w:before="154" w:line="221"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（5）施工图及相关资料；</w:t>
      </w:r>
    </w:p>
    <w:p w14:paraId="05C84BB3">
      <w:pPr>
        <w:spacing w:before="152" w:line="219"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（6）施工现场情况、工程特点及投标时拟定的施工组织设计或施工方案；</w:t>
      </w:r>
    </w:p>
    <w:p w14:paraId="42F852A9">
      <w:pPr>
        <w:spacing w:before="156" w:line="219"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（7）市场价格信息或项目所在地工程造价管理机构发布的工程造价信息；</w:t>
      </w:r>
    </w:p>
    <w:p w14:paraId="42E67E93">
      <w:pPr>
        <w:spacing w:before="155" w:line="220"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（8）与建设项目相关的标准、规范、技术资料。</w:t>
      </w:r>
    </w:p>
    <w:p w14:paraId="655BD8EA">
      <w:pPr>
        <w:spacing w:before="153" w:line="309" w:lineRule="auto"/>
        <w:ind w:left="8" w:right="150" w:firstLine="55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9.2  </w:t>
      </w:r>
      <w:r>
        <w:rPr>
          <w:rFonts w:hint="eastAsia" w:ascii="宋体" w:hAnsi="宋体" w:eastAsia="宋体" w:cs="宋体"/>
          <w:color w:val="000000" w:themeColor="text1"/>
          <w:spacing w:val="-2"/>
          <w:sz w:val="24"/>
          <w:szCs w:val="24"/>
          <w:highlight w:val="none"/>
          <w14:textFill>
            <w14:solidFill>
              <w14:schemeClr w14:val="tx1"/>
            </w14:solidFill>
          </w14:textFill>
        </w:rPr>
        <w:t>投标人应根据招标工程量清单、工程量清单计价规范中的工作内容、设计文</w:t>
      </w:r>
      <w:r>
        <w:rPr>
          <w:rFonts w:hint="eastAsia" w:ascii="宋体" w:hAnsi="宋体" w:eastAsia="宋体" w:cs="宋体"/>
          <w:color w:val="000000" w:themeColor="text1"/>
          <w:spacing w:val="-1"/>
          <w:sz w:val="24"/>
          <w:szCs w:val="24"/>
          <w:highlight w:val="none"/>
          <w14:textFill>
            <w14:solidFill>
              <w14:schemeClr w14:val="tx1"/>
            </w14:solidFill>
          </w14:textFill>
        </w:rPr>
        <w:t>件和有关要求、施工现场实际情况、投标人拟定的施工组织设计</w:t>
      </w:r>
      <w:r>
        <w:rPr>
          <w:rFonts w:hint="eastAsia" w:ascii="宋体" w:hAnsi="宋体" w:eastAsia="宋体" w:cs="宋体"/>
          <w:color w:val="000000" w:themeColor="text1"/>
          <w:spacing w:val="-2"/>
          <w:sz w:val="24"/>
          <w:szCs w:val="24"/>
          <w:highlight w:val="none"/>
          <w14:textFill>
            <w14:solidFill>
              <w14:schemeClr w14:val="tx1"/>
            </w14:solidFill>
          </w14:textFill>
        </w:rPr>
        <w:t>、本单位的企业定额</w:t>
      </w:r>
      <w:r>
        <w:rPr>
          <w:rFonts w:hint="eastAsia" w:ascii="宋体" w:hAnsi="宋体" w:eastAsia="宋体" w:cs="宋体"/>
          <w:color w:val="000000" w:themeColor="text1"/>
          <w:spacing w:val="-1"/>
          <w:sz w:val="24"/>
          <w:szCs w:val="24"/>
          <w:highlight w:val="none"/>
          <w14:textFill>
            <w14:solidFill>
              <w14:schemeClr w14:val="tx1"/>
            </w14:solidFill>
          </w14:textFill>
        </w:rPr>
        <w:t>和市场价格进行编制，自行报价，并承担一定范围内的风险费用</w:t>
      </w:r>
      <w:r>
        <w:rPr>
          <w:rFonts w:hint="eastAsia" w:ascii="宋体" w:hAnsi="宋体" w:eastAsia="宋体" w:cs="宋体"/>
          <w:color w:val="000000" w:themeColor="text1"/>
          <w:spacing w:val="-2"/>
          <w:sz w:val="24"/>
          <w:szCs w:val="24"/>
          <w:highlight w:val="none"/>
          <w14:textFill>
            <w14:solidFill>
              <w14:schemeClr w14:val="tx1"/>
            </w14:solidFill>
          </w14:textFill>
        </w:rPr>
        <w:t>。所谓“一定范围内</w:t>
      </w:r>
      <w:r>
        <w:rPr>
          <w:rFonts w:hint="eastAsia" w:ascii="宋体" w:hAnsi="宋体" w:eastAsia="宋体" w:cs="宋体"/>
          <w:color w:val="000000" w:themeColor="text1"/>
          <w:spacing w:val="-3"/>
          <w:sz w:val="24"/>
          <w:szCs w:val="24"/>
          <w:highlight w:val="none"/>
          <w14:textFill>
            <w14:solidFill>
              <w14:schemeClr w14:val="tx1"/>
            </w14:solidFill>
          </w14:textFill>
        </w:rPr>
        <w:t>的风险</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”是指合同约定的风险。</w:t>
      </w:r>
    </w:p>
    <w:p w14:paraId="7D8B28AF">
      <w:pPr>
        <w:spacing w:before="152" w:line="309" w:lineRule="auto"/>
        <w:ind w:left="9" w:right="150" w:firstLine="55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9.3  </w:t>
      </w:r>
      <w:r>
        <w:rPr>
          <w:rFonts w:hint="eastAsia" w:ascii="宋体" w:hAnsi="宋体" w:eastAsia="宋体" w:cs="宋体"/>
          <w:color w:val="000000" w:themeColor="text1"/>
          <w:spacing w:val="-2"/>
          <w:sz w:val="24"/>
          <w:szCs w:val="24"/>
          <w:highlight w:val="none"/>
          <w14:textFill>
            <w14:solidFill>
              <w14:schemeClr w14:val="tx1"/>
            </w14:solidFill>
          </w14:textFill>
        </w:rPr>
        <w:t>招标人及招标代理机构不集中组织现场踏勘，投标人需要了解现场情况的，</w:t>
      </w:r>
      <w:r>
        <w:rPr>
          <w:rFonts w:hint="eastAsia" w:ascii="宋体" w:hAnsi="宋体" w:eastAsia="宋体" w:cs="宋体"/>
          <w:color w:val="000000" w:themeColor="text1"/>
          <w:spacing w:val="-1"/>
          <w:sz w:val="24"/>
          <w:szCs w:val="24"/>
          <w:highlight w:val="none"/>
          <w14:textFill>
            <w14:solidFill>
              <w14:schemeClr w14:val="tx1"/>
            </w14:solidFill>
          </w14:textFill>
        </w:rPr>
        <w:t>可自行进行现场踏勘。各投标人应勘察施工现场及周围环</w:t>
      </w:r>
      <w:r>
        <w:rPr>
          <w:rFonts w:hint="eastAsia" w:ascii="宋体" w:hAnsi="宋体" w:eastAsia="宋体" w:cs="宋体"/>
          <w:color w:val="000000" w:themeColor="text1"/>
          <w:spacing w:val="-2"/>
          <w:sz w:val="24"/>
          <w:szCs w:val="24"/>
          <w:highlight w:val="none"/>
          <w14:textFill>
            <w14:solidFill>
              <w14:schemeClr w14:val="tx1"/>
            </w14:solidFill>
          </w14:textFill>
        </w:rPr>
        <w:t>境、地形、地貌、水文、交</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通等情况，以获得一切可能影响到投标的直接资料。投标人应</w:t>
      </w:r>
      <w:r>
        <w:rPr>
          <w:rFonts w:hint="eastAsia" w:ascii="宋体" w:hAnsi="宋体" w:eastAsia="宋体" w:cs="宋体"/>
          <w:color w:val="000000" w:themeColor="text1"/>
          <w:spacing w:val="-2"/>
          <w:sz w:val="24"/>
          <w:szCs w:val="24"/>
          <w:highlight w:val="none"/>
          <w14:textFill>
            <w14:solidFill>
              <w14:schemeClr w14:val="tx1"/>
            </w14:solidFill>
          </w14:textFill>
        </w:rPr>
        <w:t>针对现场情况编制施工</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组织设计，并在编制投标报价时考虑现场情况的影响。</w:t>
      </w:r>
    </w:p>
    <w:p w14:paraId="7BD0F3F4">
      <w:pPr>
        <w:spacing w:before="155" w:line="279" w:lineRule="auto"/>
        <w:ind w:left="10" w:right="150" w:firstLine="55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9.4  </w:t>
      </w:r>
      <w:r>
        <w:rPr>
          <w:rFonts w:hint="eastAsia" w:ascii="宋体" w:hAnsi="宋体" w:eastAsia="宋体" w:cs="宋体"/>
          <w:color w:val="000000" w:themeColor="text1"/>
          <w:spacing w:val="-2"/>
          <w:sz w:val="24"/>
          <w:szCs w:val="24"/>
          <w:highlight w:val="none"/>
          <w14:textFill>
            <w14:solidFill>
              <w14:schemeClr w14:val="tx1"/>
            </w14:solidFill>
          </w14:textFill>
        </w:rPr>
        <w:t>招标人向投标人提供的有关现场的数据和资料，是招标人现有的能被投标人</w:t>
      </w:r>
      <w:r>
        <w:rPr>
          <w:rFonts w:hint="eastAsia" w:ascii="宋体" w:hAnsi="宋体" w:eastAsia="宋体" w:cs="宋体"/>
          <w:color w:val="000000" w:themeColor="text1"/>
          <w:spacing w:val="12"/>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利用的资料，招标人对投标人做出的任何推论</w:t>
      </w:r>
      <w:r>
        <w:rPr>
          <w:rFonts w:hint="eastAsia" w:ascii="宋体" w:hAnsi="宋体" w:eastAsia="宋体" w:cs="宋体"/>
          <w:color w:val="000000" w:themeColor="text1"/>
          <w:spacing w:val="-1"/>
          <w:sz w:val="24"/>
          <w:szCs w:val="24"/>
          <w:highlight w:val="none"/>
          <w14:textFill>
            <w14:solidFill>
              <w14:schemeClr w14:val="tx1"/>
            </w14:solidFill>
          </w14:textFill>
        </w:rPr>
        <w:t>、理解和结论均不负责任。</w:t>
      </w:r>
    </w:p>
    <w:p w14:paraId="18DC3EDD">
      <w:pPr>
        <w:spacing w:before="154" w:line="299" w:lineRule="auto"/>
        <w:ind w:left="12" w:firstLine="55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9.5  </w:t>
      </w:r>
      <w:r>
        <w:rPr>
          <w:rFonts w:hint="eastAsia" w:ascii="宋体" w:hAnsi="宋体" w:eastAsia="宋体" w:cs="宋体"/>
          <w:color w:val="000000" w:themeColor="text1"/>
          <w:spacing w:val="-2"/>
          <w:sz w:val="24"/>
          <w:szCs w:val="24"/>
          <w:highlight w:val="none"/>
          <w14:textFill>
            <w14:solidFill>
              <w14:schemeClr w14:val="tx1"/>
            </w14:solidFill>
          </w14:textFill>
        </w:rPr>
        <w:t>投标人必须按照招标工程量清单及表格填报价格。项目编码、项目名称、项</w:t>
      </w:r>
      <w:r>
        <w:rPr>
          <w:rFonts w:hint="eastAsia" w:ascii="宋体" w:hAnsi="宋体" w:eastAsia="宋体" w:cs="宋体"/>
          <w:color w:val="000000" w:themeColor="text1"/>
          <w:spacing w:val="2"/>
          <w:sz w:val="24"/>
          <w:szCs w:val="24"/>
          <w:highlight w:val="none"/>
          <w14:textFill>
            <w14:solidFill>
              <w14:schemeClr w14:val="tx1"/>
            </w14:solidFill>
          </w14:textFill>
        </w:rPr>
        <w:t>目特征、计量单位、工程量必须与招标工程量清单一致。所有报价均以人</w:t>
      </w:r>
      <w:r>
        <w:rPr>
          <w:rFonts w:hint="eastAsia" w:ascii="宋体" w:hAnsi="宋体" w:eastAsia="宋体" w:cs="宋体"/>
          <w:color w:val="000000" w:themeColor="text1"/>
          <w:spacing w:val="1"/>
          <w:sz w:val="24"/>
          <w:szCs w:val="24"/>
          <w:highlight w:val="none"/>
          <w14:textFill>
            <w14:solidFill>
              <w14:schemeClr w14:val="tx1"/>
            </w14:solidFill>
          </w14:textFill>
        </w:rPr>
        <w:t>民币“元</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为单位，并保留小数点后两位。</w:t>
      </w:r>
    </w:p>
    <w:p w14:paraId="2DEC74A0">
      <w:pPr>
        <w:spacing w:before="158" w:line="314" w:lineRule="auto"/>
        <w:ind w:left="9" w:right="150" w:firstLine="55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9.6  </w:t>
      </w:r>
      <w:r>
        <w:rPr>
          <w:rFonts w:hint="eastAsia" w:ascii="宋体" w:hAnsi="宋体" w:eastAsia="宋体" w:cs="宋体"/>
          <w:color w:val="000000" w:themeColor="text1"/>
          <w:spacing w:val="-2"/>
          <w:sz w:val="24"/>
          <w:szCs w:val="24"/>
          <w:highlight w:val="none"/>
          <w14:textFill>
            <w14:solidFill>
              <w14:schemeClr w14:val="tx1"/>
            </w14:solidFill>
          </w14:textFill>
        </w:rPr>
        <w:t>投标人只允许有一个投标总价。投标总价必须同时用大、小写表示，大、小</w:t>
      </w:r>
      <w:r>
        <w:rPr>
          <w:rFonts w:hint="eastAsia" w:ascii="宋体" w:hAnsi="宋体" w:eastAsia="宋体" w:cs="宋体"/>
          <w:color w:val="000000" w:themeColor="text1"/>
          <w:spacing w:val="-1"/>
          <w:sz w:val="24"/>
          <w:szCs w:val="24"/>
          <w:highlight w:val="none"/>
          <w14:textFill>
            <w14:solidFill>
              <w14:schemeClr w14:val="tx1"/>
            </w14:solidFill>
          </w14:textFill>
        </w:rPr>
        <w:t>写报价应保持一致，若不一致，以大写报价为准。招标工程量</w:t>
      </w:r>
      <w:r>
        <w:rPr>
          <w:rFonts w:hint="eastAsia" w:ascii="宋体" w:hAnsi="宋体" w:eastAsia="宋体" w:cs="宋体"/>
          <w:color w:val="000000" w:themeColor="text1"/>
          <w:spacing w:val="-2"/>
          <w:sz w:val="24"/>
          <w:szCs w:val="24"/>
          <w:highlight w:val="none"/>
          <w14:textFill>
            <w14:solidFill>
              <w14:schemeClr w14:val="tx1"/>
            </w14:solidFill>
          </w14:textFill>
        </w:rPr>
        <w:t>清单与计价表中列明的</w:t>
      </w:r>
      <w:r>
        <w:rPr>
          <w:rFonts w:hint="eastAsia" w:ascii="宋体" w:hAnsi="宋体" w:eastAsia="宋体" w:cs="宋体"/>
          <w:color w:val="000000" w:themeColor="text1"/>
          <w:spacing w:val="-1"/>
          <w:sz w:val="24"/>
          <w:szCs w:val="24"/>
          <w:highlight w:val="none"/>
          <w14:textFill>
            <w14:solidFill>
              <w14:schemeClr w14:val="tx1"/>
            </w14:solidFill>
          </w14:textFill>
        </w:rPr>
        <w:t>所有需要填写单价和合价的项目，投标人均应填写且只允许有</w:t>
      </w:r>
      <w:r>
        <w:rPr>
          <w:rFonts w:hint="eastAsia" w:ascii="宋体" w:hAnsi="宋体" w:eastAsia="宋体" w:cs="宋体"/>
          <w:color w:val="000000" w:themeColor="text1"/>
          <w:spacing w:val="-2"/>
          <w:sz w:val="24"/>
          <w:szCs w:val="24"/>
          <w:highlight w:val="none"/>
          <w14:textFill>
            <w14:solidFill>
              <w14:schemeClr w14:val="tx1"/>
            </w14:solidFill>
          </w14:textFill>
        </w:rPr>
        <w:t>一个报价。未填写单价</w:t>
      </w:r>
      <w:r>
        <w:rPr>
          <w:rFonts w:hint="eastAsia" w:ascii="宋体" w:hAnsi="宋体" w:eastAsia="宋体" w:cs="宋体"/>
          <w:color w:val="000000" w:themeColor="text1"/>
          <w:spacing w:val="-1"/>
          <w:sz w:val="24"/>
          <w:szCs w:val="24"/>
          <w:highlight w:val="none"/>
          <w14:textFill>
            <w14:solidFill>
              <w14:schemeClr w14:val="tx1"/>
            </w14:solidFill>
          </w14:textFill>
        </w:rPr>
        <w:t>和合价的项目，视为此项费用已包含在已标价工程量清单其他</w:t>
      </w:r>
      <w:r>
        <w:rPr>
          <w:rFonts w:hint="eastAsia" w:ascii="宋体" w:hAnsi="宋体" w:eastAsia="宋体" w:cs="宋体"/>
          <w:color w:val="000000" w:themeColor="text1"/>
          <w:spacing w:val="-2"/>
          <w:sz w:val="24"/>
          <w:szCs w:val="24"/>
          <w:highlight w:val="none"/>
          <w14:textFill>
            <w14:solidFill>
              <w14:schemeClr w14:val="tx1"/>
            </w14:solidFill>
          </w14:textFill>
        </w:rPr>
        <w:t>项目的单价和合价中，</w:t>
      </w:r>
      <w:r>
        <w:rPr>
          <w:rFonts w:hint="eastAsia" w:ascii="宋体" w:hAnsi="宋体" w:eastAsia="宋体" w:cs="宋体"/>
          <w:color w:val="000000" w:themeColor="text1"/>
          <w:spacing w:val="-1"/>
          <w:sz w:val="24"/>
          <w:szCs w:val="24"/>
          <w:highlight w:val="none"/>
          <w14:textFill>
            <w14:solidFill>
              <w14:schemeClr w14:val="tx1"/>
            </w14:solidFill>
          </w14:textFill>
        </w:rPr>
        <w:t>竣工结算时不得重新组价和调整。</w:t>
      </w:r>
    </w:p>
    <w:p w14:paraId="40CE886C">
      <w:pPr>
        <w:spacing w:before="152" w:line="309" w:lineRule="auto"/>
        <w:ind w:left="7" w:right="120" w:firstLine="480"/>
        <w:rPr>
          <w:rFonts w:hint="eastAsia" w:ascii="宋体" w:hAnsi="宋体" w:eastAsia="宋体" w:cs="宋体"/>
          <w:b/>
          <w:bCs/>
          <w:color w:val="000000" w:themeColor="text1"/>
          <w:spacing w:val="-3"/>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9.7  </w:t>
      </w:r>
      <w:r>
        <w:rPr>
          <w:rFonts w:hint="eastAsia" w:ascii="宋体" w:hAnsi="宋体" w:eastAsia="宋体" w:cs="宋体"/>
          <w:color w:val="000000" w:themeColor="text1"/>
          <w:sz w:val="24"/>
          <w:szCs w:val="24"/>
          <w:highlight w:val="none"/>
          <w14:textFill>
            <w14:solidFill>
              <w14:schemeClr w14:val="tx1"/>
            </w14:solidFill>
          </w14:textFill>
        </w:rPr>
        <w:t>投标人的投标总价不得高于</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招标控制价</w:t>
      </w:r>
      <w:r>
        <w:rPr>
          <w:rFonts w:hint="eastAsia" w:ascii="宋体" w:hAnsi="宋体" w:eastAsia="宋体" w:cs="宋体"/>
          <w:color w:val="000000" w:themeColor="text1"/>
          <w:sz w:val="24"/>
          <w:szCs w:val="24"/>
          <w:highlight w:val="none"/>
          <w14:textFill>
            <w14:solidFill>
              <w14:schemeClr w14:val="tx1"/>
            </w14:solidFill>
          </w14:textFill>
        </w:rPr>
        <w:t>，也不得低于工程成本。投标人对</w:t>
      </w:r>
      <w:r>
        <w:rPr>
          <w:rFonts w:hint="eastAsia" w:ascii="宋体" w:hAnsi="宋体" w:eastAsia="宋体" w:cs="宋体"/>
          <w:color w:val="000000" w:themeColor="text1"/>
          <w:spacing w:val="-1"/>
          <w:sz w:val="24"/>
          <w:szCs w:val="24"/>
          <w:highlight w:val="none"/>
          <w14:textFill>
            <w14:solidFill>
              <w14:schemeClr w14:val="tx1"/>
            </w14:solidFill>
          </w14:textFill>
        </w:rPr>
        <w:t>投标总价的所有优惠（降价、让利等</w:t>
      </w: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均应当反映在具体清单项目或其综合</w:t>
      </w:r>
      <w:r>
        <w:rPr>
          <w:rFonts w:hint="eastAsia" w:ascii="宋体" w:hAnsi="宋体" w:eastAsia="宋体" w:cs="宋体"/>
          <w:color w:val="000000" w:themeColor="text1"/>
          <w:spacing w:val="-2"/>
          <w:sz w:val="24"/>
          <w:szCs w:val="24"/>
          <w:highlight w:val="none"/>
          <w14:textFill>
            <w14:solidFill>
              <w14:schemeClr w14:val="tx1"/>
            </w14:solidFill>
          </w14:textFill>
        </w:rPr>
        <w:t>单价的</w:t>
      </w:r>
      <w:r>
        <w:rPr>
          <w:rFonts w:hint="eastAsia" w:ascii="宋体" w:hAnsi="宋体" w:eastAsia="宋体" w:cs="宋体"/>
          <w:color w:val="000000" w:themeColor="text1"/>
          <w:spacing w:val="1"/>
          <w:sz w:val="24"/>
          <w:szCs w:val="24"/>
          <w:highlight w:val="none"/>
          <w14:textFill>
            <w14:solidFill>
              <w14:schemeClr w14:val="tx1"/>
            </w14:solidFill>
          </w14:textFill>
        </w:rPr>
        <w:t>报价上。</w:t>
      </w:r>
      <w:r>
        <w:rPr>
          <w:rFonts w:hint="eastAsia" w:ascii="宋体" w:hAnsi="宋体" w:eastAsia="宋体" w:cs="宋体"/>
          <w:b/>
          <w:bCs/>
          <w:color w:val="000000" w:themeColor="text1"/>
          <w:spacing w:val="1"/>
          <w:sz w:val="24"/>
          <w:szCs w:val="24"/>
          <w:highlight w:val="none"/>
          <w14:textFill>
            <w14:solidFill>
              <w14:schemeClr w14:val="tx1"/>
            </w14:solidFill>
          </w14:textFill>
        </w:rPr>
        <w:t>如果投标人的投标总价下浮率高于</w:t>
      </w:r>
      <w:r>
        <w:rPr>
          <w:rFonts w:hint="eastAsia" w:ascii="宋体" w:hAnsi="宋体" w:eastAsia="宋体" w:cs="宋体"/>
          <w:color w:val="000000" w:themeColor="text1"/>
          <w:spacing w:val="-40"/>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1"/>
          <w:sz w:val="24"/>
          <w:szCs w:val="24"/>
          <w:highlight w:val="none"/>
          <w14:textFill>
            <w14:solidFill>
              <w14:schemeClr w14:val="tx1"/>
            </w14:solidFill>
          </w14:textFill>
        </w:rPr>
        <w:t>15%时，投标人必须在投标文件中专项</w:t>
      </w:r>
      <w:r>
        <w:rPr>
          <w:rFonts w:hint="eastAsia" w:ascii="宋体" w:hAnsi="宋体" w:eastAsia="宋体" w:cs="宋体"/>
          <w:b/>
          <w:bCs/>
          <w:color w:val="000000" w:themeColor="text1"/>
          <w:spacing w:val="-3"/>
          <w:sz w:val="24"/>
          <w:szCs w:val="24"/>
          <w:highlight w:val="none"/>
          <w14:textFill>
            <w14:solidFill>
              <w14:schemeClr w14:val="tx1"/>
            </w14:solidFill>
          </w14:textFill>
        </w:rPr>
        <w:t>作出详细合理的书面说明并提供以往类似工程详细成本分析报告供评标委员会审查。</w:t>
      </w:r>
    </w:p>
    <w:p w14:paraId="2EE97EFC">
      <w:pPr>
        <w:outlineLvl w:val="9"/>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投标总价下浮率=（1-投标总价</w:t>
      </w:r>
      <w:r>
        <w:rPr>
          <w:rFonts w:hint="eastAsia" w:ascii="宋体" w:hAnsi="宋体" w:eastAsia="宋体" w:cs="宋体"/>
          <w:b/>
          <w:bCs/>
          <w:color w:val="000000" w:themeColor="text1"/>
          <w:spacing w:val="-1"/>
          <w:sz w:val="24"/>
          <w:szCs w:val="24"/>
          <w:highlight w:val="none"/>
          <w14:textFill>
            <w14:solidFill>
              <w14:schemeClr w14:val="tx1"/>
            </w14:solidFill>
          </w14:textFill>
        </w:rPr>
        <w:t>÷</w:t>
      </w: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招标控制价）</w:t>
      </w:r>
      <w:r>
        <w:rPr>
          <w:rFonts w:hint="eastAsia" w:ascii="宋体" w:hAnsi="宋体" w:eastAsia="宋体" w:cs="宋体"/>
          <w:b/>
          <w:bCs/>
          <w:color w:val="000000" w:themeColor="text1"/>
          <w:spacing w:val="-1"/>
          <w:sz w:val="24"/>
          <w:szCs w:val="24"/>
          <w:highlight w:val="none"/>
          <w14:textFill>
            <w14:solidFill>
              <w14:schemeClr w14:val="tx1"/>
            </w14:solidFill>
          </w14:textFill>
        </w:rPr>
        <w:t>×</w:t>
      </w: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100%</w:t>
      </w:r>
    </w:p>
    <w:p w14:paraId="0A848A62">
      <w:pPr>
        <w:spacing w:before="146" w:line="325" w:lineRule="auto"/>
        <w:ind w:left="29" w:right="153" w:firstLine="45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9.8  </w:t>
      </w:r>
      <w:r>
        <w:rPr>
          <w:rFonts w:hint="eastAsia" w:ascii="宋体" w:hAnsi="宋体" w:eastAsia="宋体" w:cs="宋体"/>
          <w:color w:val="000000" w:themeColor="text1"/>
          <w:sz w:val="24"/>
          <w:szCs w:val="24"/>
          <w:highlight w:val="none"/>
          <w14:textFill>
            <w14:solidFill>
              <w14:schemeClr w14:val="tx1"/>
            </w14:solidFill>
          </w14:textFill>
        </w:rPr>
        <w:t>投标人的绿色施工安全防护措施费报价必须达到或超过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招标控制价</w:t>
      </w:r>
      <w:r>
        <w:rPr>
          <w:rFonts w:hint="eastAsia" w:ascii="宋体" w:hAnsi="宋体" w:eastAsia="宋体" w:cs="宋体"/>
          <w:color w:val="000000" w:themeColor="text1"/>
          <w:sz w:val="24"/>
          <w:szCs w:val="24"/>
          <w:highlight w:val="none"/>
          <w14:textFill>
            <w14:solidFill>
              <w14:schemeClr w14:val="tx1"/>
            </w14:solidFill>
          </w14:textFill>
        </w:rPr>
        <w:t>中</w:t>
      </w:r>
      <w:r>
        <w:rPr>
          <w:rFonts w:hint="eastAsia" w:ascii="宋体" w:hAnsi="宋体" w:eastAsia="宋体" w:cs="宋体"/>
          <w:color w:val="000000" w:themeColor="text1"/>
          <w:spacing w:val="-1"/>
          <w:sz w:val="24"/>
          <w:szCs w:val="24"/>
          <w:highlight w:val="none"/>
          <w14:textFill>
            <w14:solidFill>
              <w14:schemeClr w14:val="tx1"/>
            </w14:solidFill>
          </w14:textFill>
        </w:rPr>
        <w:t>提供</w:t>
      </w:r>
      <w:r>
        <w:rPr>
          <w:rFonts w:hint="eastAsia" w:ascii="宋体" w:hAnsi="宋体" w:eastAsia="宋体" w:cs="宋体"/>
          <w:color w:val="000000" w:themeColor="text1"/>
          <w:spacing w:val="-3"/>
          <w:sz w:val="24"/>
          <w:szCs w:val="24"/>
          <w:highlight w:val="none"/>
          <w14:textFill>
            <w14:solidFill>
              <w14:schemeClr w14:val="tx1"/>
            </w14:solidFill>
          </w14:textFill>
        </w:rPr>
        <w:t>的绿色施工安全防护措施费。</w:t>
      </w:r>
    </w:p>
    <w:p w14:paraId="76AD78D0">
      <w:pPr>
        <w:spacing w:before="78" w:line="309" w:lineRule="auto"/>
        <w:ind w:right="99"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9.9  </w:t>
      </w:r>
      <w:r>
        <w:rPr>
          <w:rFonts w:hint="eastAsia" w:ascii="宋体" w:hAnsi="宋体" w:eastAsia="宋体" w:cs="宋体"/>
          <w:color w:val="000000" w:themeColor="text1"/>
          <w:sz w:val="24"/>
          <w:szCs w:val="24"/>
          <w:highlight w:val="none"/>
          <w14:textFill>
            <w14:solidFill>
              <w14:schemeClr w14:val="tx1"/>
            </w14:solidFill>
          </w14:textFill>
        </w:rPr>
        <w:t>投标人必须按照招标工程量清单中提供的暂列金额和暂估价统一报价。投标</w:t>
      </w:r>
      <w:r>
        <w:rPr>
          <w:rFonts w:hint="eastAsia" w:ascii="宋体" w:hAnsi="宋体" w:eastAsia="宋体" w:cs="宋体"/>
          <w:color w:val="000000" w:themeColor="text1"/>
          <w:spacing w:val="-1"/>
          <w:sz w:val="24"/>
          <w:szCs w:val="24"/>
          <w:highlight w:val="none"/>
          <w14:textFill>
            <w14:solidFill>
              <w14:schemeClr w14:val="tx1"/>
            </w14:solidFill>
          </w14:textFill>
        </w:rPr>
        <w:t>人应充分考虑暂估价项目（或暂列金额项目）的管理和协调所发</w:t>
      </w:r>
      <w:r>
        <w:rPr>
          <w:rFonts w:hint="eastAsia" w:ascii="宋体" w:hAnsi="宋体" w:eastAsia="宋体" w:cs="宋体"/>
          <w:color w:val="000000" w:themeColor="text1"/>
          <w:spacing w:val="-2"/>
          <w:sz w:val="24"/>
          <w:szCs w:val="24"/>
          <w:highlight w:val="none"/>
          <w14:textFill>
            <w14:solidFill>
              <w14:schemeClr w14:val="tx1"/>
            </w14:solidFill>
          </w14:textFill>
        </w:rPr>
        <w:t>生的费用，并将其纳</w:t>
      </w:r>
      <w:r>
        <w:rPr>
          <w:rFonts w:hint="eastAsia" w:ascii="宋体" w:hAnsi="宋体" w:eastAsia="宋体" w:cs="宋体"/>
          <w:color w:val="000000" w:themeColor="text1"/>
          <w:spacing w:val="-1"/>
          <w:sz w:val="24"/>
          <w:szCs w:val="24"/>
          <w:highlight w:val="none"/>
          <w14:textFill>
            <w14:solidFill>
              <w14:schemeClr w14:val="tx1"/>
            </w14:solidFill>
          </w14:textFill>
        </w:rPr>
        <w:t>入已标价工程量清单中的适当项目。招标人视该项管理和协调所</w:t>
      </w:r>
      <w:r>
        <w:rPr>
          <w:rFonts w:hint="eastAsia" w:ascii="宋体" w:hAnsi="宋体" w:eastAsia="宋体" w:cs="宋体"/>
          <w:color w:val="000000" w:themeColor="text1"/>
          <w:spacing w:val="-2"/>
          <w:sz w:val="24"/>
          <w:szCs w:val="24"/>
          <w:highlight w:val="none"/>
          <w14:textFill>
            <w14:solidFill>
              <w14:schemeClr w14:val="tx1"/>
            </w14:solidFill>
          </w14:textFill>
        </w:rPr>
        <w:t>发生的费用已包含在</w:t>
      </w:r>
      <w:r>
        <w:rPr>
          <w:rFonts w:hint="eastAsia" w:ascii="宋体" w:hAnsi="宋体" w:eastAsia="宋体" w:cs="宋体"/>
          <w:color w:val="000000" w:themeColor="text1"/>
          <w:spacing w:val="-1"/>
          <w:sz w:val="24"/>
          <w:szCs w:val="24"/>
          <w:highlight w:val="none"/>
          <w14:textFill>
            <w14:solidFill>
              <w14:schemeClr w14:val="tx1"/>
            </w14:solidFill>
          </w14:textFill>
        </w:rPr>
        <w:t>其它有价款的竞争性报价内，不再另行支付。</w:t>
      </w:r>
    </w:p>
    <w:p w14:paraId="31555D04">
      <w:pPr>
        <w:pStyle w:val="5"/>
        <w:spacing w:line="253" w:lineRule="auto"/>
        <w:ind w:firstLine="422" w:firstLineChars="200"/>
        <w:rPr>
          <w:rFonts w:hint="eastAsia" w:ascii="宋体" w:hAnsi="宋体" w:eastAsia="宋体" w:cs="宋体"/>
          <w:snapToGrid w:val="0"/>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 xml:space="preserve">9.10 </w:t>
      </w:r>
      <w:r>
        <w:rPr>
          <w:rFonts w:hint="eastAsia" w:ascii="宋体" w:hAnsi="宋体" w:eastAsia="宋体" w:cs="宋体"/>
          <w:snapToGrid w:val="0"/>
          <w:color w:val="000000" w:themeColor="text1"/>
          <w:sz w:val="24"/>
          <w:szCs w:val="24"/>
          <w:highlight w:val="none"/>
          <w:lang w:val="en-US" w:eastAsia="en-US" w:bidi="ar-SA"/>
          <w14:textFill>
            <w14:solidFill>
              <w14:schemeClr w14:val="tx1"/>
            </w14:solidFill>
          </w14:textFill>
        </w:rPr>
        <w:t>预算包干内容一般包括施工雨（污）水的排除、因地形影响造成的场内料具二次运输、20 米高以下的工程用水加压措施、施工材料堆放场地的整理、机电安装后的补洞（槽）工料费、工程成品保护费、施工中的临时停水停电、基础埋深 2 米以内挖土方的塌方、日间照明施工增加费（不包括地下室和特殊工程）、完工清场后的垃圾外运等。投标报价时，应按《广东省建设工程计价依据（2018）》规定的费率报价，若招标工程量清单明确说明不计算预算包干费或另外确定预算包干费费率的，则按招标工程量清单报价。</w:t>
      </w:r>
    </w:p>
    <w:p w14:paraId="02BC6D0D">
      <w:pPr>
        <w:spacing w:before="78" w:line="220" w:lineRule="auto"/>
        <w:ind w:left="496"/>
        <w:outlineLvl w:val="2"/>
        <w:rPr>
          <w:rFonts w:hint="eastAsia" w:ascii="宋体" w:hAnsi="宋体" w:eastAsia="宋体" w:cs="宋体"/>
          <w:color w:val="000000" w:themeColor="text1"/>
          <w:sz w:val="24"/>
          <w:szCs w:val="24"/>
          <w:highlight w:val="none"/>
          <w14:textFill>
            <w14:solidFill>
              <w14:schemeClr w14:val="tx1"/>
            </w14:solidFill>
          </w14:textFill>
        </w:rPr>
      </w:pPr>
      <w:bookmarkStart w:id="46" w:name="_Toc16322"/>
      <w:bookmarkStart w:id="47" w:name="_Toc26166"/>
      <w:r>
        <w:rPr>
          <w:rFonts w:hint="eastAsia" w:ascii="宋体" w:hAnsi="宋体" w:eastAsia="宋体" w:cs="宋体"/>
          <w:b/>
          <w:bCs/>
          <w:color w:val="000000" w:themeColor="text1"/>
          <w:spacing w:val="-6"/>
          <w:sz w:val="24"/>
          <w:szCs w:val="24"/>
          <w:highlight w:val="none"/>
          <w14:textFill>
            <w14:solidFill>
              <w14:schemeClr w14:val="tx1"/>
            </w14:solidFill>
          </w14:textFill>
        </w:rPr>
        <w:t>10</w:t>
      </w:r>
      <w:r>
        <w:rPr>
          <w:rFonts w:hint="eastAsia" w:ascii="宋体" w:hAnsi="宋体" w:eastAsia="宋体" w:cs="宋体"/>
          <w:b/>
          <w:bCs/>
          <w:color w:val="000000" w:themeColor="text1"/>
          <w:spacing w:val="-21"/>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14:textFill>
            <w14:solidFill>
              <w14:schemeClr w14:val="tx1"/>
            </w14:solidFill>
          </w14:textFill>
        </w:rPr>
        <w:t>．投标文件的编制要求</w:t>
      </w:r>
      <w:bookmarkEnd w:id="46"/>
      <w:bookmarkEnd w:id="47"/>
    </w:p>
    <w:p w14:paraId="1ADA1598">
      <w:pPr>
        <w:spacing w:before="152" w:line="222" w:lineRule="auto"/>
        <w:ind w:left="496"/>
        <w:outlineLvl w:val="3"/>
        <w:rPr>
          <w:rFonts w:hint="eastAsia" w:ascii="宋体" w:hAnsi="宋体" w:eastAsia="宋体" w:cs="宋体"/>
          <w:color w:val="000000" w:themeColor="text1"/>
          <w:sz w:val="24"/>
          <w:szCs w:val="24"/>
          <w:highlight w:val="none"/>
          <w14:textFill>
            <w14:solidFill>
              <w14:schemeClr w14:val="tx1"/>
            </w14:solidFill>
          </w14:textFill>
        </w:rPr>
      </w:pPr>
      <w:bookmarkStart w:id="48" w:name="_Toc22937"/>
      <w:bookmarkStart w:id="49" w:name="_Toc20590"/>
      <w:r>
        <w:rPr>
          <w:rFonts w:hint="eastAsia" w:ascii="宋体" w:hAnsi="宋体" w:eastAsia="宋体" w:cs="宋体"/>
          <w:b/>
          <w:bCs/>
          <w:color w:val="000000" w:themeColor="text1"/>
          <w:spacing w:val="-4"/>
          <w:sz w:val="24"/>
          <w:szCs w:val="24"/>
          <w:highlight w:val="none"/>
          <w14:textFill>
            <w14:solidFill>
              <w14:schemeClr w14:val="tx1"/>
            </w14:solidFill>
          </w14:textFill>
        </w:rPr>
        <w:t>10.1</w:t>
      </w:r>
      <w:r>
        <w:rPr>
          <w:rFonts w:hint="eastAsia" w:ascii="宋体" w:hAnsi="宋体" w:eastAsia="宋体" w:cs="宋体"/>
          <w:b/>
          <w:bCs/>
          <w:color w:val="000000" w:themeColor="text1"/>
          <w:spacing w:val="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一般要求</w:t>
      </w:r>
      <w:bookmarkEnd w:id="48"/>
      <w:bookmarkEnd w:id="49"/>
    </w:p>
    <w:p w14:paraId="3BA09E09">
      <w:pPr>
        <w:spacing w:before="118" w:line="295" w:lineRule="auto"/>
        <w:ind w:left="11" w:right="99"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投标文件应按第六章投标文件格式规定的内容，投标人提交的投标文件应当使</w:t>
      </w:r>
      <w:r>
        <w:rPr>
          <w:rFonts w:hint="eastAsia" w:ascii="宋体" w:hAnsi="宋体" w:eastAsia="宋体" w:cs="宋体"/>
          <w:color w:val="000000" w:themeColor="text1"/>
          <w:spacing w:val="-1"/>
          <w:sz w:val="24"/>
          <w:szCs w:val="24"/>
          <w:highlight w:val="none"/>
          <w14:textFill>
            <w14:solidFill>
              <w14:schemeClr w14:val="tx1"/>
            </w14:solidFill>
          </w14:textFill>
        </w:rPr>
        <w:t>用招标文件所提供的投标文件全部格式。</w:t>
      </w:r>
    </w:p>
    <w:p w14:paraId="64F68F54">
      <w:pPr>
        <w:spacing w:before="68" w:line="299" w:lineRule="auto"/>
        <w:ind w:left="11" w:right="99" w:firstLine="56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10.1.1  </w:t>
      </w:r>
      <w:r>
        <w:rPr>
          <w:rFonts w:hint="eastAsia" w:ascii="宋体" w:hAnsi="宋体" w:eastAsia="宋体" w:cs="宋体"/>
          <w:color w:val="000000" w:themeColor="text1"/>
          <w:spacing w:val="-3"/>
          <w:sz w:val="24"/>
          <w:szCs w:val="24"/>
          <w:highlight w:val="none"/>
          <w14:textFill>
            <w14:solidFill>
              <w14:schemeClr w14:val="tx1"/>
            </w14:solidFill>
          </w14:textFill>
        </w:rPr>
        <w:t>投标人必须响应招标文件，并在充分理解招</w:t>
      </w:r>
      <w:r>
        <w:rPr>
          <w:rFonts w:hint="eastAsia" w:ascii="宋体" w:hAnsi="宋体" w:eastAsia="宋体" w:cs="宋体"/>
          <w:color w:val="000000" w:themeColor="text1"/>
          <w:spacing w:val="-4"/>
          <w:sz w:val="24"/>
          <w:szCs w:val="24"/>
          <w:highlight w:val="none"/>
          <w14:textFill>
            <w14:solidFill>
              <w14:schemeClr w14:val="tx1"/>
            </w14:solidFill>
          </w14:textFill>
        </w:rPr>
        <w:t>标人提供的全部文件、设计图</w:t>
      </w:r>
      <w:r>
        <w:rPr>
          <w:rFonts w:hint="eastAsia" w:ascii="宋体" w:hAnsi="宋体" w:eastAsia="宋体" w:cs="宋体"/>
          <w:color w:val="000000" w:themeColor="text1"/>
          <w:spacing w:val="-1"/>
          <w:sz w:val="24"/>
          <w:szCs w:val="24"/>
          <w:highlight w:val="none"/>
          <w14:textFill>
            <w14:solidFill>
              <w14:schemeClr w14:val="tx1"/>
            </w14:solidFill>
          </w14:textFill>
        </w:rPr>
        <w:t>纸、资料及现场条件的基础上编制投标文件。因投标文件</w:t>
      </w:r>
      <w:r>
        <w:rPr>
          <w:rFonts w:hint="eastAsia" w:ascii="宋体" w:hAnsi="宋体" w:eastAsia="宋体" w:cs="宋体"/>
          <w:color w:val="000000" w:themeColor="text1"/>
          <w:spacing w:val="-2"/>
          <w:sz w:val="24"/>
          <w:szCs w:val="24"/>
          <w:highlight w:val="none"/>
          <w14:textFill>
            <w14:solidFill>
              <w14:schemeClr w14:val="tx1"/>
            </w14:solidFill>
          </w14:textFill>
        </w:rPr>
        <w:t>不符合招标文件的要求而造</w:t>
      </w:r>
      <w:r>
        <w:rPr>
          <w:rFonts w:hint="eastAsia" w:ascii="宋体" w:hAnsi="宋体" w:eastAsia="宋体" w:cs="宋体"/>
          <w:color w:val="000000" w:themeColor="text1"/>
          <w:spacing w:val="-1"/>
          <w:sz w:val="24"/>
          <w:szCs w:val="24"/>
          <w:highlight w:val="none"/>
          <w14:textFill>
            <w14:solidFill>
              <w14:schemeClr w14:val="tx1"/>
            </w14:solidFill>
          </w14:textFill>
        </w:rPr>
        <w:t>成的损失和后果，由投标人自行承担。</w:t>
      </w:r>
    </w:p>
    <w:p w14:paraId="51122B59">
      <w:pPr>
        <w:spacing w:before="123" w:line="290" w:lineRule="auto"/>
        <w:ind w:left="8" w:firstLine="56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10.1.2  </w:t>
      </w:r>
      <w:r>
        <w:rPr>
          <w:rFonts w:hint="eastAsia" w:ascii="宋体" w:hAnsi="宋体" w:eastAsia="宋体" w:cs="宋体"/>
          <w:color w:val="000000" w:themeColor="text1"/>
          <w:spacing w:val="-3"/>
          <w:sz w:val="24"/>
          <w:szCs w:val="24"/>
          <w:highlight w:val="none"/>
          <w14:textFill>
            <w14:solidFill>
              <w14:schemeClr w14:val="tx1"/>
            </w14:solidFill>
          </w14:textFill>
        </w:rPr>
        <w:t>投标文件全部采用电子文档，投标文件所附</w:t>
      </w:r>
      <w:r>
        <w:rPr>
          <w:rFonts w:hint="eastAsia" w:ascii="宋体" w:hAnsi="宋体" w:eastAsia="宋体" w:cs="宋体"/>
          <w:color w:val="000000" w:themeColor="text1"/>
          <w:spacing w:val="-4"/>
          <w:sz w:val="24"/>
          <w:szCs w:val="24"/>
          <w:highlight w:val="none"/>
          <w14:textFill>
            <w14:solidFill>
              <w14:schemeClr w14:val="tx1"/>
            </w14:solidFill>
          </w14:textFill>
        </w:rPr>
        <w:t>证书证件均为原件扫描件，并</w:t>
      </w:r>
      <w:r>
        <w:rPr>
          <w:rFonts w:hint="eastAsia" w:ascii="宋体" w:hAnsi="宋体" w:eastAsia="宋体" w:cs="宋体"/>
          <w:color w:val="000000" w:themeColor="text1"/>
          <w:spacing w:val="-1"/>
          <w:sz w:val="24"/>
          <w:szCs w:val="24"/>
          <w:highlight w:val="none"/>
          <w14:textFill>
            <w14:solidFill>
              <w14:schemeClr w14:val="tx1"/>
            </w14:solidFill>
          </w14:textFill>
        </w:rPr>
        <w:t>采用单位数字证书，按招标文件要求在相应位置加盖电子印章。</w:t>
      </w:r>
      <w:r>
        <w:rPr>
          <w:rFonts w:hint="eastAsia" w:ascii="宋体" w:hAnsi="宋体" w:eastAsia="宋体" w:cs="宋体"/>
          <w:color w:val="000000" w:themeColor="text1"/>
          <w:spacing w:val="-2"/>
          <w:sz w:val="24"/>
          <w:szCs w:val="24"/>
          <w:highlight w:val="none"/>
          <w14:textFill>
            <w14:solidFill>
              <w14:schemeClr w14:val="tx1"/>
            </w14:solidFill>
          </w14:textFill>
        </w:rPr>
        <w:t>投标文件中需个人签</w:t>
      </w:r>
      <w:r>
        <w:rPr>
          <w:rFonts w:hint="eastAsia" w:ascii="宋体" w:hAnsi="宋体" w:eastAsia="宋体" w:cs="宋体"/>
          <w:color w:val="000000" w:themeColor="text1"/>
          <w:spacing w:val="-1"/>
          <w:sz w:val="24"/>
          <w:szCs w:val="24"/>
          <w:highlight w:val="none"/>
          <w14:textFill>
            <w14:solidFill>
              <w14:schemeClr w14:val="tx1"/>
            </w14:solidFill>
          </w14:textFill>
        </w:rPr>
        <w:t>字或盖章的，应加盖个人电子印章或在线下完成后扫描上传。按</w:t>
      </w:r>
      <w:r>
        <w:rPr>
          <w:rFonts w:hint="eastAsia" w:ascii="宋体" w:hAnsi="宋体" w:eastAsia="宋体" w:cs="宋体"/>
          <w:color w:val="000000" w:themeColor="text1"/>
          <w:spacing w:val="-2"/>
          <w:sz w:val="24"/>
          <w:szCs w:val="24"/>
          <w:highlight w:val="none"/>
          <w14:textFill>
            <w14:solidFill>
              <w14:schemeClr w14:val="tx1"/>
            </w14:solidFill>
          </w14:textFill>
        </w:rPr>
        <w:t>照交易平台关于全流</w:t>
      </w:r>
      <w:r>
        <w:rPr>
          <w:rFonts w:hint="eastAsia" w:ascii="宋体" w:hAnsi="宋体" w:eastAsia="宋体" w:cs="宋体"/>
          <w:color w:val="000000" w:themeColor="text1"/>
          <w:spacing w:val="-7"/>
          <w:sz w:val="24"/>
          <w:szCs w:val="24"/>
          <w:highlight w:val="none"/>
          <w14:textFill>
            <w14:solidFill>
              <w14:schemeClr w14:val="tx1"/>
            </w14:solidFill>
          </w14:textFill>
        </w:rPr>
        <w:t>程电子化项目的相关指南进行操作。详见：全国公共资源</w:t>
      </w:r>
      <w:r>
        <w:rPr>
          <w:rFonts w:hint="eastAsia" w:ascii="宋体" w:hAnsi="宋体" w:eastAsia="宋体" w:cs="宋体"/>
          <w:color w:val="000000" w:themeColor="text1"/>
          <w:spacing w:val="-8"/>
          <w:sz w:val="24"/>
          <w:szCs w:val="24"/>
          <w:highlight w:val="none"/>
          <w14:textFill>
            <w14:solidFill>
              <w14:schemeClr w14:val="tx1"/>
            </w14:solidFill>
          </w14:textFill>
        </w:rPr>
        <w:t>交易平台（广东省</w:t>
      </w:r>
      <w:r>
        <w:rPr>
          <w:rFonts w:hint="eastAsia" w:ascii="宋体" w:hAnsi="宋体" w:eastAsia="宋体" w:cs="宋体"/>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·韶关市）</w:t>
      </w:r>
      <w:r>
        <w:rPr>
          <w:rFonts w:hint="eastAsia" w:ascii="宋体" w:hAnsi="宋体" w:eastAsia="宋体" w:cs="宋体"/>
          <w:color w:val="000000" w:themeColor="text1"/>
          <w:spacing w:val="-2"/>
          <w:sz w:val="24"/>
          <w:szCs w:val="24"/>
          <w:highlight w:val="none"/>
          <w14:textFill>
            <w14:solidFill>
              <w14:schemeClr w14:val="tx1"/>
            </w14:solidFill>
          </w14:textFill>
        </w:rPr>
        <w:t>交易指引。</w:t>
      </w:r>
    </w:p>
    <w:p w14:paraId="1C1308EF">
      <w:pPr>
        <w:spacing w:before="1" w:line="219" w:lineRule="auto"/>
        <w:ind w:left="57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10.1.3  </w:t>
      </w:r>
      <w:r>
        <w:rPr>
          <w:rFonts w:hint="eastAsia" w:ascii="宋体" w:hAnsi="宋体" w:eastAsia="宋体" w:cs="宋体"/>
          <w:color w:val="000000" w:themeColor="text1"/>
          <w:spacing w:val="-1"/>
          <w:sz w:val="24"/>
          <w:szCs w:val="24"/>
          <w:highlight w:val="none"/>
          <w14:textFill>
            <w14:solidFill>
              <w14:schemeClr w14:val="tx1"/>
            </w14:solidFill>
          </w14:textFill>
        </w:rPr>
        <w:t>投标文件需按以下要求签字、盖章：电子投标文件：</w:t>
      </w:r>
    </w:p>
    <w:p w14:paraId="75FDA074">
      <w:pPr>
        <w:spacing w:before="111" w:line="279" w:lineRule="auto"/>
        <w:ind w:right="133" w:firstLine="57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"10.1.3.1"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pacing w:val="-2"/>
          <w:sz w:val="24"/>
          <w:szCs w:val="24"/>
          <w:highlight w:val="none"/>
          <w14:textFill>
            <w14:solidFill>
              <w14:schemeClr w14:val="tx1"/>
            </w14:solidFill>
          </w14:textFill>
        </w:rPr>
        <w:t>10.1.3.1</w:t>
      </w:r>
      <w:r>
        <w:rPr>
          <w:rFonts w:hint="eastAsia" w:ascii="宋体" w:hAnsi="宋体" w:eastAsia="宋体" w:cs="宋体"/>
          <w:b/>
          <w:bCs/>
          <w:color w:val="000000" w:themeColor="text1"/>
          <w:spacing w:val="-2"/>
          <w:sz w:val="24"/>
          <w:szCs w:val="24"/>
          <w:highlight w:val="none"/>
          <w14:textFill>
            <w14:solidFill>
              <w14:schemeClr w14:val="tx1"/>
            </w14:solidFill>
          </w14:textFill>
        </w:rPr>
        <w:fldChar w:fldCharType="end"/>
      </w: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投标文件封面、组成</w:t>
      </w:r>
      <w:r>
        <w:rPr>
          <w:rFonts w:hint="eastAsia" w:ascii="宋体" w:hAnsi="宋体" w:eastAsia="宋体" w:cs="宋体"/>
          <w:color w:val="000000" w:themeColor="text1"/>
          <w:spacing w:val="-3"/>
          <w:sz w:val="24"/>
          <w:szCs w:val="24"/>
          <w:highlight w:val="none"/>
          <w14:textFill>
            <w14:solidFill>
              <w14:schemeClr w14:val="tx1"/>
            </w14:solidFill>
          </w14:textFill>
        </w:rPr>
        <w:t>内容中凡注明“签字</w:t>
      </w:r>
      <w:r>
        <w:rPr>
          <w:rFonts w:hint="eastAsia" w:ascii="宋体" w:hAnsi="宋体" w:eastAsia="宋体" w:cs="宋体"/>
          <w:color w:val="000000" w:themeColor="text1"/>
          <w:spacing w:val="-8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”处由要求的人员签字或电子</w:t>
      </w:r>
      <w:r>
        <w:rPr>
          <w:rFonts w:hint="eastAsia" w:ascii="宋体" w:hAnsi="宋体" w:eastAsia="宋体" w:cs="宋体"/>
          <w:color w:val="000000" w:themeColor="text1"/>
          <w:spacing w:val="-2"/>
          <w:sz w:val="24"/>
          <w:szCs w:val="24"/>
          <w:highlight w:val="none"/>
          <w14:textFill>
            <w14:solidFill>
              <w14:schemeClr w14:val="tx1"/>
            </w14:solidFill>
          </w14:textFill>
        </w:rPr>
        <w:t>签章；凡注明“签字或盖章</w:t>
      </w:r>
      <w:r>
        <w:rPr>
          <w:rFonts w:hint="eastAsia" w:ascii="宋体" w:hAnsi="宋体" w:eastAsia="宋体" w:cs="宋体"/>
          <w:color w:val="000000" w:themeColor="text1"/>
          <w:spacing w:val="-8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”处由要求的人员签字或盖其私章（电子印章</w:t>
      </w: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凡注明</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“签字并盖执业印章</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”处由要求的人员签字并盖其执业印</w:t>
      </w:r>
      <w:r>
        <w:rPr>
          <w:rFonts w:hint="eastAsia" w:ascii="宋体" w:hAnsi="宋体" w:eastAsia="宋体" w:cs="宋体"/>
          <w:color w:val="000000" w:themeColor="text1"/>
          <w:spacing w:val="-2"/>
          <w:sz w:val="24"/>
          <w:szCs w:val="24"/>
          <w:highlight w:val="none"/>
          <w14:textFill>
            <w14:solidFill>
              <w14:schemeClr w14:val="tx1"/>
            </w14:solidFill>
          </w14:textFill>
        </w:rPr>
        <w:t>章。</w:t>
      </w:r>
    </w:p>
    <w:p w14:paraId="6358B792">
      <w:pPr>
        <w:spacing w:before="112" w:line="264" w:lineRule="auto"/>
        <w:ind w:left="13" w:right="133" w:firstLine="5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"10.1.3.2"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pacing w:val="-2"/>
          <w:sz w:val="24"/>
          <w:szCs w:val="24"/>
          <w:highlight w:val="none"/>
          <w14:textFill>
            <w14:solidFill>
              <w14:schemeClr w14:val="tx1"/>
            </w14:solidFill>
          </w14:textFill>
        </w:rPr>
        <w:t>10.1.3.2</w:t>
      </w:r>
      <w:r>
        <w:rPr>
          <w:rFonts w:hint="eastAsia" w:ascii="宋体" w:hAnsi="宋体" w:eastAsia="宋体" w:cs="宋体"/>
          <w:b/>
          <w:bCs/>
          <w:color w:val="000000" w:themeColor="text1"/>
          <w:spacing w:val="-2"/>
          <w:sz w:val="24"/>
          <w:szCs w:val="24"/>
          <w:highlight w:val="none"/>
          <w14:textFill>
            <w14:solidFill>
              <w14:schemeClr w14:val="tx1"/>
            </w14:solidFill>
          </w14:textFill>
        </w:rPr>
        <w:fldChar w:fldCharType="end"/>
      </w: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投标文件封套、封面、组成内容中凡要求录入投标人名称且注明“盖单</w:t>
      </w:r>
      <w:r>
        <w:rPr>
          <w:rFonts w:hint="eastAsia" w:ascii="宋体" w:hAnsi="宋体" w:eastAsia="宋体" w:cs="宋体"/>
          <w:color w:val="000000" w:themeColor="text1"/>
          <w:spacing w:val="-3"/>
          <w:sz w:val="24"/>
          <w:szCs w:val="24"/>
          <w:highlight w:val="none"/>
          <w14:textFill>
            <w14:solidFill>
              <w14:schemeClr w14:val="tx1"/>
            </w14:solidFill>
          </w14:textFill>
        </w:rPr>
        <w:t>位章</w:t>
      </w:r>
      <w:r>
        <w:rPr>
          <w:rFonts w:hint="eastAsia" w:ascii="宋体" w:hAnsi="宋体" w:eastAsia="宋体" w:cs="宋体"/>
          <w:color w:val="000000" w:themeColor="text1"/>
          <w:spacing w:val="-7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”处盖单位法人公章（电子印章）。</w:t>
      </w:r>
    </w:p>
    <w:p w14:paraId="3F70DCC9">
      <w:pPr>
        <w:spacing w:before="146" w:line="279" w:lineRule="auto"/>
        <w:ind w:left="16" w:right="135" w:firstLine="56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"10.1.3.3"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pacing w:val="-1"/>
          <w:sz w:val="24"/>
          <w:szCs w:val="24"/>
          <w:highlight w:val="none"/>
          <w14:textFill>
            <w14:solidFill>
              <w14:schemeClr w14:val="tx1"/>
            </w14:solidFill>
          </w14:textFill>
        </w:rPr>
        <w:t>10.1.3.3</w:t>
      </w:r>
      <w:r>
        <w:rPr>
          <w:rFonts w:hint="eastAsia" w:ascii="宋体" w:hAnsi="宋体" w:eastAsia="宋体" w:cs="宋体"/>
          <w:b/>
          <w:bCs/>
          <w:color w:val="000000" w:themeColor="text1"/>
          <w:spacing w:val="-1"/>
          <w:sz w:val="24"/>
          <w:szCs w:val="24"/>
          <w:highlight w:val="none"/>
          <w14:textFill>
            <w14:solidFill>
              <w14:schemeClr w14:val="tx1"/>
            </w14:solidFill>
          </w14:textFill>
        </w:rPr>
        <w:fldChar w:fldCharType="end"/>
      </w: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投标文件的签字均为签字人本人亲笔署名或签章</w:t>
      </w:r>
      <w:r>
        <w:rPr>
          <w:rFonts w:hint="eastAsia" w:ascii="宋体" w:hAnsi="宋体" w:eastAsia="宋体" w:cs="宋体"/>
          <w:color w:val="000000" w:themeColor="text1"/>
          <w:spacing w:val="-2"/>
          <w:sz w:val="24"/>
          <w:szCs w:val="24"/>
          <w:highlight w:val="none"/>
          <w14:textFill>
            <w14:solidFill>
              <w14:schemeClr w14:val="tx1"/>
            </w14:solidFill>
          </w14:textFill>
        </w:rPr>
        <w:t>（电子印章</w:t>
      </w:r>
      <w:r>
        <w:rPr>
          <w:rFonts w:hint="eastAsia" w:ascii="宋体" w:hAnsi="宋体" w:eastAsia="宋体" w:cs="宋体"/>
          <w:color w:val="000000" w:themeColor="text1"/>
          <w:spacing w:val="-1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其余部</w:t>
      </w:r>
      <w:r>
        <w:rPr>
          <w:rFonts w:hint="eastAsia" w:ascii="宋体" w:hAnsi="宋体" w:eastAsia="宋体" w:cs="宋体"/>
          <w:color w:val="000000" w:themeColor="text1"/>
          <w:spacing w:val="-1"/>
          <w:sz w:val="24"/>
          <w:szCs w:val="24"/>
          <w:highlight w:val="none"/>
          <w14:textFill>
            <w14:solidFill>
              <w14:schemeClr w14:val="tx1"/>
            </w14:solidFill>
          </w14:textFill>
        </w:rPr>
        <w:t>分的复印件无须另行签字、盖章。</w:t>
      </w:r>
    </w:p>
    <w:p w14:paraId="2DA037BE">
      <w:pPr>
        <w:spacing w:before="155" w:line="219" w:lineRule="auto"/>
        <w:ind w:left="0" w:leftChars="0" w:firstLine="474" w:firstLineChars="200"/>
        <w:outlineLvl w:val="3"/>
        <w:rPr>
          <w:rFonts w:hint="eastAsia" w:ascii="宋体" w:hAnsi="宋体" w:eastAsia="宋体" w:cs="宋体"/>
          <w:b w:val="0"/>
          <w:bCs w:val="0"/>
          <w:color w:val="000000" w:themeColor="text1"/>
          <w:spacing w:val="-2"/>
          <w:sz w:val="24"/>
          <w:szCs w:val="24"/>
          <w:highlight w:val="none"/>
          <w14:textFill>
            <w14:solidFill>
              <w14:schemeClr w14:val="tx1"/>
            </w14:solidFill>
          </w14:textFill>
        </w:rPr>
      </w:pPr>
      <w:bookmarkStart w:id="50" w:name="_Toc20223"/>
      <w:bookmarkStart w:id="51" w:name="_Toc21271"/>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10.1.3.4 </w:t>
      </w:r>
      <w:r>
        <w:rPr>
          <w:rFonts w:hint="eastAsia" w:ascii="宋体" w:hAnsi="宋体" w:eastAsia="宋体" w:cs="宋体"/>
          <w:color w:val="000000" w:themeColor="text1"/>
          <w:spacing w:val="-3"/>
          <w:sz w:val="24"/>
          <w:szCs w:val="24"/>
          <w:highlight w:val="none"/>
          <w14:textFill>
            <w14:solidFill>
              <w14:schemeClr w14:val="tx1"/>
            </w14:solidFill>
          </w14:textFill>
        </w:rPr>
        <w:t>联合体投标的，除《联合体协议书》外，由联合体牵头人按以上要求签亲笔署名或签章（电子印章）即可。</w:t>
      </w:r>
    </w:p>
    <w:p w14:paraId="0C858C64">
      <w:pPr>
        <w:spacing w:before="155" w:line="219" w:lineRule="auto"/>
        <w:ind w:left="500"/>
        <w:outlineLvl w:val="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10.2  </w:t>
      </w:r>
      <w:r>
        <w:rPr>
          <w:rFonts w:hint="eastAsia" w:ascii="宋体" w:hAnsi="宋体" w:eastAsia="宋体" w:cs="宋体"/>
          <w:color w:val="000000" w:themeColor="text1"/>
          <w:spacing w:val="-2"/>
          <w:sz w:val="24"/>
          <w:szCs w:val="24"/>
          <w:highlight w:val="none"/>
          <w14:textFill>
            <w14:solidFill>
              <w14:schemeClr w14:val="tx1"/>
            </w14:solidFill>
          </w14:textFill>
        </w:rPr>
        <w:t>商务标书的编制要求</w:t>
      </w:r>
      <w:bookmarkEnd w:id="50"/>
      <w:bookmarkEnd w:id="51"/>
    </w:p>
    <w:p w14:paraId="0C2AF9BC">
      <w:pPr>
        <w:spacing w:before="157" w:line="219" w:lineRule="auto"/>
        <w:ind w:left="58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10.2.1 </w:t>
      </w:r>
      <w:r>
        <w:rPr>
          <w:rFonts w:hint="eastAsia" w:ascii="宋体" w:hAnsi="宋体" w:eastAsia="宋体" w:cs="宋体"/>
          <w:color w:val="000000" w:themeColor="text1"/>
          <w:spacing w:val="-1"/>
          <w:sz w:val="24"/>
          <w:szCs w:val="24"/>
          <w:highlight w:val="none"/>
          <w14:textFill>
            <w14:solidFill>
              <w14:schemeClr w14:val="tx1"/>
            </w14:solidFill>
          </w14:textFill>
        </w:rPr>
        <w:t>商务标书包括但不限于以下内容：</w:t>
      </w:r>
    </w:p>
    <w:p w14:paraId="352E57AE">
      <w:pPr>
        <w:spacing w:before="154" w:line="220" w:lineRule="auto"/>
        <w:ind w:left="5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（1）封面（格式一</w:t>
      </w:r>
      <w:r>
        <w:rPr>
          <w:rFonts w:hint="eastAsia" w:ascii="宋体" w:hAnsi="宋体" w:eastAsia="宋体" w:cs="宋体"/>
          <w:color w:val="000000" w:themeColor="text1"/>
          <w:spacing w:val="2"/>
          <w:sz w:val="24"/>
          <w:szCs w:val="24"/>
          <w:highlight w:val="none"/>
          <w14:textFill>
            <w14:solidFill>
              <w14:schemeClr w14:val="tx1"/>
            </w14:solidFill>
          </w14:textFill>
        </w:rPr>
        <w:t>）；</w:t>
      </w:r>
    </w:p>
    <w:p w14:paraId="76EADC31">
      <w:pPr>
        <w:spacing w:before="153" w:line="222" w:lineRule="auto"/>
        <w:ind w:left="5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3"/>
          <w:sz w:val="24"/>
          <w:szCs w:val="24"/>
          <w:highlight w:val="none"/>
          <w14:textFill>
            <w14:solidFill>
              <w14:schemeClr w14:val="tx1"/>
            </w14:solidFill>
          </w14:textFill>
        </w:rPr>
        <w:t>（2）</w:t>
      </w:r>
      <w:r>
        <w:rPr>
          <w:rFonts w:hint="eastAsia" w:ascii="宋体" w:hAnsi="宋体" w:eastAsia="宋体" w:cs="宋体"/>
          <w:color w:val="000000" w:themeColor="text1"/>
          <w:spacing w:val="-6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14:textFill>
            <w14:solidFill>
              <w14:schemeClr w14:val="tx1"/>
            </w14:solidFill>
          </w14:textFill>
        </w:rPr>
        <w:t>目录；</w:t>
      </w:r>
    </w:p>
    <w:p w14:paraId="774FBD39">
      <w:pPr>
        <w:spacing w:before="153" w:line="220" w:lineRule="auto"/>
        <w:ind w:left="5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（3）《投标函》（格式二</w:t>
      </w:r>
      <w:r>
        <w:rPr>
          <w:rFonts w:hint="eastAsia" w:ascii="宋体" w:hAnsi="宋体" w:eastAsia="宋体" w:cs="宋体"/>
          <w:color w:val="000000" w:themeColor="text1"/>
          <w:spacing w:val="1"/>
          <w:sz w:val="24"/>
          <w:szCs w:val="24"/>
          <w:highlight w:val="none"/>
          <w14:textFill>
            <w14:solidFill>
              <w14:schemeClr w14:val="tx1"/>
            </w14:solidFill>
          </w14:textFill>
        </w:rPr>
        <w:t>）；</w:t>
      </w:r>
    </w:p>
    <w:p w14:paraId="720161C8">
      <w:pPr>
        <w:spacing w:before="153" w:line="220" w:lineRule="auto"/>
        <w:ind w:left="5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（4）《各项承诺一览表》（格式三</w:t>
      </w:r>
      <w:r>
        <w:rPr>
          <w:rFonts w:hint="eastAsia" w:ascii="宋体" w:hAnsi="宋体" w:eastAsia="宋体" w:cs="宋体"/>
          <w:color w:val="000000" w:themeColor="text1"/>
          <w:spacing w:val="5"/>
          <w:sz w:val="24"/>
          <w:szCs w:val="24"/>
          <w:highlight w:val="none"/>
          <w14:textFill>
            <w14:solidFill>
              <w14:schemeClr w14:val="tx1"/>
            </w14:solidFill>
          </w14:textFill>
        </w:rPr>
        <w:t>）；</w:t>
      </w:r>
    </w:p>
    <w:p w14:paraId="7094AFC2">
      <w:pPr>
        <w:spacing w:before="154" w:line="219" w:lineRule="auto"/>
        <w:ind w:left="5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（5）《授权委托书》（格式四</w:t>
      </w:r>
      <w:r>
        <w:rPr>
          <w:rFonts w:hint="eastAsia" w:ascii="宋体" w:hAnsi="宋体" w:eastAsia="宋体" w:cs="宋体"/>
          <w:color w:val="000000" w:themeColor="text1"/>
          <w:spacing w:val="3"/>
          <w:sz w:val="24"/>
          <w:szCs w:val="24"/>
          <w:highlight w:val="none"/>
          <w14:textFill>
            <w14:solidFill>
              <w14:schemeClr w14:val="tx1"/>
            </w14:solidFill>
          </w14:textFill>
        </w:rPr>
        <w:t>）；</w:t>
      </w:r>
    </w:p>
    <w:p w14:paraId="3AF70EF9">
      <w:pPr>
        <w:spacing w:before="156" w:line="220" w:lineRule="auto"/>
        <w:ind w:left="5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（6）《法定代表人身份证明》（格式五</w:t>
      </w:r>
      <w:r>
        <w:rPr>
          <w:rFonts w:hint="eastAsia" w:ascii="宋体" w:hAnsi="宋体" w:eastAsia="宋体" w:cs="宋体"/>
          <w:color w:val="000000" w:themeColor="text1"/>
          <w:spacing w:val="7"/>
          <w:sz w:val="24"/>
          <w:szCs w:val="24"/>
          <w:highlight w:val="none"/>
          <w14:textFill>
            <w14:solidFill>
              <w14:schemeClr w14:val="tx1"/>
            </w14:solidFill>
          </w14:textFill>
        </w:rPr>
        <w:t>）；</w:t>
      </w:r>
    </w:p>
    <w:p w14:paraId="2DB8A529">
      <w:pPr>
        <w:spacing w:before="154" w:line="219" w:lineRule="auto"/>
        <w:ind w:left="5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（7）《联合体协议书》（格式六）及所附资料；</w:t>
      </w:r>
    </w:p>
    <w:p w14:paraId="6673BC70">
      <w:pPr>
        <w:spacing w:before="153" w:line="309" w:lineRule="auto"/>
        <w:ind w:left="13" w:right="133" w:firstLine="49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（8）投标保证缴纳证明（投标人采用投标保证金的，附建</w:t>
      </w:r>
      <w:r>
        <w:rPr>
          <w:rFonts w:hint="eastAsia" w:ascii="宋体" w:hAnsi="宋体" w:eastAsia="宋体" w:cs="宋体"/>
          <w:color w:val="000000" w:themeColor="text1"/>
          <w:spacing w:val="1"/>
          <w:sz w:val="24"/>
          <w:szCs w:val="24"/>
          <w:highlight w:val="none"/>
          <w14:textFill>
            <w14:solidFill>
              <w14:schemeClr w14:val="tx1"/>
            </w14:solidFill>
          </w14:textFill>
        </w:rPr>
        <w:t>设工程交易系统《缴</w:t>
      </w:r>
      <w:r>
        <w:rPr>
          <w:rFonts w:hint="eastAsia" w:ascii="宋体" w:hAnsi="宋体" w:eastAsia="宋体" w:cs="宋体"/>
          <w:color w:val="000000" w:themeColor="text1"/>
          <w:spacing w:val="-1"/>
          <w:sz w:val="24"/>
          <w:szCs w:val="24"/>
          <w:highlight w:val="none"/>
          <w14:textFill>
            <w14:solidFill>
              <w14:schemeClr w14:val="tx1"/>
            </w14:solidFill>
          </w14:textFill>
        </w:rPr>
        <w:t>纳投标保证金通知书》页面截图和银行转账单彩色扫描件；采</w:t>
      </w:r>
      <w:r>
        <w:rPr>
          <w:rFonts w:hint="eastAsia" w:ascii="宋体" w:hAnsi="宋体" w:eastAsia="宋体" w:cs="宋体"/>
          <w:color w:val="000000" w:themeColor="text1"/>
          <w:spacing w:val="-2"/>
          <w:sz w:val="24"/>
          <w:szCs w:val="24"/>
          <w:highlight w:val="none"/>
          <w14:textFill>
            <w14:solidFill>
              <w14:schemeClr w14:val="tx1"/>
            </w14:solidFill>
          </w14:textFill>
        </w:rPr>
        <w:t>用投标保证担保的，附银行保函彩色扫描件；采用投标保证保险的，附电子保单和</w:t>
      </w:r>
      <w:r>
        <w:rPr>
          <w:rFonts w:hint="eastAsia" w:ascii="宋体" w:hAnsi="宋体" w:eastAsia="宋体" w:cs="宋体"/>
          <w:b/>
          <w:bCs/>
          <w:color w:val="000000" w:themeColor="text1"/>
          <w:spacing w:val="-2"/>
          <w:sz w:val="24"/>
          <w:szCs w:val="24"/>
          <w:highlight w:val="none"/>
          <w14:textFill>
            <w14:solidFill>
              <w14:schemeClr w14:val="tx1"/>
            </w14:solidFill>
          </w14:textFill>
        </w:rPr>
        <w:t>《韶关市公共资源交易一</w:t>
      </w:r>
      <w:r>
        <w:rPr>
          <w:rFonts w:hint="eastAsia" w:ascii="宋体" w:hAnsi="宋体" w:eastAsia="宋体" w:cs="宋体"/>
          <w:b/>
          <w:bCs/>
          <w:color w:val="000000" w:themeColor="text1"/>
          <w:spacing w:val="-3"/>
          <w:sz w:val="24"/>
          <w:szCs w:val="24"/>
          <w:highlight w:val="none"/>
          <w14:textFill>
            <w14:solidFill>
              <w14:schemeClr w14:val="tx1"/>
            </w14:solidFill>
          </w14:textFill>
        </w:rPr>
        <w:t>体化平台保证金缴纳信息》页面截图</w:t>
      </w:r>
      <w:r>
        <w:rPr>
          <w:rFonts w:hint="eastAsia" w:ascii="宋体" w:hAnsi="宋体" w:eastAsia="宋体" w:cs="宋体"/>
          <w:color w:val="000000" w:themeColor="text1"/>
          <w:spacing w:val="4"/>
          <w:sz w:val="24"/>
          <w:szCs w:val="24"/>
          <w:highlight w:val="none"/>
          <w14:textFill>
            <w14:solidFill>
              <w14:schemeClr w14:val="tx1"/>
            </w14:solidFill>
          </w14:textFill>
        </w:rPr>
        <w:t>）；</w:t>
      </w:r>
    </w:p>
    <w:p w14:paraId="36031B27">
      <w:pPr>
        <w:spacing w:before="156" w:line="219" w:lineRule="auto"/>
        <w:ind w:left="5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（9）《投标人基本情况表》（格式七）及所附资料；</w:t>
      </w:r>
    </w:p>
    <w:p w14:paraId="2CE7262F">
      <w:pPr>
        <w:spacing w:before="155" w:line="219" w:lineRule="auto"/>
        <w:ind w:left="5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（10）《项目经理简历表》（格式八）及所附资料；</w:t>
      </w:r>
    </w:p>
    <w:p w14:paraId="4BF4D313">
      <w:pPr>
        <w:spacing w:before="154" w:line="220" w:lineRule="auto"/>
        <w:ind w:left="5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（11）《项目经理任职声明》（格式九</w:t>
      </w:r>
      <w:r>
        <w:rPr>
          <w:rFonts w:hint="eastAsia" w:ascii="宋体" w:hAnsi="宋体" w:eastAsia="宋体" w:cs="宋体"/>
          <w:color w:val="000000" w:themeColor="text1"/>
          <w:spacing w:val="7"/>
          <w:sz w:val="24"/>
          <w:szCs w:val="24"/>
          <w:highlight w:val="none"/>
          <w14:textFill>
            <w14:solidFill>
              <w14:schemeClr w14:val="tx1"/>
            </w14:solidFill>
          </w14:textFill>
        </w:rPr>
        <w:t>）；</w:t>
      </w:r>
    </w:p>
    <w:p w14:paraId="6D95CC60">
      <w:pPr>
        <w:spacing w:before="156" w:line="219" w:lineRule="auto"/>
        <w:ind w:left="5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（12）《项目技术负责人简历表》（格式十）及所附资料；</w:t>
      </w:r>
    </w:p>
    <w:p w14:paraId="0132BAD9">
      <w:pPr>
        <w:spacing w:before="154" w:line="219" w:lineRule="auto"/>
        <w:ind w:left="5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（13）《项</w:t>
      </w:r>
      <w:bookmarkStart w:id="52" w:name="OLE_LINK7"/>
      <w:r>
        <w:rPr>
          <w:rFonts w:hint="eastAsia" w:ascii="宋体" w:hAnsi="宋体" w:eastAsia="宋体" w:cs="宋体"/>
          <w:color w:val="000000" w:themeColor="text1"/>
          <w:spacing w:val="-1"/>
          <w:sz w:val="24"/>
          <w:szCs w:val="24"/>
          <w:highlight w:val="none"/>
          <w14:textFill>
            <w14:solidFill>
              <w14:schemeClr w14:val="tx1"/>
            </w14:solidFill>
          </w14:textFill>
        </w:rPr>
        <w:t>目管理机构组成表》（格式十一）及</w:t>
      </w:r>
      <w:bookmarkEnd w:id="52"/>
      <w:r>
        <w:rPr>
          <w:rFonts w:hint="eastAsia" w:ascii="宋体" w:hAnsi="宋体" w:eastAsia="宋体" w:cs="宋体"/>
          <w:color w:val="000000" w:themeColor="text1"/>
          <w:spacing w:val="-1"/>
          <w:sz w:val="24"/>
          <w:szCs w:val="24"/>
          <w:highlight w:val="none"/>
          <w14:textFill>
            <w14:solidFill>
              <w14:schemeClr w14:val="tx1"/>
            </w14:solidFill>
          </w14:textFill>
        </w:rPr>
        <w:t>所附资料；</w:t>
      </w:r>
    </w:p>
    <w:p w14:paraId="6E0A04ED">
      <w:pPr>
        <w:spacing w:before="155" w:line="219" w:lineRule="auto"/>
        <w:ind w:left="5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（14）本节第</w:t>
      </w:r>
      <w:r>
        <w:rPr>
          <w:rFonts w:hint="eastAsia" w:ascii="宋体" w:hAnsi="宋体" w:eastAsia="宋体" w:cs="宋体"/>
          <w:color w:val="000000" w:themeColor="text1"/>
          <w:spacing w:val="-44"/>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14:textFill>
            <w14:solidFill>
              <w14:schemeClr w14:val="tx1"/>
            </w14:solidFill>
          </w14:textFill>
        </w:rPr>
        <w:t>15.5.1</w:t>
      </w:r>
      <w:r>
        <w:rPr>
          <w:rFonts w:hint="eastAsia" w:ascii="宋体" w:hAnsi="宋体" w:eastAsia="宋体" w:cs="宋体"/>
          <w:b/>
          <w:bCs/>
          <w:color w:val="000000" w:themeColor="text1"/>
          <w:spacing w:val="5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目“评标方法</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”要求提供的</w:t>
      </w:r>
      <w:r>
        <w:rPr>
          <w:rFonts w:hint="eastAsia" w:ascii="宋体" w:hAnsi="宋体" w:eastAsia="宋体" w:cs="宋体"/>
          <w:color w:val="000000" w:themeColor="text1"/>
          <w:spacing w:val="-5"/>
          <w:sz w:val="24"/>
          <w:szCs w:val="24"/>
          <w:highlight w:val="none"/>
          <w14:textFill>
            <w14:solidFill>
              <w14:schemeClr w14:val="tx1"/>
            </w14:solidFill>
          </w14:textFill>
        </w:rPr>
        <w:t>评审资料；</w:t>
      </w:r>
    </w:p>
    <w:p w14:paraId="03DF9A5F">
      <w:pPr>
        <w:spacing w:before="78" w:line="299" w:lineRule="auto"/>
        <w:ind w:left="8" w:right="61" w:firstLine="4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（15）投标人认为有必要补充的其他资料。（例如投标人已经工商变更，但其企</w:t>
      </w:r>
      <w:r>
        <w:rPr>
          <w:rFonts w:hint="eastAsia" w:ascii="宋体" w:hAnsi="宋体" w:eastAsia="宋体" w:cs="宋体"/>
          <w:color w:val="000000" w:themeColor="text1"/>
          <w:spacing w:val="-1"/>
          <w:sz w:val="24"/>
          <w:szCs w:val="24"/>
          <w:highlight w:val="none"/>
          <w14:textFill>
            <w14:solidFill>
              <w14:schemeClr w14:val="tx1"/>
            </w14:solidFill>
          </w14:textFill>
        </w:rPr>
        <w:t>业资质证书、安全生产许可证或其员工执业资格注册证书上的企</w:t>
      </w:r>
      <w:r>
        <w:rPr>
          <w:rFonts w:hint="eastAsia" w:ascii="宋体" w:hAnsi="宋体" w:eastAsia="宋体" w:cs="宋体"/>
          <w:color w:val="000000" w:themeColor="text1"/>
          <w:spacing w:val="-2"/>
          <w:sz w:val="24"/>
          <w:szCs w:val="24"/>
          <w:highlight w:val="none"/>
          <w14:textFill>
            <w14:solidFill>
              <w14:schemeClr w14:val="tx1"/>
            </w14:solidFill>
          </w14:textFill>
        </w:rPr>
        <w:t>业名称未能在投标期</w:t>
      </w:r>
      <w:r>
        <w:rPr>
          <w:rFonts w:hint="eastAsia" w:ascii="宋体" w:hAnsi="宋体" w:eastAsia="宋体" w:cs="宋体"/>
          <w:color w:val="000000" w:themeColor="text1"/>
          <w:spacing w:val="-1"/>
          <w:sz w:val="24"/>
          <w:szCs w:val="24"/>
          <w:highlight w:val="none"/>
          <w14:textFill>
            <w14:solidFill>
              <w14:schemeClr w14:val="tx1"/>
            </w14:solidFill>
          </w14:textFill>
        </w:rPr>
        <w:t>间完成变更的书面说明和佐证材料等）</w:t>
      </w:r>
    </w:p>
    <w:p w14:paraId="29D2CA8C">
      <w:pPr>
        <w:spacing w:before="155" w:line="262" w:lineRule="auto"/>
        <w:ind w:left="9" w:right="61" w:firstLine="48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10.2.2  </w:t>
      </w:r>
      <w:r>
        <w:rPr>
          <w:rFonts w:hint="eastAsia" w:ascii="宋体" w:hAnsi="宋体" w:eastAsia="宋体" w:cs="宋体"/>
          <w:color w:val="000000" w:themeColor="text1"/>
          <w:sz w:val="24"/>
          <w:szCs w:val="24"/>
          <w:highlight w:val="none"/>
          <w14:textFill>
            <w14:solidFill>
              <w14:schemeClr w14:val="tx1"/>
            </w14:solidFill>
          </w14:textFill>
        </w:rPr>
        <w:t>本节第</w:t>
      </w:r>
      <w:r>
        <w:rPr>
          <w:rFonts w:hint="eastAsia" w:ascii="宋体" w:hAnsi="宋体" w:eastAsia="宋体" w:cs="宋体"/>
          <w:color w:val="000000" w:themeColor="text1"/>
          <w:spacing w:val="-44"/>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10.2.1  </w:t>
      </w:r>
      <w:r>
        <w:rPr>
          <w:rFonts w:hint="eastAsia" w:ascii="宋体" w:hAnsi="宋体" w:eastAsia="宋体" w:cs="宋体"/>
          <w:color w:val="000000" w:themeColor="text1"/>
          <w:sz w:val="24"/>
          <w:szCs w:val="24"/>
          <w:highlight w:val="none"/>
          <w14:textFill>
            <w14:solidFill>
              <w14:schemeClr w14:val="tx1"/>
            </w14:solidFill>
          </w14:textFill>
        </w:rPr>
        <w:t>目中所列出的商务标书组成内容中，第（</w:t>
      </w:r>
      <w:r>
        <w:rPr>
          <w:rFonts w:hint="eastAsia" w:ascii="宋体" w:hAnsi="宋体" w:eastAsia="宋体" w:cs="宋体"/>
          <w:color w:val="000000" w:themeColor="text1"/>
          <w:spacing w:val="-1"/>
          <w:sz w:val="24"/>
          <w:szCs w:val="24"/>
          <w:highlight w:val="none"/>
          <w14:textFill>
            <w14:solidFill>
              <w14:schemeClr w14:val="tx1"/>
            </w14:solidFill>
          </w14:textFill>
        </w:rPr>
        <w:t>1）至第（13）项</w:t>
      </w:r>
      <w:r>
        <w:rPr>
          <w:rFonts w:hint="eastAsia" w:ascii="宋体" w:hAnsi="宋体" w:eastAsia="宋体" w:cs="宋体"/>
          <w:color w:val="000000" w:themeColor="text1"/>
          <w:sz w:val="24"/>
          <w:szCs w:val="24"/>
          <w:highlight w:val="none"/>
          <w14:textFill>
            <w14:solidFill>
              <w14:schemeClr w14:val="tx1"/>
            </w14:solidFill>
          </w14:textFill>
        </w:rPr>
        <w:t>所有投标人均应提供，</w:t>
      </w:r>
      <w:r>
        <w:rPr>
          <w:rFonts w:hint="eastAsia" w:ascii="宋体" w:hAnsi="宋体" w:eastAsia="宋体" w:cs="宋体"/>
          <w:b/>
          <w:bCs/>
          <w:color w:val="000000" w:themeColor="text1"/>
          <w:sz w:val="24"/>
          <w:szCs w:val="24"/>
          <w:highlight w:val="none"/>
          <w14:textFill>
            <w14:solidFill>
              <w14:schemeClr w14:val="tx1"/>
            </w14:solidFill>
          </w14:textFill>
        </w:rPr>
        <w:t>但非联合体投标的，</w:t>
      </w:r>
      <w:r>
        <w:rPr>
          <w:rFonts w:hint="eastAsia" w:ascii="宋体" w:hAnsi="宋体" w:eastAsia="宋体" w:cs="宋体"/>
          <w:b/>
          <w:bCs/>
          <w:color w:val="000000" w:themeColor="text1"/>
          <w:spacing w:val="-1"/>
          <w:sz w:val="24"/>
          <w:szCs w:val="24"/>
          <w:highlight w:val="none"/>
          <w14:textFill>
            <w14:solidFill>
              <w14:schemeClr w14:val="tx1"/>
            </w14:solidFill>
          </w14:textFill>
        </w:rPr>
        <w:t>无需提供第（7）项内容。</w:t>
      </w:r>
    </w:p>
    <w:p w14:paraId="2F3F2186">
      <w:pPr>
        <w:spacing w:before="199" w:line="279" w:lineRule="auto"/>
        <w:ind w:right="61"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10.2.3 </w:t>
      </w:r>
      <w:r>
        <w:rPr>
          <w:rFonts w:hint="eastAsia" w:ascii="宋体" w:hAnsi="宋体" w:eastAsia="宋体" w:cs="宋体"/>
          <w:color w:val="000000" w:themeColor="text1"/>
          <w:spacing w:val="-8"/>
          <w:sz w:val="24"/>
          <w:szCs w:val="24"/>
          <w:highlight w:val="none"/>
          <w14:textFill>
            <w14:solidFill>
              <w14:schemeClr w14:val="tx1"/>
            </w14:solidFill>
          </w14:textFill>
        </w:rPr>
        <w:t>商务标书的组成内容按本节第 10.2.1 目规定的顺序整理、编排后，逐页（页</w:t>
      </w:r>
      <w:r>
        <w:rPr>
          <w:rFonts w:hint="eastAsia" w:ascii="宋体" w:hAnsi="宋体" w:eastAsia="宋体" w:cs="宋体"/>
          <w:color w:val="000000" w:themeColor="text1"/>
          <w:spacing w:val="-1"/>
          <w:sz w:val="24"/>
          <w:szCs w:val="24"/>
          <w:highlight w:val="none"/>
          <w14:textFill>
            <w14:solidFill>
              <w14:schemeClr w14:val="tx1"/>
            </w14:solidFill>
          </w14:textFill>
        </w:rPr>
        <w:t>码起始从封面开始）连续标记页码。</w:t>
      </w:r>
    </w:p>
    <w:p w14:paraId="2120F2BD">
      <w:pPr>
        <w:pStyle w:val="5"/>
        <w:spacing w:line="257" w:lineRule="auto"/>
        <w:rPr>
          <w:rFonts w:hint="eastAsia" w:ascii="宋体" w:hAnsi="宋体" w:eastAsia="宋体" w:cs="宋体"/>
          <w:color w:val="000000" w:themeColor="text1"/>
          <w:highlight w:val="none"/>
          <w14:textFill>
            <w14:solidFill>
              <w14:schemeClr w14:val="tx1"/>
            </w14:solidFill>
          </w14:textFill>
        </w:rPr>
      </w:pPr>
    </w:p>
    <w:p w14:paraId="2D4DCA8F">
      <w:pPr>
        <w:spacing w:before="78" w:line="219" w:lineRule="auto"/>
        <w:ind w:left="496"/>
        <w:outlineLvl w:val="3"/>
        <w:rPr>
          <w:rFonts w:hint="eastAsia" w:ascii="宋体" w:hAnsi="宋体" w:eastAsia="宋体" w:cs="宋体"/>
          <w:color w:val="000000" w:themeColor="text1"/>
          <w:sz w:val="24"/>
          <w:szCs w:val="24"/>
          <w:highlight w:val="none"/>
          <w14:textFill>
            <w14:solidFill>
              <w14:schemeClr w14:val="tx1"/>
            </w14:solidFill>
          </w14:textFill>
        </w:rPr>
      </w:pPr>
      <w:bookmarkStart w:id="53" w:name="_Toc10602"/>
      <w:bookmarkStart w:id="54" w:name="_Toc29370"/>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10.3  </w:t>
      </w:r>
      <w:r>
        <w:rPr>
          <w:rFonts w:hint="eastAsia" w:ascii="宋体" w:hAnsi="宋体" w:eastAsia="宋体" w:cs="宋体"/>
          <w:color w:val="000000" w:themeColor="text1"/>
          <w:spacing w:val="-2"/>
          <w:sz w:val="24"/>
          <w:szCs w:val="24"/>
          <w:highlight w:val="none"/>
          <w14:textFill>
            <w14:solidFill>
              <w14:schemeClr w14:val="tx1"/>
            </w14:solidFill>
          </w14:textFill>
        </w:rPr>
        <w:t>经济标书的编制要求</w:t>
      </w:r>
      <w:bookmarkEnd w:id="53"/>
      <w:bookmarkEnd w:id="54"/>
    </w:p>
    <w:p w14:paraId="1F78619A">
      <w:pPr>
        <w:spacing w:before="154" w:line="219" w:lineRule="auto"/>
        <w:ind w:left="4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10.3.1  </w:t>
      </w:r>
      <w:r>
        <w:rPr>
          <w:rFonts w:hint="eastAsia" w:ascii="宋体" w:hAnsi="宋体" w:eastAsia="宋体" w:cs="宋体"/>
          <w:color w:val="000000" w:themeColor="text1"/>
          <w:spacing w:val="-1"/>
          <w:sz w:val="24"/>
          <w:szCs w:val="24"/>
          <w:highlight w:val="none"/>
          <w14:textFill>
            <w14:solidFill>
              <w14:schemeClr w14:val="tx1"/>
            </w14:solidFill>
          </w14:textFill>
        </w:rPr>
        <w:t>经济标书包括以下内容：</w:t>
      </w:r>
    </w:p>
    <w:p w14:paraId="57663477">
      <w:pPr>
        <w:spacing w:before="156" w:line="220"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（1）封面（格式一</w:t>
      </w:r>
      <w:r>
        <w:rPr>
          <w:rFonts w:hint="eastAsia" w:ascii="宋体" w:hAnsi="宋体" w:eastAsia="宋体" w:cs="宋体"/>
          <w:color w:val="000000" w:themeColor="text1"/>
          <w:spacing w:val="2"/>
          <w:sz w:val="24"/>
          <w:szCs w:val="24"/>
          <w:highlight w:val="none"/>
          <w14:textFill>
            <w14:solidFill>
              <w14:schemeClr w14:val="tx1"/>
            </w14:solidFill>
          </w14:textFill>
        </w:rPr>
        <w:t>）；</w:t>
      </w:r>
    </w:p>
    <w:p w14:paraId="18A4AD47">
      <w:pPr>
        <w:spacing w:before="153" w:line="222"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3"/>
          <w:sz w:val="24"/>
          <w:szCs w:val="24"/>
          <w:highlight w:val="none"/>
          <w14:textFill>
            <w14:solidFill>
              <w14:schemeClr w14:val="tx1"/>
            </w14:solidFill>
          </w14:textFill>
        </w:rPr>
        <w:t>（2）</w:t>
      </w:r>
      <w:r>
        <w:rPr>
          <w:rFonts w:hint="eastAsia" w:ascii="宋体" w:hAnsi="宋体" w:eastAsia="宋体" w:cs="宋体"/>
          <w:color w:val="000000" w:themeColor="text1"/>
          <w:spacing w:val="-6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14:textFill>
            <w14:solidFill>
              <w14:schemeClr w14:val="tx1"/>
            </w14:solidFill>
          </w14:textFill>
        </w:rPr>
        <w:t>目录；</w:t>
      </w:r>
    </w:p>
    <w:p w14:paraId="74083071">
      <w:pPr>
        <w:spacing w:before="150" w:line="219"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（3）《投标总价》；</w:t>
      </w:r>
    </w:p>
    <w:p w14:paraId="7D156CC6">
      <w:pPr>
        <w:spacing w:before="157" w:line="219" w:lineRule="auto"/>
        <w:ind w:left="4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说明：《投标总价》的格式按照《建设工程工程量</w:t>
      </w:r>
      <w:r>
        <w:rPr>
          <w:rFonts w:hint="eastAsia" w:ascii="宋体" w:hAnsi="宋体" w:eastAsia="宋体" w:cs="宋体"/>
          <w:color w:val="000000" w:themeColor="text1"/>
          <w:spacing w:val="-1"/>
          <w:sz w:val="24"/>
          <w:szCs w:val="24"/>
          <w:highlight w:val="none"/>
          <w14:textFill>
            <w14:solidFill>
              <w14:schemeClr w14:val="tx1"/>
            </w14:solidFill>
          </w14:textFill>
        </w:rPr>
        <w:t>清单计价规范》（GB50500—</w:t>
      </w:r>
    </w:p>
    <w:p w14:paraId="105877BB">
      <w:pPr>
        <w:spacing w:before="155" w:line="220" w:lineRule="auto"/>
        <w:ind w:left="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2013）执行，并应满足以下要求：</w:t>
      </w:r>
    </w:p>
    <w:p w14:paraId="2569EC2C">
      <w:pPr>
        <w:spacing w:before="150" w:line="309" w:lineRule="auto"/>
        <w:ind w:left="8"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a</w:t>
      </w:r>
      <w:r>
        <w:rPr>
          <w:rFonts w:hint="eastAsia" w:ascii="宋体" w:hAnsi="宋体" w:eastAsia="宋体" w:cs="宋体"/>
          <w:b/>
          <w:bCs/>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．《投标总价扉页》（即扉—3）后应附编制人的造价工程师注册证书彩色扫描件（须扫描至变更注册栏，</w:t>
      </w:r>
      <w:r>
        <w:rPr>
          <w:rFonts w:hint="eastAsia" w:ascii="宋体" w:hAnsi="宋体" w:eastAsia="宋体" w:cs="宋体"/>
          <w:b/>
          <w:bCs/>
          <w:color w:val="000000" w:themeColor="text1"/>
          <w:spacing w:val="-2"/>
          <w:sz w:val="24"/>
          <w:szCs w:val="24"/>
          <w:highlight w:val="none"/>
          <w14:textFill>
            <w14:solidFill>
              <w14:schemeClr w14:val="tx1"/>
            </w14:solidFill>
          </w14:textFill>
        </w:rPr>
        <w:t>一级造价师或二级造价师均可提供电子证书</w:t>
      </w:r>
      <w:r>
        <w:rPr>
          <w:rFonts w:hint="eastAsia" w:ascii="宋体" w:hAnsi="宋体" w:eastAsia="宋体" w:cs="宋体"/>
          <w:color w:val="000000" w:themeColor="text1"/>
          <w:spacing w:val="-2"/>
          <w:sz w:val="24"/>
          <w:szCs w:val="24"/>
          <w:highlight w:val="none"/>
          <w14:textFill>
            <w14:solidFill>
              <w14:schemeClr w14:val="tx1"/>
            </w14:solidFill>
          </w14:textFill>
        </w:rPr>
        <w:t>）；投标人委托造价咨询单位编制《投标总价》的，在该扉页“投标人 ”栏目加盖造价</w:t>
      </w:r>
      <w:r>
        <w:rPr>
          <w:rFonts w:hint="eastAsia" w:ascii="宋体" w:hAnsi="宋体" w:eastAsia="宋体" w:cs="宋体"/>
          <w:color w:val="000000" w:themeColor="text1"/>
          <w:spacing w:val="-7"/>
          <w:sz w:val="24"/>
          <w:szCs w:val="24"/>
          <w:highlight w:val="none"/>
          <w14:textFill>
            <w14:solidFill>
              <w14:schemeClr w14:val="tx1"/>
            </w14:solidFill>
          </w14:textFill>
        </w:rPr>
        <w:t>咨询人公章，</w:t>
      </w:r>
      <w:r>
        <w:rPr>
          <w:rFonts w:hint="eastAsia" w:ascii="宋体" w:hAnsi="宋体" w:eastAsia="宋体" w:cs="宋体"/>
          <w:color w:val="000000" w:themeColor="text1"/>
          <w:spacing w:val="-1"/>
          <w:sz w:val="24"/>
          <w:szCs w:val="24"/>
          <w:highlight w:val="none"/>
          <w14:textFill>
            <w14:solidFill>
              <w14:schemeClr w14:val="tx1"/>
            </w14:solidFill>
          </w14:textFill>
        </w:rPr>
        <w:t>并在该扉页后附造价咨询人的营业执照副本彩色扫描件。</w:t>
      </w:r>
    </w:p>
    <w:p w14:paraId="068BAFD3">
      <w:pPr>
        <w:spacing w:before="119" w:line="314" w:lineRule="auto"/>
        <w:ind w:left="10" w:right="61" w:firstLine="47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b.  </w:t>
      </w:r>
      <w:r>
        <w:rPr>
          <w:rFonts w:hint="eastAsia" w:ascii="宋体" w:hAnsi="宋体" w:eastAsia="宋体" w:cs="宋体"/>
          <w:color w:val="000000" w:themeColor="text1"/>
          <w:spacing w:val="2"/>
          <w:sz w:val="24"/>
          <w:szCs w:val="24"/>
          <w:highlight w:val="none"/>
          <w14:textFill>
            <w14:solidFill>
              <w14:schemeClr w14:val="tx1"/>
            </w14:solidFill>
          </w14:textFill>
        </w:rPr>
        <w:t>投标人认为有必要补充的其他资料（例如关于投标总价下浮率超过</w:t>
      </w:r>
      <w:r>
        <w:rPr>
          <w:rFonts w:hint="eastAsia" w:ascii="宋体" w:hAnsi="宋体" w:eastAsia="宋体" w:cs="宋体"/>
          <w:color w:val="000000" w:themeColor="text1"/>
          <w:spacing w:val="-2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15%的书</w:t>
      </w:r>
      <w:r>
        <w:rPr>
          <w:rFonts w:hint="eastAsia" w:ascii="宋体" w:hAnsi="宋体" w:eastAsia="宋体" w:cs="宋体"/>
          <w:color w:val="000000" w:themeColor="text1"/>
          <w:spacing w:val="-2"/>
          <w:sz w:val="24"/>
          <w:szCs w:val="24"/>
          <w:highlight w:val="none"/>
          <w14:textFill>
            <w14:solidFill>
              <w14:schemeClr w14:val="tx1"/>
            </w14:solidFill>
          </w14:textFill>
        </w:rPr>
        <w:t>面说明和佐证材料）。</w:t>
      </w:r>
    </w:p>
    <w:p w14:paraId="05D38EAE">
      <w:pPr>
        <w:spacing w:before="99" w:line="280" w:lineRule="auto"/>
        <w:ind w:left="10" w:right="63" w:firstLine="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10.3.2  </w:t>
      </w:r>
      <w:r>
        <w:rPr>
          <w:rFonts w:hint="eastAsia" w:ascii="宋体" w:hAnsi="宋体" w:eastAsia="宋体" w:cs="宋体"/>
          <w:color w:val="000000" w:themeColor="text1"/>
          <w:spacing w:val="-3"/>
          <w:sz w:val="24"/>
          <w:szCs w:val="24"/>
          <w:highlight w:val="none"/>
          <w14:textFill>
            <w14:solidFill>
              <w14:schemeClr w14:val="tx1"/>
            </w14:solidFill>
          </w14:textFill>
        </w:rPr>
        <w:t>本节第</w:t>
      </w:r>
      <w:r>
        <w:rPr>
          <w:rFonts w:hint="eastAsia" w:ascii="宋体" w:hAnsi="宋体" w:eastAsia="宋体" w:cs="宋体"/>
          <w:color w:val="000000" w:themeColor="text1"/>
          <w:spacing w:val="-38"/>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10.3.1  </w:t>
      </w:r>
      <w:r>
        <w:rPr>
          <w:rFonts w:hint="eastAsia" w:ascii="宋体" w:hAnsi="宋体" w:eastAsia="宋体" w:cs="宋体"/>
          <w:color w:val="000000" w:themeColor="text1"/>
          <w:spacing w:val="-3"/>
          <w:sz w:val="24"/>
          <w:szCs w:val="24"/>
          <w:highlight w:val="none"/>
          <w14:textFill>
            <w14:solidFill>
              <w14:schemeClr w14:val="tx1"/>
            </w14:solidFill>
          </w14:textFill>
        </w:rPr>
        <w:t>目中所列出的经济标书组成内容中，第（1）至第（3）项所</w:t>
      </w:r>
      <w:r>
        <w:rPr>
          <w:rFonts w:hint="eastAsia" w:ascii="宋体" w:hAnsi="宋体" w:eastAsia="宋体" w:cs="宋体"/>
          <w:color w:val="000000" w:themeColor="text1"/>
          <w:spacing w:val="-2"/>
          <w:sz w:val="24"/>
          <w:szCs w:val="24"/>
          <w:highlight w:val="none"/>
          <w14:textFill>
            <w14:solidFill>
              <w14:schemeClr w14:val="tx1"/>
            </w14:solidFill>
          </w14:textFill>
        </w:rPr>
        <w:t>有投标人均应提供。</w:t>
      </w:r>
    </w:p>
    <w:p w14:paraId="1592DD8B">
      <w:pPr>
        <w:spacing w:before="155" w:line="279" w:lineRule="auto"/>
        <w:ind w:left="8" w:right="61" w:firstLine="48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0"/>
          <w:sz w:val="24"/>
          <w:szCs w:val="24"/>
          <w:highlight w:val="none"/>
          <w14:textFill>
            <w14:solidFill>
              <w14:schemeClr w14:val="tx1"/>
            </w14:solidFill>
          </w14:textFill>
        </w:rPr>
        <w:t>10.3.3</w:t>
      </w:r>
      <w:r>
        <w:rPr>
          <w:rFonts w:hint="eastAsia" w:ascii="宋体" w:hAnsi="宋体" w:eastAsia="宋体" w:cs="宋体"/>
          <w:b/>
          <w:bCs/>
          <w:color w:val="000000" w:themeColor="text1"/>
          <w:spacing w:val="1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经济标书的组成内容按本节第</w:t>
      </w:r>
      <w:r>
        <w:rPr>
          <w:rFonts w:hint="eastAsia" w:ascii="宋体" w:hAnsi="宋体" w:eastAsia="宋体" w:cs="宋体"/>
          <w:color w:val="000000" w:themeColor="text1"/>
          <w:spacing w:val="-3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10</w:t>
      </w:r>
      <w:r>
        <w:rPr>
          <w:rFonts w:hint="eastAsia" w:ascii="宋体" w:hAnsi="宋体" w:eastAsia="宋体" w:cs="宋体"/>
          <w:color w:val="000000" w:themeColor="text1"/>
          <w:spacing w:val="-11"/>
          <w:sz w:val="24"/>
          <w:szCs w:val="24"/>
          <w:highlight w:val="none"/>
          <w14:textFill>
            <w14:solidFill>
              <w14:schemeClr w14:val="tx1"/>
            </w14:solidFill>
          </w14:textFill>
        </w:rPr>
        <w:t>.3.1 目规定的顺序整理、编排后，逐页（页</w:t>
      </w:r>
      <w:r>
        <w:rPr>
          <w:rFonts w:hint="eastAsia" w:ascii="宋体" w:hAnsi="宋体" w:eastAsia="宋体" w:cs="宋体"/>
          <w:color w:val="000000" w:themeColor="text1"/>
          <w:spacing w:val="-1"/>
          <w:sz w:val="24"/>
          <w:szCs w:val="24"/>
          <w:highlight w:val="none"/>
          <w14:textFill>
            <w14:solidFill>
              <w14:schemeClr w14:val="tx1"/>
            </w14:solidFill>
          </w14:textFill>
        </w:rPr>
        <w:t>码起始从封面开始）连续标记页码。</w:t>
      </w:r>
    </w:p>
    <w:p w14:paraId="3A6D334B">
      <w:pPr>
        <w:spacing w:before="82" w:line="213" w:lineRule="auto"/>
        <w:ind w:left="496"/>
        <w:outlineLvl w:val="3"/>
        <w:rPr>
          <w:rFonts w:hint="eastAsia" w:ascii="宋体" w:hAnsi="宋体" w:eastAsia="宋体" w:cs="宋体"/>
          <w:color w:val="000000" w:themeColor="text1"/>
          <w:sz w:val="25"/>
          <w:szCs w:val="25"/>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10.4  </w:t>
      </w:r>
      <w:r>
        <w:rPr>
          <w:rFonts w:hint="eastAsia" w:ascii="宋体" w:hAnsi="宋体" w:eastAsia="宋体" w:cs="宋体"/>
          <w:color w:val="000000" w:themeColor="text1"/>
          <w:spacing w:val="-3"/>
          <w:sz w:val="24"/>
          <w:szCs w:val="24"/>
          <w:highlight w:val="none"/>
          <w14:textFill>
            <w14:solidFill>
              <w14:schemeClr w14:val="tx1"/>
            </w14:solidFill>
          </w14:textFill>
        </w:rPr>
        <w:t>施工组织设计的编制要求</w:t>
      </w:r>
    </w:p>
    <w:p w14:paraId="7828F48B">
      <w:pPr>
        <w:spacing w:before="151" w:line="219" w:lineRule="auto"/>
        <w:ind w:left="4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10.4.1 </w:t>
      </w:r>
      <w:r>
        <w:rPr>
          <w:rFonts w:hint="eastAsia" w:ascii="宋体" w:hAnsi="宋体" w:eastAsia="宋体" w:cs="宋体"/>
          <w:color w:val="000000" w:themeColor="text1"/>
          <w:spacing w:val="-1"/>
          <w:sz w:val="24"/>
          <w:szCs w:val="24"/>
          <w:highlight w:val="none"/>
          <w14:textFill>
            <w14:solidFill>
              <w14:schemeClr w14:val="tx1"/>
            </w14:solidFill>
          </w14:textFill>
        </w:rPr>
        <w:t>施工组织设计的编制依据包括且不限于：</w:t>
      </w:r>
    </w:p>
    <w:p w14:paraId="69CA5D7C">
      <w:pPr>
        <w:spacing w:before="156" w:line="219"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（1）招标文件及其答疑（或修改）公告；</w:t>
      </w:r>
    </w:p>
    <w:p w14:paraId="3D9B573B">
      <w:pPr>
        <w:spacing w:before="155" w:line="221"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（2）施工图及相关资料；</w:t>
      </w:r>
    </w:p>
    <w:p w14:paraId="56E6D366">
      <w:pPr>
        <w:spacing w:before="152" w:line="220"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（3）施工现场情况、工程特点；</w:t>
      </w:r>
    </w:p>
    <w:p w14:paraId="3FE9ED6F">
      <w:pPr>
        <w:spacing w:before="78" w:line="220"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（4）相关法律、法规、规定；</w:t>
      </w:r>
    </w:p>
    <w:p w14:paraId="059FD045">
      <w:pPr>
        <w:spacing w:before="153" w:line="299" w:lineRule="auto"/>
        <w:ind w:left="10" w:right="211" w:firstLine="49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（5）国家、广东省、韶关市关于施工现场管理、施工工艺</w:t>
      </w:r>
      <w:r>
        <w:rPr>
          <w:rFonts w:hint="eastAsia" w:ascii="宋体" w:hAnsi="宋体" w:eastAsia="宋体" w:cs="宋体"/>
          <w:color w:val="000000" w:themeColor="text1"/>
          <w:spacing w:val="1"/>
          <w:sz w:val="24"/>
          <w:szCs w:val="24"/>
          <w:highlight w:val="none"/>
          <w14:textFill>
            <w14:solidFill>
              <w14:schemeClr w14:val="tx1"/>
            </w14:solidFill>
          </w14:textFill>
        </w:rPr>
        <w:t>、绿色施工、安全防</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护、文明施工、环境保护等方面的标准、规范、技术资料。</w:t>
      </w:r>
      <w:r>
        <w:rPr>
          <w:rFonts w:hint="eastAsia" w:ascii="宋体" w:hAnsi="宋体" w:eastAsia="宋体" w:cs="宋体"/>
          <w:color w:val="000000" w:themeColor="text1"/>
          <w:spacing w:val="-2"/>
          <w:sz w:val="24"/>
          <w:szCs w:val="24"/>
          <w:highlight w:val="none"/>
          <w14:textFill>
            <w14:solidFill>
              <w14:schemeClr w14:val="tx1"/>
            </w14:solidFill>
          </w14:textFill>
        </w:rPr>
        <w:t>如《广东省住房和城乡建</w:t>
      </w:r>
      <w:r>
        <w:rPr>
          <w:rFonts w:hint="eastAsia" w:ascii="宋体" w:hAnsi="宋体" w:eastAsia="宋体" w:cs="宋体"/>
          <w:color w:val="000000" w:themeColor="text1"/>
          <w:sz w:val="24"/>
          <w:szCs w:val="24"/>
          <w:highlight w:val="none"/>
          <w14:textFill>
            <w14:solidFill>
              <w14:schemeClr w14:val="tx1"/>
            </w14:solidFill>
          </w14:textFill>
        </w:rPr>
        <w:t xml:space="preserve"> 设厅绿色施工导则》《广东省建设工程施工扬尘污染防</w:t>
      </w:r>
      <w:r>
        <w:rPr>
          <w:rFonts w:hint="eastAsia" w:ascii="宋体" w:hAnsi="宋体" w:eastAsia="宋体" w:cs="宋体"/>
          <w:color w:val="000000" w:themeColor="text1"/>
          <w:spacing w:val="-1"/>
          <w:sz w:val="24"/>
          <w:szCs w:val="24"/>
          <w:highlight w:val="none"/>
          <w14:textFill>
            <w14:solidFill>
              <w14:schemeClr w14:val="tx1"/>
            </w14:solidFill>
          </w14:textFill>
        </w:rPr>
        <w:t>治管理办法（试行）》等；</w:t>
      </w:r>
    </w:p>
    <w:p w14:paraId="50B2B5BD">
      <w:pPr>
        <w:spacing w:before="155" w:line="220"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（6）企业内部标准、工法。</w:t>
      </w:r>
    </w:p>
    <w:p w14:paraId="6608343E">
      <w:pPr>
        <w:spacing w:before="153" w:line="220" w:lineRule="auto"/>
        <w:ind w:left="4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10.4.2 </w:t>
      </w:r>
      <w:r>
        <w:rPr>
          <w:rFonts w:hint="eastAsia" w:ascii="宋体" w:hAnsi="宋体" w:eastAsia="宋体" w:cs="宋体"/>
          <w:color w:val="000000" w:themeColor="text1"/>
          <w:spacing w:val="-1"/>
          <w:sz w:val="24"/>
          <w:szCs w:val="24"/>
          <w:highlight w:val="none"/>
          <w14:textFill>
            <w14:solidFill>
              <w14:schemeClr w14:val="tx1"/>
            </w14:solidFill>
          </w14:textFill>
        </w:rPr>
        <w:t>施工组织设计包括但不限于以下内容：</w:t>
      </w:r>
    </w:p>
    <w:p w14:paraId="11AC19C5">
      <w:pPr>
        <w:spacing w:before="153" w:line="220"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（1）封面（格式一</w:t>
      </w:r>
      <w:r>
        <w:rPr>
          <w:rFonts w:hint="eastAsia" w:ascii="宋体" w:hAnsi="宋体" w:eastAsia="宋体" w:cs="宋体"/>
          <w:color w:val="000000" w:themeColor="text1"/>
          <w:spacing w:val="2"/>
          <w:sz w:val="24"/>
          <w:szCs w:val="24"/>
          <w:highlight w:val="none"/>
          <w14:textFill>
            <w14:solidFill>
              <w14:schemeClr w14:val="tx1"/>
            </w14:solidFill>
          </w14:textFill>
        </w:rPr>
        <w:t>）；</w:t>
      </w:r>
    </w:p>
    <w:p w14:paraId="0D89566C">
      <w:pPr>
        <w:spacing w:before="156" w:line="222"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3"/>
          <w:sz w:val="24"/>
          <w:szCs w:val="24"/>
          <w:highlight w:val="none"/>
          <w14:textFill>
            <w14:solidFill>
              <w14:schemeClr w14:val="tx1"/>
            </w14:solidFill>
          </w14:textFill>
        </w:rPr>
        <w:t>（2）</w:t>
      </w:r>
      <w:r>
        <w:rPr>
          <w:rFonts w:hint="eastAsia" w:ascii="宋体" w:hAnsi="宋体" w:eastAsia="宋体" w:cs="宋体"/>
          <w:color w:val="000000" w:themeColor="text1"/>
          <w:spacing w:val="-6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14:textFill>
            <w14:solidFill>
              <w14:schemeClr w14:val="tx1"/>
            </w14:solidFill>
          </w14:textFill>
        </w:rPr>
        <w:t>目录；</w:t>
      </w:r>
    </w:p>
    <w:p w14:paraId="42EF60D6">
      <w:pPr>
        <w:spacing w:before="150" w:line="220"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（3）总体概述（包括施工程序总体设想及施工段划分等内容</w:t>
      </w:r>
      <w:r>
        <w:rPr>
          <w:rFonts w:hint="eastAsia" w:ascii="宋体" w:hAnsi="宋体" w:eastAsia="宋体" w:cs="宋体"/>
          <w:color w:val="000000" w:themeColor="text1"/>
          <w:spacing w:val="2"/>
          <w:sz w:val="24"/>
          <w:szCs w:val="24"/>
          <w:highlight w:val="none"/>
          <w14:textFill>
            <w14:solidFill>
              <w14:schemeClr w14:val="tx1"/>
            </w14:solidFill>
          </w14:textFill>
        </w:rPr>
        <w:t>）；</w:t>
      </w:r>
    </w:p>
    <w:p w14:paraId="2188CD8A">
      <w:pPr>
        <w:spacing w:before="154" w:line="299" w:lineRule="auto"/>
        <w:ind w:left="9" w:right="211" w:firstLine="49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（4）施工总进度计划及保证措施（包括进度管理目标；以</w:t>
      </w:r>
      <w:r>
        <w:rPr>
          <w:rFonts w:hint="eastAsia" w:ascii="宋体" w:hAnsi="宋体" w:eastAsia="宋体" w:cs="宋体"/>
          <w:color w:val="000000" w:themeColor="text1"/>
          <w:spacing w:val="1"/>
          <w:sz w:val="24"/>
          <w:szCs w:val="24"/>
          <w:highlight w:val="none"/>
          <w14:textFill>
            <w14:solidFill>
              <w14:schemeClr w14:val="tx1"/>
            </w14:solidFill>
          </w14:textFill>
        </w:rPr>
        <w:t>横道图或标明关键线</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路的网络进度计划；保障进度计划需要的人、材、机需求计划</w:t>
      </w:r>
      <w:r>
        <w:rPr>
          <w:rFonts w:hint="eastAsia" w:ascii="宋体" w:hAnsi="宋体" w:eastAsia="宋体" w:cs="宋体"/>
          <w:color w:val="000000" w:themeColor="text1"/>
          <w:spacing w:val="-2"/>
          <w:sz w:val="24"/>
          <w:szCs w:val="24"/>
          <w:highlight w:val="none"/>
          <w14:textFill>
            <w14:solidFill>
              <w14:schemeClr w14:val="tx1"/>
            </w14:solidFill>
          </w14:textFill>
        </w:rPr>
        <w:t>及保证措施；违约责任承诺等内容</w:t>
      </w:r>
      <w:r>
        <w:rPr>
          <w:rFonts w:hint="eastAsia" w:ascii="宋体" w:hAnsi="宋体" w:eastAsia="宋体" w:cs="宋体"/>
          <w:color w:val="000000" w:themeColor="text1"/>
          <w:sz w:val="24"/>
          <w:szCs w:val="24"/>
          <w:highlight w:val="none"/>
          <w14:textFill>
            <w14:solidFill>
              <w14:schemeClr w14:val="tx1"/>
            </w14:solidFill>
          </w14:textFill>
        </w:rPr>
        <w:t>）；</w:t>
      </w:r>
    </w:p>
    <w:p w14:paraId="1FC69F82">
      <w:pPr>
        <w:spacing w:before="153" w:line="220"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（5）质量保证措施（包括质量管理目标；相应保证措施；违约责任承诺</w:t>
      </w:r>
      <w:r>
        <w:rPr>
          <w:rFonts w:hint="eastAsia" w:ascii="宋体" w:hAnsi="宋体" w:eastAsia="宋体" w:cs="宋体"/>
          <w:color w:val="000000" w:themeColor="text1"/>
          <w:spacing w:val="-6"/>
          <w:sz w:val="24"/>
          <w:szCs w:val="24"/>
          <w:highlight w:val="none"/>
          <w14:textFill>
            <w14:solidFill>
              <w14:schemeClr w14:val="tx1"/>
            </w14:solidFill>
          </w14:textFill>
        </w:rPr>
        <w:t>等内容</w:t>
      </w:r>
      <w:r>
        <w:rPr>
          <w:rFonts w:hint="eastAsia" w:ascii="宋体" w:hAnsi="宋体" w:eastAsia="宋体" w:cs="宋体"/>
          <w:color w:val="000000" w:themeColor="text1"/>
          <w:spacing w:val="-62"/>
          <w:w w:val="97"/>
          <w:sz w:val="24"/>
          <w:szCs w:val="24"/>
          <w:highlight w:val="none"/>
          <w14:textFill>
            <w14:solidFill>
              <w14:schemeClr w14:val="tx1"/>
            </w14:solidFill>
          </w14:textFill>
        </w:rPr>
        <w:t>）；</w:t>
      </w:r>
    </w:p>
    <w:p w14:paraId="69700B99">
      <w:pPr>
        <w:spacing w:before="156" w:line="279" w:lineRule="auto"/>
        <w:ind w:left="11" w:right="211" w:firstLine="4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（6）施工技术措施（包括关键施工技术、工艺及工程项目</w:t>
      </w:r>
      <w:r>
        <w:rPr>
          <w:rFonts w:hint="eastAsia" w:ascii="宋体" w:hAnsi="宋体" w:eastAsia="宋体" w:cs="宋体"/>
          <w:color w:val="000000" w:themeColor="text1"/>
          <w:spacing w:val="1"/>
          <w:sz w:val="24"/>
          <w:szCs w:val="24"/>
          <w:highlight w:val="none"/>
          <w14:textFill>
            <w14:solidFill>
              <w14:schemeClr w14:val="tx1"/>
            </w14:solidFill>
          </w14:textFill>
        </w:rPr>
        <w:t>实施的重点、难点分</w:t>
      </w:r>
      <w:r>
        <w:rPr>
          <w:rFonts w:hint="eastAsia" w:ascii="宋体" w:hAnsi="宋体" w:eastAsia="宋体" w:cs="宋体"/>
          <w:color w:val="000000" w:themeColor="text1"/>
          <w:spacing w:val="-1"/>
          <w:sz w:val="24"/>
          <w:szCs w:val="24"/>
          <w:highlight w:val="none"/>
          <w14:textFill>
            <w14:solidFill>
              <w14:schemeClr w14:val="tx1"/>
            </w14:solidFill>
          </w14:textFill>
        </w:rPr>
        <w:t>析和解决方案；新技术应用与承诺等内容</w:t>
      </w:r>
      <w:r>
        <w:rPr>
          <w:rFonts w:hint="eastAsia" w:ascii="宋体" w:hAnsi="宋体" w:eastAsia="宋体" w:cs="宋体"/>
          <w:color w:val="000000" w:themeColor="text1"/>
          <w:spacing w:val="2"/>
          <w:sz w:val="24"/>
          <w:szCs w:val="24"/>
          <w:highlight w:val="none"/>
          <w14:textFill>
            <w14:solidFill>
              <w14:schemeClr w14:val="tx1"/>
            </w14:solidFill>
          </w14:textFill>
        </w:rPr>
        <w:t>）；</w:t>
      </w:r>
    </w:p>
    <w:p w14:paraId="4D11B874">
      <w:pPr>
        <w:spacing w:before="118" w:line="297" w:lineRule="auto"/>
        <w:ind w:left="11" w:right="31" w:firstLine="489"/>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（7）绿色施工、安全防护、文明施工措施计划(应对建设单位组织的勘察设计等单位在施工招标文件中列出的危大工程清单(详见格式十三)进行投标文件回应，如有)</w:t>
      </w:r>
      <w:r>
        <w:rPr>
          <w:rFonts w:hint="eastAsia" w:ascii="宋体" w:hAnsi="宋体" w:eastAsia="宋体" w:cs="宋体"/>
          <w:color w:val="000000" w:themeColor="text1"/>
          <w:spacing w:val="-3"/>
          <w:sz w:val="24"/>
          <w:szCs w:val="24"/>
          <w:highlight w:val="none"/>
          <w14:textFill>
            <w14:solidFill>
              <w14:schemeClr w14:val="tx1"/>
            </w14:solidFill>
          </w14:textFill>
        </w:rPr>
        <w:t>；</w:t>
      </w:r>
    </w:p>
    <w:p w14:paraId="00EDD96D">
      <w:pPr>
        <w:spacing w:before="118" w:line="297" w:lineRule="auto"/>
        <w:ind w:left="11" w:right="31" w:firstLine="4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（8）施工现场总平面布置（</w:t>
      </w:r>
      <w:bookmarkStart w:id="55" w:name="OLE_LINK8"/>
      <w:r>
        <w:rPr>
          <w:rFonts w:hint="eastAsia" w:ascii="宋体" w:hAnsi="宋体" w:eastAsia="宋体" w:cs="宋体"/>
          <w:color w:val="000000" w:themeColor="text1"/>
          <w:spacing w:val="2"/>
          <w:sz w:val="24"/>
          <w:szCs w:val="24"/>
          <w:highlight w:val="none"/>
          <w14:textFill>
            <w14:solidFill>
              <w14:schemeClr w14:val="tx1"/>
            </w14:solidFill>
          </w14:textFill>
        </w:rPr>
        <w:t>投标人应递交一份施工现场总</w:t>
      </w:r>
      <w:r>
        <w:rPr>
          <w:rFonts w:hint="eastAsia" w:ascii="宋体" w:hAnsi="宋体" w:eastAsia="宋体" w:cs="宋体"/>
          <w:color w:val="000000" w:themeColor="text1"/>
          <w:spacing w:val="1"/>
          <w:sz w:val="24"/>
          <w:szCs w:val="24"/>
          <w:highlight w:val="none"/>
          <w14:textFill>
            <w14:solidFill>
              <w14:schemeClr w14:val="tx1"/>
            </w14:solidFill>
          </w14:textFill>
        </w:rPr>
        <w:t>平面布置图，绘出现</w:t>
      </w:r>
      <w:r>
        <w:rPr>
          <w:rFonts w:hint="eastAsia" w:ascii="宋体" w:hAnsi="宋体" w:eastAsia="宋体" w:cs="宋体"/>
          <w:color w:val="000000" w:themeColor="text1"/>
          <w:spacing w:val="-1"/>
          <w:sz w:val="24"/>
          <w:szCs w:val="24"/>
          <w:highlight w:val="none"/>
          <w14:textFill>
            <w14:solidFill>
              <w14:schemeClr w14:val="tx1"/>
            </w14:solidFill>
          </w14:textFill>
        </w:rPr>
        <w:t>场临时设施布置图表并附文字说明，说明临时设施、加工车间、</w:t>
      </w:r>
      <w:r>
        <w:rPr>
          <w:rFonts w:hint="eastAsia" w:ascii="宋体" w:hAnsi="宋体" w:eastAsia="宋体" w:cs="宋体"/>
          <w:color w:val="000000" w:themeColor="text1"/>
          <w:spacing w:val="-2"/>
          <w:sz w:val="24"/>
          <w:szCs w:val="24"/>
          <w:highlight w:val="none"/>
          <w14:textFill>
            <w14:solidFill>
              <w14:schemeClr w14:val="tx1"/>
            </w14:solidFill>
          </w14:textFill>
        </w:rPr>
        <w:t>现场办公、设备及仓</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储、供电、供水、卫生、生活、道路、消防等设施的情况和布置</w:t>
      </w:r>
      <w:bookmarkEnd w:id="55"/>
      <w:r>
        <w:rPr>
          <w:rFonts w:hint="eastAsia" w:ascii="宋体" w:hAnsi="宋体" w:eastAsia="宋体" w:cs="宋体"/>
          <w:color w:val="000000" w:themeColor="text1"/>
          <w:spacing w:val="9"/>
          <w:sz w:val="24"/>
          <w:szCs w:val="24"/>
          <w:highlight w:val="none"/>
          <w14:textFill>
            <w14:solidFill>
              <w14:schemeClr w14:val="tx1"/>
            </w14:solidFill>
          </w14:textFill>
        </w:rPr>
        <w:t>）；</w:t>
      </w:r>
    </w:p>
    <w:p w14:paraId="523DCF6A">
      <w:pPr>
        <w:spacing w:before="155" w:line="219"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（9）项目管理机构。</w:t>
      </w:r>
    </w:p>
    <w:p w14:paraId="16991E29">
      <w:pPr>
        <w:spacing w:before="154" w:line="280" w:lineRule="auto"/>
        <w:ind w:right="211" w:firstLine="47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（10）投标人认为有必要补充的其他内容（例如对总包管理的认识以及对专业分</w:t>
      </w:r>
      <w:r>
        <w:rPr>
          <w:rFonts w:hint="eastAsia" w:ascii="宋体" w:hAnsi="宋体" w:eastAsia="宋体" w:cs="宋体"/>
          <w:color w:val="000000" w:themeColor="text1"/>
          <w:spacing w:val="-1"/>
          <w:sz w:val="24"/>
          <w:szCs w:val="24"/>
          <w:highlight w:val="none"/>
          <w14:textFill>
            <w14:solidFill>
              <w14:schemeClr w14:val="tx1"/>
            </w14:solidFill>
          </w14:textFill>
        </w:rPr>
        <w:t>包工程的管理、协调、配合、服务方案）。</w:t>
      </w:r>
    </w:p>
    <w:p w14:paraId="5EA512C0">
      <w:pPr>
        <w:spacing w:before="152" w:line="279" w:lineRule="auto"/>
        <w:ind w:right="196" w:firstLine="474"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10.4.3  </w:t>
      </w:r>
      <w:r>
        <w:rPr>
          <w:rFonts w:hint="eastAsia" w:ascii="宋体" w:hAnsi="宋体" w:eastAsia="宋体" w:cs="宋体"/>
          <w:color w:val="000000" w:themeColor="text1"/>
          <w:spacing w:val="-2"/>
          <w:sz w:val="24"/>
          <w:szCs w:val="24"/>
          <w:highlight w:val="none"/>
          <w14:textFill>
            <w14:solidFill>
              <w14:schemeClr w14:val="tx1"/>
            </w14:solidFill>
          </w14:textFill>
        </w:rPr>
        <w:t>本节第</w:t>
      </w:r>
      <w:r>
        <w:rPr>
          <w:rFonts w:hint="eastAsia" w:ascii="宋体" w:hAnsi="宋体" w:eastAsia="宋体" w:cs="宋体"/>
          <w:color w:val="000000" w:themeColor="text1"/>
          <w:spacing w:val="-44"/>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10.4.2  </w:t>
      </w:r>
      <w:r>
        <w:rPr>
          <w:rFonts w:hint="eastAsia" w:ascii="宋体" w:hAnsi="宋体" w:eastAsia="宋体" w:cs="宋体"/>
          <w:color w:val="000000" w:themeColor="text1"/>
          <w:spacing w:val="-2"/>
          <w:sz w:val="24"/>
          <w:szCs w:val="24"/>
          <w:highlight w:val="none"/>
          <w14:textFill>
            <w14:solidFill>
              <w14:schemeClr w14:val="tx1"/>
            </w14:solidFill>
          </w14:textFill>
        </w:rPr>
        <w:t>目中所列出</w:t>
      </w:r>
      <w:r>
        <w:rPr>
          <w:rFonts w:hint="eastAsia" w:ascii="宋体" w:hAnsi="宋体" w:eastAsia="宋体" w:cs="宋体"/>
          <w:color w:val="000000" w:themeColor="text1"/>
          <w:spacing w:val="-3"/>
          <w:sz w:val="24"/>
          <w:szCs w:val="24"/>
          <w:highlight w:val="none"/>
          <w14:textFill>
            <w14:solidFill>
              <w14:schemeClr w14:val="tx1"/>
            </w14:solidFill>
          </w14:textFill>
        </w:rPr>
        <w:t>的施工组织设计组成内容中，第（1）至第（9）</w:t>
      </w:r>
      <w:r>
        <w:rPr>
          <w:rFonts w:hint="eastAsia" w:ascii="宋体" w:hAnsi="宋体" w:eastAsia="宋体" w:cs="宋体"/>
          <w:color w:val="000000" w:themeColor="text1"/>
          <w:spacing w:val="-2"/>
          <w:sz w:val="24"/>
          <w:szCs w:val="24"/>
          <w:highlight w:val="none"/>
          <w14:textFill>
            <w14:solidFill>
              <w14:schemeClr w14:val="tx1"/>
            </w14:solidFill>
          </w14:textFill>
        </w:rPr>
        <w:t>项所有投标人均应提供。</w:t>
      </w:r>
    </w:p>
    <w:p w14:paraId="6B854B9F">
      <w:pPr>
        <w:spacing w:before="157" w:line="279" w:lineRule="auto"/>
        <w:ind w:right="211" w:firstLine="462" w:firstLineChars="200"/>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b/>
          <w:bCs/>
          <w:color w:val="000000" w:themeColor="text1"/>
          <w:spacing w:val="-5"/>
          <w:sz w:val="24"/>
          <w:szCs w:val="24"/>
          <w:highlight w:val="none"/>
          <w14:textFill>
            <w14:solidFill>
              <w14:schemeClr w14:val="tx1"/>
            </w14:solidFill>
          </w14:textFill>
        </w:rPr>
        <w:t xml:space="preserve">10.4.4 </w:t>
      </w:r>
      <w:r>
        <w:rPr>
          <w:rFonts w:hint="eastAsia" w:ascii="宋体" w:hAnsi="宋体" w:eastAsia="宋体" w:cs="宋体"/>
          <w:color w:val="000000" w:themeColor="text1"/>
          <w:spacing w:val="-5"/>
          <w:sz w:val="24"/>
          <w:szCs w:val="24"/>
          <w:highlight w:val="none"/>
          <w14:textFill>
            <w14:solidFill>
              <w14:schemeClr w14:val="tx1"/>
            </w14:solidFill>
          </w14:textFill>
        </w:rPr>
        <w:t>施工组织设计的组成内容按本节第</w:t>
      </w:r>
      <w:r>
        <w:rPr>
          <w:rFonts w:hint="eastAsia" w:ascii="宋体" w:hAnsi="宋体" w:eastAsia="宋体" w:cs="宋体"/>
          <w:color w:val="000000" w:themeColor="text1"/>
          <w:spacing w:val="-1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10.4.2 目规定的顺序整理、编排后，逐</w:t>
      </w:r>
      <w:r>
        <w:rPr>
          <w:rFonts w:hint="eastAsia" w:ascii="宋体" w:hAnsi="宋体" w:eastAsia="宋体" w:cs="宋体"/>
          <w:color w:val="000000" w:themeColor="text1"/>
          <w:spacing w:val="-1"/>
          <w:sz w:val="24"/>
          <w:szCs w:val="24"/>
          <w:highlight w:val="none"/>
          <w14:textFill>
            <w14:solidFill>
              <w14:schemeClr w14:val="tx1"/>
            </w14:solidFill>
          </w14:textFill>
        </w:rPr>
        <w:t>页（页码起始从封面开始）连续标记页码。</w:t>
      </w:r>
    </w:p>
    <w:p w14:paraId="354BBE28">
      <w:pPr>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1"/>
          <w:sz w:val="24"/>
          <w:szCs w:val="24"/>
          <w:highlight w:val="none"/>
          <w14:textFill>
            <w14:solidFill>
              <w14:schemeClr w14:val="tx1"/>
            </w14:solidFill>
          </w14:textFill>
        </w:rPr>
        <w:t>10.4.5</w:t>
      </w:r>
      <w:bookmarkStart w:id="56" w:name="OLE_LINK9"/>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施工组织设计的正文不得超过</w:t>
      </w:r>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500</w:t>
      </w:r>
      <w:r>
        <w:rPr>
          <w:rFonts w:hint="eastAsia" w:ascii="宋体" w:hAnsi="宋体" w:eastAsia="宋体" w:cs="宋体"/>
          <w:color w:val="000000" w:themeColor="text1"/>
          <w:spacing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页</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p>
    <w:bookmarkEnd w:id="56"/>
    <w:p w14:paraId="7DA830C4">
      <w:pPr>
        <w:pStyle w:val="5"/>
        <w:spacing w:line="241" w:lineRule="auto"/>
        <w:rPr>
          <w:rFonts w:hint="eastAsia" w:ascii="宋体" w:hAnsi="宋体" w:eastAsia="宋体" w:cs="宋体"/>
          <w:color w:val="000000" w:themeColor="text1"/>
          <w:highlight w:val="none"/>
          <w14:textFill>
            <w14:solidFill>
              <w14:schemeClr w14:val="tx1"/>
            </w14:solidFill>
          </w14:textFill>
        </w:rPr>
      </w:pPr>
      <w:bookmarkStart w:id="57" w:name="bookmark121"/>
      <w:bookmarkEnd w:id="57"/>
    </w:p>
    <w:p w14:paraId="334D0149">
      <w:pPr>
        <w:spacing w:before="78" w:line="221" w:lineRule="auto"/>
        <w:ind w:left="496"/>
        <w:outlineLvl w:val="2"/>
        <w:rPr>
          <w:rFonts w:hint="eastAsia" w:ascii="宋体" w:hAnsi="宋体" w:eastAsia="宋体" w:cs="宋体"/>
          <w:color w:val="000000" w:themeColor="text1"/>
          <w:sz w:val="24"/>
          <w:szCs w:val="24"/>
          <w:highlight w:val="none"/>
          <w14:textFill>
            <w14:solidFill>
              <w14:schemeClr w14:val="tx1"/>
            </w14:solidFill>
          </w14:textFill>
        </w:rPr>
      </w:pPr>
      <w:bookmarkStart w:id="58" w:name="_Toc21936"/>
      <w:bookmarkStart w:id="59" w:name="_Toc19146"/>
      <w:r>
        <w:rPr>
          <w:rFonts w:hint="eastAsia" w:ascii="宋体" w:hAnsi="宋体" w:eastAsia="宋体" w:cs="宋体"/>
          <w:b/>
          <w:bCs/>
          <w:color w:val="000000" w:themeColor="text1"/>
          <w:spacing w:val="-9"/>
          <w:sz w:val="24"/>
          <w:szCs w:val="24"/>
          <w:highlight w:val="none"/>
          <w14:textFill>
            <w14:solidFill>
              <w14:schemeClr w14:val="tx1"/>
            </w14:solidFill>
          </w14:textFill>
        </w:rPr>
        <w:t>11.</w:t>
      </w:r>
      <w:r>
        <w:rPr>
          <w:rFonts w:hint="eastAsia" w:ascii="宋体" w:hAnsi="宋体" w:eastAsia="宋体" w:cs="宋体"/>
          <w:b/>
          <w:bCs/>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电子投标：</w:t>
      </w:r>
      <w:bookmarkEnd w:id="58"/>
      <w:bookmarkEnd w:id="59"/>
    </w:p>
    <w:p w14:paraId="2928C8B1">
      <w:pPr>
        <w:spacing w:before="112" w:line="295" w:lineRule="auto"/>
        <w:ind w:left="10" w:firstLine="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11.1  </w:t>
      </w:r>
      <w:r>
        <w:rPr>
          <w:rFonts w:hint="eastAsia" w:ascii="宋体" w:hAnsi="宋体" w:eastAsia="宋体" w:cs="宋体"/>
          <w:color w:val="000000" w:themeColor="text1"/>
          <w:spacing w:val="-3"/>
          <w:sz w:val="24"/>
          <w:szCs w:val="24"/>
          <w:highlight w:val="none"/>
          <w14:textFill>
            <w14:solidFill>
              <w14:schemeClr w14:val="tx1"/>
            </w14:solidFill>
          </w14:textFill>
        </w:rPr>
        <w:t>在建设工程交易系统上传加盖了电子印章的投标文件、录入相关信息及标书</w:t>
      </w:r>
      <w:r>
        <w:rPr>
          <w:rFonts w:hint="eastAsia" w:ascii="宋体" w:hAnsi="宋体" w:eastAsia="宋体" w:cs="宋体"/>
          <w:color w:val="000000" w:themeColor="text1"/>
          <w:spacing w:val="2"/>
          <w:sz w:val="24"/>
          <w:szCs w:val="24"/>
          <w:highlight w:val="none"/>
          <w14:textFill>
            <w14:solidFill>
              <w14:schemeClr w14:val="tx1"/>
            </w14:solidFill>
          </w14:textFill>
        </w:rPr>
        <w:t>页码信息</w:t>
      </w:r>
      <w:r>
        <w:rPr>
          <w:rFonts w:hint="eastAsia" w:ascii="宋体" w:hAnsi="宋体" w:eastAsia="宋体" w:cs="宋体"/>
          <w:color w:val="000000" w:themeColor="text1"/>
          <w:spacing w:val="-25"/>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页码起始从封面开始）并提交投标标书。提交标书为已加密投标文件。</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具体操作参照《韶关市公共资源建设工程交易系统-投标人操</w:t>
      </w:r>
      <w:r>
        <w:rPr>
          <w:rFonts w:hint="eastAsia" w:ascii="宋体" w:hAnsi="宋体" w:eastAsia="宋体" w:cs="宋体"/>
          <w:color w:val="000000" w:themeColor="text1"/>
          <w:spacing w:val="-3"/>
          <w:sz w:val="24"/>
          <w:szCs w:val="24"/>
          <w:highlight w:val="none"/>
          <w14:textFill>
            <w14:solidFill>
              <w14:schemeClr w14:val="tx1"/>
            </w14:solidFill>
          </w14:textFill>
        </w:rPr>
        <w:t>作指南（电子评标）》。</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本项目评标采用全流程电子化进行招标投标（投标人应根据</w:t>
      </w:r>
      <w:r>
        <w:rPr>
          <w:rFonts w:hint="eastAsia" w:ascii="宋体" w:hAnsi="宋体" w:eastAsia="宋体" w:cs="宋体"/>
          <w:color w:val="000000" w:themeColor="text1"/>
          <w:spacing w:val="-2"/>
          <w:sz w:val="24"/>
          <w:szCs w:val="24"/>
          <w:highlight w:val="none"/>
          <w14:textFill>
            <w14:solidFill>
              <w14:schemeClr w14:val="tx1"/>
            </w14:solidFill>
          </w14:textFill>
        </w:rPr>
        <w:t>韶关市公共资源建设工程</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交易系统进行编辑投标相关内容、按招标文件电子投标要求</w:t>
      </w:r>
      <w:r>
        <w:rPr>
          <w:rFonts w:hint="eastAsia" w:ascii="宋体" w:hAnsi="宋体" w:eastAsia="宋体" w:cs="宋体"/>
          <w:color w:val="000000" w:themeColor="text1"/>
          <w:spacing w:val="-2"/>
          <w:sz w:val="24"/>
          <w:szCs w:val="24"/>
          <w:highlight w:val="none"/>
          <w14:textFill>
            <w14:solidFill>
              <w14:schemeClr w14:val="tx1"/>
            </w14:solidFill>
          </w14:textFill>
        </w:rPr>
        <w:t>上传已加盖电子印章投标</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文件，否则将自行承担不利后果）。投标文件完成上传后，投标人应</w:t>
      </w:r>
      <w:r>
        <w:rPr>
          <w:rFonts w:hint="eastAsia" w:ascii="宋体" w:hAnsi="宋体" w:eastAsia="宋体" w:cs="宋体"/>
          <w:color w:val="000000" w:themeColor="text1"/>
          <w:spacing w:val="-2"/>
          <w:sz w:val="24"/>
          <w:szCs w:val="24"/>
          <w:highlight w:val="none"/>
          <w14:textFill>
            <w14:solidFill>
              <w14:schemeClr w14:val="tx1"/>
            </w14:solidFill>
          </w14:textFill>
        </w:rPr>
        <w:t>使用 CA 数字证</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书对投标文件进行文件加密，形成加密的投标文件并提交标书。</w:t>
      </w:r>
    </w:p>
    <w:p w14:paraId="2CE28D8B">
      <w:pPr>
        <w:spacing w:before="115" w:line="286" w:lineRule="auto"/>
        <w:ind w:left="10" w:right="81" w:firstLine="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14:textFill>
            <w14:solidFill>
              <w14:schemeClr w14:val="tx1"/>
            </w14:solidFill>
          </w14:textFill>
        </w:rPr>
        <w:t>11.2</w:t>
      </w:r>
      <w:r>
        <w:rPr>
          <w:rFonts w:hint="eastAsia" w:ascii="宋体" w:hAnsi="宋体" w:eastAsia="宋体" w:cs="宋体"/>
          <w:b/>
          <w:bCs/>
          <w:color w:val="000000" w:themeColor="text1"/>
          <w:spacing w:val="1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电子投标文件的修改、撤回：在提交投标文件截止时间前，投标人可</w:t>
      </w:r>
      <w:r>
        <w:rPr>
          <w:rFonts w:hint="eastAsia" w:ascii="宋体" w:hAnsi="宋体" w:eastAsia="宋体" w:cs="宋体"/>
          <w:color w:val="000000" w:themeColor="text1"/>
          <w:spacing w:val="-5"/>
          <w:sz w:val="24"/>
          <w:szCs w:val="24"/>
          <w:highlight w:val="none"/>
          <w14:textFill>
            <w14:solidFill>
              <w14:schemeClr w14:val="tx1"/>
            </w14:solidFill>
          </w14:textFill>
        </w:rPr>
        <w:t>以修改</w:t>
      </w:r>
      <w:r>
        <w:rPr>
          <w:rFonts w:hint="eastAsia" w:ascii="宋体" w:hAnsi="宋体" w:eastAsia="宋体" w:cs="宋体"/>
          <w:color w:val="000000" w:themeColor="text1"/>
          <w:spacing w:val="-1"/>
          <w:sz w:val="24"/>
          <w:szCs w:val="24"/>
          <w:highlight w:val="none"/>
          <w14:textFill>
            <w14:solidFill>
              <w14:schemeClr w14:val="tx1"/>
            </w14:solidFill>
          </w14:textFill>
        </w:rPr>
        <w:t>或撤回未解密的电子投标文件，并于提交投标文件截止时间</w:t>
      </w:r>
      <w:r>
        <w:rPr>
          <w:rFonts w:hint="eastAsia" w:ascii="宋体" w:hAnsi="宋体" w:eastAsia="宋体" w:cs="宋体"/>
          <w:color w:val="000000" w:themeColor="text1"/>
          <w:spacing w:val="-2"/>
          <w:sz w:val="24"/>
          <w:szCs w:val="24"/>
          <w:highlight w:val="none"/>
          <w14:textFill>
            <w14:solidFill>
              <w14:schemeClr w14:val="tx1"/>
            </w14:solidFill>
          </w14:textFill>
        </w:rPr>
        <w:t>前将重新上传修改后的电</w:t>
      </w:r>
      <w:r>
        <w:rPr>
          <w:rFonts w:hint="eastAsia" w:ascii="宋体" w:hAnsi="宋体" w:eastAsia="宋体" w:cs="宋体"/>
          <w:color w:val="000000" w:themeColor="text1"/>
          <w:spacing w:val="-1"/>
          <w:sz w:val="24"/>
          <w:szCs w:val="24"/>
          <w:highlight w:val="none"/>
          <w14:textFill>
            <w14:solidFill>
              <w14:schemeClr w14:val="tx1"/>
            </w14:solidFill>
          </w14:textFill>
        </w:rPr>
        <w:t>子投标文件至系统，到达投标文件提交截止时间后投标人不</w:t>
      </w:r>
      <w:r>
        <w:rPr>
          <w:rFonts w:hint="eastAsia" w:ascii="宋体" w:hAnsi="宋体" w:eastAsia="宋体" w:cs="宋体"/>
          <w:color w:val="000000" w:themeColor="text1"/>
          <w:spacing w:val="-2"/>
          <w:sz w:val="24"/>
          <w:szCs w:val="24"/>
          <w:highlight w:val="none"/>
          <w14:textFill>
            <w14:solidFill>
              <w14:schemeClr w14:val="tx1"/>
            </w14:solidFill>
          </w14:textFill>
        </w:rPr>
        <w:t>得撤回、补充、修改和更换投标文件。</w:t>
      </w:r>
    </w:p>
    <w:p w14:paraId="71973AD4">
      <w:pPr>
        <w:pStyle w:val="5"/>
        <w:spacing w:line="252" w:lineRule="auto"/>
        <w:rPr>
          <w:rFonts w:hint="eastAsia" w:ascii="宋体" w:hAnsi="宋体" w:eastAsia="宋体" w:cs="宋体"/>
          <w:color w:val="000000" w:themeColor="text1"/>
          <w:highlight w:val="none"/>
          <w14:textFill>
            <w14:solidFill>
              <w14:schemeClr w14:val="tx1"/>
            </w14:solidFill>
          </w14:textFill>
        </w:rPr>
      </w:pPr>
    </w:p>
    <w:p w14:paraId="05B82554">
      <w:pPr>
        <w:numPr>
          <w:ilvl w:val="0"/>
          <w:numId w:val="0"/>
        </w:numPr>
        <w:spacing w:before="78" w:line="220" w:lineRule="auto"/>
        <w:ind w:firstLine="446" w:firstLineChars="200"/>
        <w:outlineLvl w:val="2"/>
        <w:rPr>
          <w:rFonts w:hint="eastAsia" w:ascii="宋体" w:hAnsi="宋体" w:eastAsia="宋体" w:cs="宋体"/>
          <w:b/>
          <w:bCs/>
          <w:color w:val="000000" w:themeColor="text1"/>
          <w:spacing w:val="-4"/>
          <w:sz w:val="24"/>
          <w:szCs w:val="24"/>
          <w:highlight w:val="none"/>
          <w14:textFill>
            <w14:solidFill>
              <w14:schemeClr w14:val="tx1"/>
            </w14:solidFill>
          </w14:textFill>
        </w:rPr>
      </w:pPr>
      <w:bookmarkStart w:id="60" w:name="_Toc118"/>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12.</w:t>
      </w:r>
      <w:r>
        <w:rPr>
          <w:rFonts w:hint="eastAsia" w:ascii="宋体" w:hAnsi="宋体" w:eastAsia="宋体" w:cs="宋体"/>
          <w:b/>
          <w:bCs/>
          <w:color w:val="000000" w:themeColor="text1"/>
          <w:spacing w:val="22"/>
          <w:w w:val="101"/>
          <w:sz w:val="24"/>
          <w:szCs w:val="24"/>
          <w:highlight w:val="none"/>
          <w14:textFill>
            <w14:solidFill>
              <w14:schemeClr w14:val="tx1"/>
            </w14:solidFill>
          </w14:textFill>
        </w:rPr>
        <w:t xml:space="preserve"> </w:t>
      </w:r>
      <w:bookmarkStart w:id="61" w:name="_Toc29834"/>
      <w:r>
        <w:rPr>
          <w:rFonts w:hint="eastAsia" w:ascii="宋体" w:hAnsi="宋体" w:eastAsia="宋体" w:cs="宋体"/>
          <w:b/>
          <w:bCs/>
          <w:color w:val="000000" w:themeColor="text1"/>
          <w:spacing w:val="-4"/>
          <w:sz w:val="24"/>
          <w:szCs w:val="24"/>
          <w:highlight w:val="none"/>
          <w14:textFill>
            <w14:solidFill>
              <w14:schemeClr w14:val="tx1"/>
            </w14:solidFill>
          </w14:textFill>
        </w:rPr>
        <w:t>电子投标及投标解密失败及突发情况的补救方案</w:t>
      </w:r>
      <w:bookmarkEnd w:id="60"/>
      <w:bookmarkEnd w:id="61"/>
    </w:p>
    <w:p w14:paraId="656A950F">
      <w:pPr>
        <w:spacing w:before="78" w:line="220" w:lineRule="auto"/>
        <w:ind w:firstLine="478"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12.1 </w:t>
      </w:r>
      <w:r>
        <w:rPr>
          <w:rFonts w:hint="eastAsia" w:ascii="宋体" w:hAnsi="宋体" w:eastAsia="宋体" w:cs="宋体"/>
          <w:color w:val="000000" w:themeColor="text1"/>
          <w:spacing w:val="-1"/>
          <w:sz w:val="24"/>
          <w:szCs w:val="24"/>
          <w:highlight w:val="none"/>
          <w14:textFill>
            <w14:solidFill>
              <w14:schemeClr w14:val="tx1"/>
            </w14:solidFill>
          </w14:textFill>
        </w:rPr>
        <w:t>按照交易平台关于全流程电子化项目的相</w:t>
      </w:r>
      <w:r>
        <w:rPr>
          <w:rFonts w:hint="eastAsia" w:ascii="宋体" w:hAnsi="宋体" w:eastAsia="宋体" w:cs="宋体"/>
          <w:color w:val="000000" w:themeColor="text1"/>
          <w:spacing w:val="-2"/>
          <w:sz w:val="24"/>
          <w:szCs w:val="24"/>
          <w:highlight w:val="none"/>
          <w14:textFill>
            <w14:solidFill>
              <w14:schemeClr w14:val="tx1"/>
            </w14:solidFill>
          </w14:textFill>
        </w:rPr>
        <w:t>关指南进行操作。详见：全国公共</w:t>
      </w:r>
      <w:r>
        <w:rPr>
          <w:rFonts w:hint="eastAsia" w:ascii="宋体" w:hAnsi="宋体" w:eastAsia="宋体" w:cs="宋体"/>
          <w:color w:val="000000" w:themeColor="text1"/>
          <w:spacing w:val="-1"/>
          <w:sz w:val="24"/>
          <w:szCs w:val="24"/>
          <w:highlight w:val="none"/>
          <w14:textFill>
            <w14:solidFill>
              <w14:schemeClr w14:val="tx1"/>
            </w14:solidFill>
          </w14:textFill>
        </w:rPr>
        <w:t>资源交易平台（广东省</w:t>
      </w:r>
      <w:r>
        <w:rPr>
          <w:rFonts w:hint="eastAsia" w:ascii="宋体" w:hAnsi="宋体" w:eastAsia="宋体" w:cs="宋体"/>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·韶关市</w:t>
      </w:r>
      <w:r>
        <w:rPr>
          <w:rFonts w:hint="eastAsia" w:ascii="宋体" w:hAnsi="宋体" w:eastAsia="宋体" w:cs="宋体"/>
          <w:color w:val="000000" w:themeColor="text1"/>
          <w:spacing w:val="-26"/>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https://y</w:t>
      </w:r>
      <w:r>
        <w:rPr>
          <w:rFonts w:hint="eastAsia" w:ascii="宋体" w:hAnsi="宋体" w:eastAsia="宋体" w:cs="宋体"/>
          <w:color w:val="000000" w:themeColor="text1"/>
          <w:spacing w:val="-2"/>
          <w:sz w:val="24"/>
          <w:szCs w:val="24"/>
          <w:highlight w:val="none"/>
          <w14:textFill>
            <w14:solidFill>
              <w14:schemeClr w14:val="tx1"/>
            </w14:solidFill>
          </w14:textFill>
        </w:rPr>
        <w:t>gp.gdzwfw.gov.cn/ggzy-portal/#/44</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0200/index）服务指南栏目发布的最新版操作指引。</w:t>
      </w:r>
    </w:p>
    <w:p w14:paraId="3E34A594">
      <w:pPr>
        <w:spacing w:before="113" w:line="220" w:lineRule="auto"/>
        <w:ind w:left="4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12.2  </w:t>
      </w:r>
      <w:r>
        <w:rPr>
          <w:rFonts w:hint="eastAsia" w:ascii="宋体" w:hAnsi="宋体" w:eastAsia="宋体" w:cs="宋体"/>
          <w:color w:val="000000" w:themeColor="text1"/>
          <w:spacing w:val="-2"/>
          <w:sz w:val="24"/>
          <w:szCs w:val="24"/>
          <w:highlight w:val="none"/>
          <w14:textFill>
            <w14:solidFill>
              <w14:schemeClr w14:val="tx1"/>
            </w14:solidFill>
          </w14:textFill>
        </w:rPr>
        <w:t>补救方案：</w:t>
      </w:r>
    </w:p>
    <w:p w14:paraId="7A5C0062">
      <w:pPr>
        <w:spacing w:before="115" w:line="220" w:lineRule="auto"/>
        <w:ind w:left="4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12.2.1  </w:t>
      </w:r>
      <w:r>
        <w:rPr>
          <w:rFonts w:hint="eastAsia" w:ascii="宋体" w:hAnsi="宋体" w:eastAsia="宋体" w:cs="宋体"/>
          <w:color w:val="000000" w:themeColor="text1"/>
          <w:spacing w:val="-1"/>
          <w:sz w:val="24"/>
          <w:szCs w:val="24"/>
          <w:highlight w:val="none"/>
          <w14:textFill>
            <w14:solidFill>
              <w14:schemeClr w14:val="tx1"/>
            </w14:solidFill>
          </w14:textFill>
        </w:rPr>
        <w:t>投标文件解密失败的补救方案：</w:t>
      </w:r>
    </w:p>
    <w:p w14:paraId="2D1DE68F">
      <w:pPr>
        <w:spacing w:before="115" w:line="298" w:lineRule="auto"/>
        <w:ind w:right="81" w:firstLine="488"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在规定时间内，因投标人之外原因(指网络瘫痪、服务器损坏、交易系统故障短期无法恢复)等导致的电子投标文件解密失败，在开标现场解密环节由代理授权后，</w:t>
      </w:r>
      <w:r>
        <w:rPr>
          <w:rFonts w:hint="eastAsia" w:ascii="宋体" w:hAnsi="宋体" w:eastAsia="宋体" w:cs="宋体"/>
          <w:color w:val="000000" w:themeColor="text1"/>
          <w:spacing w:val="1"/>
          <w:sz w:val="24"/>
          <w:szCs w:val="24"/>
          <w:highlight w:val="none"/>
          <w14:textFill>
            <w14:solidFill>
              <w14:schemeClr w14:val="tx1"/>
            </w14:solidFill>
          </w14:textFill>
        </w:rPr>
        <w:t>解密失败投标人可在建设工程交易系统在规定时间（代理机构授权后</w:t>
      </w:r>
      <w:r>
        <w:rPr>
          <w:rFonts w:hint="eastAsia" w:ascii="宋体" w:hAnsi="宋体" w:eastAsia="宋体" w:cs="宋体"/>
          <w:color w:val="000000" w:themeColor="text1"/>
          <w:spacing w:val="-4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30</w:t>
      </w:r>
      <w:r>
        <w:rPr>
          <w:rFonts w:hint="eastAsia" w:ascii="宋体" w:hAnsi="宋体" w:eastAsia="宋体" w:cs="宋体"/>
          <w:color w:val="000000" w:themeColor="text1"/>
          <w:spacing w:val="-4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分钟内）内</w:t>
      </w:r>
      <w:bookmarkStart w:id="62" w:name="bookmark122"/>
      <w:bookmarkEnd w:id="62"/>
      <w:r>
        <w:rPr>
          <w:rFonts w:hint="eastAsia" w:ascii="宋体" w:hAnsi="宋体" w:eastAsia="宋体" w:cs="宋体"/>
          <w:color w:val="000000" w:themeColor="text1"/>
          <w:spacing w:val="-1"/>
          <w:sz w:val="24"/>
          <w:szCs w:val="24"/>
          <w:highlight w:val="none"/>
          <w14:textFill>
            <w14:solidFill>
              <w14:schemeClr w14:val="tx1"/>
            </w14:solidFill>
          </w14:textFill>
        </w:rPr>
        <w:t>重新提交投标文件继续开标程序。</w:t>
      </w:r>
    </w:p>
    <w:p w14:paraId="0F175F6A">
      <w:pPr>
        <w:spacing w:before="114" w:line="220" w:lineRule="auto"/>
        <w:ind w:left="4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12.2.2  </w:t>
      </w:r>
      <w:r>
        <w:rPr>
          <w:rFonts w:hint="eastAsia" w:ascii="宋体" w:hAnsi="宋体" w:eastAsia="宋体" w:cs="宋体"/>
          <w:color w:val="000000" w:themeColor="text1"/>
          <w:spacing w:val="-1"/>
          <w:sz w:val="24"/>
          <w:szCs w:val="24"/>
          <w:highlight w:val="none"/>
          <w14:textFill>
            <w14:solidFill>
              <w14:schemeClr w14:val="tx1"/>
            </w14:solidFill>
          </w14:textFill>
        </w:rPr>
        <w:t>评标时突发情况的补救方案</w:t>
      </w:r>
    </w:p>
    <w:p w14:paraId="5863CD1F">
      <w:pPr>
        <w:spacing w:before="114" w:line="303" w:lineRule="auto"/>
        <w:ind w:right="81" w:firstLine="476"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在评标过程中，因主场或副场网络故障、电子设备或者</w:t>
      </w:r>
      <w:r>
        <w:rPr>
          <w:rFonts w:hint="eastAsia" w:ascii="宋体" w:hAnsi="宋体" w:eastAsia="宋体" w:cs="宋体"/>
          <w:color w:val="000000" w:themeColor="text1"/>
          <w:spacing w:val="-2"/>
          <w:sz w:val="24"/>
          <w:szCs w:val="24"/>
          <w:highlight w:val="none"/>
          <w14:textFill>
            <w14:solidFill>
              <w14:schemeClr w14:val="tx1"/>
            </w14:solidFill>
          </w14:textFill>
        </w:rPr>
        <w:t>评标系统故障，以及其他</w:t>
      </w:r>
      <w:r>
        <w:rPr>
          <w:rFonts w:hint="eastAsia" w:ascii="宋体" w:hAnsi="宋体" w:eastAsia="宋体" w:cs="宋体"/>
          <w:color w:val="000000" w:themeColor="text1"/>
          <w:spacing w:val="-3"/>
          <w:sz w:val="24"/>
          <w:szCs w:val="24"/>
          <w:highlight w:val="none"/>
          <w14:textFill>
            <w14:solidFill>
              <w14:schemeClr w14:val="tx1"/>
            </w14:solidFill>
          </w14:textFill>
        </w:rPr>
        <w:t>原因导致无法继续进行评标时，在</w:t>
      </w:r>
      <w:r>
        <w:rPr>
          <w:rFonts w:hint="eastAsia" w:ascii="宋体" w:hAnsi="宋体" w:eastAsia="宋体" w:cs="宋体"/>
          <w:color w:val="000000" w:themeColor="text1"/>
          <w:spacing w:val="-3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4</w:t>
      </w:r>
      <w:r>
        <w:rPr>
          <w:rFonts w:hint="eastAsia" w:ascii="宋体" w:hAnsi="宋体" w:eastAsia="宋体" w:cs="宋体"/>
          <w:color w:val="000000" w:themeColor="text1"/>
          <w:spacing w:val="-4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小时以内解除故障的可继续评标，超过</w:t>
      </w:r>
      <w:r>
        <w:rPr>
          <w:rFonts w:hint="eastAsia" w:ascii="宋体" w:hAnsi="宋体" w:eastAsia="宋体" w:cs="宋体"/>
          <w:color w:val="000000" w:themeColor="text1"/>
          <w:spacing w:val="-5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4</w:t>
      </w:r>
      <w:r>
        <w:rPr>
          <w:rFonts w:hint="eastAsia" w:ascii="宋体" w:hAnsi="宋体" w:eastAsia="宋体" w:cs="宋体"/>
          <w:color w:val="000000" w:themeColor="text1"/>
          <w:spacing w:val="-4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小时无</w:t>
      </w:r>
      <w:r>
        <w:rPr>
          <w:rFonts w:hint="eastAsia" w:ascii="宋体" w:hAnsi="宋体" w:eastAsia="宋体" w:cs="宋体"/>
          <w:color w:val="000000" w:themeColor="text1"/>
          <w:spacing w:val="-1"/>
          <w:sz w:val="24"/>
          <w:szCs w:val="24"/>
          <w:highlight w:val="none"/>
          <w14:textFill>
            <w14:solidFill>
              <w14:schemeClr w14:val="tx1"/>
            </w14:solidFill>
          </w14:textFill>
        </w:rPr>
        <w:t>法解除故障的，由招标人确定是否进行评标。如延期评标，</w:t>
      </w:r>
      <w:r>
        <w:rPr>
          <w:rFonts w:hint="eastAsia" w:ascii="宋体" w:hAnsi="宋体" w:eastAsia="宋体" w:cs="宋体"/>
          <w:color w:val="000000" w:themeColor="text1"/>
          <w:spacing w:val="-2"/>
          <w:sz w:val="24"/>
          <w:szCs w:val="24"/>
          <w:highlight w:val="none"/>
          <w14:textFill>
            <w14:solidFill>
              <w14:schemeClr w14:val="tx1"/>
            </w14:solidFill>
          </w14:textFill>
        </w:rPr>
        <w:t>招标人及参与评标活动的</w:t>
      </w:r>
      <w:r>
        <w:rPr>
          <w:rFonts w:hint="eastAsia" w:ascii="宋体" w:hAnsi="宋体" w:eastAsia="宋体" w:cs="宋体"/>
          <w:color w:val="000000" w:themeColor="text1"/>
          <w:spacing w:val="-1"/>
          <w:sz w:val="24"/>
          <w:szCs w:val="24"/>
          <w:highlight w:val="none"/>
          <w14:textFill>
            <w14:solidFill>
              <w14:schemeClr w14:val="tx1"/>
            </w14:solidFill>
          </w14:textFill>
        </w:rPr>
        <w:t>各方主体及其有关工作人员应当配合主场、副场做好招投标</w:t>
      </w:r>
      <w:r>
        <w:rPr>
          <w:rFonts w:hint="eastAsia" w:ascii="宋体" w:hAnsi="宋体" w:eastAsia="宋体" w:cs="宋体"/>
          <w:color w:val="000000" w:themeColor="text1"/>
          <w:spacing w:val="-2"/>
          <w:sz w:val="24"/>
          <w:szCs w:val="24"/>
          <w:highlight w:val="none"/>
          <w14:textFill>
            <w14:solidFill>
              <w14:schemeClr w14:val="tx1"/>
            </w14:solidFill>
          </w14:textFill>
        </w:rPr>
        <w:t>资料的封存和保密工作，</w:t>
      </w:r>
      <w:r>
        <w:rPr>
          <w:rFonts w:hint="eastAsia" w:ascii="宋体" w:hAnsi="宋体" w:eastAsia="宋体" w:cs="宋体"/>
          <w:color w:val="000000" w:themeColor="text1"/>
          <w:spacing w:val="-1"/>
          <w:sz w:val="24"/>
          <w:szCs w:val="24"/>
          <w:highlight w:val="none"/>
          <w14:textFill>
            <w14:solidFill>
              <w14:schemeClr w14:val="tx1"/>
            </w14:solidFill>
          </w14:textFill>
        </w:rPr>
        <w:t>另行组建评标委员会重新评标。原评标委员会成员应当对评</w:t>
      </w:r>
      <w:r>
        <w:rPr>
          <w:rFonts w:hint="eastAsia" w:ascii="宋体" w:hAnsi="宋体" w:eastAsia="宋体" w:cs="宋体"/>
          <w:color w:val="000000" w:themeColor="text1"/>
          <w:spacing w:val="-2"/>
          <w:sz w:val="24"/>
          <w:szCs w:val="24"/>
          <w:highlight w:val="none"/>
          <w14:textFill>
            <w14:solidFill>
              <w14:schemeClr w14:val="tx1"/>
            </w14:solidFill>
          </w14:textFill>
        </w:rPr>
        <w:t>标情况保密，不得对外透</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露与评标有关的任何信息与情况。</w:t>
      </w:r>
    </w:p>
    <w:p w14:paraId="221AE256">
      <w:pPr>
        <w:spacing w:before="69" w:line="324" w:lineRule="auto"/>
        <w:ind w:left="11" w:right="81"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12.2.3  </w:t>
      </w:r>
      <w:r>
        <w:rPr>
          <w:rFonts w:hint="eastAsia" w:ascii="宋体" w:hAnsi="宋体" w:eastAsia="宋体" w:cs="宋体"/>
          <w:color w:val="000000" w:themeColor="text1"/>
          <w:spacing w:val="-1"/>
          <w:sz w:val="24"/>
          <w:szCs w:val="24"/>
          <w:highlight w:val="none"/>
          <w14:textFill>
            <w14:solidFill>
              <w14:schemeClr w14:val="tx1"/>
            </w14:solidFill>
          </w14:textFill>
        </w:rPr>
        <w:t>除发生上述情况外，开标评标均以投标人（联合体投标的，由联合体牵头人）通过交易平台网上递交的电子投标文件为准。</w:t>
      </w:r>
    </w:p>
    <w:p w14:paraId="58ACD5FB">
      <w:pPr>
        <w:pStyle w:val="5"/>
        <w:spacing w:line="396" w:lineRule="auto"/>
        <w:rPr>
          <w:rFonts w:hint="eastAsia" w:ascii="宋体" w:hAnsi="宋体" w:eastAsia="宋体" w:cs="宋体"/>
          <w:color w:val="000000" w:themeColor="text1"/>
          <w:highlight w:val="none"/>
          <w14:textFill>
            <w14:solidFill>
              <w14:schemeClr w14:val="tx1"/>
            </w14:solidFill>
          </w14:textFill>
        </w:rPr>
      </w:pPr>
    </w:p>
    <w:p w14:paraId="5DCEDB99">
      <w:pPr>
        <w:spacing w:before="78" w:line="220" w:lineRule="auto"/>
        <w:ind w:left="496"/>
        <w:outlineLvl w:val="2"/>
        <w:rPr>
          <w:rFonts w:hint="eastAsia" w:ascii="宋体" w:hAnsi="宋体" w:eastAsia="宋体" w:cs="宋体"/>
          <w:color w:val="000000" w:themeColor="text1"/>
          <w:sz w:val="24"/>
          <w:szCs w:val="24"/>
          <w:highlight w:val="none"/>
          <w14:textFill>
            <w14:solidFill>
              <w14:schemeClr w14:val="tx1"/>
            </w14:solidFill>
          </w14:textFill>
        </w:rPr>
      </w:pPr>
      <w:bookmarkStart w:id="63" w:name="_Toc27195"/>
      <w:bookmarkStart w:id="64" w:name="_Toc30506"/>
      <w:r>
        <w:rPr>
          <w:rFonts w:hint="eastAsia" w:ascii="宋体" w:hAnsi="宋体" w:eastAsia="宋体" w:cs="宋体"/>
          <w:b/>
          <w:bCs/>
          <w:color w:val="000000" w:themeColor="text1"/>
          <w:spacing w:val="-7"/>
          <w:sz w:val="24"/>
          <w:szCs w:val="24"/>
          <w:highlight w:val="none"/>
          <w14:textFill>
            <w14:solidFill>
              <w14:schemeClr w14:val="tx1"/>
            </w14:solidFill>
          </w14:textFill>
        </w:rPr>
        <w:t>13</w:t>
      </w:r>
      <w:r>
        <w:rPr>
          <w:rFonts w:hint="eastAsia" w:ascii="宋体" w:hAnsi="宋体" w:eastAsia="宋体" w:cs="宋体"/>
          <w:b/>
          <w:bCs/>
          <w:color w:val="000000" w:themeColor="text1"/>
          <w:spacing w:val="-23"/>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14:textFill>
            <w14:solidFill>
              <w14:schemeClr w14:val="tx1"/>
            </w14:solidFill>
          </w14:textFill>
        </w:rPr>
        <w:t>．投标文件的提交</w:t>
      </w:r>
      <w:bookmarkEnd w:id="63"/>
      <w:bookmarkEnd w:id="64"/>
    </w:p>
    <w:p w14:paraId="7068EE2E">
      <w:pPr>
        <w:spacing w:before="123" w:line="278" w:lineRule="auto"/>
        <w:ind w:left="13" w:right="81"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1"/>
          <w:sz w:val="24"/>
          <w:szCs w:val="24"/>
          <w:highlight w:val="none"/>
          <w14:textFill>
            <w14:solidFill>
              <w14:schemeClr w14:val="tx1"/>
            </w14:solidFill>
          </w14:textFill>
        </w:rPr>
        <w:t xml:space="preserve">13.1  </w:t>
      </w:r>
      <w:r>
        <w:rPr>
          <w:rFonts w:hint="eastAsia" w:ascii="宋体" w:hAnsi="宋体" w:eastAsia="宋体" w:cs="宋体"/>
          <w:color w:val="000000" w:themeColor="text1"/>
          <w:spacing w:val="-11"/>
          <w:sz w:val="24"/>
          <w:szCs w:val="24"/>
          <w:highlight w:val="none"/>
          <w14:textFill>
            <w14:solidFill>
              <w14:schemeClr w14:val="tx1"/>
            </w14:solidFill>
          </w14:textFill>
        </w:rPr>
        <w:t>在投标文件提交截止时间前，投标人通过全国公共资源交易平台（</w:t>
      </w:r>
      <w:r>
        <w:rPr>
          <w:rFonts w:hint="eastAsia" w:ascii="宋体" w:hAnsi="宋体" w:eastAsia="宋体" w:cs="宋体"/>
          <w:color w:val="000000" w:themeColor="text1"/>
          <w:spacing w:val="-12"/>
          <w:sz w:val="24"/>
          <w:szCs w:val="24"/>
          <w:highlight w:val="none"/>
          <w14:textFill>
            <w14:solidFill>
              <w14:schemeClr w14:val="tx1"/>
            </w14:solidFill>
          </w14:textFill>
        </w:rPr>
        <w:t>广东省</w:t>
      </w:r>
      <w:r>
        <w:rPr>
          <w:rFonts w:hint="eastAsia" w:ascii="宋体" w:hAnsi="宋体" w:eastAsia="宋体" w:cs="宋体"/>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14:textFill>
            <w14:solidFill>
              <w14:schemeClr w14:val="tx1"/>
            </w14:solidFill>
          </w14:textFill>
        </w:rPr>
        <w:t>·韶</w:t>
      </w:r>
      <w:r>
        <w:rPr>
          <w:rFonts w:hint="eastAsia" w:ascii="宋体" w:hAnsi="宋体" w:eastAsia="宋体" w:cs="宋体"/>
          <w:color w:val="000000" w:themeColor="text1"/>
          <w:spacing w:val="-1"/>
          <w:sz w:val="24"/>
          <w:szCs w:val="24"/>
          <w:highlight w:val="none"/>
          <w14:textFill>
            <w14:solidFill>
              <w14:schemeClr w14:val="tx1"/>
            </w14:solidFill>
          </w14:textFill>
        </w:rPr>
        <w:t>关市）提交已加密投标文件。逾期提交的电子投标文</w:t>
      </w:r>
      <w:r>
        <w:rPr>
          <w:rFonts w:hint="eastAsia" w:ascii="宋体" w:hAnsi="宋体" w:eastAsia="宋体" w:cs="宋体"/>
          <w:color w:val="000000" w:themeColor="text1"/>
          <w:spacing w:val="-2"/>
          <w:sz w:val="24"/>
          <w:szCs w:val="24"/>
          <w:highlight w:val="none"/>
          <w14:textFill>
            <w14:solidFill>
              <w14:schemeClr w14:val="tx1"/>
            </w14:solidFill>
          </w14:textFill>
        </w:rPr>
        <w:t>件，全国公共资源交易平台（广</w:t>
      </w:r>
      <w:r>
        <w:rPr>
          <w:rFonts w:hint="eastAsia" w:ascii="宋体" w:hAnsi="宋体" w:eastAsia="宋体" w:cs="宋体"/>
          <w:color w:val="000000" w:themeColor="text1"/>
          <w:spacing w:val="-9"/>
          <w:sz w:val="24"/>
          <w:szCs w:val="24"/>
          <w:highlight w:val="none"/>
          <w14:textFill>
            <w14:solidFill>
              <w14:schemeClr w14:val="tx1"/>
            </w14:solidFill>
          </w14:textFill>
        </w:rPr>
        <w:t>东省</w:t>
      </w:r>
      <w:r>
        <w:rPr>
          <w:rFonts w:hint="eastAsia" w:ascii="宋体" w:hAnsi="宋体" w:eastAsia="宋体" w:cs="宋体"/>
          <w:color w:val="000000" w:themeColor="text1"/>
          <w:spacing w:val="-1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·韶关市）将予以拒收。</w:t>
      </w:r>
    </w:p>
    <w:p w14:paraId="09924D0F">
      <w:pPr>
        <w:spacing w:before="115" w:line="219" w:lineRule="auto"/>
        <w:ind w:left="4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13.2  </w:t>
      </w:r>
      <w:r>
        <w:rPr>
          <w:rFonts w:hint="eastAsia" w:ascii="宋体" w:hAnsi="宋体" w:eastAsia="宋体" w:cs="宋体"/>
          <w:color w:val="000000" w:themeColor="text1"/>
          <w:spacing w:val="2"/>
          <w:sz w:val="24"/>
          <w:szCs w:val="24"/>
          <w:highlight w:val="none"/>
          <w14:textFill>
            <w14:solidFill>
              <w14:schemeClr w14:val="tx1"/>
            </w14:solidFill>
          </w14:textFill>
        </w:rPr>
        <w:t>提交时间和地点：见本章第二节“重要事项时间地点一览表</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w:t>
      </w:r>
    </w:p>
    <w:p w14:paraId="683F40A3">
      <w:pPr>
        <w:spacing w:before="113" w:line="279" w:lineRule="auto"/>
        <w:ind w:left="9" w:right="24" w:firstLine="48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13.3  </w:t>
      </w:r>
      <w:r>
        <w:rPr>
          <w:rFonts w:hint="eastAsia" w:ascii="宋体" w:hAnsi="宋体" w:eastAsia="宋体" w:cs="宋体"/>
          <w:color w:val="000000" w:themeColor="text1"/>
          <w:spacing w:val="-1"/>
          <w:sz w:val="24"/>
          <w:szCs w:val="24"/>
          <w:highlight w:val="none"/>
          <w14:textFill>
            <w14:solidFill>
              <w14:schemeClr w14:val="tx1"/>
            </w14:solidFill>
          </w14:textFill>
        </w:rPr>
        <w:t>递交时间和地点：投标人如有招标</w:t>
      </w:r>
      <w:r>
        <w:rPr>
          <w:rFonts w:hint="eastAsia" w:ascii="宋体" w:hAnsi="宋体" w:eastAsia="宋体" w:cs="宋体"/>
          <w:color w:val="000000" w:themeColor="text1"/>
          <w:spacing w:val="-2"/>
          <w:sz w:val="24"/>
          <w:szCs w:val="24"/>
          <w:highlight w:val="none"/>
          <w14:textFill>
            <w14:solidFill>
              <w14:schemeClr w14:val="tx1"/>
            </w14:solidFill>
          </w14:textFill>
        </w:rPr>
        <w:t>文件要求提交的用于评审的证书、证件、证明原件（附一式两份清单</w:t>
      </w:r>
      <w:r>
        <w:rPr>
          <w:rFonts w:hint="eastAsia" w:ascii="宋体" w:hAnsi="宋体" w:eastAsia="宋体" w:cs="宋体"/>
          <w:color w:val="000000" w:themeColor="text1"/>
          <w:spacing w:val="11"/>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由投标人法定代表人或其委托代理人在指定的时间和</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地点递交（见“重要事项时间地点一览表</w:t>
      </w:r>
      <w:r>
        <w:rPr>
          <w:rFonts w:hint="eastAsia" w:ascii="宋体" w:hAnsi="宋体" w:eastAsia="宋体" w:cs="宋体"/>
          <w:color w:val="000000" w:themeColor="text1"/>
          <w:spacing w:val="-7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w:t>
      </w:r>
    </w:p>
    <w:p w14:paraId="1E722792">
      <w:pPr>
        <w:spacing w:before="112" w:line="219" w:lineRule="auto"/>
        <w:ind w:firstLine="478"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13.4  </w:t>
      </w:r>
      <w:r>
        <w:rPr>
          <w:rFonts w:hint="eastAsia" w:ascii="宋体" w:hAnsi="宋体" w:eastAsia="宋体" w:cs="宋体"/>
          <w:color w:val="000000" w:themeColor="text1"/>
          <w:spacing w:val="-1"/>
          <w:sz w:val="24"/>
          <w:szCs w:val="24"/>
          <w:highlight w:val="none"/>
          <w14:textFill>
            <w14:solidFill>
              <w14:schemeClr w14:val="tx1"/>
            </w14:solidFill>
          </w14:textFill>
        </w:rPr>
        <w:t>代理机构对因不可抗力事件造成的投</w:t>
      </w:r>
      <w:r>
        <w:rPr>
          <w:rFonts w:hint="eastAsia" w:ascii="宋体" w:hAnsi="宋体" w:eastAsia="宋体" w:cs="宋体"/>
          <w:color w:val="000000" w:themeColor="text1"/>
          <w:spacing w:val="-2"/>
          <w:sz w:val="24"/>
          <w:szCs w:val="24"/>
          <w:highlight w:val="none"/>
          <w14:textFill>
            <w14:solidFill>
              <w14:schemeClr w14:val="tx1"/>
            </w14:solidFill>
          </w14:textFill>
        </w:rPr>
        <w:t>标文件的损坏、丢失的，不承担责任。</w:t>
      </w:r>
    </w:p>
    <w:p w14:paraId="458845F2">
      <w:pPr>
        <w:spacing w:before="116" w:line="220" w:lineRule="auto"/>
        <w:ind w:left="4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13.5</w:t>
      </w:r>
      <w:r>
        <w:rPr>
          <w:rFonts w:hint="eastAsia" w:ascii="宋体" w:hAnsi="宋体" w:eastAsia="宋体" w:cs="宋体"/>
          <w:b/>
          <w:bCs/>
          <w:color w:val="000000" w:themeColor="text1"/>
          <w:spacing w:val="1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出现下述情形之一，属于未成功提</w:t>
      </w:r>
      <w:r>
        <w:rPr>
          <w:rFonts w:hint="eastAsia" w:ascii="宋体" w:hAnsi="宋体" w:eastAsia="宋体" w:cs="宋体"/>
          <w:color w:val="000000" w:themeColor="text1"/>
          <w:spacing w:val="-2"/>
          <w:sz w:val="24"/>
          <w:szCs w:val="24"/>
          <w:highlight w:val="none"/>
          <w14:textFill>
            <w14:solidFill>
              <w14:schemeClr w14:val="tx1"/>
            </w14:solidFill>
          </w14:textFill>
        </w:rPr>
        <w:t>交投标文件，按无效投标处理：</w:t>
      </w:r>
    </w:p>
    <w:p w14:paraId="26FD4E45">
      <w:pPr>
        <w:spacing w:before="115" w:line="219" w:lineRule="auto"/>
        <w:ind w:left="74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（1）至提交投标文件截止时，投标文件未完整上传及提交标书；</w:t>
      </w:r>
    </w:p>
    <w:p w14:paraId="0801F50A">
      <w:pPr>
        <w:spacing w:before="114" w:line="220" w:lineRule="auto"/>
        <w:ind w:left="74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（2）解密失败且在规定时间内未重新提交投标文件的；</w:t>
      </w:r>
    </w:p>
    <w:p w14:paraId="04D5C6EB">
      <w:pPr>
        <w:spacing w:before="115" w:line="220" w:lineRule="auto"/>
        <w:ind w:left="74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（3）投标文件损坏或格式不正确的；</w:t>
      </w:r>
    </w:p>
    <w:p w14:paraId="43D9083E">
      <w:pPr>
        <w:spacing w:before="115" w:line="219" w:lineRule="auto"/>
        <w:ind w:left="4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13.6  </w:t>
      </w:r>
      <w:r>
        <w:rPr>
          <w:rFonts w:hint="eastAsia" w:ascii="宋体" w:hAnsi="宋体" w:eastAsia="宋体" w:cs="宋体"/>
          <w:color w:val="000000" w:themeColor="text1"/>
          <w:spacing w:val="-1"/>
          <w:sz w:val="24"/>
          <w:szCs w:val="24"/>
          <w:highlight w:val="none"/>
          <w14:textFill>
            <w14:solidFill>
              <w14:schemeClr w14:val="tx1"/>
            </w14:solidFill>
          </w14:textFill>
        </w:rPr>
        <w:t>联合体投标的，由联合体牵头人按以上要求递交相关资料。</w:t>
      </w:r>
    </w:p>
    <w:p w14:paraId="7FCFB836">
      <w:pPr>
        <w:spacing w:before="113" w:line="279" w:lineRule="auto"/>
        <w:ind w:left="9" w:right="24" w:firstLine="486"/>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13.7  </w:t>
      </w:r>
      <w:r>
        <w:rPr>
          <w:rFonts w:hint="eastAsia" w:ascii="宋体" w:hAnsi="宋体" w:eastAsia="宋体" w:cs="宋体"/>
          <w:color w:val="000000" w:themeColor="text1"/>
          <w:spacing w:val="-2"/>
          <w:sz w:val="24"/>
          <w:szCs w:val="24"/>
          <w:highlight w:val="none"/>
          <w14:textFill>
            <w14:solidFill>
              <w14:schemeClr w14:val="tx1"/>
            </w14:solidFill>
          </w14:textFill>
        </w:rPr>
        <w:t>招标人或其授权的招标代理机构核对、接收投标人递交的投标相关资料后，</w:t>
      </w:r>
      <w:r>
        <w:rPr>
          <w:rFonts w:hint="eastAsia" w:ascii="宋体" w:hAnsi="宋体" w:eastAsia="宋体" w:cs="宋体"/>
          <w:color w:val="000000" w:themeColor="text1"/>
          <w:spacing w:val="-1"/>
          <w:sz w:val="24"/>
          <w:szCs w:val="24"/>
          <w:highlight w:val="none"/>
          <w14:textFill>
            <w14:solidFill>
              <w14:schemeClr w14:val="tx1"/>
            </w14:solidFill>
          </w14:textFill>
        </w:rPr>
        <w:t>应向投标人出具标明签收</w:t>
      </w:r>
      <w:r>
        <w:rPr>
          <w:rFonts w:hint="eastAsia" w:ascii="宋体" w:hAnsi="宋体" w:eastAsia="宋体" w:cs="宋体"/>
          <w:color w:val="000000" w:themeColor="text1"/>
          <w:spacing w:val="-2"/>
          <w:sz w:val="24"/>
          <w:szCs w:val="24"/>
          <w:highlight w:val="none"/>
          <w14:textFill>
            <w14:solidFill>
              <w14:schemeClr w14:val="tx1"/>
            </w14:solidFill>
          </w14:textFill>
        </w:rPr>
        <w:t>人和签收时间的凭证，并妥善保管。</w:t>
      </w:r>
    </w:p>
    <w:p w14:paraId="465B9D6E">
      <w:pPr>
        <w:spacing w:before="113" w:line="279" w:lineRule="auto"/>
        <w:ind w:left="9" w:right="24" w:firstLine="48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13.8 </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本次招标投标有效期为</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90</w:t>
      </w:r>
      <w:r>
        <w:rPr>
          <w:rFonts w:hint="eastAsia" w:ascii="宋体" w:hAnsi="宋体" w:eastAsia="宋体" w:cs="宋体"/>
          <w:color w:val="000000" w:themeColor="text1"/>
          <w:spacing w:val="-2"/>
          <w:sz w:val="24"/>
          <w:szCs w:val="24"/>
          <w:highlight w:val="none"/>
          <w14:textFill>
            <w14:solidFill>
              <w14:schemeClr w14:val="tx1"/>
            </w14:solidFill>
          </w14:textFill>
        </w:rPr>
        <w:t>个日历天，投标有效期从提交投标文件的截止之日起计算。在此期间，投标人不得撤销或修改其</w:t>
      </w:r>
      <w:r>
        <w:rPr>
          <w:rFonts w:hint="eastAsia" w:ascii="宋体" w:hAnsi="宋体" w:eastAsia="宋体" w:cs="宋体"/>
          <w:color w:val="000000" w:themeColor="text1"/>
          <w:spacing w:val="-7"/>
          <w:sz w:val="24"/>
          <w:szCs w:val="24"/>
          <w:highlight w:val="none"/>
          <w14:textFill>
            <w14:solidFill>
              <w14:schemeClr w14:val="tx1"/>
            </w14:solidFill>
          </w14:textFill>
        </w:rPr>
        <w:t>投标文件，否则其投标保证不予退还。</w:t>
      </w:r>
    </w:p>
    <w:p w14:paraId="2CB00EB8">
      <w:pPr>
        <w:spacing w:before="145" w:line="221" w:lineRule="auto"/>
        <w:ind w:left="496"/>
        <w:outlineLvl w:val="2"/>
        <w:rPr>
          <w:rFonts w:hint="eastAsia" w:ascii="宋体" w:hAnsi="宋体" w:eastAsia="宋体" w:cs="宋体"/>
          <w:color w:val="000000" w:themeColor="text1"/>
          <w:sz w:val="24"/>
          <w:szCs w:val="24"/>
          <w:highlight w:val="none"/>
          <w14:textFill>
            <w14:solidFill>
              <w14:schemeClr w14:val="tx1"/>
            </w14:solidFill>
          </w14:textFill>
        </w:rPr>
      </w:pPr>
      <w:bookmarkStart w:id="65" w:name="_Toc17939"/>
      <w:bookmarkStart w:id="66" w:name="_Toc22047"/>
      <w:r>
        <w:rPr>
          <w:rFonts w:hint="eastAsia" w:ascii="宋体" w:hAnsi="宋体" w:eastAsia="宋体" w:cs="宋体"/>
          <w:b/>
          <w:bCs/>
          <w:color w:val="000000" w:themeColor="text1"/>
          <w:spacing w:val="-11"/>
          <w:sz w:val="24"/>
          <w:szCs w:val="24"/>
          <w:highlight w:val="none"/>
          <w14:textFill>
            <w14:solidFill>
              <w14:schemeClr w14:val="tx1"/>
            </w14:solidFill>
          </w14:textFill>
        </w:rPr>
        <w:t>14</w:t>
      </w:r>
      <w:r>
        <w:rPr>
          <w:rFonts w:hint="eastAsia" w:ascii="宋体" w:hAnsi="宋体" w:eastAsia="宋体" w:cs="宋体"/>
          <w:b/>
          <w:bCs/>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11"/>
          <w:sz w:val="24"/>
          <w:szCs w:val="24"/>
          <w:highlight w:val="none"/>
          <w14:textFill>
            <w14:solidFill>
              <w14:schemeClr w14:val="tx1"/>
            </w14:solidFill>
          </w14:textFill>
        </w:rPr>
        <w:t>．开标</w:t>
      </w:r>
      <w:bookmarkEnd w:id="65"/>
      <w:bookmarkEnd w:id="66"/>
    </w:p>
    <w:p w14:paraId="034EB3D3">
      <w:pPr>
        <w:spacing w:before="155" w:line="329" w:lineRule="auto"/>
        <w:ind w:left="10" w:right="81" w:firstLine="48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14.1  </w:t>
      </w:r>
      <w:r>
        <w:rPr>
          <w:rFonts w:hint="eastAsia" w:ascii="宋体" w:hAnsi="宋体" w:eastAsia="宋体" w:cs="宋体"/>
          <w:color w:val="000000" w:themeColor="text1"/>
          <w:spacing w:val="-3"/>
          <w:sz w:val="24"/>
          <w:szCs w:val="24"/>
          <w:highlight w:val="none"/>
          <w14:textFill>
            <w14:solidFill>
              <w14:schemeClr w14:val="tx1"/>
            </w14:solidFill>
          </w14:textFill>
        </w:rPr>
        <w:t>招标人邀请所有正确获取招标文件、电子投标、缴纳投标保证的投标人参加</w:t>
      </w:r>
      <w:r>
        <w:rPr>
          <w:rFonts w:hint="eastAsia" w:ascii="宋体" w:hAnsi="宋体" w:eastAsia="宋体" w:cs="宋体"/>
          <w:color w:val="000000" w:themeColor="text1"/>
          <w:spacing w:val="-1"/>
          <w:sz w:val="24"/>
          <w:szCs w:val="24"/>
          <w:highlight w:val="none"/>
          <w14:textFill>
            <w14:solidFill>
              <w14:schemeClr w14:val="tx1"/>
            </w14:solidFill>
          </w14:textFill>
        </w:rPr>
        <w:t>开标，投标人可自主决定是否参加。投标人可登陆交易平台</w:t>
      </w:r>
      <w:r>
        <w:rPr>
          <w:rFonts w:hint="eastAsia" w:ascii="宋体" w:hAnsi="宋体" w:eastAsia="宋体" w:cs="宋体"/>
          <w:color w:val="000000" w:themeColor="text1"/>
          <w:spacing w:val="-2"/>
          <w:sz w:val="24"/>
          <w:szCs w:val="24"/>
          <w:highlight w:val="none"/>
          <w14:textFill>
            <w14:solidFill>
              <w14:schemeClr w14:val="tx1"/>
            </w14:solidFill>
          </w14:textFill>
        </w:rPr>
        <w:t>观看开标实况、提出异议</w:t>
      </w:r>
      <w:r>
        <w:rPr>
          <w:rFonts w:hint="eastAsia" w:ascii="宋体" w:hAnsi="宋体" w:eastAsia="宋体" w:cs="宋体"/>
          <w:color w:val="000000" w:themeColor="text1"/>
          <w:spacing w:val="-1"/>
          <w:sz w:val="24"/>
          <w:szCs w:val="24"/>
          <w:highlight w:val="none"/>
          <w14:textFill>
            <w14:solidFill>
              <w14:schemeClr w14:val="tx1"/>
            </w14:solidFill>
          </w14:textFill>
        </w:rPr>
        <w:t>或进行澄清、确认等操作（具体按招标文件和系统操作手册</w:t>
      </w:r>
      <w:r>
        <w:rPr>
          <w:rFonts w:hint="eastAsia" w:ascii="宋体" w:hAnsi="宋体" w:eastAsia="宋体" w:cs="宋体"/>
          <w:color w:val="000000" w:themeColor="text1"/>
          <w:spacing w:val="-2"/>
          <w:sz w:val="24"/>
          <w:szCs w:val="24"/>
          <w:highlight w:val="none"/>
          <w14:textFill>
            <w14:solidFill>
              <w14:schemeClr w14:val="tx1"/>
            </w14:solidFill>
          </w14:textFill>
        </w:rPr>
        <w:t>为准）。投标人不参加开</w:t>
      </w:r>
      <w:bookmarkStart w:id="67" w:name="bookmark123"/>
      <w:bookmarkEnd w:id="67"/>
      <w:r>
        <w:rPr>
          <w:rFonts w:hint="eastAsia" w:ascii="宋体" w:hAnsi="宋体" w:eastAsia="宋体" w:cs="宋体"/>
          <w:color w:val="000000" w:themeColor="text1"/>
          <w:sz w:val="24"/>
          <w:szCs w:val="24"/>
          <w:highlight w:val="none"/>
          <w14:textFill>
            <w14:solidFill>
              <w14:schemeClr w14:val="tx1"/>
            </w14:solidFill>
          </w14:textFill>
        </w:rPr>
        <w:t>标的，视其默认开标结果，以及放弃在开标期间见证、</w:t>
      </w:r>
      <w:r>
        <w:rPr>
          <w:rFonts w:hint="eastAsia" w:ascii="宋体" w:hAnsi="宋体" w:eastAsia="宋体" w:cs="宋体"/>
          <w:color w:val="000000" w:themeColor="text1"/>
          <w:spacing w:val="-1"/>
          <w:sz w:val="24"/>
          <w:szCs w:val="24"/>
          <w:highlight w:val="none"/>
          <w14:textFill>
            <w14:solidFill>
              <w14:schemeClr w14:val="tx1"/>
            </w14:solidFill>
          </w14:textFill>
        </w:rPr>
        <w:t>监督、投诉、申辩的权利。</w:t>
      </w:r>
    </w:p>
    <w:p w14:paraId="05862D79">
      <w:pPr>
        <w:spacing w:before="156" w:line="219" w:lineRule="auto"/>
        <w:ind w:left="4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14.1.1  </w:t>
      </w:r>
      <w:r>
        <w:rPr>
          <w:rFonts w:hint="eastAsia" w:ascii="宋体" w:hAnsi="宋体" w:eastAsia="宋体" w:cs="宋体"/>
          <w:color w:val="000000" w:themeColor="text1"/>
          <w:sz w:val="24"/>
          <w:szCs w:val="24"/>
          <w:highlight w:val="none"/>
          <w14:textFill>
            <w14:solidFill>
              <w14:schemeClr w14:val="tx1"/>
            </w14:solidFill>
          </w14:textFill>
        </w:rPr>
        <w:t>开标时间和地点：见本章第</w:t>
      </w:r>
      <w:r>
        <w:rPr>
          <w:rFonts w:hint="eastAsia" w:ascii="宋体" w:hAnsi="宋体" w:eastAsia="宋体" w:cs="宋体"/>
          <w:color w:val="000000" w:themeColor="text1"/>
          <w:spacing w:val="-1"/>
          <w:sz w:val="24"/>
          <w:szCs w:val="24"/>
          <w:highlight w:val="none"/>
          <w14:textFill>
            <w14:solidFill>
              <w14:schemeClr w14:val="tx1"/>
            </w14:solidFill>
          </w14:textFill>
        </w:rPr>
        <w:t>二节“重要事项时间地点一览表</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w:t>
      </w:r>
    </w:p>
    <w:p w14:paraId="08F091B7">
      <w:pPr>
        <w:keepNext w:val="0"/>
        <w:keepLines w:val="0"/>
        <w:pageBreakBefore w:val="0"/>
        <w:widowControl/>
        <w:kinsoku w:val="0"/>
        <w:wordWrap w:val="0"/>
        <w:overflowPunct/>
        <w:topLinePunct w:val="0"/>
        <w:autoSpaceDE w:val="0"/>
        <w:autoSpaceDN w:val="0"/>
        <w:bidi w:val="0"/>
        <w:adjustRightInd w:val="0"/>
        <w:snapToGrid w:val="0"/>
        <w:spacing w:before="153" w:line="320" w:lineRule="auto"/>
        <w:ind w:left="11" w:firstLine="488"/>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7"/>
          <w:sz w:val="24"/>
          <w:szCs w:val="24"/>
          <w:highlight w:val="none"/>
          <w14:textFill>
            <w14:solidFill>
              <w14:schemeClr w14:val="tx1"/>
            </w14:solidFill>
          </w14:textFill>
        </w:rPr>
        <w:t xml:space="preserve">14.1.2 </w:t>
      </w:r>
      <w:r>
        <w:rPr>
          <w:rFonts w:hint="eastAsia" w:ascii="宋体" w:hAnsi="宋体" w:eastAsia="宋体" w:cs="宋体"/>
          <w:color w:val="000000" w:themeColor="text1"/>
          <w:spacing w:val="-7"/>
          <w:sz w:val="24"/>
          <w:szCs w:val="24"/>
          <w:highlight w:val="none"/>
          <w14:textFill>
            <w14:solidFill>
              <w14:schemeClr w14:val="tx1"/>
            </w14:solidFill>
          </w14:textFill>
        </w:rPr>
        <w:t>开标前</w:t>
      </w:r>
      <w:r>
        <w:rPr>
          <w:rFonts w:hint="eastAsia" w:ascii="宋体" w:hAnsi="宋体" w:eastAsia="宋体" w:cs="宋体"/>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24</w:t>
      </w:r>
      <w:r>
        <w:rPr>
          <w:rFonts w:hint="eastAsia" w:ascii="宋体" w:hAnsi="宋体" w:eastAsia="宋体" w:cs="宋体"/>
          <w:color w:val="000000" w:themeColor="text1"/>
          <w:spacing w:val="-4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小时，若建设工程交易系统显示缴</w:t>
      </w:r>
      <w:r>
        <w:rPr>
          <w:rFonts w:hint="eastAsia" w:ascii="宋体" w:hAnsi="宋体" w:eastAsia="宋体" w:cs="宋体"/>
          <w:color w:val="000000" w:themeColor="text1"/>
          <w:spacing w:val="-8"/>
          <w:sz w:val="24"/>
          <w:szCs w:val="24"/>
          <w:highlight w:val="none"/>
          <w14:textFill>
            <w14:solidFill>
              <w14:schemeClr w14:val="tx1"/>
            </w14:solidFill>
          </w14:textFill>
        </w:rPr>
        <w:t>纳投标保证（包括投标保证金、</w:t>
      </w:r>
      <w:r>
        <w:rPr>
          <w:rFonts w:hint="eastAsia" w:ascii="宋体" w:hAnsi="宋体" w:eastAsia="宋体" w:cs="宋体"/>
          <w:color w:val="000000" w:themeColor="text1"/>
          <w:spacing w:val="-2"/>
          <w:sz w:val="24"/>
          <w:szCs w:val="24"/>
          <w:highlight w:val="none"/>
          <w14:textFill>
            <w14:solidFill>
              <w14:schemeClr w14:val="tx1"/>
            </w14:solidFill>
          </w14:textFill>
        </w:rPr>
        <w:t>投标保证担保、投标保证保险）的投标人数量不足</w:t>
      </w:r>
      <w:r>
        <w:rPr>
          <w:rFonts w:hint="eastAsia" w:ascii="宋体" w:hAnsi="宋体" w:eastAsia="宋体" w:cs="宋体"/>
          <w:color w:val="000000" w:themeColor="text1"/>
          <w:spacing w:val="-4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3</w:t>
      </w:r>
      <w:r>
        <w:rPr>
          <w:rFonts w:hint="eastAsia" w:ascii="宋体" w:hAnsi="宋体" w:eastAsia="宋体" w:cs="宋体"/>
          <w:color w:val="000000" w:themeColor="text1"/>
          <w:spacing w:val="-5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个时，招标人将取消原定于次日</w:t>
      </w:r>
      <w:r>
        <w:rPr>
          <w:rFonts w:hint="eastAsia" w:ascii="宋体" w:hAnsi="宋体" w:eastAsia="宋体" w:cs="宋体"/>
          <w:color w:val="000000" w:themeColor="text1"/>
          <w:spacing w:val="-1"/>
          <w:sz w:val="24"/>
          <w:szCs w:val="24"/>
          <w:highlight w:val="none"/>
          <w14:textFill>
            <w14:solidFill>
              <w14:schemeClr w14:val="tx1"/>
            </w14:solidFill>
          </w14:textFill>
        </w:rPr>
        <w:t>召开的开标活动。投标人可在投标保证缴纳截止时间（见本章</w:t>
      </w:r>
      <w:r>
        <w:rPr>
          <w:rFonts w:hint="eastAsia" w:ascii="宋体" w:hAnsi="宋体" w:eastAsia="宋体" w:cs="宋体"/>
          <w:color w:val="000000" w:themeColor="text1"/>
          <w:spacing w:val="-2"/>
          <w:sz w:val="24"/>
          <w:szCs w:val="24"/>
          <w:highlight w:val="none"/>
          <w14:textFill>
            <w14:solidFill>
              <w14:schemeClr w14:val="tx1"/>
            </w14:solidFill>
          </w14:textFill>
        </w:rPr>
        <w:t>第二节“重要事项时间</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地点一览表</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”）至电子投标截止时间（见本章第二节“重要事项时间地点一览</w:t>
      </w:r>
      <w:r>
        <w:rPr>
          <w:rFonts w:hint="eastAsia" w:ascii="宋体" w:hAnsi="宋体" w:eastAsia="宋体" w:cs="宋体"/>
          <w:color w:val="000000" w:themeColor="text1"/>
          <w:spacing w:val="-2"/>
          <w:sz w:val="24"/>
          <w:szCs w:val="24"/>
          <w:highlight w:val="none"/>
          <w14:textFill>
            <w14:solidFill>
              <w14:schemeClr w14:val="tx1"/>
            </w14:solidFill>
          </w14:textFill>
        </w:rPr>
        <w:t>表</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期间登录全国公共资源交易平台（广东省</w:t>
      </w:r>
      <w:r>
        <w:rPr>
          <w:rFonts w:hint="eastAsia" w:ascii="宋体" w:hAnsi="宋体" w:eastAsia="宋体" w:cs="宋体"/>
          <w:color w:val="000000" w:themeColor="text1"/>
          <w:spacing w:val="-2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·韶关市</w:t>
      </w:r>
      <w:r>
        <w:rPr>
          <w:rFonts w:hint="eastAsia" w:ascii="宋体" w:hAnsi="宋体" w:eastAsia="宋体" w:cs="宋体"/>
          <w:color w:val="000000" w:themeColor="text1"/>
          <w:spacing w:val="-22"/>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https://ygp.gdzwfw.gov.cn/</w:t>
      </w:r>
      <w:r>
        <w:rPr>
          <w:rFonts w:hint="eastAsia" w:ascii="宋体" w:hAnsi="宋体" w:eastAsia="宋体" w:cs="宋体"/>
          <w:color w:val="000000" w:themeColor="text1"/>
          <w:sz w:val="24"/>
          <w:szCs w:val="24"/>
          <w:highlight w:val="none"/>
          <w14:textFill>
            <w14:solidFill>
              <w14:schemeClr w14:val="tx1"/>
            </w14:solidFill>
          </w14:textFill>
        </w:rPr>
        <w:t xml:space="preserve"> ggzy-portal/#/440200/index）查询是否发布了取</w:t>
      </w:r>
      <w:r>
        <w:rPr>
          <w:rFonts w:hint="eastAsia" w:ascii="宋体" w:hAnsi="宋体" w:eastAsia="宋体" w:cs="宋体"/>
          <w:color w:val="000000" w:themeColor="text1"/>
          <w:spacing w:val="-1"/>
          <w:sz w:val="24"/>
          <w:szCs w:val="24"/>
          <w:highlight w:val="none"/>
          <w14:textFill>
            <w14:solidFill>
              <w14:schemeClr w14:val="tx1"/>
            </w14:solidFill>
          </w14:textFill>
        </w:rPr>
        <w:t>消开标活动的相关信息。</w:t>
      </w:r>
    </w:p>
    <w:p w14:paraId="55E539B0">
      <w:pPr>
        <w:spacing w:before="159" w:line="319" w:lineRule="auto"/>
        <w:ind w:left="10" w:right="80" w:firstLine="4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14:textFill>
            <w14:solidFill>
              <w14:schemeClr w14:val="tx1"/>
            </w14:solidFill>
          </w14:textFill>
        </w:rPr>
        <w:t>14.1.3</w:t>
      </w:r>
      <w:r>
        <w:rPr>
          <w:rFonts w:hint="eastAsia" w:ascii="宋体" w:hAnsi="宋体" w:eastAsia="宋体" w:cs="宋体"/>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本项目实行全流程电子化招标投标，投标人在交易平台按要求上传加盖电</w:t>
      </w:r>
      <w:r>
        <w:rPr>
          <w:rFonts w:hint="eastAsia" w:ascii="宋体" w:hAnsi="宋体" w:eastAsia="宋体" w:cs="宋体"/>
          <w:color w:val="000000" w:themeColor="text1"/>
          <w:spacing w:val="-1"/>
          <w:sz w:val="24"/>
          <w:szCs w:val="24"/>
          <w:highlight w:val="none"/>
          <w14:textFill>
            <w14:solidFill>
              <w14:schemeClr w14:val="tx1"/>
            </w14:solidFill>
          </w14:textFill>
        </w:rPr>
        <w:t>子印章并经加密的电子投标文件，并在交易平台录入准确的</w:t>
      </w:r>
      <w:r>
        <w:rPr>
          <w:rFonts w:hint="eastAsia" w:ascii="宋体" w:hAnsi="宋体" w:eastAsia="宋体" w:cs="宋体"/>
          <w:color w:val="000000" w:themeColor="text1"/>
          <w:spacing w:val="-2"/>
          <w:sz w:val="24"/>
          <w:szCs w:val="24"/>
          <w:highlight w:val="none"/>
          <w14:textFill>
            <w14:solidFill>
              <w14:schemeClr w14:val="tx1"/>
            </w14:solidFill>
          </w14:textFill>
        </w:rPr>
        <w:t>页码信息即可完成在线投</w:t>
      </w:r>
      <w:r>
        <w:rPr>
          <w:rFonts w:hint="eastAsia" w:ascii="宋体" w:hAnsi="宋体" w:eastAsia="宋体" w:cs="宋体"/>
          <w:color w:val="000000" w:themeColor="text1"/>
          <w:spacing w:val="-1"/>
          <w:sz w:val="24"/>
          <w:szCs w:val="24"/>
          <w:highlight w:val="none"/>
          <w14:textFill>
            <w14:solidFill>
              <w14:schemeClr w14:val="tx1"/>
            </w14:solidFill>
          </w14:textFill>
        </w:rPr>
        <w:t>标</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由于投标人原因导致未按投标截至时限上传完整投标文</w:t>
      </w:r>
      <w:r>
        <w:rPr>
          <w:rFonts w:hint="eastAsia" w:ascii="宋体" w:hAnsi="宋体" w:eastAsia="宋体" w:cs="宋体"/>
          <w:color w:val="000000" w:themeColor="text1"/>
          <w:spacing w:val="-2"/>
          <w:sz w:val="24"/>
          <w:szCs w:val="24"/>
          <w:highlight w:val="none"/>
          <w14:textFill>
            <w14:solidFill>
              <w14:schemeClr w14:val="tx1"/>
            </w14:solidFill>
          </w14:textFill>
        </w:rPr>
        <w:t>件、在交易平台中上传的</w:t>
      </w:r>
      <w:r>
        <w:rPr>
          <w:rFonts w:hint="eastAsia" w:ascii="宋体" w:hAnsi="宋体" w:eastAsia="宋体" w:cs="宋体"/>
          <w:color w:val="000000" w:themeColor="text1"/>
          <w:spacing w:val="-1"/>
          <w:sz w:val="24"/>
          <w:szCs w:val="24"/>
          <w:highlight w:val="none"/>
          <w14:textFill>
            <w14:solidFill>
              <w14:schemeClr w14:val="tx1"/>
            </w14:solidFill>
          </w14:textFill>
        </w:rPr>
        <w:t>投标文件无法解密、投标文件损坏或格式不正确、投标文件</w:t>
      </w:r>
      <w:r>
        <w:rPr>
          <w:rFonts w:hint="eastAsia" w:ascii="宋体" w:hAnsi="宋体" w:eastAsia="宋体" w:cs="宋体"/>
          <w:color w:val="000000" w:themeColor="text1"/>
          <w:spacing w:val="-2"/>
          <w:sz w:val="24"/>
          <w:szCs w:val="24"/>
          <w:highlight w:val="none"/>
          <w14:textFill>
            <w14:solidFill>
              <w14:schemeClr w14:val="tx1"/>
            </w14:solidFill>
          </w14:textFill>
        </w:rPr>
        <w:t>未按招标文件要求加盖电</w:t>
      </w:r>
      <w:r>
        <w:rPr>
          <w:rFonts w:hint="eastAsia" w:ascii="宋体" w:hAnsi="宋体" w:eastAsia="宋体" w:cs="宋体"/>
          <w:color w:val="000000" w:themeColor="text1"/>
          <w:spacing w:val="-1"/>
          <w:sz w:val="24"/>
          <w:szCs w:val="24"/>
          <w:highlight w:val="none"/>
          <w14:textFill>
            <w14:solidFill>
              <w14:schemeClr w14:val="tx1"/>
            </w14:solidFill>
          </w14:textFill>
        </w:rPr>
        <w:t>子印章或电子印章不完整、电子投标文件解密失败且未按要</w:t>
      </w:r>
      <w:r>
        <w:rPr>
          <w:rFonts w:hint="eastAsia" w:ascii="宋体" w:hAnsi="宋体" w:eastAsia="宋体" w:cs="宋体"/>
          <w:color w:val="000000" w:themeColor="text1"/>
          <w:spacing w:val="-2"/>
          <w:sz w:val="24"/>
          <w:szCs w:val="24"/>
          <w:highlight w:val="none"/>
          <w14:textFill>
            <w14:solidFill>
              <w14:schemeClr w14:val="tx1"/>
            </w14:solidFill>
          </w14:textFill>
        </w:rPr>
        <w:t>求上传备用投标文件等情</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形导致投标无效的，由投标人自行负责。</w:t>
      </w:r>
    </w:p>
    <w:p w14:paraId="7A2CFB6D">
      <w:pPr>
        <w:spacing w:before="152" w:line="221" w:lineRule="auto"/>
        <w:ind w:left="4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14.2  </w:t>
      </w:r>
      <w:r>
        <w:rPr>
          <w:rFonts w:hint="eastAsia" w:ascii="宋体" w:hAnsi="宋体" w:eastAsia="宋体" w:cs="宋体"/>
          <w:color w:val="000000" w:themeColor="text1"/>
          <w:spacing w:val="-2"/>
          <w:sz w:val="24"/>
          <w:szCs w:val="24"/>
          <w:highlight w:val="none"/>
          <w14:textFill>
            <w14:solidFill>
              <w14:schemeClr w14:val="tx1"/>
            </w14:solidFill>
          </w14:textFill>
        </w:rPr>
        <w:t>开标程序</w:t>
      </w:r>
    </w:p>
    <w:p w14:paraId="48C37DE6">
      <w:pPr>
        <w:spacing w:before="42" w:line="219" w:lineRule="auto"/>
        <w:ind w:left="501"/>
        <w:outlineLvl w:val="9"/>
        <w:rPr>
          <w:rFonts w:hint="eastAsia" w:ascii="宋体" w:hAnsi="宋体" w:eastAsia="宋体" w:cs="宋体"/>
          <w:color w:val="000000" w:themeColor="text1"/>
          <w:sz w:val="24"/>
          <w:szCs w:val="24"/>
          <w:highlight w:val="none"/>
          <w14:textFill>
            <w14:solidFill>
              <w14:schemeClr w14:val="tx1"/>
            </w14:solidFill>
          </w14:textFill>
        </w:rPr>
      </w:pPr>
      <w:bookmarkStart w:id="68" w:name="_Toc8314"/>
      <w:bookmarkStart w:id="69" w:name="_Toc15587"/>
      <w:bookmarkStart w:id="70" w:name="_Toc10291"/>
      <w:bookmarkStart w:id="71" w:name="_Toc10685"/>
      <w:r>
        <w:rPr>
          <w:rFonts w:hint="eastAsia" w:ascii="宋体" w:hAnsi="宋体" w:eastAsia="宋体" w:cs="宋体"/>
          <w:color w:val="000000" w:themeColor="text1"/>
          <w:spacing w:val="-1"/>
          <w:sz w:val="24"/>
          <w:szCs w:val="24"/>
          <w:highlight w:val="none"/>
          <w14:textFill>
            <w14:solidFill>
              <w14:schemeClr w14:val="tx1"/>
            </w14:solidFill>
          </w14:textFill>
        </w:rPr>
        <w:t>（1）主持人（招标人代表或招标人授权的招标代理机构人员）宣读开标纪律。</w:t>
      </w:r>
      <w:bookmarkEnd w:id="68"/>
      <w:bookmarkEnd w:id="69"/>
      <w:bookmarkEnd w:id="70"/>
      <w:bookmarkEnd w:id="71"/>
    </w:p>
    <w:p w14:paraId="776645C0">
      <w:pPr>
        <w:spacing w:before="181" w:line="219" w:lineRule="auto"/>
        <w:ind w:left="501"/>
        <w:outlineLvl w:val="9"/>
        <w:rPr>
          <w:rFonts w:hint="eastAsia" w:ascii="宋体" w:hAnsi="宋体" w:eastAsia="宋体" w:cs="宋体"/>
          <w:color w:val="000000" w:themeColor="text1"/>
          <w:sz w:val="24"/>
          <w:szCs w:val="24"/>
          <w:highlight w:val="none"/>
          <w14:textFill>
            <w14:solidFill>
              <w14:schemeClr w14:val="tx1"/>
            </w14:solidFill>
          </w14:textFill>
        </w:rPr>
      </w:pPr>
      <w:bookmarkStart w:id="72" w:name="_Toc16292"/>
      <w:bookmarkStart w:id="73" w:name="_Toc2011"/>
      <w:bookmarkStart w:id="74" w:name="_Toc30853"/>
      <w:bookmarkStart w:id="75" w:name="_Toc20238"/>
      <w:r>
        <w:rPr>
          <w:rFonts w:hint="eastAsia" w:ascii="宋体" w:hAnsi="宋体" w:eastAsia="宋体" w:cs="宋体"/>
          <w:color w:val="000000" w:themeColor="text1"/>
          <w:spacing w:val="-1"/>
          <w:sz w:val="24"/>
          <w:szCs w:val="24"/>
          <w:highlight w:val="none"/>
          <w14:textFill>
            <w14:solidFill>
              <w14:schemeClr w14:val="tx1"/>
            </w14:solidFill>
          </w14:textFill>
        </w:rPr>
        <w:t>（2）主持人宣布唱标人、记录人、见证人、监督人等有关人员姓名。</w:t>
      </w:r>
      <w:bookmarkEnd w:id="72"/>
      <w:bookmarkEnd w:id="73"/>
      <w:bookmarkEnd w:id="74"/>
      <w:bookmarkEnd w:id="75"/>
    </w:p>
    <w:p w14:paraId="505384A6">
      <w:pPr>
        <w:spacing w:before="183" w:line="219" w:lineRule="auto"/>
        <w:ind w:left="501"/>
        <w:outlineLvl w:val="9"/>
        <w:rPr>
          <w:rFonts w:hint="eastAsia" w:ascii="宋体" w:hAnsi="宋体" w:eastAsia="宋体" w:cs="宋体"/>
          <w:color w:val="000000" w:themeColor="text1"/>
          <w:sz w:val="24"/>
          <w:szCs w:val="24"/>
          <w:highlight w:val="none"/>
          <w14:textFill>
            <w14:solidFill>
              <w14:schemeClr w14:val="tx1"/>
            </w14:solidFill>
          </w14:textFill>
        </w:rPr>
      </w:pPr>
      <w:bookmarkStart w:id="76" w:name="_Toc31716"/>
      <w:bookmarkStart w:id="77" w:name="_Toc1974"/>
      <w:bookmarkStart w:id="78" w:name="_Toc17462"/>
      <w:bookmarkStart w:id="79" w:name="_Toc26494"/>
      <w:r>
        <w:rPr>
          <w:rFonts w:hint="eastAsia" w:ascii="宋体" w:hAnsi="宋体" w:eastAsia="宋体" w:cs="宋体"/>
          <w:color w:val="000000" w:themeColor="text1"/>
          <w:spacing w:val="-1"/>
          <w:sz w:val="24"/>
          <w:szCs w:val="24"/>
          <w:highlight w:val="none"/>
          <w14:textFill>
            <w14:solidFill>
              <w14:schemeClr w14:val="tx1"/>
            </w14:solidFill>
          </w14:textFill>
        </w:rPr>
        <w:t>（3）唱标人公布在投标截止时间前进行投标文件的投标人数量和名称</w:t>
      </w:r>
      <w:bookmarkEnd w:id="76"/>
      <w:bookmarkEnd w:id="77"/>
      <w:bookmarkEnd w:id="78"/>
      <w:bookmarkEnd w:id="79"/>
    </w:p>
    <w:p w14:paraId="224B54ED">
      <w:pPr>
        <w:spacing w:before="181" w:line="219" w:lineRule="auto"/>
        <w:ind w:left="501"/>
        <w:outlineLvl w:val="9"/>
        <w:rPr>
          <w:rFonts w:hint="eastAsia" w:ascii="宋体" w:hAnsi="宋体" w:eastAsia="宋体" w:cs="宋体"/>
          <w:color w:val="000000" w:themeColor="text1"/>
          <w:sz w:val="24"/>
          <w:szCs w:val="24"/>
          <w:highlight w:val="none"/>
          <w14:textFill>
            <w14:solidFill>
              <w14:schemeClr w14:val="tx1"/>
            </w14:solidFill>
          </w14:textFill>
        </w:rPr>
      </w:pPr>
      <w:bookmarkStart w:id="80" w:name="_Toc27967"/>
      <w:bookmarkStart w:id="81" w:name="_Toc15860"/>
      <w:bookmarkStart w:id="82" w:name="_Toc8179"/>
      <w:bookmarkStart w:id="83" w:name="_Toc20559"/>
      <w:r>
        <w:rPr>
          <w:rFonts w:hint="eastAsia" w:ascii="宋体" w:hAnsi="宋体" w:eastAsia="宋体" w:cs="宋体"/>
          <w:color w:val="000000" w:themeColor="text1"/>
          <w:spacing w:val="2"/>
          <w:sz w:val="24"/>
          <w:szCs w:val="24"/>
          <w:highlight w:val="none"/>
          <w14:textFill>
            <w14:solidFill>
              <w14:schemeClr w14:val="tx1"/>
            </w14:solidFill>
          </w14:textFill>
        </w:rPr>
        <w:t>（4）招标代理机构会同交易场所工作人员对投标人的</w:t>
      </w:r>
      <w:r>
        <w:rPr>
          <w:rFonts w:hint="eastAsia" w:ascii="宋体" w:hAnsi="宋体" w:eastAsia="宋体" w:cs="宋体"/>
          <w:color w:val="000000" w:themeColor="text1"/>
          <w:spacing w:val="1"/>
          <w:sz w:val="24"/>
          <w:szCs w:val="24"/>
          <w:highlight w:val="none"/>
          <w14:textFill>
            <w14:solidFill>
              <w14:schemeClr w14:val="tx1"/>
            </w14:solidFill>
          </w14:textFill>
        </w:rPr>
        <w:t>电子投标信息进行解密，</w:t>
      </w:r>
      <w:bookmarkEnd w:id="80"/>
      <w:bookmarkEnd w:id="81"/>
      <w:bookmarkEnd w:id="82"/>
      <w:bookmarkEnd w:id="83"/>
    </w:p>
    <w:p w14:paraId="0C0A9C7B">
      <w:pPr>
        <w:spacing w:before="183" w:line="220" w:lineRule="auto"/>
        <w:ind w:left="1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建设工程交易系统自动生成《投标保证缴纳情况表》和《开标一览表》。</w:t>
      </w:r>
    </w:p>
    <w:p w14:paraId="7C434C90">
      <w:pPr>
        <w:spacing w:before="182" w:line="360" w:lineRule="auto"/>
        <w:ind w:firstLine="466"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bookmarkStart w:id="84" w:name="_Toc28266"/>
      <w:bookmarkStart w:id="85" w:name="_Toc28812"/>
      <w:bookmarkStart w:id="86" w:name="_Toc2199"/>
      <w:bookmarkStart w:id="87" w:name="_Toc26216"/>
      <w:r>
        <w:rPr>
          <w:rFonts w:hint="eastAsia" w:ascii="宋体" w:hAnsi="宋体" w:eastAsia="宋体" w:cs="宋体"/>
          <w:b/>
          <w:bCs/>
          <w:color w:val="000000" w:themeColor="text1"/>
          <w:spacing w:val="-4"/>
          <w:sz w:val="24"/>
          <w:szCs w:val="24"/>
          <w:highlight w:val="none"/>
          <w14:textFill>
            <w14:solidFill>
              <w14:schemeClr w14:val="tx1"/>
            </w14:solidFill>
          </w14:textFill>
        </w:rPr>
        <w:t>温馨提示：因本项目实行全流程电子化招标投标，投标人无须进行现场签到，可</w:t>
      </w:r>
      <w:bookmarkEnd w:id="84"/>
      <w:bookmarkEnd w:id="85"/>
      <w:bookmarkEnd w:id="86"/>
      <w:r>
        <w:rPr>
          <w:rFonts w:hint="eastAsia" w:ascii="宋体" w:hAnsi="宋体" w:eastAsia="宋体" w:cs="宋体"/>
          <w:b/>
          <w:bCs/>
          <w:color w:val="000000" w:themeColor="text1"/>
          <w:spacing w:val="-4"/>
          <w:sz w:val="24"/>
          <w:szCs w:val="24"/>
          <w:highlight w:val="none"/>
          <w14:textFill>
            <w14:solidFill>
              <w14:schemeClr w14:val="tx1"/>
            </w14:solidFill>
          </w14:textFill>
        </w:rPr>
        <w:t>登录交易平台观看开标实况、提出异议或进行澄清、确认等操作，对开标事项的异议</w:t>
      </w:r>
      <w:r>
        <w:rPr>
          <w:rFonts w:hint="eastAsia" w:ascii="宋体" w:hAnsi="宋体" w:eastAsia="宋体" w:cs="宋体"/>
          <w:b/>
          <w:bCs/>
          <w:color w:val="000000" w:themeColor="text1"/>
          <w:spacing w:val="-2"/>
          <w:sz w:val="24"/>
          <w:szCs w:val="24"/>
          <w:highlight w:val="none"/>
          <w14:textFill>
            <w14:solidFill>
              <w14:schemeClr w14:val="tx1"/>
            </w14:solidFill>
          </w14:textFill>
        </w:rPr>
        <w:t>未在开标期间提出的，招标</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人不</w:t>
      </w:r>
      <w:r>
        <w:rPr>
          <w:rFonts w:hint="eastAsia" w:ascii="宋体" w:hAnsi="宋体" w:eastAsia="宋体" w:cs="宋体"/>
          <w:b/>
          <w:bCs/>
          <w:color w:val="000000" w:themeColor="text1"/>
          <w:spacing w:val="-2"/>
          <w:sz w:val="24"/>
          <w:szCs w:val="24"/>
          <w:highlight w:val="none"/>
          <w14:textFill>
            <w14:solidFill>
              <w14:schemeClr w14:val="tx1"/>
            </w14:solidFill>
          </w14:textFill>
        </w:rPr>
        <w:t>予受理。具体按招标文件和系统操作手册为</w:t>
      </w:r>
      <w:r>
        <w:rPr>
          <w:rFonts w:hint="eastAsia" w:ascii="宋体" w:hAnsi="宋体" w:eastAsia="宋体" w:cs="宋体"/>
          <w:b/>
          <w:bCs/>
          <w:color w:val="000000" w:themeColor="text1"/>
          <w:spacing w:val="-3"/>
          <w:sz w:val="24"/>
          <w:szCs w:val="24"/>
          <w:highlight w:val="none"/>
          <w14:textFill>
            <w14:solidFill>
              <w14:schemeClr w14:val="tx1"/>
            </w14:solidFill>
          </w14:textFill>
        </w:rPr>
        <w:t>准。</w:t>
      </w:r>
      <w:bookmarkEnd w:id="87"/>
    </w:p>
    <w:p w14:paraId="29DDC04A">
      <w:pPr>
        <w:spacing w:before="143" w:line="299" w:lineRule="auto"/>
        <w:ind w:left="11" w:right="80"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14.3  </w:t>
      </w:r>
      <w:r>
        <w:rPr>
          <w:rFonts w:hint="eastAsia" w:ascii="宋体" w:hAnsi="宋体" w:eastAsia="宋体" w:cs="宋体"/>
          <w:color w:val="000000" w:themeColor="text1"/>
          <w:spacing w:val="-3"/>
          <w:sz w:val="24"/>
          <w:szCs w:val="24"/>
          <w:highlight w:val="none"/>
          <w14:textFill>
            <w14:solidFill>
              <w14:schemeClr w14:val="tx1"/>
            </w14:solidFill>
          </w14:textFill>
        </w:rPr>
        <w:t>投标人对开标相关事项（如开标程序等）有异议的，必须在开标期间和开标</w:t>
      </w:r>
      <w:r>
        <w:rPr>
          <w:rFonts w:hint="eastAsia" w:ascii="宋体" w:hAnsi="宋体" w:eastAsia="宋体" w:cs="宋体"/>
          <w:color w:val="000000" w:themeColor="text1"/>
          <w:spacing w:val="-1"/>
          <w:sz w:val="24"/>
          <w:szCs w:val="24"/>
          <w:highlight w:val="none"/>
          <w14:textFill>
            <w14:solidFill>
              <w14:schemeClr w14:val="tx1"/>
            </w14:solidFill>
          </w14:textFill>
        </w:rPr>
        <w:t>现场提出，招标人或其授权的招标代理机构应当场作出答</w:t>
      </w:r>
      <w:r>
        <w:rPr>
          <w:rFonts w:hint="eastAsia" w:ascii="宋体" w:hAnsi="宋体" w:eastAsia="宋体" w:cs="宋体"/>
          <w:color w:val="000000" w:themeColor="text1"/>
          <w:spacing w:val="-2"/>
          <w:sz w:val="24"/>
          <w:szCs w:val="24"/>
          <w:highlight w:val="none"/>
          <w14:textFill>
            <w14:solidFill>
              <w14:schemeClr w14:val="tx1"/>
            </w14:solidFill>
          </w14:textFill>
        </w:rPr>
        <w:t>复，并记录在案。对开标事</w:t>
      </w:r>
      <w:r>
        <w:rPr>
          <w:rFonts w:hint="eastAsia" w:ascii="宋体" w:hAnsi="宋体" w:eastAsia="宋体" w:cs="宋体"/>
          <w:color w:val="000000" w:themeColor="text1"/>
          <w:spacing w:val="-1"/>
          <w:sz w:val="24"/>
          <w:szCs w:val="24"/>
          <w:highlight w:val="none"/>
          <w14:textFill>
            <w14:solidFill>
              <w14:schemeClr w14:val="tx1"/>
            </w14:solidFill>
          </w14:textFill>
        </w:rPr>
        <w:t>项的异议未在开标期间和开标现场提出的，招标人不予受理。</w:t>
      </w:r>
    </w:p>
    <w:p w14:paraId="4012FD65">
      <w:pPr>
        <w:spacing w:before="155" w:line="279" w:lineRule="auto"/>
        <w:ind w:left="8" w:right="82" w:firstLine="48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14.4 </w:t>
      </w:r>
      <w:r>
        <w:rPr>
          <w:rFonts w:hint="eastAsia" w:ascii="宋体" w:hAnsi="宋体" w:eastAsia="宋体" w:cs="宋体"/>
          <w:color w:val="000000" w:themeColor="text1"/>
          <w:spacing w:val="-1"/>
          <w:sz w:val="24"/>
          <w:szCs w:val="24"/>
          <w:highlight w:val="none"/>
          <w14:textFill>
            <w14:solidFill>
              <w14:schemeClr w14:val="tx1"/>
            </w14:solidFill>
          </w14:textFill>
        </w:rPr>
        <w:t>招标代理机构将资料原件（如有）</w:t>
      </w:r>
      <w:r>
        <w:rPr>
          <w:rFonts w:hint="eastAsia" w:ascii="宋体" w:hAnsi="宋体" w:eastAsia="宋体" w:cs="宋体"/>
          <w:color w:val="000000" w:themeColor="text1"/>
          <w:spacing w:val="-2"/>
          <w:sz w:val="24"/>
          <w:szCs w:val="24"/>
          <w:highlight w:val="none"/>
          <w14:textFill>
            <w14:solidFill>
              <w14:schemeClr w14:val="tx1"/>
            </w14:solidFill>
          </w14:textFill>
        </w:rPr>
        <w:t>、《开标一览表》以及其他有关资料移交评标委员会。</w:t>
      </w:r>
    </w:p>
    <w:p w14:paraId="1DB30EA2">
      <w:pPr>
        <w:pStyle w:val="5"/>
        <w:spacing w:line="257" w:lineRule="auto"/>
        <w:rPr>
          <w:rFonts w:hint="eastAsia" w:ascii="宋体" w:hAnsi="宋体" w:eastAsia="宋体" w:cs="宋体"/>
          <w:color w:val="000000" w:themeColor="text1"/>
          <w:highlight w:val="none"/>
          <w14:textFill>
            <w14:solidFill>
              <w14:schemeClr w14:val="tx1"/>
            </w14:solidFill>
          </w14:textFill>
        </w:rPr>
      </w:pPr>
    </w:p>
    <w:p w14:paraId="4FA8B942">
      <w:pPr>
        <w:spacing w:before="78" w:line="221" w:lineRule="auto"/>
        <w:ind w:left="496"/>
        <w:outlineLvl w:val="2"/>
        <w:rPr>
          <w:rFonts w:hint="eastAsia" w:ascii="宋体" w:hAnsi="宋体" w:eastAsia="宋体" w:cs="宋体"/>
          <w:color w:val="000000" w:themeColor="text1"/>
          <w:highlight w:val="none"/>
          <w14:textFill>
            <w14:solidFill>
              <w14:schemeClr w14:val="tx1"/>
            </w14:solidFill>
          </w14:textFill>
        </w:rPr>
      </w:pPr>
      <w:bookmarkStart w:id="88" w:name="_Toc4537"/>
      <w:bookmarkStart w:id="89" w:name="_Toc961"/>
      <w:r>
        <w:rPr>
          <w:rFonts w:hint="eastAsia" w:ascii="宋体" w:hAnsi="宋体" w:eastAsia="宋体" w:cs="宋体"/>
          <w:b/>
          <w:bCs/>
          <w:color w:val="000000" w:themeColor="text1"/>
          <w:spacing w:val="-11"/>
          <w:sz w:val="24"/>
          <w:szCs w:val="24"/>
          <w:highlight w:val="none"/>
          <w14:textFill>
            <w14:solidFill>
              <w14:schemeClr w14:val="tx1"/>
            </w14:solidFill>
          </w14:textFill>
        </w:rPr>
        <w:t>15</w:t>
      </w:r>
      <w:r>
        <w:rPr>
          <w:rFonts w:hint="eastAsia" w:ascii="宋体" w:hAnsi="宋体" w:eastAsia="宋体" w:cs="宋体"/>
          <w:b/>
          <w:bCs/>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11"/>
          <w:sz w:val="24"/>
          <w:szCs w:val="24"/>
          <w:highlight w:val="none"/>
          <w14:textFill>
            <w14:solidFill>
              <w14:schemeClr w14:val="tx1"/>
            </w14:solidFill>
          </w14:textFill>
        </w:rPr>
        <w:t>．评标</w:t>
      </w:r>
      <w:bookmarkEnd w:id="88"/>
      <w:bookmarkEnd w:id="89"/>
    </w:p>
    <w:p w14:paraId="2E809B78">
      <w:pPr>
        <w:pStyle w:val="5"/>
        <w:spacing w:line="281" w:lineRule="auto"/>
        <w:rPr>
          <w:rFonts w:hint="eastAsia" w:ascii="宋体" w:hAnsi="宋体" w:eastAsia="宋体" w:cs="宋体"/>
          <w:color w:val="000000" w:themeColor="text1"/>
          <w:highlight w:val="none"/>
          <w14:textFill>
            <w14:solidFill>
              <w14:schemeClr w14:val="tx1"/>
            </w14:solidFill>
          </w14:textFill>
        </w:rPr>
      </w:pPr>
    </w:p>
    <w:p w14:paraId="6B3E0F13">
      <w:pPr>
        <w:spacing w:before="78" w:line="331" w:lineRule="auto"/>
        <w:ind w:left="8" w:right="65" w:firstLine="480"/>
        <w:rPr>
          <w:rFonts w:hint="eastAsia" w:ascii="宋体" w:hAnsi="宋体" w:eastAsia="宋体" w:cs="宋体"/>
          <w:color w:val="000000" w:themeColor="text1"/>
          <w:sz w:val="24"/>
          <w:szCs w:val="24"/>
          <w:highlight w:val="none"/>
          <w14:textFill>
            <w14:solidFill>
              <w14:schemeClr w14:val="tx1"/>
            </w14:solidFill>
          </w14:textFill>
        </w:rPr>
      </w:pPr>
      <w:bookmarkStart w:id="90" w:name="bookmark124"/>
      <w:bookmarkEnd w:id="90"/>
      <w:r>
        <w:rPr>
          <w:rFonts w:hint="eastAsia" w:ascii="宋体" w:hAnsi="宋体" w:eastAsia="宋体" w:cs="宋体"/>
          <w:color w:val="000000" w:themeColor="text1"/>
          <w:spacing w:val="-1"/>
          <w:sz w:val="24"/>
          <w:szCs w:val="24"/>
          <w:highlight w:val="none"/>
          <w14:textFill>
            <w14:solidFill>
              <w14:schemeClr w14:val="tx1"/>
            </w14:solidFill>
          </w14:textFill>
        </w:rPr>
        <w:t>评标分为初步评审和详细评审两个阶段，由评标委员会</w:t>
      </w:r>
      <w:r>
        <w:rPr>
          <w:rFonts w:hint="eastAsia" w:ascii="宋体" w:hAnsi="宋体" w:eastAsia="宋体" w:cs="宋体"/>
          <w:color w:val="000000" w:themeColor="text1"/>
          <w:spacing w:val="-2"/>
          <w:sz w:val="24"/>
          <w:szCs w:val="24"/>
          <w:highlight w:val="none"/>
          <w14:textFill>
            <w14:solidFill>
              <w14:schemeClr w14:val="tx1"/>
            </w14:solidFill>
          </w14:textFill>
        </w:rPr>
        <w:t>在有关部门的监督下，严</w:t>
      </w:r>
      <w:r>
        <w:rPr>
          <w:rFonts w:hint="eastAsia" w:ascii="宋体" w:hAnsi="宋体" w:eastAsia="宋体" w:cs="宋体"/>
          <w:color w:val="000000" w:themeColor="text1"/>
          <w:spacing w:val="-1"/>
          <w:sz w:val="24"/>
          <w:szCs w:val="24"/>
          <w:highlight w:val="none"/>
          <w14:textFill>
            <w14:solidFill>
              <w14:schemeClr w14:val="tx1"/>
            </w14:solidFill>
          </w14:textFill>
        </w:rPr>
        <w:t>格按照本招标文件指定的评标方法，对投标人的投标文件进行审</w:t>
      </w:r>
      <w:r>
        <w:rPr>
          <w:rFonts w:hint="eastAsia" w:ascii="宋体" w:hAnsi="宋体" w:eastAsia="宋体" w:cs="宋体"/>
          <w:color w:val="000000" w:themeColor="text1"/>
          <w:spacing w:val="-2"/>
          <w:sz w:val="24"/>
          <w:szCs w:val="24"/>
          <w:highlight w:val="none"/>
          <w14:textFill>
            <w14:solidFill>
              <w14:schemeClr w14:val="tx1"/>
            </w14:solidFill>
          </w14:textFill>
        </w:rPr>
        <w:t>查、评审。评标委员</w:t>
      </w:r>
      <w:r>
        <w:rPr>
          <w:rFonts w:hint="eastAsia" w:ascii="宋体" w:hAnsi="宋体" w:eastAsia="宋体" w:cs="宋体"/>
          <w:color w:val="000000" w:themeColor="text1"/>
          <w:spacing w:val="2"/>
          <w:sz w:val="24"/>
          <w:szCs w:val="24"/>
          <w:highlight w:val="none"/>
          <w14:textFill>
            <w14:solidFill>
              <w14:schemeClr w14:val="tx1"/>
            </w14:solidFill>
          </w14:textFill>
        </w:rPr>
        <w:t>会完成评标后，向招标人推荐</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3  </w:t>
      </w:r>
      <w:r>
        <w:rPr>
          <w:rFonts w:hint="eastAsia" w:ascii="宋体" w:hAnsi="宋体" w:eastAsia="宋体" w:cs="宋体"/>
          <w:color w:val="000000" w:themeColor="text1"/>
          <w:spacing w:val="2"/>
          <w:sz w:val="24"/>
          <w:szCs w:val="24"/>
          <w:highlight w:val="none"/>
          <w14:textFill>
            <w14:solidFill>
              <w14:schemeClr w14:val="tx1"/>
            </w14:solidFill>
          </w14:textFill>
        </w:rPr>
        <w:t>个中标候选人，并向招标人提交由全</w:t>
      </w:r>
      <w:r>
        <w:rPr>
          <w:rFonts w:hint="eastAsia" w:ascii="宋体" w:hAnsi="宋体" w:eastAsia="宋体" w:cs="宋体"/>
          <w:color w:val="000000" w:themeColor="text1"/>
          <w:spacing w:val="1"/>
          <w:sz w:val="24"/>
          <w:szCs w:val="24"/>
          <w:highlight w:val="none"/>
          <w14:textFill>
            <w14:solidFill>
              <w14:schemeClr w14:val="tx1"/>
            </w14:solidFill>
          </w14:textFill>
        </w:rPr>
        <w:t>体评标委员会</w:t>
      </w:r>
      <w:r>
        <w:rPr>
          <w:rFonts w:hint="eastAsia" w:ascii="宋体" w:hAnsi="宋体" w:eastAsia="宋体" w:cs="宋体"/>
          <w:color w:val="000000" w:themeColor="text1"/>
          <w:spacing w:val="-1"/>
          <w:sz w:val="24"/>
          <w:szCs w:val="24"/>
          <w:highlight w:val="none"/>
          <w14:textFill>
            <w14:solidFill>
              <w14:schemeClr w14:val="tx1"/>
            </w14:solidFill>
          </w14:textFill>
        </w:rPr>
        <w:t>成员签字的评标报告。</w:t>
      </w:r>
    </w:p>
    <w:p w14:paraId="1AE0EC81">
      <w:pPr>
        <w:spacing w:before="38" w:line="219" w:lineRule="auto"/>
        <w:ind w:left="4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15.1  </w:t>
      </w:r>
      <w:r>
        <w:rPr>
          <w:rFonts w:hint="eastAsia" w:ascii="宋体" w:hAnsi="宋体" w:eastAsia="宋体" w:cs="宋体"/>
          <w:color w:val="000000" w:themeColor="text1"/>
          <w:spacing w:val="-2"/>
          <w:sz w:val="24"/>
          <w:szCs w:val="24"/>
          <w:highlight w:val="none"/>
          <w14:textFill>
            <w14:solidFill>
              <w14:schemeClr w14:val="tx1"/>
            </w14:solidFill>
          </w14:textFill>
        </w:rPr>
        <w:t>评标委员会</w:t>
      </w:r>
    </w:p>
    <w:p w14:paraId="31B92F0C">
      <w:pPr>
        <w:spacing w:before="155" w:line="324" w:lineRule="auto"/>
        <w:ind w:left="10" w:right="65" w:firstLine="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15.1.1 </w:t>
      </w:r>
      <w:r>
        <w:rPr>
          <w:rFonts w:hint="eastAsia" w:ascii="宋体" w:hAnsi="宋体" w:eastAsia="宋体" w:cs="宋体"/>
          <w:color w:val="000000" w:themeColor="text1"/>
          <w:sz w:val="24"/>
          <w:szCs w:val="24"/>
          <w:highlight w:val="none"/>
          <w14:textFill>
            <w14:solidFill>
              <w14:schemeClr w14:val="tx1"/>
            </w14:solidFill>
          </w14:textFill>
        </w:rPr>
        <w:t>评标委员会由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5 </w:t>
      </w:r>
      <w:r>
        <w:rPr>
          <w:rFonts w:hint="eastAsia" w:ascii="宋体" w:hAnsi="宋体" w:eastAsia="宋体" w:cs="宋体"/>
          <w:color w:val="000000" w:themeColor="text1"/>
          <w:sz w:val="24"/>
          <w:szCs w:val="24"/>
          <w:highlight w:val="none"/>
          <w14:textFill>
            <w14:solidFill>
              <w14:schemeClr w14:val="tx1"/>
            </w14:solidFill>
          </w14:textFill>
        </w:rPr>
        <w:t>人组成，其中招标人代表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0 </w:t>
      </w:r>
      <w:r>
        <w:rPr>
          <w:rFonts w:hint="eastAsia" w:ascii="宋体" w:hAnsi="宋体" w:eastAsia="宋体" w:cs="宋体"/>
          <w:color w:val="000000" w:themeColor="text1"/>
          <w:sz w:val="24"/>
          <w:szCs w:val="24"/>
          <w:highlight w:val="none"/>
          <w14:textFill>
            <w14:solidFill>
              <w14:schemeClr w14:val="tx1"/>
            </w14:solidFill>
          </w14:textFill>
        </w:rPr>
        <w:t>人，专家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5 </w:t>
      </w:r>
      <w:r>
        <w:rPr>
          <w:rFonts w:hint="eastAsia" w:ascii="宋体" w:hAnsi="宋体" w:eastAsia="宋体" w:cs="宋体"/>
          <w:color w:val="000000" w:themeColor="text1"/>
          <w:sz w:val="24"/>
          <w:szCs w:val="24"/>
          <w:highlight w:val="none"/>
          <w14:textFill>
            <w14:solidFill>
              <w14:schemeClr w14:val="tx1"/>
            </w14:solidFill>
          </w14:textFill>
        </w:rPr>
        <w:t>人。专家从</w:t>
      </w:r>
      <w:r>
        <w:rPr>
          <w:rFonts w:hint="eastAsia" w:ascii="宋体" w:hAnsi="宋体" w:eastAsia="宋体" w:cs="宋体"/>
          <w:color w:val="000000" w:themeColor="text1"/>
          <w:sz w:val="24"/>
          <w:szCs w:val="24"/>
          <w:highlight w:val="none"/>
          <w:u w:val="single"/>
          <w14:textFill>
            <w14:solidFill>
              <w14:schemeClr w14:val="tx1"/>
            </w14:solidFill>
          </w14:textFill>
        </w:rPr>
        <w:t>广东省综合评标评审专家库</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韶关区域</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中随机抽取，其中技术类专家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3 </w:t>
      </w:r>
      <w:r>
        <w:rPr>
          <w:rFonts w:hint="eastAsia" w:ascii="宋体" w:hAnsi="宋体" w:eastAsia="宋体" w:cs="宋体"/>
          <w:color w:val="000000" w:themeColor="text1"/>
          <w:sz w:val="24"/>
          <w:szCs w:val="24"/>
          <w:highlight w:val="none"/>
          <w14:textFill>
            <w14:solidFill>
              <w14:schemeClr w14:val="tx1"/>
            </w14:solidFill>
          </w14:textFill>
        </w:rPr>
        <w:t>人，经济类专家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 </w:t>
      </w:r>
      <w:r>
        <w:rPr>
          <w:rFonts w:hint="eastAsia" w:ascii="宋体" w:hAnsi="宋体" w:eastAsia="宋体" w:cs="宋体"/>
          <w:color w:val="000000" w:themeColor="text1"/>
          <w:sz w:val="24"/>
          <w:szCs w:val="24"/>
          <w:highlight w:val="none"/>
          <w14:textFill>
            <w14:solidFill>
              <w14:schemeClr w14:val="tx1"/>
            </w14:solidFill>
          </w14:textFill>
        </w:rPr>
        <w:t>人。</w:t>
      </w:r>
      <w:r>
        <w:rPr>
          <w:rFonts w:hint="eastAsia" w:ascii="宋体" w:hAnsi="宋体" w:eastAsia="宋体" w:cs="宋体"/>
          <w:color w:val="000000" w:themeColor="text1"/>
          <w:spacing w:val="-1"/>
          <w:sz w:val="24"/>
          <w:szCs w:val="24"/>
          <w:highlight w:val="none"/>
          <w14:textFill>
            <w14:solidFill>
              <w14:schemeClr w14:val="tx1"/>
            </w14:solidFill>
          </w14:textFill>
        </w:rPr>
        <w:t>评标委员会设负责人，由评标委员会成员推举产生</w:t>
      </w:r>
      <w:r>
        <w:rPr>
          <w:rFonts w:hint="eastAsia" w:ascii="宋体" w:hAnsi="宋体" w:eastAsia="宋体" w:cs="宋体"/>
          <w:color w:val="000000" w:themeColor="text1"/>
          <w:spacing w:val="-2"/>
          <w:sz w:val="24"/>
          <w:szCs w:val="24"/>
          <w:highlight w:val="none"/>
          <w14:textFill>
            <w14:solidFill>
              <w14:schemeClr w14:val="tx1"/>
            </w14:solidFill>
          </w14:textFill>
        </w:rPr>
        <w:t>。评标委员会负责人与评</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标委员会的其他成员有同等的表决权。</w:t>
      </w:r>
    </w:p>
    <w:p w14:paraId="3773E95D">
      <w:pPr>
        <w:spacing w:before="32" w:line="280" w:lineRule="auto"/>
        <w:ind w:left="13" w:right="7" w:firstLine="56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15.1.2  </w:t>
      </w:r>
      <w:r>
        <w:rPr>
          <w:rFonts w:hint="eastAsia" w:ascii="宋体" w:hAnsi="宋体" w:eastAsia="宋体" w:cs="宋体"/>
          <w:color w:val="000000" w:themeColor="text1"/>
          <w:spacing w:val="-2"/>
          <w:sz w:val="24"/>
          <w:szCs w:val="24"/>
          <w:highlight w:val="none"/>
          <w14:textFill>
            <w14:solidFill>
              <w14:schemeClr w14:val="tx1"/>
            </w14:solidFill>
          </w14:textFill>
        </w:rPr>
        <w:t>评标委员会应认真、公正、诚实、廉洁地履行职责。有下列情形之一的，不得担任评标委员会成员：</w:t>
      </w:r>
    </w:p>
    <w:p w14:paraId="630ECC06">
      <w:pPr>
        <w:spacing w:before="154" w:line="220" w:lineRule="auto"/>
        <w:ind w:left="5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（1）投标人或投标人主要负责人的近亲属；</w:t>
      </w:r>
    </w:p>
    <w:p w14:paraId="6812A920">
      <w:pPr>
        <w:spacing w:before="153" w:line="220" w:lineRule="auto"/>
        <w:ind w:left="5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（2）项目主管部门或者行政监督部门的人员；</w:t>
      </w:r>
    </w:p>
    <w:p w14:paraId="4E3A1FF1">
      <w:pPr>
        <w:spacing w:before="155" w:line="221" w:lineRule="auto"/>
        <w:ind w:left="5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（3）与投标人有经济利益关系，可能影响对投标公正评审的；</w:t>
      </w:r>
    </w:p>
    <w:p w14:paraId="6C955D4C">
      <w:pPr>
        <w:spacing w:before="153" w:line="279" w:lineRule="auto"/>
        <w:ind w:left="8" w:right="65" w:firstLine="57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（4）曾因在招标、评标以及其他与招标投标有关活动中从事违法行为而受过行政处罚或刑事处罚的。</w:t>
      </w:r>
    </w:p>
    <w:p w14:paraId="3C4B0D01">
      <w:pPr>
        <w:spacing w:before="155" w:line="219" w:lineRule="auto"/>
        <w:ind w:left="48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评标委员会成员有以上情形之一的，应主动提出回避。</w:t>
      </w:r>
    </w:p>
    <w:p w14:paraId="779D0486">
      <w:pPr>
        <w:spacing w:before="154" w:line="279" w:lineRule="auto"/>
        <w:ind w:left="8" w:right="65" w:firstLine="48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15.1.3  </w:t>
      </w:r>
      <w:r>
        <w:rPr>
          <w:rFonts w:hint="eastAsia" w:ascii="宋体" w:hAnsi="宋体" w:eastAsia="宋体" w:cs="宋体"/>
          <w:color w:val="000000" w:themeColor="text1"/>
          <w:spacing w:val="-1"/>
          <w:sz w:val="24"/>
          <w:szCs w:val="24"/>
          <w:highlight w:val="none"/>
          <w14:textFill>
            <w14:solidFill>
              <w14:schemeClr w14:val="tx1"/>
            </w14:solidFill>
          </w14:textFill>
        </w:rPr>
        <w:t>评标全过程实行封闭式管理，在中标结果公</w:t>
      </w:r>
      <w:r>
        <w:rPr>
          <w:rFonts w:hint="eastAsia" w:ascii="宋体" w:hAnsi="宋体" w:eastAsia="宋体" w:cs="宋体"/>
          <w:color w:val="000000" w:themeColor="text1"/>
          <w:spacing w:val="-2"/>
          <w:sz w:val="24"/>
          <w:szCs w:val="24"/>
          <w:highlight w:val="none"/>
          <w14:textFill>
            <w14:solidFill>
              <w14:schemeClr w14:val="tx1"/>
            </w14:solidFill>
          </w14:textFill>
        </w:rPr>
        <w:t>布前，禁止评标委员会成员以</w:t>
      </w:r>
      <w:r>
        <w:rPr>
          <w:rFonts w:hint="eastAsia" w:ascii="宋体" w:hAnsi="宋体" w:eastAsia="宋体" w:cs="宋体"/>
          <w:color w:val="000000" w:themeColor="text1"/>
          <w:spacing w:val="-1"/>
          <w:sz w:val="24"/>
          <w:szCs w:val="24"/>
          <w:highlight w:val="none"/>
          <w14:textFill>
            <w14:solidFill>
              <w14:schemeClr w14:val="tx1"/>
            </w14:solidFill>
          </w14:textFill>
        </w:rPr>
        <w:t>任何方式私下接触投标人。</w:t>
      </w:r>
    </w:p>
    <w:p w14:paraId="4E1CA66A">
      <w:pPr>
        <w:spacing w:before="157" w:line="298" w:lineRule="auto"/>
        <w:ind w:left="11" w:right="65"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15.1.4  </w:t>
      </w:r>
      <w:r>
        <w:rPr>
          <w:rFonts w:hint="eastAsia" w:ascii="宋体" w:hAnsi="宋体" w:eastAsia="宋体" w:cs="宋体"/>
          <w:color w:val="000000" w:themeColor="text1"/>
          <w:spacing w:val="-1"/>
          <w:sz w:val="24"/>
          <w:szCs w:val="24"/>
          <w:highlight w:val="none"/>
          <w14:textFill>
            <w14:solidFill>
              <w14:schemeClr w14:val="tx1"/>
            </w14:solidFill>
          </w14:textFill>
        </w:rPr>
        <w:t>在评标过程中，评标委员会可以书面形式要</w:t>
      </w:r>
      <w:r>
        <w:rPr>
          <w:rFonts w:hint="eastAsia" w:ascii="宋体" w:hAnsi="宋体" w:eastAsia="宋体" w:cs="宋体"/>
          <w:color w:val="000000" w:themeColor="text1"/>
          <w:spacing w:val="-2"/>
          <w:sz w:val="24"/>
          <w:szCs w:val="24"/>
          <w:highlight w:val="none"/>
          <w14:textFill>
            <w14:solidFill>
              <w14:schemeClr w14:val="tx1"/>
            </w14:solidFill>
          </w14:textFill>
        </w:rPr>
        <w:t>求投标人对所提交的投标文件</w:t>
      </w:r>
      <w:r>
        <w:rPr>
          <w:rFonts w:hint="eastAsia" w:ascii="宋体" w:hAnsi="宋体" w:eastAsia="宋体" w:cs="宋体"/>
          <w:color w:val="000000" w:themeColor="text1"/>
          <w:spacing w:val="-1"/>
          <w:sz w:val="24"/>
          <w:szCs w:val="24"/>
          <w:highlight w:val="none"/>
          <w14:textFill>
            <w14:solidFill>
              <w14:schemeClr w14:val="tx1"/>
            </w14:solidFill>
          </w14:textFill>
        </w:rPr>
        <w:t>中不明确的内容进行书面澄清或说明，但不接受投标人主</w:t>
      </w:r>
      <w:r>
        <w:rPr>
          <w:rFonts w:hint="eastAsia" w:ascii="宋体" w:hAnsi="宋体" w:eastAsia="宋体" w:cs="宋体"/>
          <w:color w:val="000000" w:themeColor="text1"/>
          <w:spacing w:val="-2"/>
          <w:sz w:val="24"/>
          <w:szCs w:val="24"/>
          <w:highlight w:val="none"/>
          <w14:textFill>
            <w14:solidFill>
              <w14:schemeClr w14:val="tx1"/>
            </w14:solidFill>
          </w14:textFill>
        </w:rPr>
        <w:t>动提出的澄清或说明。投标</w:t>
      </w:r>
      <w:r>
        <w:rPr>
          <w:rFonts w:hint="eastAsia" w:ascii="宋体" w:hAnsi="宋体" w:eastAsia="宋体" w:cs="宋体"/>
          <w:color w:val="000000" w:themeColor="text1"/>
          <w:spacing w:val="-1"/>
          <w:sz w:val="24"/>
          <w:szCs w:val="24"/>
          <w:highlight w:val="none"/>
          <w14:textFill>
            <w14:solidFill>
              <w14:schemeClr w14:val="tx1"/>
            </w14:solidFill>
          </w14:textFill>
        </w:rPr>
        <w:t>人的书面澄清或说明不得改变投标文件的实质性内容，并</w:t>
      </w:r>
      <w:r>
        <w:rPr>
          <w:rFonts w:hint="eastAsia" w:ascii="宋体" w:hAnsi="宋体" w:eastAsia="宋体" w:cs="宋体"/>
          <w:color w:val="000000" w:themeColor="text1"/>
          <w:spacing w:val="-2"/>
          <w:sz w:val="24"/>
          <w:szCs w:val="24"/>
          <w:highlight w:val="none"/>
          <w14:textFill>
            <w14:solidFill>
              <w14:schemeClr w14:val="tx1"/>
            </w14:solidFill>
          </w14:textFill>
        </w:rPr>
        <w:t>作为投标文件的组成部分。</w:t>
      </w:r>
    </w:p>
    <w:p w14:paraId="2761184C">
      <w:pPr>
        <w:spacing w:before="156" w:line="309" w:lineRule="auto"/>
        <w:ind w:left="8" w:right="65" w:firstLine="5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15.1.5  </w:t>
      </w:r>
      <w:r>
        <w:rPr>
          <w:rFonts w:hint="eastAsia" w:ascii="宋体" w:hAnsi="宋体" w:eastAsia="宋体" w:cs="宋体"/>
          <w:color w:val="000000" w:themeColor="text1"/>
          <w:spacing w:val="-3"/>
          <w:sz w:val="24"/>
          <w:szCs w:val="24"/>
          <w:highlight w:val="none"/>
          <w14:textFill>
            <w14:solidFill>
              <w14:schemeClr w14:val="tx1"/>
            </w14:solidFill>
          </w14:textFill>
        </w:rPr>
        <w:t>在任何评标环节中，当评标委员会就某</w:t>
      </w:r>
      <w:r>
        <w:rPr>
          <w:rFonts w:hint="eastAsia" w:ascii="宋体" w:hAnsi="宋体" w:eastAsia="宋体" w:cs="宋体"/>
          <w:color w:val="000000" w:themeColor="text1"/>
          <w:spacing w:val="-4"/>
          <w:sz w:val="24"/>
          <w:szCs w:val="24"/>
          <w:highlight w:val="none"/>
          <w14:textFill>
            <w14:solidFill>
              <w14:schemeClr w14:val="tx1"/>
            </w14:solidFill>
          </w14:textFill>
        </w:rPr>
        <w:t>项定性的评审结论不统一、需要做</w:t>
      </w:r>
      <w:r>
        <w:rPr>
          <w:rFonts w:hint="eastAsia" w:ascii="宋体" w:hAnsi="宋体" w:eastAsia="宋体" w:cs="宋体"/>
          <w:color w:val="000000" w:themeColor="text1"/>
          <w:spacing w:val="-1"/>
          <w:sz w:val="24"/>
          <w:szCs w:val="24"/>
          <w:highlight w:val="none"/>
          <w14:textFill>
            <w14:solidFill>
              <w14:schemeClr w14:val="tx1"/>
            </w14:solidFill>
          </w14:textFill>
        </w:rPr>
        <w:t>出表决时，由评标委员会全体成员按照少数服从多数的原则，以</w:t>
      </w:r>
      <w:r>
        <w:rPr>
          <w:rFonts w:hint="eastAsia" w:ascii="宋体" w:hAnsi="宋体" w:eastAsia="宋体" w:cs="宋体"/>
          <w:color w:val="000000" w:themeColor="text1"/>
          <w:spacing w:val="-2"/>
          <w:sz w:val="24"/>
          <w:szCs w:val="24"/>
          <w:highlight w:val="none"/>
          <w14:textFill>
            <w14:solidFill>
              <w14:schemeClr w14:val="tx1"/>
            </w14:solidFill>
          </w14:textFill>
        </w:rPr>
        <w:t>记名投票方式表决。</w:t>
      </w:r>
      <w:r>
        <w:rPr>
          <w:rFonts w:hint="eastAsia" w:ascii="宋体" w:hAnsi="宋体" w:eastAsia="宋体" w:cs="宋体"/>
          <w:color w:val="000000" w:themeColor="text1"/>
          <w:spacing w:val="-1"/>
          <w:sz w:val="24"/>
          <w:szCs w:val="24"/>
          <w:highlight w:val="none"/>
          <w14:textFill>
            <w14:solidFill>
              <w14:schemeClr w14:val="tx1"/>
            </w14:solidFill>
          </w14:textFill>
        </w:rPr>
        <w:t>评标委员会全体成员应共同遵守和执行表决结果，严禁评标委员</w:t>
      </w:r>
      <w:r>
        <w:rPr>
          <w:rFonts w:hint="eastAsia" w:ascii="宋体" w:hAnsi="宋体" w:eastAsia="宋体" w:cs="宋体"/>
          <w:color w:val="000000" w:themeColor="text1"/>
          <w:spacing w:val="-2"/>
          <w:sz w:val="24"/>
          <w:szCs w:val="24"/>
          <w:highlight w:val="none"/>
          <w14:textFill>
            <w14:solidFill>
              <w14:schemeClr w14:val="tx1"/>
            </w14:solidFill>
          </w14:textFill>
        </w:rPr>
        <w:t>会任何成员将个人意</w:t>
      </w:r>
      <w:r>
        <w:rPr>
          <w:rFonts w:hint="eastAsia" w:ascii="宋体" w:hAnsi="宋体" w:eastAsia="宋体" w:cs="宋体"/>
          <w:color w:val="000000" w:themeColor="text1"/>
          <w:spacing w:val="-1"/>
          <w:sz w:val="24"/>
          <w:szCs w:val="24"/>
          <w:highlight w:val="none"/>
          <w14:textFill>
            <w14:solidFill>
              <w14:schemeClr w14:val="tx1"/>
            </w14:solidFill>
          </w14:textFill>
        </w:rPr>
        <w:t>见强加给他人、影响评标正常秩序和妨碍评审结论的公正性。</w:t>
      </w:r>
    </w:p>
    <w:p w14:paraId="149CC3AF">
      <w:pPr>
        <w:spacing w:before="79" w:line="221" w:lineRule="auto"/>
        <w:ind w:left="57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15.2  </w:t>
      </w:r>
      <w:r>
        <w:rPr>
          <w:rFonts w:hint="eastAsia" w:ascii="宋体" w:hAnsi="宋体" w:eastAsia="宋体" w:cs="宋体"/>
          <w:color w:val="000000" w:themeColor="text1"/>
          <w:spacing w:val="-2"/>
          <w:sz w:val="24"/>
          <w:szCs w:val="24"/>
          <w:highlight w:val="none"/>
          <w14:textFill>
            <w14:solidFill>
              <w14:schemeClr w14:val="tx1"/>
            </w14:solidFill>
          </w14:textFill>
        </w:rPr>
        <w:t>评标方法</w:t>
      </w:r>
    </w:p>
    <w:p w14:paraId="3267A2AD">
      <w:pPr>
        <w:pStyle w:val="5"/>
        <w:spacing w:line="272" w:lineRule="auto"/>
        <w:rPr>
          <w:rFonts w:hint="eastAsia" w:ascii="宋体" w:hAnsi="宋体" w:eastAsia="宋体" w:cs="宋体"/>
          <w:color w:val="000000" w:themeColor="text1"/>
          <w:highlight w:val="none"/>
          <w14:textFill>
            <w14:solidFill>
              <w14:schemeClr w14:val="tx1"/>
            </w14:solidFill>
          </w14:textFill>
        </w:rPr>
      </w:pPr>
    </w:p>
    <w:p w14:paraId="31CCE9AE">
      <w:pPr>
        <w:spacing w:before="78" w:line="326" w:lineRule="auto"/>
        <w:ind w:left="231" w:right="181" w:firstLine="560"/>
        <w:rPr>
          <w:rFonts w:hint="eastAsia" w:ascii="宋体" w:hAnsi="宋体" w:eastAsia="宋体" w:cs="宋体"/>
          <w:color w:val="000000" w:themeColor="text1"/>
          <w:highlight w:val="none"/>
          <w14:textFill>
            <w14:solidFill>
              <w14:schemeClr w14:val="tx1"/>
            </w14:solidFill>
          </w14:textFill>
        </w:rPr>
      </w:pPr>
      <w:bookmarkStart w:id="91" w:name="bookmark125"/>
      <w:bookmarkEnd w:id="91"/>
      <w:r>
        <w:rPr>
          <w:rFonts w:hint="eastAsia" w:ascii="宋体" w:hAnsi="宋体" w:eastAsia="宋体" w:cs="宋体"/>
          <w:color w:val="000000" w:themeColor="text1"/>
          <w:spacing w:val="-4"/>
          <w:sz w:val="24"/>
          <w:szCs w:val="24"/>
          <w:highlight w:val="none"/>
          <w14:textFill>
            <w14:solidFill>
              <w14:schemeClr w14:val="tx1"/>
            </w14:solidFill>
          </w14:textFill>
        </w:rPr>
        <w:t>根据有关法律、法规的相关规定，结合本招标项目资金来源和规模特点，本次招</w:t>
      </w:r>
      <w:r>
        <w:rPr>
          <w:rFonts w:hint="eastAsia" w:ascii="宋体" w:hAnsi="宋体" w:eastAsia="宋体" w:cs="宋体"/>
          <w:color w:val="000000" w:themeColor="text1"/>
          <w:spacing w:val="-1"/>
          <w:sz w:val="24"/>
          <w:szCs w:val="24"/>
          <w:highlight w:val="none"/>
          <w14:textFill>
            <w14:solidFill>
              <w14:schemeClr w14:val="tx1"/>
            </w14:solidFill>
          </w14:textFill>
        </w:rPr>
        <w:t>标采用</w:t>
      </w:r>
      <w:r>
        <w:rPr>
          <w:rFonts w:hint="eastAsia" w:ascii="宋体" w:hAnsi="宋体" w:eastAsia="宋体" w:cs="宋体"/>
          <w:b/>
          <w:bCs/>
          <w:color w:val="000000" w:themeColor="text1"/>
          <w:spacing w:val="-4"/>
          <w:sz w:val="24"/>
          <w:szCs w:val="24"/>
          <w:highlight w:val="none"/>
          <w:u w:val="single"/>
          <w14:textFill>
            <w14:solidFill>
              <w14:schemeClr w14:val="tx1"/>
            </w14:solidFill>
          </w14:textFill>
        </w:rPr>
        <w:t xml:space="preserve"> 综合评估法 </w:t>
      </w:r>
      <w:r>
        <w:rPr>
          <w:rFonts w:hint="eastAsia" w:ascii="宋体" w:hAnsi="宋体" w:eastAsia="宋体" w:cs="宋体"/>
          <w:color w:val="000000" w:themeColor="text1"/>
          <w:spacing w:val="-4"/>
          <w:sz w:val="24"/>
          <w:szCs w:val="24"/>
          <w:highlight w:val="none"/>
          <w:u w:val="singl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评标方法名称）进行评标。</w:t>
      </w:r>
    </w:p>
    <w:p w14:paraId="444FBDD2">
      <w:pPr>
        <w:spacing w:before="154" w:line="269" w:lineRule="auto"/>
        <w:ind w:left="220" w:right="33" w:firstLine="496"/>
        <w:rPr>
          <w:rFonts w:hint="eastAsia" w:ascii="宋体" w:hAnsi="宋体" w:eastAsia="宋体" w:cs="宋体"/>
          <w:color w:val="000000" w:themeColor="text1"/>
          <w:sz w:val="25"/>
          <w:szCs w:val="25"/>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15.3  </w:t>
      </w:r>
      <w:r>
        <w:rPr>
          <w:rFonts w:hint="eastAsia" w:ascii="宋体" w:hAnsi="宋体" w:eastAsia="宋体" w:cs="宋体"/>
          <w:color w:val="000000" w:themeColor="text1"/>
          <w:spacing w:val="-3"/>
          <w:sz w:val="24"/>
          <w:szCs w:val="24"/>
          <w:highlight w:val="none"/>
          <w14:textFill>
            <w14:solidFill>
              <w14:schemeClr w14:val="tx1"/>
            </w14:solidFill>
          </w14:textFill>
        </w:rPr>
        <w:t>评审范围：评标委员会应对所有投标人的投标文件进行评审。</w:t>
      </w:r>
    </w:p>
    <w:p w14:paraId="0A158934">
      <w:pPr>
        <w:spacing w:before="153" w:line="220" w:lineRule="auto"/>
        <w:ind w:left="71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15.4  </w:t>
      </w:r>
      <w:r>
        <w:rPr>
          <w:rFonts w:hint="eastAsia" w:ascii="宋体" w:hAnsi="宋体" w:eastAsia="宋体" w:cs="宋体"/>
          <w:color w:val="000000" w:themeColor="text1"/>
          <w:spacing w:val="-2"/>
          <w:sz w:val="24"/>
          <w:szCs w:val="24"/>
          <w:highlight w:val="none"/>
          <w14:textFill>
            <w14:solidFill>
              <w14:schemeClr w14:val="tx1"/>
            </w14:solidFill>
          </w14:textFill>
        </w:rPr>
        <w:t>初步评审阶段</w:t>
      </w:r>
    </w:p>
    <w:p w14:paraId="0814EC29">
      <w:pPr>
        <w:spacing w:before="153" w:line="220" w:lineRule="auto"/>
        <w:ind w:left="70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初步评审阶段分为资格评审、形式评审和响应性评审三个环节。</w:t>
      </w:r>
    </w:p>
    <w:p w14:paraId="58B00498">
      <w:pPr>
        <w:spacing w:before="155" w:line="279" w:lineRule="auto"/>
        <w:ind w:left="719" w:right="6303" w:hanging="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15.4.1</w:t>
      </w:r>
      <w:r>
        <w:rPr>
          <w:rFonts w:hint="eastAsia" w:ascii="宋体" w:hAnsi="宋体" w:eastAsia="宋体" w:cs="宋体"/>
          <w:b/>
          <w:bCs/>
          <w:color w:val="000000" w:themeColor="text1"/>
          <w:spacing w:val="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资格评审环</w:t>
      </w:r>
      <w:r>
        <w:rPr>
          <w:rFonts w:hint="eastAsia" w:ascii="宋体" w:hAnsi="宋体" w:eastAsia="宋体" w:cs="宋体"/>
          <w:color w:val="000000" w:themeColor="text1"/>
          <w:spacing w:val="-3"/>
          <w:sz w:val="24"/>
          <w:szCs w:val="24"/>
          <w:highlight w:val="none"/>
          <w14:textFill>
            <w14:solidFill>
              <w14:schemeClr w14:val="tx1"/>
            </w14:solidFill>
          </w14:textFill>
        </w:rPr>
        <w:t>节</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资格评审事项包括：</w:t>
      </w:r>
    </w:p>
    <w:p w14:paraId="18695609">
      <w:pPr>
        <w:spacing w:before="152" w:line="315" w:lineRule="auto"/>
        <w:ind w:left="231" w:firstLine="49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（1）投标人是否符合本章第三节第</w:t>
      </w:r>
      <w:r>
        <w:rPr>
          <w:rFonts w:hint="eastAsia" w:ascii="宋体" w:hAnsi="宋体" w:eastAsia="宋体" w:cs="宋体"/>
          <w:color w:val="000000" w:themeColor="text1"/>
          <w:spacing w:val="-55"/>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14:textFill>
            <w14:solidFill>
              <w14:schemeClr w14:val="tx1"/>
            </w14:solidFill>
          </w14:textFill>
        </w:rPr>
        <w:t xml:space="preserve">2.4 </w:t>
      </w:r>
      <w:r>
        <w:rPr>
          <w:rFonts w:hint="eastAsia" w:ascii="宋体" w:hAnsi="宋体" w:eastAsia="宋体" w:cs="宋体"/>
          <w:color w:val="000000" w:themeColor="text1"/>
          <w:spacing w:val="-4"/>
          <w:sz w:val="24"/>
          <w:szCs w:val="24"/>
          <w:highlight w:val="none"/>
          <w14:textFill>
            <w14:solidFill>
              <w14:schemeClr w14:val="tx1"/>
            </w14:solidFill>
          </w14:textFill>
        </w:rPr>
        <w:t>条“禁止投标条款</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”规定。</w:t>
      </w:r>
      <w:r>
        <w:rPr>
          <w:rFonts w:hint="eastAsia" w:ascii="宋体" w:hAnsi="宋体" w:eastAsia="宋体" w:cs="宋体"/>
          <w:color w:val="000000" w:themeColor="text1"/>
          <w:spacing w:val="-5"/>
          <w:sz w:val="24"/>
          <w:szCs w:val="24"/>
          <w:highlight w:val="none"/>
          <w14:textFill>
            <w14:solidFill>
              <w14:schemeClr w14:val="tx1"/>
            </w14:solidFill>
          </w14:textFill>
        </w:rPr>
        <w:t>如果“禁止投</w:t>
      </w:r>
      <w:r>
        <w:rPr>
          <w:rFonts w:hint="eastAsia" w:ascii="宋体" w:hAnsi="宋体" w:eastAsia="宋体" w:cs="宋体"/>
          <w:color w:val="000000" w:themeColor="text1"/>
          <w:spacing w:val="-2"/>
          <w:sz w:val="24"/>
          <w:szCs w:val="24"/>
          <w:highlight w:val="none"/>
          <w14:textFill>
            <w14:solidFill>
              <w14:schemeClr w14:val="tx1"/>
            </w14:solidFill>
          </w14:textFill>
        </w:rPr>
        <w:t>标条款</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”包括失信惩戒的，投标人信用信息的获取采用现场实时查询的</w:t>
      </w:r>
      <w:r>
        <w:rPr>
          <w:rFonts w:hint="eastAsia" w:ascii="宋体" w:hAnsi="宋体" w:eastAsia="宋体" w:cs="宋体"/>
          <w:color w:val="000000" w:themeColor="text1"/>
          <w:spacing w:val="-3"/>
          <w:sz w:val="24"/>
          <w:szCs w:val="24"/>
          <w:highlight w:val="none"/>
          <w14:textFill>
            <w14:solidFill>
              <w14:schemeClr w14:val="tx1"/>
            </w14:solidFill>
          </w14:textFill>
        </w:rPr>
        <w:t>方式实施。由</w:t>
      </w:r>
      <w:r>
        <w:rPr>
          <w:rFonts w:hint="eastAsia" w:ascii="宋体" w:hAnsi="宋体" w:eastAsia="宋体" w:cs="宋体"/>
          <w:color w:val="000000" w:themeColor="text1"/>
          <w:spacing w:val="-1"/>
          <w:sz w:val="24"/>
          <w:szCs w:val="24"/>
          <w:highlight w:val="none"/>
          <w14:textFill>
            <w14:solidFill>
              <w14:schemeClr w14:val="tx1"/>
            </w14:solidFill>
          </w14:textFill>
        </w:rPr>
        <w:t>招标代理机构工作人员在评标委员会成员、交易场所工作人</w:t>
      </w:r>
      <w:r>
        <w:rPr>
          <w:rFonts w:hint="eastAsia" w:ascii="宋体" w:hAnsi="宋体" w:eastAsia="宋体" w:cs="宋体"/>
          <w:color w:val="000000" w:themeColor="text1"/>
          <w:spacing w:val="-2"/>
          <w:sz w:val="24"/>
          <w:szCs w:val="24"/>
          <w:highlight w:val="none"/>
          <w14:textFill>
            <w14:solidFill>
              <w14:schemeClr w14:val="tx1"/>
            </w14:solidFill>
          </w14:textFill>
        </w:rPr>
        <w:t>员共同见证下，登录信用</w:t>
      </w:r>
      <w:r>
        <w:rPr>
          <w:rFonts w:hint="eastAsia" w:ascii="宋体" w:hAnsi="宋体" w:eastAsia="宋体" w:cs="宋体"/>
          <w:color w:val="000000" w:themeColor="text1"/>
          <w:spacing w:val="1"/>
          <w:sz w:val="24"/>
          <w:szCs w:val="24"/>
          <w:highlight w:val="none"/>
          <w14:textFill>
            <w14:solidFill>
              <w14:schemeClr w14:val="tx1"/>
            </w14:solidFill>
          </w14:textFill>
        </w:rPr>
        <w:t>中国网站（</w:t>
      </w:r>
      <w:r>
        <w:rPr>
          <w:rFonts w:hint="eastAsia" w:ascii="宋体" w:hAnsi="宋体" w:eastAsia="宋体" w:cs="宋体"/>
          <w:color w:val="000000" w:themeColor="text1"/>
          <w:sz w:val="24"/>
          <w:szCs w:val="24"/>
          <w:highlight w:val="none"/>
          <w14:textFill>
            <w14:solidFill>
              <w14:schemeClr w14:val="tx1"/>
            </w14:solidFill>
          </w14:textFill>
        </w:rPr>
        <w:t>https</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www</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creditchina</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gov</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cn</w:t>
      </w:r>
      <w:r>
        <w:rPr>
          <w:rFonts w:hint="eastAsia" w:ascii="宋体" w:hAnsi="宋体" w:eastAsia="宋体" w:cs="宋体"/>
          <w:color w:val="000000" w:themeColor="text1"/>
          <w:spacing w:val="12"/>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在企业查询界面下载和打印《法人和非</w:t>
      </w:r>
      <w:r>
        <w:rPr>
          <w:rFonts w:hint="eastAsia" w:ascii="宋体" w:hAnsi="宋体" w:eastAsia="宋体" w:cs="宋体"/>
          <w:color w:val="000000" w:themeColor="text1"/>
          <w:spacing w:val="-2"/>
          <w:sz w:val="24"/>
          <w:szCs w:val="24"/>
          <w:highlight w:val="none"/>
          <w14:textFill>
            <w14:solidFill>
              <w14:schemeClr w14:val="tx1"/>
            </w14:solidFill>
          </w14:textFill>
        </w:rPr>
        <w:t xml:space="preserve">法人组织公共信用信息报告》，作为评审依据移交评标委员会。 </w:t>
      </w:r>
    </w:p>
    <w:p w14:paraId="375F7385">
      <w:pPr>
        <w:spacing w:before="155" w:line="219" w:lineRule="auto"/>
        <w:ind w:left="72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（2）投标人名称是否与营业执照、资质证书、安全生产许可证一致。</w:t>
      </w:r>
    </w:p>
    <w:p w14:paraId="164D7887">
      <w:pPr>
        <w:keepNext w:val="0"/>
        <w:keepLines w:val="0"/>
        <w:pageBreakBefore w:val="0"/>
        <w:widowControl/>
        <w:kinsoku w:val="0"/>
        <w:wordWrap w:val="0"/>
        <w:overflowPunct/>
        <w:topLinePunct w:val="0"/>
        <w:autoSpaceDE w:val="0"/>
        <w:autoSpaceDN w:val="0"/>
        <w:bidi w:val="0"/>
        <w:adjustRightInd w:val="0"/>
        <w:snapToGrid w:val="0"/>
        <w:spacing w:before="155" w:line="284" w:lineRule="auto"/>
        <w:ind w:left="232" w:right="96" w:firstLine="488"/>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（3）投标人的资质是否符合招标文件规定；其营业执照、</w:t>
      </w:r>
      <w:r>
        <w:rPr>
          <w:rFonts w:hint="eastAsia" w:ascii="宋体" w:hAnsi="宋体" w:eastAsia="宋体" w:cs="宋体"/>
          <w:color w:val="000000" w:themeColor="text1"/>
          <w:spacing w:val="1"/>
          <w:sz w:val="24"/>
          <w:szCs w:val="24"/>
          <w:highlight w:val="none"/>
          <w14:textFill>
            <w14:solidFill>
              <w14:schemeClr w14:val="tx1"/>
            </w14:solidFill>
          </w14:textFill>
        </w:rPr>
        <w:t>资质证书、安全生产</w:t>
      </w:r>
      <w:r>
        <w:rPr>
          <w:rFonts w:hint="eastAsia" w:ascii="宋体" w:hAnsi="宋体" w:eastAsia="宋体" w:cs="宋体"/>
          <w:color w:val="000000" w:themeColor="text1"/>
          <w:sz w:val="24"/>
          <w:szCs w:val="24"/>
          <w:highlight w:val="none"/>
          <w14:textFill>
            <w14:solidFill>
              <w14:schemeClr w14:val="tx1"/>
            </w14:solidFill>
          </w14:textFill>
        </w:rPr>
        <w:t>许可证（含实时网页查询页，可参考网址</w:t>
      </w:r>
      <w:r>
        <w:rPr>
          <w:rFonts w:hint="eastAsia" w:ascii="宋体" w:hAnsi="宋体" w:eastAsia="宋体" w:cs="宋体"/>
          <w:color w:val="000000" w:themeColor="text1"/>
          <w:spacing w:val="-55"/>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https://zlaq.mohurd.gov.cn/fwmh/bjxcjgl/fwm</w:t>
      </w:r>
      <w:bookmarkStart w:id="92" w:name="bookmark126"/>
      <w:bookmarkEnd w:id="92"/>
      <w:r>
        <w:rPr>
          <w:rFonts w:hint="eastAsia" w:ascii="宋体" w:hAnsi="宋体" w:eastAsia="宋体" w:cs="宋体"/>
          <w:color w:val="000000" w:themeColor="text1"/>
          <w:position w:val="3"/>
          <w:sz w:val="24"/>
          <w:szCs w:val="24"/>
          <w:highlight w:val="none"/>
          <w14:textFill>
            <w14:solidFill>
              <w14:schemeClr w14:val="tx1"/>
            </w14:solidFill>
          </w14:textFill>
        </w:rPr>
        <w:t>h/pages/construction_safety/qyaqscxkz/qyaqscxkz）是否合法、有效、</w:t>
      </w:r>
      <w:r>
        <w:rPr>
          <w:rFonts w:hint="eastAsia" w:ascii="宋体" w:hAnsi="宋体" w:eastAsia="宋体" w:cs="宋体"/>
          <w:color w:val="000000" w:themeColor="text1"/>
          <w:spacing w:val="-1"/>
          <w:position w:val="3"/>
          <w:sz w:val="24"/>
          <w:szCs w:val="24"/>
          <w:highlight w:val="none"/>
          <w14:textFill>
            <w14:solidFill>
              <w14:schemeClr w14:val="tx1"/>
            </w14:solidFill>
          </w14:textFill>
        </w:rPr>
        <w:t>准确。</w:t>
      </w:r>
    </w:p>
    <w:p w14:paraId="540CBBB1">
      <w:pPr>
        <w:spacing w:before="144" w:line="219"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（4）《项目经理简历表》中拟派项目经理是否与《开标一览表》一致。</w:t>
      </w:r>
    </w:p>
    <w:p w14:paraId="6B9B0D89">
      <w:pPr>
        <w:spacing w:before="151" w:line="315" w:lineRule="auto"/>
        <w:ind w:left="11" w:firstLine="489"/>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（5）拟派项目经理、项目技术负责人、专职安全员的条件</w:t>
      </w:r>
      <w:r>
        <w:rPr>
          <w:rFonts w:hint="eastAsia" w:ascii="宋体" w:hAnsi="宋体" w:eastAsia="宋体" w:cs="宋体"/>
          <w:color w:val="000000" w:themeColor="text1"/>
          <w:spacing w:val="1"/>
          <w:sz w:val="24"/>
          <w:szCs w:val="24"/>
          <w:highlight w:val="none"/>
          <w14:textFill>
            <w14:solidFill>
              <w14:schemeClr w14:val="tx1"/>
            </w14:solidFill>
          </w14:textFill>
        </w:rPr>
        <w:t>是否符合招标文件规</w:t>
      </w:r>
      <w:r>
        <w:rPr>
          <w:rFonts w:hint="eastAsia" w:ascii="宋体" w:hAnsi="宋体" w:eastAsia="宋体" w:cs="宋体"/>
          <w:color w:val="000000" w:themeColor="text1"/>
          <w:spacing w:val="-1"/>
          <w:sz w:val="24"/>
          <w:szCs w:val="24"/>
          <w:highlight w:val="none"/>
          <w14:textFill>
            <w14:solidFill>
              <w14:schemeClr w14:val="tx1"/>
            </w14:solidFill>
          </w14:textFill>
        </w:rPr>
        <w:t>定；拟派的项目经理是否在投标文件《项目经理简历表》中签字确认；项目技术负责人是否在投标文件《项目技术负责人简历表》中签字确认；项目管理机构组成人员的 各类证书、证件、证明是否合法、有效、准确；是否擅自修改、遗漏《项目经理任职声明》的实质性内容。</w:t>
      </w:r>
    </w:p>
    <w:p w14:paraId="33FF0F7A">
      <w:pPr>
        <w:spacing w:before="156" w:line="298" w:lineRule="auto"/>
        <w:ind w:left="9" w:firstLine="49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（6）联合体投标的，是否提交《联合体协议书》；是否擅</w:t>
      </w:r>
      <w:r>
        <w:rPr>
          <w:rFonts w:hint="eastAsia" w:ascii="宋体" w:hAnsi="宋体" w:eastAsia="宋体" w:cs="宋体"/>
          <w:color w:val="000000" w:themeColor="text1"/>
          <w:spacing w:val="1"/>
          <w:sz w:val="24"/>
          <w:szCs w:val="24"/>
          <w:highlight w:val="none"/>
          <w14:textFill>
            <w14:solidFill>
              <w14:schemeClr w14:val="tx1"/>
            </w14:solidFill>
          </w14:textFill>
        </w:rPr>
        <w:t>自修改、遗漏《联合</w:t>
      </w:r>
      <w:r>
        <w:rPr>
          <w:rFonts w:hint="eastAsia" w:ascii="宋体" w:hAnsi="宋体" w:eastAsia="宋体" w:cs="宋体"/>
          <w:color w:val="000000" w:themeColor="text1"/>
          <w:spacing w:val="-1"/>
          <w:sz w:val="24"/>
          <w:szCs w:val="24"/>
          <w:highlight w:val="none"/>
          <w14:textFill>
            <w14:solidFill>
              <w14:schemeClr w14:val="tx1"/>
            </w14:solidFill>
          </w14:textFill>
        </w:rPr>
        <w:t>体协议书》的实质性内容；联合体成员的数量、资质是否符合</w:t>
      </w:r>
      <w:r>
        <w:rPr>
          <w:rFonts w:hint="eastAsia" w:ascii="宋体" w:hAnsi="宋体" w:eastAsia="宋体" w:cs="宋体"/>
          <w:color w:val="000000" w:themeColor="text1"/>
          <w:spacing w:val="-2"/>
          <w:sz w:val="24"/>
          <w:szCs w:val="24"/>
          <w:highlight w:val="none"/>
          <w14:textFill>
            <w14:solidFill>
              <w14:schemeClr w14:val="tx1"/>
            </w14:solidFill>
          </w14:textFill>
        </w:rPr>
        <w:t>招标文件规定；联合体</w:t>
      </w:r>
      <w:r>
        <w:rPr>
          <w:rFonts w:hint="eastAsia" w:ascii="宋体" w:hAnsi="宋体" w:eastAsia="宋体" w:cs="宋体"/>
          <w:color w:val="000000" w:themeColor="text1"/>
          <w:sz w:val="24"/>
          <w:szCs w:val="24"/>
          <w:highlight w:val="none"/>
          <w14:textFill>
            <w14:solidFill>
              <w14:schemeClr w14:val="tx1"/>
            </w14:solidFill>
          </w14:textFill>
        </w:rPr>
        <w:t>成员是否以自己名义单独或者参加其他联合</w:t>
      </w:r>
      <w:r>
        <w:rPr>
          <w:rFonts w:hint="eastAsia" w:ascii="宋体" w:hAnsi="宋体" w:eastAsia="宋体" w:cs="宋体"/>
          <w:color w:val="000000" w:themeColor="text1"/>
          <w:spacing w:val="-1"/>
          <w:sz w:val="24"/>
          <w:szCs w:val="24"/>
          <w:highlight w:val="none"/>
          <w14:textFill>
            <w14:solidFill>
              <w14:schemeClr w14:val="tx1"/>
            </w14:solidFill>
          </w14:textFill>
        </w:rPr>
        <w:t>体参与本招标项目投标。</w:t>
      </w:r>
    </w:p>
    <w:p w14:paraId="12F54F61">
      <w:pPr>
        <w:spacing w:before="155" w:line="360" w:lineRule="auto"/>
        <w:ind w:left="8" w:right="2" w:firstLine="4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（7）投标人为外省建筑企业的，是否按规定在“进粤</w:t>
      </w:r>
      <w:r>
        <w:rPr>
          <w:rFonts w:hint="eastAsia" w:ascii="宋体" w:hAnsi="宋体" w:eastAsia="宋体" w:cs="宋体"/>
          <w:color w:val="000000" w:themeColor="text1"/>
          <w:spacing w:val="1"/>
          <w:sz w:val="24"/>
          <w:szCs w:val="24"/>
          <w:highlight w:val="none"/>
          <w14:textFill>
            <w14:solidFill>
              <w14:schemeClr w14:val="tx1"/>
            </w14:solidFill>
          </w14:textFill>
        </w:rPr>
        <w:t>企业和人员诚信信息登记</w:t>
      </w:r>
      <w:r>
        <w:rPr>
          <w:rFonts w:hint="eastAsia" w:ascii="宋体" w:hAnsi="宋体" w:eastAsia="宋体" w:cs="宋体"/>
          <w:color w:val="000000" w:themeColor="text1"/>
          <w:spacing w:val="-2"/>
          <w:sz w:val="24"/>
          <w:szCs w:val="24"/>
          <w:highlight w:val="none"/>
          <w14:textFill>
            <w14:solidFill>
              <w14:schemeClr w14:val="tx1"/>
            </w14:solidFill>
          </w14:textFill>
        </w:rPr>
        <w:t>平台</w:t>
      </w:r>
      <w:r>
        <w:rPr>
          <w:rFonts w:hint="eastAsia" w:ascii="宋体" w:hAnsi="宋体" w:eastAsia="宋体" w:cs="宋体"/>
          <w:color w:val="000000" w:themeColor="text1"/>
          <w:spacing w:val="-7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”录入企业及其拟派人员有关信息并通过数据规范检查。</w:t>
      </w:r>
    </w:p>
    <w:p w14:paraId="27E19AD3">
      <w:pPr>
        <w:spacing w:before="15" w:line="360" w:lineRule="auto"/>
        <w:ind w:right="2" w:firstLine="474" w:firstLineChars="200"/>
        <w:jc w:val="both"/>
        <w:outlineLvl w:val="9"/>
        <w:rPr>
          <w:rFonts w:hint="eastAsia" w:ascii="宋体" w:hAnsi="宋体" w:eastAsia="宋体" w:cs="宋体"/>
          <w:color w:val="000000" w:themeColor="text1"/>
          <w:spacing w:val="1"/>
          <w:sz w:val="24"/>
          <w:szCs w:val="24"/>
          <w:highlight w:val="none"/>
          <w14:textFill>
            <w14:solidFill>
              <w14:schemeClr w14:val="tx1"/>
            </w14:solidFill>
          </w14:textFill>
        </w:rPr>
      </w:pPr>
      <w:bookmarkStart w:id="93" w:name="_Toc22778"/>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15.4.2 </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形式评审环节</w:t>
      </w:r>
    </w:p>
    <w:p w14:paraId="72253524">
      <w:pPr>
        <w:spacing w:before="15" w:line="360" w:lineRule="auto"/>
        <w:ind w:right="2" w:firstLine="484" w:firstLineChars="200"/>
        <w:jc w:val="both"/>
        <w:outlineLvl w:val="9"/>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形式评审事</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项包括</w:t>
      </w:r>
      <w:bookmarkEnd w:id="93"/>
    </w:p>
    <w:p w14:paraId="4EA57E30">
      <w:pPr>
        <w:spacing w:before="40" w:line="360" w:lineRule="auto"/>
        <w:ind w:left="501"/>
        <w:outlineLvl w:val="9"/>
        <w:rPr>
          <w:rFonts w:hint="eastAsia" w:ascii="宋体" w:hAnsi="宋体" w:eastAsia="宋体" w:cs="宋体"/>
          <w:color w:val="000000" w:themeColor="text1"/>
          <w:sz w:val="24"/>
          <w:szCs w:val="24"/>
          <w:highlight w:val="none"/>
          <w14:textFill>
            <w14:solidFill>
              <w14:schemeClr w14:val="tx1"/>
            </w14:solidFill>
          </w14:textFill>
        </w:rPr>
      </w:pPr>
      <w:bookmarkStart w:id="94" w:name="_Toc4914"/>
      <w:bookmarkStart w:id="95" w:name="_Toc20481"/>
      <w:bookmarkStart w:id="96" w:name="_Toc13304"/>
      <w:bookmarkStart w:id="97" w:name="_Toc23632"/>
      <w:r>
        <w:rPr>
          <w:rFonts w:hint="eastAsia" w:ascii="宋体" w:hAnsi="宋体" w:eastAsia="宋体" w:cs="宋体"/>
          <w:color w:val="000000" w:themeColor="text1"/>
          <w:spacing w:val="-1"/>
          <w:sz w:val="24"/>
          <w:szCs w:val="24"/>
          <w:highlight w:val="none"/>
          <w14:textFill>
            <w14:solidFill>
              <w14:schemeClr w14:val="tx1"/>
            </w14:solidFill>
          </w14:textFill>
        </w:rPr>
        <w:t>（1）各分册是否按招标文件规定加盖电子印章。</w:t>
      </w:r>
      <w:bookmarkEnd w:id="94"/>
      <w:bookmarkEnd w:id="95"/>
      <w:bookmarkEnd w:id="96"/>
      <w:bookmarkEnd w:id="97"/>
    </w:p>
    <w:p w14:paraId="1B27A302">
      <w:pPr>
        <w:spacing w:before="15" w:line="360" w:lineRule="auto"/>
        <w:ind w:firstLine="464" w:firstLineChars="200"/>
        <w:outlineLvl w:val="9"/>
        <w:rPr>
          <w:rFonts w:hint="eastAsia" w:ascii="宋体" w:hAnsi="宋体" w:eastAsia="宋体" w:cs="宋体"/>
          <w:color w:val="000000" w:themeColor="text1"/>
          <w:spacing w:val="-1"/>
          <w:sz w:val="24"/>
          <w:szCs w:val="24"/>
          <w:highlight w:val="none"/>
          <w14:textFill>
            <w14:solidFill>
              <w14:schemeClr w14:val="tx1"/>
            </w14:solidFill>
          </w14:textFill>
        </w:rPr>
      </w:pPr>
      <w:bookmarkStart w:id="98" w:name="_Toc27432"/>
      <w:bookmarkStart w:id="99" w:name="_Toc10806"/>
      <w:bookmarkStart w:id="100" w:name="_Toc28409"/>
      <w:bookmarkStart w:id="101" w:name="_Toc12756"/>
      <w:r>
        <w:rPr>
          <w:rFonts w:hint="eastAsia" w:ascii="宋体" w:hAnsi="宋体" w:eastAsia="宋体" w:cs="宋体"/>
          <w:color w:val="000000" w:themeColor="text1"/>
          <w:spacing w:val="-4"/>
          <w:sz w:val="24"/>
          <w:szCs w:val="24"/>
          <w:highlight w:val="none"/>
          <w14:textFill>
            <w14:solidFill>
              <w14:schemeClr w14:val="tx1"/>
            </w14:solidFill>
          </w14:textFill>
        </w:rPr>
        <w:t>（2）本节第</w:t>
      </w:r>
      <w:r>
        <w:rPr>
          <w:rFonts w:hint="eastAsia" w:ascii="宋体" w:hAnsi="宋体" w:eastAsia="宋体" w:cs="宋体"/>
          <w:color w:val="000000" w:themeColor="text1"/>
          <w:spacing w:val="-2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10.2.2  目、第</w:t>
      </w:r>
      <w:r>
        <w:rPr>
          <w:rFonts w:hint="eastAsia" w:ascii="宋体" w:hAnsi="宋体" w:eastAsia="宋体" w:cs="宋体"/>
          <w:color w:val="000000" w:themeColor="text1"/>
          <w:spacing w:val="-3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10.3.2  目、第</w:t>
      </w:r>
      <w:r>
        <w:rPr>
          <w:rFonts w:hint="eastAsia" w:ascii="宋体" w:hAnsi="宋体" w:eastAsia="宋体" w:cs="宋体"/>
          <w:color w:val="000000" w:themeColor="text1"/>
          <w:spacing w:val="-2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10.4.3  目中规定</w:t>
      </w:r>
      <w:r>
        <w:rPr>
          <w:rFonts w:hint="eastAsia" w:ascii="宋体" w:hAnsi="宋体" w:eastAsia="宋体" w:cs="宋体"/>
          <w:color w:val="000000" w:themeColor="text1"/>
          <w:spacing w:val="-5"/>
          <w:sz w:val="24"/>
          <w:szCs w:val="24"/>
          <w:highlight w:val="none"/>
          <w14:textFill>
            <w14:solidFill>
              <w14:schemeClr w14:val="tx1"/>
            </w14:solidFill>
          </w14:textFill>
        </w:rPr>
        <w:t>的“所有投标人均应提</w:t>
      </w:r>
      <w:bookmarkEnd w:id="98"/>
      <w:bookmarkEnd w:id="99"/>
      <w:bookmarkEnd w:id="100"/>
      <w:r>
        <w:rPr>
          <w:rFonts w:hint="eastAsia" w:ascii="宋体" w:hAnsi="宋体" w:eastAsia="宋体" w:cs="宋体"/>
          <w:color w:val="000000" w:themeColor="text1"/>
          <w:spacing w:val="-1"/>
          <w:sz w:val="24"/>
          <w:szCs w:val="24"/>
          <w:highlight w:val="none"/>
          <w14:textFill>
            <w14:solidFill>
              <w14:schemeClr w14:val="tx1"/>
            </w14:solidFill>
          </w14:textFill>
        </w:rPr>
        <w:t>供</w:t>
      </w:r>
      <w:r>
        <w:rPr>
          <w:rFonts w:hint="eastAsia" w:ascii="宋体" w:hAnsi="宋体" w:eastAsia="宋体" w:cs="宋体"/>
          <w:color w:val="000000" w:themeColor="text1"/>
          <w:spacing w:val="-8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”的组成内容（包括该组成内容的所附资料）是否完整、齐全.</w:t>
      </w:r>
      <w:bookmarkEnd w:id="101"/>
    </w:p>
    <w:p w14:paraId="15AF52E2">
      <w:pPr>
        <w:spacing w:before="15" w:line="360" w:lineRule="auto"/>
        <w:ind w:right="2" w:firstLine="484"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bookmarkStart w:id="102" w:name="_Toc17918"/>
      <w:bookmarkStart w:id="103" w:name="_Toc9581"/>
      <w:bookmarkStart w:id="104" w:name="_Toc15678"/>
      <w:bookmarkStart w:id="105" w:name="_Toc22691"/>
      <w:r>
        <w:rPr>
          <w:rFonts w:hint="eastAsia" w:ascii="宋体" w:hAnsi="宋体" w:eastAsia="宋体" w:cs="宋体"/>
          <w:color w:val="000000" w:themeColor="text1"/>
          <w:spacing w:val="1"/>
          <w:sz w:val="24"/>
          <w:szCs w:val="24"/>
          <w:highlight w:val="none"/>
          <w:lang w:eastAsia="zh-CN"/>
          <w14:textFill>
            <w14:solidFill>
              <w14:schemeClr w14:val="tx1"/>
            </w14:solidFill>
          </w14:textFill>
        </w:rPr>
        <w:t>（3）</w:t>
      </w:r>
      <w:r>
        <w:rPr>
          <w:rFonts w:hint="eastAsia" w:ascii="宋体" w:hAnsi="宋体" w:eastAsia="宋体" w:cs="宋体"/>
          <w:color w:val="000000" w:themeColor="text1"/>
          <w:spacing w:val="1"/>
          <w:sz w:val="24"/>
          <w:szCs w:val="24"/>
          <w:highlight w:val="none"/>
          <w14:textFill>
            <w14:solidFill>
              <w14:schemeClr w14:val="tx1"/>
            </w14:solidFill>
          </w14:textFill>
        </w:rPr>
        <w:t>施工组织设计采用“暗标</w:t>
      </w:r>
      <w:r>
        <w:rPr>
          <w:rFonts w:hint="eastAsia" w:ascii="宋体" w:hAnsi="宋体" w:eastAsia="宋体" w:cs="宋体"/>
          <w:color w:val="000000" w:themeColor="text1"/>
          <w:spacing w:val="-8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”方式进行评审的，施工</w:t>
      </w:r>
      <w:r>
        <w:rPr>
          <w:rFonts w:hint="eastAsia" w:ascii="宋体" w:hAnsi="宋体" w:eastAsia="宋体" w:cs="宋体"/>
          <w:color w:val="000000" w:themeColor="text1"/>
          <w:sz w:val="24"/>
          <w:szCs w:val="24"/>
          <w:highlight w:val="none"/>
          <w14:textFill>
            <w14:solidFill>
              <w14:schemeClr w14:val="tx1"/>
            </w14:solidFill>
          </w14:textFill>
        </w:rPr>
        <w:t>组织设计的规格颜色、</w:t>
      </w:r>
      <w:r>
        <w:rPr>
          <w:rFonts w:hint="eastAsia" w:ascii="宋体" w:hAnsi="宋体" w:eastAsia="宋体" w:cs="宋体"/>
          <w:color w:val="000000" w:themeColor="text1"/>
          <w:spacing w:val="-1"/>
          <w:sz w:val="24"/>
          <w:szCs w:val="24"/>
          <w:highlight w:val="none"/>
          <w14:textFill>
            <w14:solidFill>
              <w14:schemeClr w14:val="tx1"/>
            </w14:solidFill>
          </w14:textFill>
        </w:rPr>
        <w:t>文字排版、正文篇幅（若有）是否符合规定；其任何</w:t>
      </w:r>
      <w:r>
        <w:rPr>
          <w:rFonts w:hint="eastAsia" w:ascii="宋体" w:hAnsi="宋体" w:eastAsia="宋体" w:cs="宋体"/>
          <w:color w:val="000000" w:themeColor="text1"/>
          <w:spacing w:val="-2"/>
          <w:sz w:val="24"/>
          <w:szCs w:val="24"/>
          <w:highlight w:val="none"/>
          <w14:textFill>
            <w14:solidFill>
              <w14:schemeClr w14:val="tx1"/>
            </w14:solidFill>
          </w14:textFill>
        </w:rPr>
        <w:t>部位是否出现手写以及涂改、行</w:t>
      </w:r>
      <w:r>
        <w:rPr>
          <w:rFonts w:hint="eastAsia" w:ascii="宋体" w:hAnsi="宋体" w:eastAsia="宋体" w:cs="宋体"/>
          <w:color w:val="000000" w:themeColor="text1"/>
          <w:spacing w:val="-1"/>
          <w:sz w:val="24"/>
          <w:szCs w:val="24"/>
          <w:highlight w:val="none"/>
          <w14:textFill>
            <w14:solidFill>
              <w14:schemeClr w14:val="tx1"/>
            </w14:solidFill>
          </w14:textFill>
        </w:rPr>
        <w:t>间插字或删除痕迹；其任何部位是否出现投标人的名称和</w:t>
      </w:r>
      <w:r>
        <w:rPr>
          <w:rFonts w:hint="eastAsia" w:ascii="宋体" w:hAnsi="宋体" w:eastAsia="宋体" w:cs="宋体"/>
          <w:color w:val="000000" w:themeColor="text1"/>
          <w:spacing w:val="-2"/>
          <w:sz w:val="24"/>
          <w:szCs w:val="24"/>
          <w:highlight w:val="none"/>
          <w14:textFill>
            <w14:solidFill>
              <w14:schemeClr w14:val="tx1"/>
            </w14:solidFill>
          </w14:textFill>
        </w:rPr>
        <w:t>其它可识别投标人身份的字</w:t>
      </w:r>
      <w:r>
        <w:rPr>
          <w:rFonts w:hint="eastAsia" w:ascii="宋体" w:hAnsi="宋体" w:eastAsia="宋体" w:cs="宋体"/>
          <w:color w:val="000000" w:themeColor="text1"/>
          <w:spacing w:val="-1"/>
          <w:sz w:val="24"/>
          <w:szCs w:val="24"/>
          <w:highlight w:val="none"/>
          <w14:textFill>
            <w14:solidFill>
              <w14:schemeClr w14:val="tx1"/>
            </w14:solidFill>
          </w14:textFill>
        </w:rPr>
        <w:t>符、徽标、人员名称以及其他特殊标记。</w:t>
      </w:r>
      <w:bookmarkEnd w:id="102"/>
      <w:bookmarkEnd w:id="103"/>
      <w:bookmarkEnd w:id="104"/>
      <w:bookmarkEnd w:id="105"/>
    </w:p>
    <w:p w14:paraId="5B0B29C4">
      <w:pPr>
        <w:spacing w:before="15" w:line="360" w:lineRule="auto"/>
        <w:ind w:right="2" w:firstLine="474" w:firstLineChars="200"/>
        <w:jc w:val="both"/>
        <w:outlineLvl w:val="9"/>
        <w:rPr>
          <w:rFonts w:hint="eastAsia" w:ascii="宋体" w:hAnsi="宋体" w:eastAsia="宋体" w:cs="宋体"/>
          <w:color w:val="000000" w:themeColor="text1"/>
          <w:spacing w:val="2"/>
          <w:sz w:val="24"/>
          <w:szCs w:val="24"/>
          <w:highlight w:val="none"/>
          <w14:textFill>
            <w14:solidFill>
              <w14:schemeClr w14:val="tx1"/>
            </w14:solidFill>
          </w14:textFill>
        </w:rPr>
      </w:pPr>
      <w:bookmarkStart w:id="106" w:name="_Toc22642"/>
      <w:bookmarkStart w:id="107" w:name="_Toc16645"/>
      <w:bookmarkStart w:id="108" w:name="_Toc14202"/>
      <w:bookmarkStart w:id="109" w:name="_Toc22562"/>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15.4.3  </w:t>
      </w:r>
      <w:r>
        <w:rPr>
          <w:rFonts w:hint="eastAsia" w:ascii="宋体" w:hAnsi="宋体" w:eastAsia="宋体" w:cs="宋体"/>
          <w:color w:val="000000" w:themeColor="text1"/>
          <w:spacing w:val="2"/>
          <w:sz w:val="24"/>
          <w:szCs w:val="24"/>
          <w:highlight w:val="none"/>
          <w14:textFill>
            <w14:solidFill>
              <w14:schemeClr w14:val="tx1"/>
            </w14:solidFill>
          </w14:textFill>
        </w:rPr>
        <w:t xml:space="preserve">响应性评审环节 </w:t>
      </w:r>
    </w:p>
    <w:p w14:paraId="69F5E200">
      <w:pPr>
        <w:spacing w:before="15" w:line="360" w:lineRule="auto"/>
        <w:ind w:right="2" w:firstLine="488" w:firstLineChars="200"/>
        <w:jc w:val="both"/>
        <w:outlineLvl w:val="9"/>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响应性评项包括：</w:t>
      </w:r>
      <w:bookmarkEnd w:id="106"/>
      <w:bookmarkEnd w:id="107"/>
      <w:bookmarkEnd w:id="108"/>
      <w:bookmarkEnd w:id="109"/>
    </w:p>
    <w:p w14:paraId="0A2173BC">
      <w:pPr>
        <w:spacing w:before="155" w:line="360" w:lineRule="auto"/>
        <w:ind w:left="9" w:firstLine="49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（1）投标有效期、质量标准、工期等是否响应招标文件实</w:t>
      </w:r>
      <w:r>
        <w:rPr>
          <w:rFonts w:hint="eastAsia" w:ascii="宋体" w:hAnsi="宋体" w:eastAsia="宋体" w:cs="宋体"/>
          <w:color w:val="000000" w:themeColor="text1"/>
          <w:spacing w:val="1"/>
          <w:sz w:val="24"/>
          <w:szCs w:val="24"/>
          <w:highlight w:val="none"/>
          <w14:textFill>
            <w14:solidFill>
              <w14:schemeClr w14:val="tx1"/>
            </w14:solidFill>
          </w14:textFill>
        </w:rPr>
        <w:t>质性要求；是否擅自</w:t>
      </w:r>
      <w:r>
        <w:rPr>
          <w:rFonts w:hint="eastAsia" w:ascii="宋体" w:hAnsi="宋体" w:eastAsia="宋体" w:cs="宋体"/>
          <w:color w:val="000000" w:themeColor="text1"/>
          <w:spacing w:val="-1"/>
          <w:sz w:val="24"/>
          <w:szCs w:val="24"/>
          <w:highlight w:val="none"/>
          <w14:textFill>
            <w14:solidFill>
              <w14:schemeClr w14:val="tx1"/>
            </w14:solidFill>
          </w14:textFill>
        </w:rPr>
        <w:t>修改、遗漏《投标函》《各项承诺一览表》的实质性内容。</w:t>
      </w:r>
    </w:p>
    <w:p w14:paraId="5225B394">
      <w:pPr>
        <w:spacing w:before="152" w:line="360" w:lineRule="auto"/>
        <w:ind w:left="5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（2）编制《投标总价》的造价工程师，其注册证书是否合法、有效。</w:t>
      </w:r>
    </w:p>
    <w:p w14:paraId="407B50B8">
      <w:pPr>
        <w:spacing w:before="158" w:line="360" w:lineRule="auto"/>
        <w:ind w:left="21" w:right="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（3）投标人委托造价咨询单位编制《投标总价》的，是否在《投标总价扉页》（即扉—3）“投标人</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”栏目加盖造价咨询人公章；是否提供</w:t>
      </w:r>
      <w:r>
        <w:rPr>
          <w:rFonts w:hint="eastAsia" w:ascii="宋体" w:hAnsi="宋体" w:eastAsia="宋体" w:cs="宋体"/>
          <w:color w:val="000000" w:themeColor="text1"/>
          <w:sz w:val="24"/>
          <w:szCs w:val="24"/>
          <w:highlight w:val="none"/>
          <w14:textFill>
            <w14:solidFill>
              <w14:schemeClr w14:val="tx1"/>
            </w14:solidFill>
          </w14:textFill>
        </w:rPr>
        <w:t>造价咨询人的营业执照</w:t>
      </w:r>
      <w:r>
        <w:rPr>
          <w:rFonts w:hint="eastAsia" w:ascii="宋体" w:hAnsi="宋体" w:eastAsia="宋体" w:cs="宋体"/>
          <w:color w:val="000000" w:themeColor="text1"/>
          <w:spacing w:val="-2"/>
          <w:sz w:val="24"/>
          <w:szCs w:val="24"/>
          <w:highlight w:val="none"/>
          <w14:textFill>
            <w14:solidFill>
              <w14:schemeClr w14:val="tx1"/>
            </w14:solidFill>
          </w14:textFill>
        </w:rPr>
        <w:t>副本彩色扫描件；</w:t>
      </w:r>
    </w:p>
    <w:p w14:paraId="33F4A496">
      <w:pPr>
        <w:spacing w:before="158" w:line="328" w:lineRule="auto"/>
        <w:ind w:left="9" w:firstLine="491"/>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（4）投标总价是否唯一；投标总价是否超出</w:t>
      </w:r>
      <w:r>
        <w:rPr>
          <w:rFonts w:hint="eastAsia" w:ascii="宋体" w:hAnsi="宋体" w:eastAsia="宋体" w:cs="宋体"/>
          <w:b/>
          <w:bCs/>
          <w:color w:val="000000" w:themeColor="text1"/>
          <w:spacing w:val="1"/>
          <w:sz w:val="24"/>
          <w:szCs w:val="24"/>
          <w:highlight w:val="none"/>
          <w:lang w:val="en-US" w:eastAsia="zh-CN"/>
          <w14:textFill>
            <w14:solidFill>
              <w14:schemeClr w14:val="tx1"/>
            </w14:solidFill>
          </w14:textFill>
        </w:rPr>
        <w:t>招标控制</w:t>
      </w:r>
      <w:r>
        <w:rPr>
          <w:rFonts w:hint="eastAsia" w:ascii="宋体" w:hAnsi="宋体" w:eastAsia="宋体" w:cs="宋体"/>
          <w:b/>
          <w:bCs/>
          <w:color w:val="000000" w:themeColor="text1"/>
          <w:spacing w:val="1"/>
          <w:sz w:val="24"/>
          <w:szCs w:val="24"/>
          <w:highlight w:val="none"/>
          <w14:textFill>
            <w14:solidFill>
              <w14:schemeClr w14:val="tx1"/>
            </w14:solidFill>
          </w14:textFill>
        </w:rPr>
        <w:t>价</w:t>
      </w:r>
      <w:r>
        <w:rPr>
          <w:rFonts w:hint="eastAsia" w:ascii="宋体" w:hAnsi="宋体" w:eastAsia="宋体" w:cs="宋体"/>
          <w:color w:val="000000" w:themeColor="text1"/>
          <w:spacing w:val="1"/>
          <w:sz w:val="24"/>
          <w:szCs w:val="24"/>
          <w:highlight w:val="none"/>
          <w14:textFill>
            <w14:solidFill>
              <w14:schemeClr w14:val="tx1"/>
            </w14:solidFill>
          </w14:textFill>
        </w:rPr>
        <w:t>；绿色施工安全防护</w:t>
      </w:r>
      <w:r>
        <w:rPr>
          <w:rFonts w:hint="eastAsia" w:ascii="宋体" w:hAnsi="宋体" w:eastAsia="宋体" w:cs="宋体"/>
          <w:color w:val="000000" w:themeColor="text1"/>
          <w:spacing w:val="-1"/>
          <w:sz w:val="24"/>
          <w:szCs w:val="24"/>
          <w:highlight w:val="none"/>
          <w14:textFill>
            <w14:solidFill>
              <w14:schemeClr w14:val="tx1"/>
            </w14:solidFill>
          </w14:textFill>
        </w:rPr>
        <w:t>措施费是否达到最低要求；暂列金额、暂估价是否按照招标工</w:t>
      </w:r>
      <w:r>
        <w:rPr>
          <w:rFonts w:hint="eastAsia" w:ascii="宋体" w:hAnsi="宋体" w:eastAsia="宋体" w:cs="宋体"/>
          <w:color w:val="000000" w:themeColor="text1"/>
          <w:spacing w:val="-2"/>
          <w:sz w:val="24"/>
          <w:szCs w:val="24"/>
          <w:highlight w:val="none"/>
          <w14:textFill>
            <w14:solidFill>
              <w14:schemeClr w14:val="tx1"/>
            </w14:solidFill>
          </w14:textFill>
        </w:rPr>
        <w:t>程量清单统一报价；投</w:t>
      </w:r>
      <w:r>
        <w:rPr>
          <w:rFonts w:hint="eastAsia" w:ascii="宋体" w:hAnsi="宋体" w:eastAsia="宋体" w:cs="宋体"/>
          <w:color w:val="000000" w:themeColor="text1"/>
          <w:spacing w:val="-1"/>
          <w:sz w:val="24"/>
          <w:szCs w:val="24"/>
          <w:highlight w:val="none"/>
          <w14:textFill>
            <w14:solidFill>
              <w14:schemeClr w14:val="tx1"/>
            </w14:solidFill>
          </w14:textFill>
        </w:rPr>
        <w:t>标人是否以低于成本的价格竞标。</w:t>
      </w:r>
    </w:p>
    <w:p w14:paraId="0FEFD797">
      <w:pPr>
        <w:spacing w:before="38" w:line="360" w:lineRule="auto"/>
        <w:ind w:right="2" w:firstLine="474" w:firstLineChars="200"/>
        <w:jc w:val="both"/>
        <w:rPr>
          <w:rFonts w:hint="eastAsia" w:ascii="宋体" w:hAnsi="宋体" w:eastAsia="宋体" w:cs="宋体"/>
          <w:color w:val="000000" w:themeColor="text1"/>
          <w:position w:val="-8"/>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注：如果某投标人的投标总价下浮率超过</w:t>
      </w:r>
      <w:r>
        <w:rPr>
          <w:rFonts w:hint="eastAsia" w:ascii="宋体" w:hAnsi="宋体" w:eastAsia="宋体" w:cs="宋体"/>
          <w:color w:val="000000" w:themeColor="text1"/>
          <w:spacing w:val="-41"/>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14:textFill>
            <w14:solidFill>
              <w14:schemeClr w14:val="tx1"/>
            </w14:solidFill>
          </w14:textFill>
        </w:rPr>
        <w:t>15%</w:t>
      </w:r>
      <w:r>
        <w:rPr>
          <w:rFonts w:hint="eastAsia" w:ascii="宋体" w:hAnsi="宋体" w:eastAsia="宋体" w:cs="宋体"/>
          <w:b/>
          <w:bCs/>
          <w:color w:val="000000" w:themeColor="text1"/>
          <w:spacing w:val="-32"/>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14:textFill>
            <w14:solidFill>
              <w14:schemeClr w14:val="tx1"/>
            </w14:solidFill>
          </w14:textFill>
        </w:rPr>
        <w:t>，又未提供</w:t>
      </w:r>
      <w:r>
        <w:rPr>
          <w:rFonts w:hint="eastAsia" w:ascii="宋体" w:hAnsi="宋体" w:eastAsia="宋体" w:cs="宋体"/>
          <w:b/>
          <w:bCs/>
          <w:color w:val="000000" w:themeColor="text1"/>
          <w:spacing w:val="-3"/>
          <w:sz w:val="24"/>
          <w:szCs w:val="24"/>
          <w:highlight w:val="none"/>
          <w14:textFill>
            <w14:solidFill>
              <w14:schemeClr w14:val="tx1"/>
            </w14:solidFill>
          </w14:textFill>
        </w:rPr>
        <w:t>相应书面说明和佐证</w:t>
      </w:r>
      <w:bookmarkStart w:id="110" w:name="bookmark127"/>
      <w:bookmarkEnd w:id="110"/>
      <w:r>
        <w:rPr>
          <w:rFonts w:hint="eastAsia" w:ascii="宋体" w:hAnsi="宋体" w:eastAsia="宋体" w:cs="宋体"/>
          <w:b/>
          <w:bCs/>
          <w:color w:val="000000" w:themeColor="text1"/>
          <w:spacing w:val="-4"/>
          <w:sz w:val="24"/>
          <w:szCs w:val="24"/>
          <w:highlight w:val="none"/>
          <w14:textFill>
            <w14:solidFill>
              <w14:schemeClr w14:val="tx1"/>
            </w14:solidFill>
          </w14:textFill>
        </w:rPr>
        <w:t>材料或提供的书面说明和佐证材料不能令人信服的，评标委员会应认定其以低于成本</w:t>
      </w:r>
      <w:r>
        <w:rPr>
          <w:rFonts w:hint="eastAsia" w:ascii="宋体" w:hAnsi="宋体" w:eastAsia="宋体" w:cs="宋体"/>
          <w:b/>
          <w:bCs/>
          <w:color w:val="000000" w:themeColor="text1"/>
          <w:spacing w:val="-9"/>
          <w:sz w:val="24"/>
          <w:szCs w:val="24"/>
          <w:highlight w:val="none"/>
          <w14:textFill>
            <w14:solidFill>
              <w14:schemeClr w14:val="tx1"/>
            </w14:solidFill>
          </w14:textFill>
        </w:rPr>
        <w:t>的价格竞标，并否决其投标。评</w:t>
      </w:r>
      <w:r>
        <w:rPr>
          <w:rFonts w:hint="eastAsia" w:ascii="宋体" w:hAnsi="宋体" w:eastAsia="宋体" w:cs="宋体"/>
          <w:b/>
          <w:bCs/>
          <w:color w:val="000000" w:themeColor="text1"/>
          <w:spacing w:val="-4"/>
          <w:sz w:val="24"/>
          <w:szCs w:val="24"/>
          <w:highlight w:val="none"/>
          <w14:textFill>
            <w14:solidFill>
              <w14:schemeClr w14:val="tx1"/>
            </w14:solidFill>
          </w14:textFill>
        </w:rPr>
        <w:t>标委员会接受该投标人的投标总价而未否决其投标的， 应在评标报告中说明判断理由。投标总价下浮率＝（1－投标总价÷招标控制价）×100% 。</w:t>
      </w:r>
    </w:p>
    <w:p w14:paraId="2485C4DD">
      <w:pPr>
        <w:spacing w:before="157" w:line="360" w:lineRule="auto"/>
        <w:ind w:left="11" w:right="114" w:firstLine="505" w:firstLineChars="209"/>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（5）施工组织设计的质量、进度保障措施是否符合国</w:t>
      </w:r>
      <w:r>
        <w:rPr>
          <w:rFonts w:hint="eastAsia" w:ascii="宋体" w:hAnsi="宋体" w:eastAsia="宋体" w:cs="宋体"/>
          <w:color w:val="000000" w:themeColor="text1"/>
          <w:sz w:val="24"/>
          <w:szCs w:val="24"/>
          <w:highlight w:val="none"/>
          <w14:textFill>
            <w14:solidFill>
              <w14:schemeClr w14:val="tx1"/>
            </w14:solidFill>
          </w14:textFill>
        </w:rPr>
        <w:t>家和省市现行有关规</w:t>
      </w:r>
      <w:r>
        <w:rPr>
          <w:rFonts w:hint="eastAsia" w:ascii="宋体" w:hAnsi="宋体" w:eastAsia="宋体" w:cs="宋体"/>
          <w:color w:val="000000" w:themeColor="text1"/>
          <w:spacing w:val="-1"/>
          <w:sz w:val="24"/>
          <w:szCs w:val="24"/>
          <w:highlight w:val="none"/>
          <w14:textFill>
            <w14:solidFill>
              <w14:schemeClr w14:val="tx1"/>
            </w14:solidFill>
          </w14:textFill>
        </w:rPr>
        <w:t>范、规定、标准，是否能实现工程质量、进度管理目标。</w:t>
      </w:r>
    </w:p>
    <w:p w14:paraId="27A6EA2D">
      <w:pPr>
        <w:spacing w:before="82" w:line="211" w:lineRule="auto"/>
        <w:ind w:left="580"/>
        <w:outlineLvl w:val="9"/>
        <w:rPr>
          <w:rFonts w:hint="eastAsia" w:ascii="宋体" w:hAnsi="宋体" w:eastAsia="宋体" w:cs="宋体"/>
          <w:color w:val="000000" w:themeColor="text1"/>
          <w:sz w:val="25"/>
          <w:szCs w:val="25"/>
          <w:highlight w:val="none"/>
          <w14:textFill>
            <w14:solidFill>
              <w14:schemeClr w14:val="tx1"/>
            </w14:solidFill>
          </w14:textFill>
        </w:rPr>
      </w:pPr>
      <w:bookmarkStart w:id="111" w:name="_Toc19814"/>
      <w:bookmarkStart w:id="112" w:name="_Toc32114"/>
      <w:bookmarkStart w:id="113" w:name="_Toc18204"/>
      <w:bookmarkStart w:id="114" w:name="_Toc15367"/>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15.4.4  </w:t>
      </w:r>
      <w:r>
        <w:rPr>
          <w:rFonts w:hint="eastAsia" w:ascii="宋体" w:hAnsi="宋体" w:eastAsia="宋体" w:cs="宋体"/>
          <w:color w:val="000000" w:themeColor="text1"/>
          <w:spacing w:val="-3"/>
          <w:sz w:val="24"/>
          <w:szCs w:val="24"/>
          <w:highlight w:val="none"/>
          <w14:textFill>
            <w14:solidFill>
              <w14:schemeClr w14:val="tx1"/>
            </w14:solidFill>
          </w14:textFill>
        </w:rPr>
        <w:t>否决投标说明</w:t>
      </w:r>
      <w:bookmarkEnd w:id="111"/>
      <w:bookmarkEnd w:id="112"/>
      <w:bookmarkEnd w:id="113"/>
      <w:bookmarkEnd w:id="114"/>
    </w:p>
    <w:p w14:paraId="5E9789B3">
      <w:pPr>
        <w:spacing w:before="152" w:line="333" w:lineRule="auto"/>
        <w:ind w:left="11" w:right="175" w:firstLine="56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初步评审阶段各个环节否决投标的全部条件，在本章第四节“否决投标条件</w:t>
      </w:r>
      <w:r>
        <w:rPr>
          <w:rFonts w:hint="eastAsia" w:ascii="宋体" w:hAnsi="宋体" w:eastAsia="宋体" w:cs="宋体"/>
          <w:color w:val="000000" w:themeColor="text1"/>
          <w:spacing w:val="-7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”第</w:t>
      </w:r>
      <w:r>
        <w:rPr>
          <w:rFonts w:hint="eastAsia" w:ascii="宋体" w:hAnsi="宋体" w:eastAsia="宋体" w:cs="宋体"/>
          <w:b/>
          <w:bCs/>
          <w:color w:val="000000" w:themeColor="text1"/>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14:textFill>
            <w14:solidFill>
              <w14:schemeClr w14:val="tx1"/>
            </w14:solidFill>
          </w14:textFill>
        </w:rPr>
        <w:t>条至第</w:t>
      </w:r>
      <w:r>
        <w:rPr>
          <w:rFonts w:hint="eastAsia" w:ascii="宋体" w:hAnsi="宋体" w:eastAsia="宋体" w:cs="宋体"/>
          <w:color w:val="000000" w:themeColor="text1"/>
          <w:spacing w:val="-46"/>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4 </w:t>
      </w:r>
      <w:r>
        <w:rPr>
          <w:rFonts w:hint="eastAsia" w:ascii="宋体" w:hAnsi="宋体" w:eastAsia="宋体" w:cs="宋体"/>
          <w:color w:val="000000" w:themeColor="text1"/>
          <w:sz w:val="24"/>
          <w:szCs w:val="24"/>
          <w:highlight w:val="none"/>
          <w14:textFill>
            <w14:solidFill>
              <w14:schemeClr w14:val="tx1"/>
            </w14:solidFill>
          </w14:textFill>
        </w:rPr>
        <w:t>条中集中列示。投标人有其中所列任何一种情形的，由评标委员会否决其</w:t>
      </w:r>
      <w:r>
        <w:rPr>
          <w:rFonts w:hint="eastAsia" w:ascii="宋体" w:hAnsi="宋体" w:eastAsia="宋体" w:cs="宋体"/>
          <w:color w:val="000000" w:themeColor="text1"/>
          <w:spacing w:val="-1"/>
          <w:sz w:val="24"/>
          <w:szCs w:val="24"/>
          <w:highlight w:val="none"/>
          <w14:textFill>
            <w14:solidFill>
              <w14:schemeClr w14:val="tx1"/>
            </w14:solidFill>
          </w14:textFill>
        </w:rPr>
        <w:t>投标。在初步评审阶段任何环节被否决的投标人，不进入下一环</w:t>
      </w:r>
      <w:r>
        <w:rPr>
          <w:rFonts w:hint="eastAsia" w:ascii="宋体" w:hAnsi="宋体" w:eastAsia="宋体" w:cs="宋体"/>
          <w:color w:val="000000" w:themeColor="text1"/>
          <w:spacing w:val="-2"/>
          <w:sz w:val="24"/>
          <w:szCs w:val="24"/>
          <w:highlight w:val="none"/>
          <w14:textFill>
            <w14:solidFill>
              <w14:schemeClr w14:val="tx1"/>
            </w14:solidFill>
          </w14:textFill>
        </w:rPr>
        <w:t>节（或阶段）评审。</w:t>
      </w:r>
      <w:r>
        <w:rPr>
          <w:rFonts w:hint="eastAsia" w:ascii="宋体" w:hAnsi="宋体" w:eastAsia="宋体" w:cs="宋体"/>
          <w:color w:val="000000" w:themeColor="text1"/>
          <w:spacing w:val="-1"/>
          <w:sz w:val="24"/>
          <w:szCs w:val="24"/>
          <w:highlight w:val="none"/>
          <w14:textFill>
            <w14:solidFill>
              <w14:schemeClr w14:val="tx1"/>
            </w14:solidFill>
          </w14:textFill>
        </w:rPr>
        <w:t>在初步评审阶段任何环节。</w:t>
      </w:r>
      <w:r>
        <w:rPr>
          <w:rFonts w:hint="eastAsia" w:ascii="宋体" w:hAnsi="宋体" w:eastAsia="宋体" w:cs="宋体"/>
          <w:color w:val="000000" w:themeColor="text1"/>
          <w:sz w:val="24"/>
          <w:szCs w:val="24"/>
          <w:highlight w:val="none"/>
          <w14:textFill>
            <w14:solidFill>
              <w14:schemeClr w14:val="tx1"/>
            </w14:solidFill>
          </w14:textFill>
        </w:rPr>
        <w:t>评标委员会经评审，认为所有投标都不符合招标文件要求的，可否决所有投标，项目的所有投标被否决的，招标人应依法重新组织招标。</w:t>
      </w:r>
    </w:p>
    <w:p w14:paraId="71D5DBDC">
      <w:pPr>
        <w:pStyle w:val="5"/>
        <w:spacing w:line="280" w:lineRule="auto"/>
        <w:rPr>
          <w:rFonts w:hint="eastAsia" w:ascii="宋体" w:hAnsi="宋体" w:eastAsia="宋体" w:cs="宋体"/>
          <w:color w:val="000000" w:themeColor="text1"/>
          <w:highlight w:val="none"/>
          <w14:textFill>
            <w14:solidFill>
              <w14:schemeClr w14:val="tx1"/>
            </w14:solidFill>
          </w14:textFill>
        </w:rPr>
      </w:pPr>
    </w:p>
    <w:p w14:paraId="132A65C3">
      <w:pPr>
        <w:spacing w:before="78" w:line="221" w:lineRule="auto"/>
        <w:ind w:left="57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anchor distT="0" distB="0" distL="114300" distR="114300" simplePos="0" relativeHeight="251663360" behindDoc="1" locked="0" layoutInCell="1" allowOverlap="1">
            <wp:simplePos x="0" y="0"/>
            <wp:positionH relativeFrom="column">
              <wp:posOffset>4789170</wp:posOffset>
            </wp:positionH>
            <wp:positionV relativeFrom="paragraph">
              <wp:posOffset>236220</wp:posOffset>
            </wp:positionV>
            <wp:extent cx="6350" cy="279400"/>
            <wp:effectExtent l="0" t="0" r="0" b="0"/>
            <wp:wrapNone/>
            <wp:docPr id="31" name="IM 46"/>
            <wp:cNvGraphicFramePr/>
            <a:graphic xmlns:a="http://schemas.openxmlformats.org/drawingml/2006/main">
              <a:graphicData uri="http://schemas.openxmlformats.org/drawingml/2006/picture">
                <pic:pic xmlns:pic="http://schemas.openxmlformats.org/drawingml/2006/picture">
                  <pic:nvPicPr>
                    <pic:cNvPr id="31" name="IM 46"/>
                    <pic:cNvPicPr/>
                  </pic:nvPicPr>
                  <pic:blipFill>
                    <a:blip r:embed="rId30"/>
                    <a:stretch>
                      <a:fillRect/>
                    </a:stretch>
                  </pic:blipFill>
                  <pic:spPr>
                    <a:xfrm>
                      <a:off x="0" y="0"/>
                      <a:ext cx="6350" cy="279400"/>
                    </a:xfrm>
                    <a:prstGeom prst="rect">
                      <a:avLst/>
                    </a:prstGeom>
                    <a:noFill/>
                    <a:ln>
                      <a:noFill/>
                    </a:ln>
                  </pic:spPr>
                </pic:pic>
              </a:graphicData>
            </a:graphic>
          </wp:anchor>
        </w:drawing>
      </w:r>
      <w:bookmarkStart w:id="115" w:name="bookmark128"/>
      <w:bookmarkEnd w:id="115"/>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15.5  </w:t>
      </w:r>
      <w:r>
        <w:rPr>
          <w:rFonts w:hint="eastAsia" w:ascii="宋体" w:hAnsi="宋体" w:eastAsia="宋体" w:cs="宋体"/>
          <w:color w:val="000000" w:themeColor="text1"/>
          <w:spacing w:val="-2"/>
          <w:sz w:val="24"/>
          <w:szCs w:val="24"/>
          <w:highlight w:val="none"/>
          <w14:textFill>
            <w14:solidFill>
              <w14:schemeClr w14:val="tx1"/>
            </w14:solidFill>
          </w14:textFill>
        </w:rPr>
        <w:t>详细评审阶段</w:t>
      </w:r>
    </w:p>
    <w:p w14:paraId="60660A02">
      <w:pPr>
        <w:spacing w:before="81" w:line="211" w:lineRule="auto"/>
        <w:ind w:left="498"/>
        <w:outlineLvl w:val="9"/>
        <w:rPr>
          <w:rFonts w:hint="eastAsia" w:ascii="宋体" w:hAnsi="宋体" w:eastAsia="宋体" w:cs="宋体"/>
          <w:color w:val="000000" w:themeColor="text1"/>
          <w:sz w:val="25"/>
          <w:szCs w:val="25"/>
          <w:highlight w:val="none"/>
          <w14:textFill>
            <w14:solidFill>
              <w14:schemeClr w14:val="tx1"/>
            </w14:solidFill>
          </w14:textFill>
        </w:rPr>
      </w:pPr>
      <w:bookmarkStart w:id="116" w:name="_Toc28572"/>
      <w:bookmarkStart w:id="117" w:name="_Toc14991"/>
      <w:bookmarkStart w:id="118" w:name="_Toc10503"/>
      <w:bookmarkStart w:id="119" w:name="_Toc4119"/>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15.5.1  </w:t>
      </w:r>
      <w:r>
        <w:rPr>
          <w:rFonts w:hint="eastAsia" w:ascii="宋体" w:hAnsi="宋体" w:eastAsia="宋体" w:cs="宋体"/>
          <w:color w:val="000000" w:themeColor="text1"/>
          <w:spacing w:val="-3"/>
          <w:sz w:val="24"/>
          <w:szCs w:val="24"/>
          <w:highlight w:val="none"/>
          <w14:textFill>
            <w14:solidFill>
              <w14:schemeClr w14:val="tx1"/>
            </w14:solidFill>
          </w14:textFill>
        </w:rPr>
        <w:t>“综合评估法</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”评审程序</w:t>
      </w:r>
      <w:bookmarkEnd w:id="116"/>
      <w:bookmarkEnd w:id="117"/>
      <w:bookmarkEnd w:id="118"/>
      <w:bookmarkEnd w:id="119"/>
    </w:p>
    <w:p w14:paraId="1C11D96B">
      <w:pPr>
        <w:spacing w:before="152" w:line="329" w:lineRule="auto"/>
        <w:ind w:left="14" w:right="81" w:firstLine="47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评审内容分为商务技术和投标报价两大部分。其中，商</w:t>
      </w:r>
      <w:r>
        <w:rPr>
          <w:rFonts w:hint="eastAsia" w:ascii="宋体" w:hAnsi="宋体" w:eastAsia="宋体" w:cs="宋体"/>
          <w:color w:val="000000" w:themeColor="text1"/>
          <w:spacing w:val="-2"/>
          <w:sz w:val="24"/>
          <w:szCs w:val="24"/>
          <w:highlight w:val="none"/>
          <w14:textFill>
            <w14:solidFill>
              <w14:schemeClr w14:val="tx1"/>
            </w14:solidFill>
          </w14:textFill>
        </w:rPr>
        <w:t>务技术合计满分</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100</w:t>
      </w:r>
      <w:r>
        <w:rPr>
          <w:rFonts w:hint="eastAsia" w:ascii="宋体" w:hAnsi="宋体" w:eastAsia="宋体" w:cs="宋体"/>
          <w:color w:val="000000" w:themeColor="text1"/>
          <w:spacing w:val="-2"/>
          <w:sz w:val="24"/>
          <w:szCs w:val="24"/>
          <w:highlight w:val="none"/>
          <w14:textFill>
            <w14:solidFill>
              <w14:schemeClr w14:val="tx1"/>
            </w14:solidFill>
          </w14:textFill>
        </w:rPr>
        <w:t>分，权重</w:t>
      </w:r>
      <w:r>
        <w:rPr>
          <w:rFonts w:hint="eastAsia" w:ascii="宋体" w:hAnsi="宋体" w:eastAsia="宋体" w:cs="宋体"/>
          <w:color w:val="000000" w:themeColor="text1"/>
          <w:spacing w:val="-3"/>
          <w:sz w:val="24"/>
          <w:szCs w:val="24"/>
          <w:highlight w:val="none"/>
          <w14:textFill>
            <w14:solidFill>
              <w14:schemeClr w14:val="tx1"/>
            </w14:solidFill>
          </w14:textFill>
        </w:rPr>
        <w:t>为</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40</w:t>
      </w:r>
      <w:r>
        <w:rPr>
          <w:rFonts w:hint="eastAsia" w:ascii="宋体" w:hAnsi="宋体" w:eastAsia="宋体" w:cs="宋体"/>
          <w:color w:val="000000" w:themeColor="text1"/>
          <w:spacing w:val="-3"/>
          <w:sz w:val="24"/>
          <w:szCs w:val="24"/>
          <w:highlight w:val="none"/>
          <w14:textFill>
            <w14:solidFill>
              <w14:schemeClr w14:val="tx1"/>
            </w14:solidFill>
          </w14:textFill>
        </w:rPr>
        <w:t>%；投标报价满分</w:t>
      </w:r>
      <w:r>
        <w:rPr>
          <w:rFonts w:hint="eastAsia" w:ascii="宋体" w:hAnsi="宋体" w:eastAsia="宋体" w:cs="宋体"/>
          <w:color w:val="000000" w:themeColor="text1"/>
          <w:spacing w:val="-3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100 分，权重为</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60</w:t>
      </w:r>
      <w:r>
        <w:rPr>
          <w:rFonts w:hint="eastAsia" w:ascii="宋体" w:hAnsi="宋体" w:eastAsia="宋体" w:cs="宋体"/>
          <w:color w:val="000000" w:themeColor="text1"/>
          <w:spacing w:val="-3"/>
          <w:sz w:val="24"/>
          <w:szCs w:val="24"/>
          <w:highlight w:val="none"/>
          <w14:textFill>
            <w14:solidFill>
              <w14:schemeClr w14:val="tx1"/>
            </w14:solidFill>
          </w14:textFill>
        </w:rPr>
        <w:t>%</w:t>
      </w:r>
      <w:r>
        <w:rPr>
          <w:rFonts w:hint="eastAsia" w:ascii="宋体" w:hAnsi="宋体" w:eastAsia="宋体" w:cs="宋体"/>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。两大部分权重之和应为</w:t>
      </w:r>
      <w:r>
        <w:rPr>
          <w:rFonts w:hint="eastAsia" w:ascii="宋体" w:hAnsi="宋体" w:eastAsia="宋体" w:cs="宋体"/>
          <w:color w:val="000000" w:themeColor="text1"/>
          <w:spacing w:val="-3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100%。</w:t>
      </w:r>
    </w:p>
    <w:p w14:paraId="3ABDDFFD">
      <w:pPr>
        <w:spacing w:before="153" w:line="324" w:lineRule="auto"/>
        <w:ind w:left="14" w:right="81" w:firstLine="49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除特别注明外，综合得分以及商务技术得分、投标报价得分的中间过程计算值和</w:t>
      </w:r>
      <w:r>
        <w:rPr>
          <w:rFonts w:hint="eastAsia" w:ascii="宋体" w:hAnsi="宋体" w:eastAsia="宋体" w:cs="宋体"/>
          <w:color w:val="000000" w:themeColor="text1"/>
          <w:spacing w:val="-4"/>
          <w:sz w:val="24"/>
          <w:szCs w:val="24"/>
          <w:highlight w:val="none"/>
          <w14:textFill>
            <w14:solidFill>
              <w14:schemeClr w14:val="tx1"/>
            </w14:solidFill>
          </w14:textFill>
        </w:rPr>
        <w:t>最终值，均按“</w:t>
      </w:r>
      <w:r>
        <w:rPr>
          <w:rFonts w:hint="eastAsia" w:ascii="宋体" w:hAnsi="宋体" w:eastAsia="宋体" w:cs="宋体"/>
          <w:color w:val="000000" w:themeColor="text1"/>
          <w:spacing w:val="-7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四舍五入</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”原则精确到两位小数。</w:t>
      </w:r>
    </w:p>
    <w:p w14:paraId="11F14EEB">
      <w:pPr>
        <w:spacing w:before="38" w:line="220" w:lineRule="auto"/>
        <w:ind w:left="503"/>
        <w:outlineLvl w:val="9"/>
        <w:rPr>
          <w:rFonts w:hint="eastAsia" w:ascii="宋体" w:hAnsi="宋体" w:eastAsia="宋体" w:cs="宋体"/>
          <w:color w:val="000000" w:themeColor="text1"/>
          <w:sz w:val="24"/>
          <w:szCs w:val="24"/>
          <w:highlight w:val="none"/>
          <w14:textFill>
            <w14:solidFill>
              <w14:schemeClr w14:val="tx1"/>
            </w14:solidFill>
          </w14:textFill>
        </w:rPr>
      </w:pPr>
      <w:bookmarkStart w:id="120" w:name="_Toc10398"/>
      <w:bookmarkStart w:id="121" w:name="_Toc22949"/>
      <w:bookmarkStart w:id="122" w:name="_Toc17510"/>
      <w:bookmarkStart w:id="123" w:name="_Toc18029"/>
      <w:r>
        <w:rPr>
          <w:rFonts w:hint="eastAsia" w:ascii="宋体" w:hAnsi="宋体" w:eastAsia="宋体" w:cs="宋体"/>
          <w:color w:val="000000" w:themeColor="text1"/>
          <w:spacing w:val="-3"/>
          <w:sz w:val="24"/>
          <w:szCs w:val="24"/>
          <w:highlight w:val="none"/>
          <w14:textFill>
            <w14:solidFill>
              <w14:schemeClr w14:val="tx1"/>
            </w14:solidFill>
          </w14:textFill>
        </w:rPr>
        <w:t>（1）商务技术得分</w:t>
      </w:r>
      <w:r>
        <w:rPr>
          <w:rFonts w:hint="eastAsia" w:ascii="宋体" w:hAnsi="宋体" w:eastAsia="宋体" w:cs="宋体"/>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M</w:t>
      </w:r>
      <w:bookmarkEnd w:id="120"/>
      <w:bookmarkEnd w:id="121"/>
      <w:bookmarkEnd w:id="122"/>
      <w:bookmarkEnd w:id="123"/>
    </w:p>
    <w:p w14:paraId="7F4E18BB">
      <w:pPr>
        <w:spacing w:before="153" w:line="279" w:lineRule="auto"/>
        <w:ind w:left="15" w:right="81" w:firstLine="47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a</w:t>
      </w:r>
      <w:r>
        <w:rPr>
          <w:rFonts w:hint="eastAsia" w:ascii="宋体" w:hAnsi="宋体" w:eastAsia="宋体" w:cs="宋体"/>
          <w:b/>
          <w:bCs/>
          <w:color w:val="000000" w:themeColor="text1"/>
          <w:spacing w:val="-2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．评标委员会按照《综合评分表》商务部分指定的评分标准对各评分因素进行</w:t>
      </w:r>
      <w:r>
        <w:rPr>
          <w:rFonts w:hint="eastAsia" w:ascii="宋体" w:hAnsi="宋体" w:eastAsia="宋体" w:cs="宋体"/>
          <w:color w:val="000000" w:themeColor="text1"/>
          <w:spacing w:val="-1"/>
          <w:sz w:val="24"/>
          <w:szCs w:val="24"/>
          <w:highlight w:val="none"/>
          <w14:textFill>
            <w14:solidFill>
              <w14:schemeClr w14:val="tx1"/>
            </w14:solidFill>
          </w14:textFill>
        </w:rPr>
        <w:t>打分。各评分因素得分之和即为某投标人的商务得分</w:t>
      </w:r>
      <w:r>
        <w:rPr>
          <w:rFonts w:hint="eastAsia" w:ascii="宋体" w:hAnsi="宋体" w:eastAsia="宋体" w:cs="宋体"/>
          <w:color w:val="000000" w:themeColor="text1"/>
          <w:spacing w:val="-4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M</w:t>
      </w:r>
      <w:r>
        <w:rPr>
          <w:rFonts w:hint="eastAsia" w:ascii="宋体" w:hAnsi="宋体" w:eastAsia="宋体" w:cs="宋体"/>
          <w:color w:val="000000" w:themeColor="text1"/>
          <w:spacing w:val="-1"/>
          <w:position w:val="-1"/>
          <w:sz w:val="15"/>
          <w:szCs w:val="15"/>
          <w:highlight w:val="none"/>
          <w14:textFill>
            <w14:solidFill>
              <w14:schemeClr w14:val="tx1"/>
            </w14:solidFill>
          </w14:textFill>
        </w:rPr>
        <w:t>1</w:t>
      </w:r>
      <w:r>
        <w:rPr>
          <w:rFonts w:hint="eastAsia" w:ascii="宋体" w:hAnsi="宋体" w:eastAsia="宋体" w:cs="宋体"/>
          <w:color w:val="000000" w:themeColor="text1"/>
          <w:spacing w:val="-1"/>
          <w:sz w:val="24"/>
          <w:szCs w:val="24"/>
          <w:highlight w:val="none"/>
          <w14:textFill>
            <w14:solidFill>
              <w14:schemeClr w14:val="tx1"/>
            </w14:solidFill>
          </w14:textFill>
        </w:rPr>
        <w:t>。</w:t>
      </w:r>
    </w:p>
    <w:p w14:paraId="20931295">
      <w:pPr>
        <w:spacing w:before="154" w:line="299" w:lineRule="auto"/>
        <w:ind w:left="12" w:right="81" w:firstLine="47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b</w:t>
      </w:r>
      <w:r>
        <w:rPr>
          <w:rFonts w:hint="eastAsia" w:ascii="宋体" w:hAnsi="宋体" w:eastAsia="宋体" w:cs="宋体"/>
          <w:b/>
          <w:bCs/>
          <w:color w:val="000000" w:themeColor="text1"/>
          <w:spacing w:val="-2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．评标委员会各成员独立按照《综合评分表》技术部分（施工组织设</w:t>
      </w:r>
      <w:r>
        <w:rPr>
          <w:rFonts w:hint="eastAsia" w:ascii="宋体" w:hAnsi="宋体" w:eastAsia="宋体" w:cs="宋体"/>
          <w:color w:val="000000" w:themeColor="text1"/>
          <w:sz w:val="24"/>
          <w:szCs w:val="24"/>
          <w:highlight w:val="none"/>
          <w14:textFill>
            <w14:solidFill>
              <w14:schemeClr w14:val="tx1"/>
            </w14:solidFill>
          </w14:textFill>
        </w:rPr>
        <w:t>计）指定</w:t>
      </w:r>
      <w:r>
        <w:rPr>
          <w:rFonts w:hint="eastAsia" w:ascii="宋体" w:hAnsi="宋体" w:eastAsia="宋体" w:cs="宋体"/>
          <w:color w:val="000000" w:themeColor="text1"/>
          <w:spacing w:val="-1"/>
          <w:sz w:val="24"/>
          <w:szCs w:val="24"/>
          <w:highlight w:val="none"/>
          <w14:textFill>
            <w14:solidFill>
              <w14:schemeClr w14:val="tx1"/>
            </w14:solidFill>
          </w14:textFill>
        </w:rPr>
        <w:t>的评分标准对各评分因素进行打分，累加后得出技术评分。</w:t>
      </w:r>
      <w:r>
        <w:rPr>
          <w:rFonts w:hint="eastAsia" w:ascii="宋体" w:hAnsi="宋体" w:eastAsia="宋体" w:cs="宋体"/>
          <w:color w:val="000000" w:themeColor="text1"/>
          <w:spacing w:val="-2"/>
          <w:sz w:val="24"/>
          <w:szCs w:val="24"/>
          <w:highlight w:val="none"/>
          <w14:textFill>
            <w14:solidFill>
              <w14:schemeClr w14:val="tx1"/>
            </w14:solidFill>
          </w14:textFill>
        </w:rPr>
        <w:t>将评标委员会所有成员的</w:t>
      </w:r>
      <w:r>
        <w:rPr>
          <w:rFonts w:hint="eastAsia" w:ascii="宋体" w:hAnsi="宋体" w:eastAsia="宋体" w:cs="宋体"/>
          <w:color w:val="000000" w:themeColor="text1"/>
          <w:sz w:val="24"/>
          <w:szCs w:val="24"/>
          <w:highlight w:val="none"/>
          <w14:textFill>
            <w14:solidFill>
              <w14:schemeClr w14:val="tx1"/>
            </w14:solidFill>
          </w14:textFill>
        </w:rPr>
        <w:t xml:space="preserve"> 技术评分去掉最高分和最低分后，取算术平均值，即</w:t>
      </w:r>
      <w:r>
        <w:rPr>
          <w:rFonts w:hint="eastAsia" w:ascii="宋体" w:hAnsi="宋体" w:eastAsia="宋体" w:cs="宋体"/>
          <w:color w:val="000000" w:themeColor="text1"/>
          <w:spacing w:val="-1"/>
          <w:sz w:val="24"/>
          <w:szCs w:val="24"/>
          <w:highlight w:val="none"/>
          <w14:textFill>
            <w14:solidFill>
              <w14:schemeClr w14:val="tx1"/>
            </w14:solidFill>
          </w14:textFill>
        </w:rPr>
        <w:t>为某投标人的技术得分</w:t>
      </w:r>
      <w:r>
        <w:rPr>
          <w:rFonts w:hint="eastAsia" w:ascii="宋体" w:hAnsi="宋体" w:eastAsia="宋体" w:cs="宋体"/>
          <w:color w:val="000000" w:themeColor="text1"/>
          <w:spacing w:val="-5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M</w:t>
      </w:r>
      <w:r>
        <w:rPr>
          <w:rFonts w:hint="eastAsia" w:ascii="宋体" w:hAnsi="宋体" w:eastAsia="宋体" w:cs="宋体"/>
          <w:color w:val="000000" w:themeColor="text1"/>
          <w:spacing w:val="-1"/>
          <w:position w:val="-1"/>
          <w:sz w:val="15"/>
          <w:szCs w:val="15"/>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14:textFill>
            <w14:solidFill>
              <w14:schemeClr w14:val="tx1"/>
            </w14:solidFill>
          </w14:textFill>
        </w:rPr>
        <w:t>。</w:t>
      </w:r>
    </w:p>
    <w:p w14:paraId="0C018EDE">
      <w:pPr>
        <w:spacing w:before="155" w:line="231" w:lineRule="auto"/>
        <w:ind w:left="491"/>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b/>
          <w:bCs/>
          <w:color w:val="000000" w:themeColor="text1"/>
          <w:spacing w:val="-12"/>
          <w:sz w:val="24"/>
          <w:szCs w:val="24"/>
          <w:highlight w:val="none"/>
          <w14:textFill>
            <w14:solidFill>
              <w14:schemeClr w14:val="tx1"/>
            </w14:solidFill>
          </w14:textFill>
        </w:rPr>
        <w:t>c</w:t>
      </w:r>
      <w:r>
        <w:rPr>
          <w:rFonts w:hint="eastAsia" w:ascii="宋体" w:hAnsi="宋体" w:eastAsia="宋体" w:cs="宋体"/>
          <w:b/>
          <w:bCs/>
          <w:color w:val="000000" w:themeColor="text1"/>
          <w:spacing w:val="-2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14:textFill>
            <w14:solidFill>
              <w14:schemeClr w14:val="tx1"/>
            </w14:solidFill>
          </w14:textFill>
        </w:rPr>
        <w:t>．M</w:t>
      </w:r>
      <w:r>
        <w:rPr>
          <w:rFonts w:hint="eastAsia" w:ascii="宋体" w:hAnsi="宋体" w:eastAsia="宋体" w:cs="宋体"/>
          <w:color w:val="000000" w:themeColor="text1"/>
          <w:spacing w:val="-2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14:textFill>
            <w14:solidFill>
              <w14:schemeClr w14:val="tx1"/>
            </w14:solidFill>
          </w14:textFill>
        </w:rPr>
        <w:t>＝M</w:t>
      </w:r>
      <w:r>
        <w:rPr>
          <w:rFonts w:hint="eastAsia" w:ascii="宋体" w:hAnsi="宋体" w:eastAsia="宋体" w:cs="宋体"/>
          <w:color w:val="000000" w:themeColor="text1"/>
          <w:spacing w:val="-12"/>
          <w:position w:val="-1"/>
          <w:sz w:val="15"/>
          <w:szCs w:val="15"/>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＋M</w:t>
      </w:r>
      <w:r>
        <w:rPr>
          <w:rFonts w:hint="eastAsia" w:ascii="宋体" w:hAnsi="宋体" w:eastAsia="宋体" w:cs="宋体"/>
          <w:color w:val="000000" w:themeColor="text1"/>
          <w:position w:val="-1"/>
          <w:sz w:val="15"/>
          <w:szCs w:val="15"/>
          <w:highlight w:val="none"/>
          <w14:textFill>
            <w14:solidFill>
              <w14:schemeClr w14:val="tx1"/>
            </w14:solidFill>
          </w14:textFill>
        </w:rPr>
        <w:t>2</w:t>
      </w:r>
    </w:p>
    <w:p w14:paraId="277B94CD">
      <w:pPr>
        <w:spacing w:before="139" w:line="220" w:lineRule="auto"/>
        <w:ind w:left="4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式中：M</w:t>
      </w:r>
      <w:r>
        <w:rPr>
          <w:rFonts w:hint="eastAsia" w:ascii="宋体" w:hAnsi="宋体" w:eastAsia="宋体" w:cs="宋体"/>
          <w:color w:val="000000" w:themeColor="text1"/>
          <w:spacing w:val="-1"/>
          <w:position w:val="-1"/>
          <w:sz w:val="15"/>
          <w:szCs w:val="15"/>
          <w:highlight w:val="none"/>
          <w14:textFill>
            <w14:solidFill>
              <w14:schemeClr w14:val="tx1"/>
            </w14:solidFill>
          </w14:textFill>
        </w:rPr>
        <w:t>1</w:t>
      </w:r>
      <w:r>
        <w:rPr>
          <w:rFonts w:hint="eastAsia" w:ascii="宋体" w:hAnsi="宋体" w:eastAsia="宋体" w:cs="宋体"/>
          <w:color w:val="000000" w:themeColor="text1"/>
          <w:spacing w:val="12"/>
          <w:w w:val="101"/>
          <w:position w:val="-1"/>
          <w:sz w:val="15"/>
          <w:szCs w:val="15"/>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为某投标人的商务得分，M</w:t>
      </w:r>
      <w:r>
        <w:rPr>
          <w:rFonts w:hint="eastAsia" w:ascii="宋体" w:hAnsi="宋体" w:eastAsia="宋体" w:cs="宋体"/>
          <w:color w:val="000000" w:themeColor="text1"/>
          <w:spacing w:val="-1"/>
          <w:position w:val="-1"/>
          <w:sz w:val="15"/>
          <w:szCs w:val="15"/>
          <w:highlight w:val="none"/>
          <w14:textFill>
            <w14:solidFill>
              <w14:schemeClr w14:val="tx1"/>
            </w14:solidFill>
          </w14:textFill>
        </w:rPr>
        <w:t>2</w:t>
      </w:r>
      <w:r>
        <w:rPr>
          <w:rFonts w:hint="eastAsia" w:ascii="宋体" w:hAnsi="宋体" w:eastAsia="宋体" w:cs="宋体"/>
          <w:color w:val="000000" w:themeColor="text1"/>
          <w:spacing w:val="12"/>
          <w:position w:val="-1"/>
          <w:sz w:val="15"/>
          <w:szCs w:val="15"/>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为某投标人的</w:t>
      </w:r>
      <w:r>
        <w:rPr>
          <w:rFonts w:hint="eastAsia" w:ascii="宋体" w:hAnsi="宋体" w:eastAsia="宋体" w:cs="宋体"/>
          <w:color w:val="000000" w:themeColor="text1"/>
          <w:spacing w:val="-2"/>
          <w:sz w:val="24"/>
          <w:szCs w:val="24"/>
          <w:highlight w:val="none"/>
          <w14:textFill>
            <w14:solidFill>
              <w14:schemeClr w14:val="tx1"/>
            </w14:solidFill>
          </w14:textFill>
        </w:rPr>
        <w:t>技术得分。</w:t>
      </w:r>
    </w:p>
    <w:p w14:paraId="6B037580">
      <w:pPr>
        <w:spacing w:before="153" w:line="219" w:lineRule="auto"/>
        <w:ind w:left="503"/>
        <w:outlineLvl w:val="9"/>
        <w:rPr>
          <w:rFonts w:hint="eastAsia" w:ascii="宋体" w:hAnsi="宋体" w:eastAsia="宋体" w:cs="宋体"/>
          <w:color w:val="000000" w:themeColor="text1"/>
          <w:sz w:val="24"/>
          <w:szCs w:val="24"/>
          <w:highlight w:val="none"/>
          <w14:textFill>
            <w14:solidFill>
              <w14:schemeClr w14:val="tx1"/>
            </w14:solidFill>
          </w14:textFill>
        </w:rPr>
      </w:pPr>
      <w:bookmarkStart w:id="124" w:name="_Toc16136"/>
      <w:bookmarkStart w:id="125" w:name="_Toc27609"/>
      <w:bookmarkStart w:id="126" w:name="_Toc14059"/>
      <w:bookmarkStart w:id="127" w:name="_Toc3958"/>
      <w:r>
        <w:rPr>
          <w:rFonts w:hint="eastAsia" w:ascii="宋体" w:hAnsi="宋体" w:eastAsia="宋体" w:cs="宋体"/>
          <w:color w:val="000000" w:themeColor="text1"/>
          <w:spacing w:val="-2"/>
          <w:sz w:val="24"/>
          <w:szCs w:val="24"/>
          <w:highlight w:val="none"/>
          <w14:textFill>
            <w14:solidFill>
              <w14:schemeClr w14:val="tx1"/>
            </w14:solidFill>
          </w14:textFill>
        </w:rPr>
        <w:t>（2）投标报价得分</w:t>
      </w:r>
      <w:r>
        <w:rPr>
          <w:rFonts w:hint="eastAsia" w:ascii="宋体" w:hAnsi="宋体" w:eastAsia="宋体" w:cs="宋体"/>
          <w:color w:val="000000" w:themeColor="text1"/>
          <w:spacing w:val="-6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N</w:t>
      </w:r>
      <w:bookmarkEnd w:id="124"/>
      <w:bookmarkEnd w:id="125"/>
      <w:bookmarkEnd w:id="126"/>
      <w:bookmarkEnd w:id="127"/>
    </w:p>
    <w:p w14:paraId="1BB7535A">
      <w:pPr>
        <w:spacing w:before="157" w:line="219" w:lineRule="auto"/>
        <w:ind w:firstLine="47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a</w:t>
      </w:r>
      <w:r>
        <w:rPr>
          <w:rFonts w:hint="eastAsia" w:ascii="宋体" w:hAnsi="宋体" w:eastAsia="宋体" w:cs="宋体"/>
          <w:b/>
          <w:bCs/>
          <w:color w:val="000000" w:themeColor="text1"/>
          <w:spacing w:val="-2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．评标委员会按照《综合评分表》投标报价部分指定的方法计</w:t>
      </w:r>
      <w:r>
        <w:rPr>
          <w:rFonts w:hint="eastAsia" w:ascii="宋体" w:hAnsi="宋体" w:eastAsia="宋体" w:cs="宋体"/>
          <w:color w:val="000000" w:themeColor="text1"/>
          <w:spacing w:val="-4"/>
          <w:sz w:val="24"/>
          <w:szCs w:val="24"/>
          <w:highlight w:val="none"/>
          <w14:textFill>
            <w14:solidFill>
              <w14:schemeClr w14:val="tx1"/>
            </w14:solidFill>
          </w14:textFill>
        </w:rPr>
        <w:t>算评标基准价</w:t>
      </w:r>
      <w:r>
        <w:rPr>
          <w:rFonts w:hint="eastAsia" w:ascii="宋体" w:hAnsi="宋体" w:eastAsia="宋体" w:cs="宋体"/>
          <w:color w:val="000000" w:themeColor="text1"/>
          <w:spacing w:val="-5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D。</w:t>
      </w:r>
    </w:p>
    <w:p w14:paraId="58AA9DB6">
      <w:pPr>
        <w:spacing w:before="155" w:line="299" w:lineRule="auto"/>
        <w:ind w:left="12" w:right="83" w:firstLine="47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b</w:t>
      </w:r>
      <w:r>
        <w:rPr>
          <w:rFonts w:hint="eastAsia" w:ascii="宋体" w:hAnsi="宋体" w:eastAsia="宋体" w:cs="宋体"/>
          <w:b/>
          <w:bCs/>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．采用内插法计算某投标人的投标报价得分</w:t>
      </w:r>
      <w:r>
        <w:rPr>
          <w:rFonts w:hint="eastAsia" w:ascii="宋体" w:hAnsi="宋体" w:eastAsia="宋体" w:cs="宋体"/>
          <w:color w:val="000000" w:themeColor="text1"/>
          <w:spacing w:val="-6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N</w:t>
      </w:r>
      <w:r>
        <w:rPr>
          <w:rFonts w:hint="eastAsia" w:ascii="宋体" w:hAnsi="宋体" w:eastAsia="宋体" w:cs="宋体"/>
          <w:color w:val="000000" w:themeColor="text1"/>
          <w:spacing w:val="-32"/>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，即当投标人的投标总价等于评</w:t>
      </w:r>
      <w:r>
        <w:rPr>
          <w:rFonts w:hint="eastAsia" w:ascii="宋体" w:hAnsi="宋体" w:eastAsia="宋体" w:cs="宋体"/>
          <w:color w:val="000000" w:themeColor="text1"/>
          <w:spacing w:val="-1"/>
          <w:sz w:val="24"/>
          <w:szCs w:val="24"/>
          <w:highlight w:val="none"/>
          <w14:textFill>
            <w14:solidFill>
              <w14:schemeClr w14:val="tx1"/>
            </w14:solidFill>
          </w14:textFill>
        </w:rPr>
        <w:t>标基准价时得</w:t>
      </w:r>
      <w:r>
        <w:rPr>
          <w:rFonts w:hint="eastAsia" w:ascii="宋体" w:hAnsi="宋体" w:eastAsia="宋体" w:cs="宋体"/>
          <w:color w:val="000000" w:themeColor="text1"/>
          <w:spacing w:val="-3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100</w:t>
      </w:r>
      <w:r>
        <w:rPr>
          <w:rFonts w:hint="eastAsia" w:ascii="宋体" w:hAnsi="宋体" w:eastAsia="宋体" w:cs="宋体"/>
          <w:color w:val="000000" w:themeColor="text1"/>
          <w:spacing w:val="1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分，每高于评标基准价一个百分点扣</w:t>
      </w:r>
      <w:r>
        <w:rPr>
          <w:rFonts w:hint="eastAsia" w:ascii="宋体" w:hAnsi="宋体" w:eastAsia="宋体" w:cs="宋体"/>
          <w:color w:val="000000" w:themeColor="text1"/>
          <w:spacing w:val="-44"/>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 分,  </w:t>
      </w:r>
      <w:r>
        <w:rPr>
          <w:rFonts w:hint="eastAsia" w:ascii="宋体" w:hAnsi="宋体" w:eastAsia="宋体" w:cs="宋体"/>
          <w:color w:val="000000" w:themeColor="text1"/>
          <w:spacing w:val="-2"/>
          <w:sz w:val="24"/>
          <w:szCs w:val="24"/>
          <w:highlight w:val="none"/>
          <w14:textFill>
            <w14:solidFill>
              <w14:schemeClr w14:val="tx1"/>
            </w14:solidFill>
          </w14:textFill>
        </w:rPr>
        <w:t>每低于评标基准价一个百分点扣</w:t>
      </w:r>
      <w:r>
        <w:rPr>
          <w:rFonts w:hint="eastAsia" w:ascii="宋体" w:hAnsi="宋体" w:eastAsia="宋体" w:cs="宋体"/>
          <w:color w:val="000000" w:themeColor="text1"/>
          <w:spacing w:val="-34"/>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14:textFill>
            <w14:solidFill>
              <w14:schemeClr w14:val="tx1"/>
            </w14:solidFill>
          </w14:textFill>
        </w:rPr>
        <w:t>0.5 分</w:t>
      </w:r>
      <w:r>
        <w:rPr>
          <w:rFonts w:hint="eastAsia" w:ascii="宋体" w:hAnsi="宋体" w:eastAsia="宋体" w:cs="宋体"/>
          <w:color w:val="000000" w:themeColor="text1"/>
          <w:spacing w:val="-2"/>
          <w:sz w:val="24"/>
          <w:szCs w:val="24"/>
          <w:highlight w:val="none"/>
          <w14:textFill>
            <w14:solidFill>
              <w14:schemeClr w14:val="tx1"/>
            </w14:solidFill>
          </w14:textFill>
        </w:rPr>
        <w:t>，扣完为止。公式如下：</w:t>
      </w:r>
    </w:p>
    <w:p w14:paraId="232F1429">
      <w:pPr>
        <w:spacing w:before="118" w:line="333" w:lineRule="exact"/>
        <w:ind w:left="241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position w:val="3"/>
          <w:sz w:val="24"/>
          <w:szCs w:val="24"/>
          <w:highlight w:val="none"/>
          <w14:textFill>
            <w14:solidFill>
              <w14:schemeClr w14:val="tx1"/>
            </w14:solidFill>
          </w14:textFill>
        </w:rPr>
        <w:t>N</w:t>
      </w:r>
      <w:r>
        <w:rPr>
          <w:rFonts w:hint="eastAsia" w:ascii="宋体" w:hAnsi="宋体" w:eastAsia="宋体" w:cs="宋体"/>
          <w:color w:val="000000" w:themeColor="text1"/>
          <w:spacing w:val="-27"/>
          <w:position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position w:val="3"/>
          <w:sz w:val="24"/>
          <w:szCs w:val="24"/>
          <w:highlight w:val="none"/>
          <w14:textFill>
            <w14:solidFill>
              <w14:schemeClr w14:val="tx1"/>
            </w14:solidFill>
          </w14:textFill>
        </w:rPr>
        <w:t>＝100</w:t>
      </w:r>
      <w:r>
        <w:rPr>
          <w:rFonts w:hint="eastAsia" w:ascii="宋体" w:hAnsi="宋体" w:eastAsia="宋体" w:cs="宋体"/>
          <w:color w:val="000000" w:themeColor="text1"/>
          <w:spacing w:val="-12"/>
          <w:position w:val="3"/>
          <w:sz w:val="24"/>
          <w:szCs w:val="24"/>
          <w:highlight w:val="none"/>
          <w14:textFill>
            <w14:solidFill>
              <w14:schemeClr w14:val="tx1"/>
            </w14:solidFill>
          </w14:textFill>
        </w:rPr>
        <w:t>－（</w:t>
      </w:r>
      <w:r>
        <w:rPr>
          <w:rFonts w:hint="eastAsia" w:ascii="宋体" w:hAnsi="宋体" w:eastAsia="宋体" w:cs="宋体"/>
          <w:color w:val="000000" w:themeColor="text1"/>
          <w:spacing w:val="-6"/>
          <w:position w:val="3"/>
          <w:sz w:val="24"/>
          <w:szCs w:val="24"/>
          <w:highlight w:val="none"/>
          <w14:textFill>
            <w14:solidFill>
              <w14:schemeClr w14:val="tx1"/>
            </w14:solidFill>
          </w14:textFill>
        </w:rPr>
        <w:t>|  Di－D</w:t>
      </w:r>
      <w:r>
        <w:rPr>
          <w:rFonts w:hint="eastAsia" w:ascii="宋体" w:hAnsi="宋体" w:eastAsia="宋体" w:cs="宋体"/>
          <w:color w:val="000000" w:themeColor="text1"/>
          <w:spacing w:val="9"/>
          <w:position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position w:val="3"/>
          <w:sz w:val="24"/>
          <w:szCs w:val="24"/>
          <w:highlight w:val="none"/>
          <w14:textFill>
            <w14:solidFill>
              <w14:schemeClr w14:val="tx1"/>
            </w14:solidFill>
          </w14:textFill>
        </w:rPr>
        <w:t>|</w:t>
      </w:r>
      <w:r>
        <w:rPr>
          <w:rFonts w:hint="eastAsia" w:ascii="宋体" w:hAnsi="宋体" w:eastAsia="宋体" w:cs="宋体"/>
          <w:color w:val="000000" w:themeColor="text1"/>
          <w:spacing w:val="17"/>
          <w:position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position w:val="3"/>
          <w:sz w:val="24"/>
          <w:szCs w:val="24"/>
          <w:highlight w:val="none"/>
          <w14:textFill>
            <w14:solidFill>
              <w14:schemeClr w14:val="tx1"/>
            </w14:solidFill>
          </w14:textFill>
        </w:rPr>
        <w:t>÷D）</w:t>
      </w:r>
      <w:r>
        <w:rPr>
          <w:rFonts w:hint="eastAsia" w:ascii="宋体" w:hAnsi="宋体" w:eastAsia="宋体" w:cs="宋体"/>
          <w:color w:val="000000" w:themeColor="text1"/>
          <w:spacing w:val="-75"/>
          <w:position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position w:val="3"/>
          <w:sz w:val="24"/>
          <w:szCs w:val="24"/>
          <w:highlight w:val="none"/>
          <w14:textFill>
            <w14:solidFill>
              <w14:schemeClr w14:val="tx1"/>
            </w14:solidFill>
          </w14:textFill>
        </w:rPr>
        <w:t>×</w:t>
      </w:r>
      <w:r>
        <w:rPr>
          <w:rFonts w:hint="eastAsia" w:ascii="宋体" w:hAnsi="宋体" w:eastAsia="宋体" w:cs="宋体"/>
          <w:color w:val="000000" w:themeColor="text1"/>
          <w:spacing w:val="-92"/>
          <w:position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position w:val="3"/>
          <w:sz w:val="24"/>
          <w:szCs w:val="24"/>
          <w:highlight w:val="none"/>
          <w14:textFill>
            <w14:solidFill>
              <w14:schemeClr w14:val="tx1"/>
            </w14:solidFill>
          </w14:textFill>
        </w:rPr>
        <w:t>100×E</w:t>
      </w:r>
    </w:p>
    <w:p w14:paraId="6B667673">
      <w:pPr>
        <w:spacing w:before="106" w:line="316" w:lineRule="auto"/>
        <w:ind w:left="7" w:right="17" w:firstLine="4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式中：D 为评标基准价；Di</w:t>
      </w:r>
      <w:r>
        <w:rPr>
          <w:rFonts w:hint="eastAsia" w:ascii="宋体" w:hAnsi="宋体" w:eastAsia="宋体" w:cs="宋体"/>
          <w:color w:val="000000" w:themeColor="text1"/>
          <w:spacing w:val="1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为某投标人的投标总价；E</w:t>
      </w:r>
      <w:r>
        <w:rPr>
          <w:rFonts w:hint="eastAsia" w:ascii="宋体" w:hAnsi="宋体" w:eastAsia="宋体" w:cs="宋体"/>
          <w:color w:val="000000" w:themeColor="text1"/>
          <w:spacing w:val="1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为扣分因子，当</w:t>
      </w:r>
      <w:r>
        <w:rPr>
          <w:rFonts w:hint="eastAsia" w:ascii="宋体" w:hAnsi="宋体" w:eastAsia="宋体" w:cs="宋体"/>
          <w:color w:val="000000" w:themeColor="text1"/>
          <w:spacing w:val="-5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Di＞D</w:t>
      </w:r>
      <w:r>
        <w:rPr>
          <w:rFonts w:hint="eastAsia" w:ascii="宋体" w:hAnsi="宋体" w:eastAsia="宋体" w:cs="宋体"/>
          <w:color w:val="000000" w:themeColor="text1"/>
          <w:spacing w:val="22"/>
          <w:w w:val="10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E</w:t>
      </w:r>
      <w:r>
        <w:rPr>
          <w:rFonts w:hint="eastAsia" w:ascii="宋体" w:hAnsi="宋体" w:eastAsia="宋体" w:cs="宋体"/>
          <w:color w:val="000000" w:themeColor="text1"/>
          <w:spacing w:val="-2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w:t>
      </w:r>
      <w:r>
        <w:rPr>
          <w:rFonts w:hint="eastAsia" w:ascii="宋体" w:hAnsi="宋体" w:eastAsia="宋体" w:cs="宋体"/>
          <w:b/>
          <w:bCs/>
          <w:color w:val="000000" w:themeColor="text1"/>
          <w:spacing w:val="-8"/>
          <w:sz w:val="24"/>
          <w:szCs w:val="24"/>
          <w:highlight w:val="none"/>
          <w14:textFill>
            <w14:solidFill>
              <w14:schemeClr w14:val="tx1"/>
            </w14:solidFill>
          </w14:textFill>
        </w:rPr>
        <w:t>1</w:t>
      </w:r>
      <w:r>
        <w:rPr>
          <w:rFonts w:hint="eastAsia" w:ascii="宋体" w:hAnsi="宋体" w:eastAsia="宋体" w:cs="宋体"/>
          <w:b/>
          <w:bCs/>
          <w:color w:val="000000" w:themeColor="text1"/>
          <w:spacing w:val="-30"/>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14:textFill>
            <w14:solidFill>
              <w14:schemeClr w14:val="tx1"/>
            </w14:solidFill>
          </w14:textFill>
        </w:rPr>
        <w:t>；</w:t>
      </w:r>
      <w:r>
        <w:rPr>
          <w:rFonts w:hint="eastAsia" w:ascii="宋体" w:hAnsi="宋体" w:eastAsia="宋体" w:cs="宋体"/>
          <w:color w:val="000000" w:themeColor="text1"/>
          <w:spacing w:val="-8"/>
          <w:sz w:val="24"/>
          <w:szCs w:val="24"/>
          <w:highlight w:val="none"/>
          <w14:textFill>
            <w14:solidFill>
              <w14:schemeClr w14:val="tx1"/>
            </w14:solidFill>
          </w14:textFill>
        </w:rPr>
        <w:t>当</w:t>
      </w:r>
      <w:r>
        <w:rPr>
          <w:rFonts w:hint="eastAsia" w:ascii="宋体" w:hAnsi="宋体" w:eastAsia="宋体" w:cs="宋体"/>
          <w:color w:val="000000" w:themeColor="text1"/>
          <w:spacing w:val="-5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Di＜D</w:t>
      </w:r>
      <w:r>
        <w:rPr>
          <w:rFonts w:hint="eastAsia" w:ascii="宋体" w:hAnsi="宋体" w:eastAsia="宋体" w:cs="宋体"/>
          <w:color w:val="000000" w:themeColor="text1"/>
          <w:spacing w:val="20"/>
          <w:w w:val="10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时，E</w:t>
      </w:r>
      <w:r>
        <w:rPr>
          <w:rFonts w:hint="eastAsia" w:ascii="宋体" w:hAnsi="宋体" w:eastAsia="宋体" w:cs="宋体"/>
          <w:color w:val="000000" w:themeColor="text1"/>
          <w:spacing w:val="-27"/>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14:textFill>
            <w14:solidFill>
              <w14:schemeClr w14:val="tx1"/>
            </w14:solidFill>
          </w14:textFill>
        </w:rPr>
        <w:t>＝0.5。</w:t>
      </w:r>
    </w:p>
    <w:p w14:paraId="6F340CA9">
      <w:pPr>
        <w:spacing w:before="95" w:line="220" w:lineRule="auto"/>
        <w:ind w:left="503"/>
        <w:outlineLvl w:val="9"/>
        <w:rPr>
          <w:rFonts w:hint="eastAsia" w:ascii="宋体" w:hAnsi="宋体" w:eastAsia="宋体" w:cs="宋体"/>
          <w:color w:val="000000" w:themeColor="text1"/>
          <w:sz w:val="24"/>
          <w:szCs w:val="24"/>
          <w:highlight w:val="none"/>
          <w14:textFill>
            <w14:solidFill>
              <w14:schemeClr w14:val="tx1"/>
            </w14:solidFill>
          </w14:textFill>
        </w:rPr>
      </w:pPr>
      <w:bookmarkStart w:id="128" w:name="_Toc4990"/>
      <w:bookmarkStart w:id="129" w:name="_Toc3861"/>
      <w:bookmarkStart w:id="130" w:name="_Toc7915"/>
      <w:bookmarkStart w:id="131" w:name="_Toc576"/>
      <w:r>
        <w:rPr>
          <w:rFonts w:hint="eastAsia" w:ascii="宋体" w:hAnsi="宋体" w:eastAsia="宋体" w:cs="宋体"/>
          <w:color w:val="000000" w:themeColor="text1"/>
          <w:spacing w:val="-3"/>
          <w:sz w:val="24"/>
          <w:szCs w:val="24"/>
          <w:highlight w:val="none"/>
          <w14:textFill>
            <w14:solidFill>
              <w14:schemeClr w14:val="tx1"/>
            </w14:solidFill>
          </w14:textFill>
        </w:rPr>
        <w:t>（3）综合得分</w:t>
      </w:r>
      <w:bookmarkEnd w:id="128"/>
      <w:bookmarkEnd w:id="129"/>
      <w:bookmarkEnd w:id="130"/>
      <w:bookmarkEnd w:id="131"/>
    </w:p>
    <w:p w14:paraId="50217631">
      <w:pPr>
        <w:spacing w:before="153" w:line="220" w:lineRule="auto"/>
        <w:ind w:left="49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综合得分换算为百分制，满分</w:t>
      </w:r>
      <w:r>
        <w:rPr>
          <w:rFonts w:hint="eastAsia" w:ascii="宋体" w:hAnsi="宋体" w:eastAsia="宋体" w:cs="宋体"/>
          <w:color w:val="000000" w:themeColor="text1"/>
          <w:spacing w:val="-2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100 分，公式如下：</w:t>
      </w:r>
    </w:p>
    <w:p w14:paraId="215CB6BC">
      <w:pPr>
        <w:spacing w:before="155" w:line="324" w:lineRule="auto"/>
        <w:ind w:left="496" w:right="532" w:hanging="33"/>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综合得分＝M÷商务技术合计满分×100</w:t>
      </w:r>
      <w:r>
        <w:rPr>
          <w:rFonts w:hint="eastAsia" w:ascii="宋体" w:hAnsi="宋体" w:eastAsia="宋体" w:cs="宋体"/>
          <w:color w:val="000000" w:themeColor="text1"/>
          <w:spacing w:val="-1"/>
          <w:sz w:val="24"/>
          <w:szCs w:val="24"/>
          <w:highlight w:val="none"/>
          <w14:textFill>
            <w14:solidFill>
              <w14:schemeClr w14:val="tx1"/>
            </w14:solidFill>
          </w14:textFill>
        </w:rPr>
        <w:t>×商务技术权重＋N×投标报价权重</w:t>
      </w:r>
    </w:p>
    <w:p w14:paraId="390CA99F">
      <w:pPr>
        <w:spacing w:before="155" w:line="324" w:lineRule="auto"/>
        <w:ind w:left="496" w:right="532" w:hanging="3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式中：M 为商务技术得分，N 为投标报价得分。</w:t>
      </w:r>
    </w:p>
    <w:p w14:paraId="07CFCF80">
      <w:pPr>
        <w:spacing w:before="37" w:line="219" w:lineRule="auto"/>
        <w:ind w:left="503"/>
        <w:outlineLvl w:val="9"/>
        <w:rPr>
          <w:rFonts w:hint="eastAsia" w:ascii="宋体" w:hAnsi="宋体" w:eastAsia="宋体" w:cs="宋体"/>
          <w:color w:val="000000" w:themeColor="text1"/>
          <w:highlight w:val="none"/>
          <w14:textFill>
            <w14:solidFill>
              <w14:schemeClr w14:val="tx1"/>
            </w14:solidFill>
          </w14:textFill>
        </w:rPr>
      </w:pPr>
      <w:bookmarkStart w:id="132" w:name="_Toc30671"/>
      <w:bookmarkStart w:id="133" w:name="_Toc2885"/>
      <w:bookmarkStart w:id="134" w:name="_Toc25214"/>
      <w:bookmarkStart w:id="135" w:name="_Toc32384"/>
      <w:r>
        <w:rPr>
          <w:rFonts w:hint="eastAsia" w:ascii="宋体" w:hAnsi="宋体" w:eastAsia="宋体" w:cs="宋体"/>
          <w:color w:val="000000" w:themeColor="text1"/>
          <w:spacing w:val="2"/>
          <w:sz w:val="24"/>
          <w:szCs w:val="24"/>
          <w:highlight w:val="none"/>
          <w14:textFill>
            <w14:solidFill>
              <w14:schemeClr w14:val="tx1"/>
            </w14:solidFill>
          </w14:textFill>
        </w:rPr>
        <w:t>（4）评标委员会汇总、比较所有投标人的综合得分后，取</w:t>
      </w:r>
      <w:r>
        <w:rPr>
          <w:rFonts w:hint="eastAsia" w:ascii="宋体" w:hAnsi="宋体" w:eastAsia="宋体" w:cs="宋体"/>
          <w:color w:val="000000" w:themeColor="text1"/>
          <w:spacing w:val="1"/>
          <w:sz w:val="24"/>
          <w:szCs w:val="24"/>
          <w:highlight w:val="none"/>
          <w14:textFill>
            <w14:solidFill>
              <w14:schemeClr w14:val="tx1"/>
            </w14:solidFill>
          </w14:textFill>
        </w:rPr>
        <w:t>综合得分最高的投标</w:t>
      </w:r>
      <w:bookmarkEnd w:id="132"/>
      <w:bookmarkEnd w:id="133"/>
      <w:bookmarkEnd w:id="134"/>
      <w:bookmarkEnd w:id="135"/>
    </w:p>
    <w:p w14:paraId="24898226">
      <w:pPr>
        <w:spacing w:before="78" w:line="329" w:lineRule="auto"/>
        <w:ind w:left="276" w:right="263" w:hanging="1"/>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人为第一中标候选人，取综合得分第二、第三高的投标人</w:t>
      </w:r>
      <w:r>
        <w:rPr>
          <w:rFonts w:hint="eastAsia" w:ascii="宋体" w:hAnsi="宋体" w:eastAsia="宋体" w:cs="宋体"/>
          <w:color w:val="000000" w:themeColor="text1"/>
          <w:spacing w:val="-2"/>
          <w:sz w:val="24"/>
          <w:szCs w:val="24"/>
          <w:highlight w:val="none"/>
          <w14:textFill>
            <w14:solidFill>
              <w14:schemeClr w14:val="tx1"/>
            </w14:solidFill>
          </w14:textFill>
        </w:rPr>
        <w:t>为第二、第三中标候选人。</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如果最高综合得分相同，取投标总价低者为第一中标</w:t>
      </w:r>
      <w:r>
        <w:rPr>
          <w:rFonts w:hint="eastAsia" w:ascii="宋体" w:hAnsi="宋体" w:eastAsia="宋体" w:cs="宋体"/>
          <w:color w:val="000000" w:themeColor="text1"/>
          <w:spacing w:val="-2"/>
          <w:sz w:val="24"/>
          <w:szCs w:val="24"/>
          <w:highlight w:val="none"/>
          <w14:textFill>
            <w14:solidFill>
              <w14:schemeClr w14:val="tx1"/>
            </w14:solidFill>
          </w14:textFill>
        </w:rPr>
        <w:t>候选人，并依此确定第二、第三</w:t>
      </w:r>
      <w:r>
        <w:rPr>
          <w:rFonts w:hint="eastAsia" w:ascii="宋体" w:hAnsi="宋体" w:eastAsia="宋体" w:cs="宋体"/>
          <w:color w:val="000000" w:themeColor="text1"/>
          <w:sz w:val="24"/>
          <w:szCs w:val="24"/>
          <w:highlight w:val="none"/>
          <w14:textFill>
            <w14:solidFill>
              <w14:schemeClr w14:val="tx1"/>
            </w14:solidFill>
          </w14:textFill>
        </w:rPr>
        <w:t xml:space="preserve"> 中标候选人。如果最高综合得分相同，投标总价</w:t>
      </w:r>
      <w:r>
        <w:rPr>
          <w:rFonts w:hint="eastAsia" w:ascii="宋体" w:hAnsi="宋体" w:eastAsia="宋体" w:cs="宋体"/>
          <w:color w:val="000000" w:themeColor="text1"/>
          <w:spacing w:val="-1"/>
          <w:sz w:val="24"/>
          <w:szCs w:val="24"/>
          <w:highlight w:val="none"/>
          <w14:textFill>
            <w14:solidFill>
              <w14:schemeClr w14:val="tx1"/>
            </w14:solidFill>
          </w14:textFill>
        </w:rPr>
        <w:t>也相同，由评标委员会投票确定。</w:t>
      </w:r>
    </w:p>
    <w:p w14:paraId="2E4DF3FB">
      <w:pPr>
        <w:pStyle w:val="5"/>
        <w:spacing w:line="304" w:lineRule="auto"/>
        <w:rPr>
          <w:rFonts w:hint="eastAsia" w:ascii="宋体" w:hAnsi="宋体" w:eastAsia="宋体" w:cs="宋体"/>
          <w:color w:val="000000" w:themeColor="text1"/>
          <w:highlight w:val="none"/>
          <w14:textFill>
            <w14:solidFill>
              <w14:schemeClr w14:val="tx1"/>
            </w14:solidFill>
          </w14:textFill>
        </w:rPr>
      </w:pPr>
    </w:p>
    <w:p w14:paraId="2530F851">
      <w:pPr>
        <w:pStyle w:val="5"/>
        <w:spacing w:line="304" w:lineRule="auto"/>
        <w:rPr>
          <w:rFonts w:hint="eastAsia" w:ascii="宋体" w:hAnsi="宋体" w:eastAsia="宋体" w:cs="宋体"/>
          <w:color w:val="000000" w:themeColor="text1"/>
          <w:highlight w:val="none"/>
          <w14:textFill>
            <w14:solidFill>
              <w14:schemeClr w14:val="tx1"/>
            </w14:solidFill>
          </w14:textFill>
        </w:rPr>
      </w:pPr>
    </w:p>
    <w:p w14:paraId="1A5EAFE1">
      <w:pPr>
        <w:pStyle w:val="5"/>
        <w:spacing w:line="304" w:lineRule="auto"/>
        <w:rPr>
          <w:rFonts w:hint="eastAsia" w:ascii="宋体" w:hAnsi="宋体" w:eastAsia="宋体" w:cs="宋体"/>
          <w:color w:val="000000" w:themeColor="text1"/>
          <w:highlight w:val="none"/>
          <w14:textFill>
            <w14:solidFill>
              <w14:schemeClr w14:val="tx1"/>
            </w14:solidFill>
          </w14:textFill>
        </w:rPr>
      </w:pPr>
    </w:p>
    <w:p w14:paraId="5887E7F0">
      <w:pPr>
        <w:pStyle w:val="5"/>
        <w:spacing w:line="304" w:lineRule="auto"/>
        <w:rPr>
          <w:rFonts w:hint="eastAsia" w:ascii="宋体" w:hAnsi="宋体" w:eastAsia="宋体" w:cs="宋体"/>
          <w:color w:val="000000" w:themeColor="text1"/>
          <w:highlight w:val="none"/>
          <w14:textFill>
            <w14:solidFill>
              <w14:schemeClr w14:val="tx1"/>
            </w14:solidFill>
          </w14:textFill>
        </w:rPr>
      </w:pPr>
    </w:p>
    <w:p w14:paraId="7D9C0890">
      <w:pPr>
        <w:pStyle w:val="5"/>
        <w:spacing w:line="304" w:lineRule="auto"/>
        <w:rPr>
          <w:rFonts w:hint="eastAsia" w:ascii="宋体" w:hAnsi="宋体" w:eastAsia="宋体" w:cs="宋体"/>
          <w:color w:val="000000" w:themeColor="text1"/>
          <w:highlight w:val="none"/>
          <w14:textFill>
            <w14:solidFill>
              <w14:schemeClr w14:val="tx1"/>
            </w14:solidFill>
          </w14:textFill>
        </w:rPr>
      </w:pPr>
    </w:p>
    <w:p w14:paraId="1E06D285">
      <w:pPr>
        <w:pStyle w:val="5"/>
        <w:spacing w:line="304" w:lineRule="auto"/>
        <w:rPr>
          <w:rFonts w:hint="eastAsia" w:ascii="宋体" w:hAnsi="宋体" w:eastAsia="宋体" w:cs="宋体"/>
          <w:color w:val="000000" w:themeColor="text1"/>
          <w:highlight w:val="none"/>
          <w14:textFill>
            <w14:solidFill>
              <w14:schemeClr w14:val="tx1"/>
            </w14:solidFill>
          </w14:textFill>
        </w:rPr>
      </w:pPr>
    </w:p>
    <w:p w14:paraId="4AE44BB3">
      <w:pPr>
        <w:rPr>
          <w:rFonts w:hint="eastAsia" w:ascii="宋体" w:hAnsi="宋体" w:eastAsia="宋体" w:cs="宋体"/>
          <w:color w:val="000000" w:themeColor="text1"/>
          <w:highlight w:val="none"/>
          <w14:textFill>
            <w14:solidFill>
              <w14:schemeClr w14:val="tx1"/>
            </w14:solidFill>
          </w14:textFill>
        </w:rPr>
      </w:pPr>
    </w:p>
    <w:p w14:paraId="0E2EE518">
      <w:pPr>
        <w:rPr>
          <w:rFonts w:hint="eastAsia" w:ascii="宋体" w:hAnsi="宋体" w:eastAsia="宋体" w:cs="宋体"/>
          <w:color w:val="000000" w:themeColor="text1"/>
          <w:highlight w:val="none"/>
          <w14:textFill>
            <w14:solidFill>
              <w14:schemeClr w14:val="tx1"/>
            </w14:solidFill>
          </w14:textFill>
        </w:rPr>
      </w:pPr>
    </w:p>
    <w:p w14:paraId="753A7583">
      <w:pPr>
        <w:outlineLvl w:val="9"/>
        <w:rPr>
          <w:rFonts w:hint="eastAsia" w:ascii="宋体" w:hAnsi="宋体" w:eastAsia="宋体" w:cs="宋体"/>
          <w:color w:val="000000" w:themeColor="text1"/>
          <w:highlight w:val="none"/>
          <w14:textFill>
            <w14:solidFill>
              <w14:schemeClr w14:val="tx1"/>
            </w14:solidFill>
          </w14:textFill>
        </w:rPr>
      </w:pPr>
    </w:p>
    <w:p w14:paraId="632FAC80">
      <w:pPr>
        <w:rPr>
          <w:rFonts w:hint="eastAsia"/>
          <w:color w:val="000000" w:themeColor="text1"/>
          <w:highlight w:val="none"/>
          <w14:textFill>
            <w14:solidFill>
              <w14:schemeClr w14:val="tx1"/>
            </w14:solidFill>
          </w14:textFill>
        </w:rPr>
      </w:pPr>
    </w:p>
    <w:p w14:paraId="7BB7F397">
      <w:pPr>
        <w:rPr>
          <w:rFonts w:hint="eastAsia"/>
          <w:color w:val="000000" w:themeColor="text1"/>
          <w:highlight w:val="none"/>
          <w14:textFill>
            <w14:solidFill>
              <w14:schemeClr w14:val="tx1"/>
            </w14:solidFill>
          </w14:textFill>
        </w:rPr>
      </w:pPr>
    </w:p>
    <w:p w14:paraId="535F556A">
      <w:pPr>
        <w:pStyle w:val="5"/>
        <w:spacing w:line="304" w:lineRule="auto"/>
        <w:rPr>
          <w:rFonts w:hint="eastAsia" w:ascii="宋体" w:hAnsi="宋体" w:eastAsia="宋体" w:cs="宋体"/>
          <w:color w:val="000000" w:themeColor="text1"/>
          <w:highlight w:val="none"/>
          <w14:textFill>
            <w14:solidFill>
              <w14:schemeClr w14:val="tx1"/>
            </w14:solidFill>
          </w14:textFill>
        </w:rPr>
      </w:pPr>
    </w:p>
    <w:p w14:paraId="22C172D9">
      <w:pPr>
        <w:rPr>
          <w:rFonts w:hint="eastAsia" w:ascii="宋体" w:hAnsi="宋体" w:eastAsia="宋体" w:cs="宋体"/>
          <w:b/>
          <w:bCs/>
          <w:color w:val="000000" w:themeColor="text1"/>
          <w:spacing w:val="-6"/>
          <w:sz w:val="30"/>
          <w:szCs w:val="30"/>
          <w:highlight w:val="none"/>
          <w14:textFill>
            <w14:solidFill>
              <w14:schemeClr w14:val="tx1"/>
            </w14:solidFill>
          </w14:textFill>
        </w:rPr>
      </w:pPr>
      <w:bookmarkStart w:id="136" w:name="_Toc3020"/>
      <w:bookmarkStart w:id="137" w:name="_Toc17375"/>
      <w:bookmarkStart w:id="138" w:name="_Toc16801"/>
      <w:r>
        <w:rPr>
          <w:rFonts w:hint="eastAsia" w:ascii="宋体" w:hAnsi="宋体" w:eastAsia="宋体" w:cs="宋体"/>
          <w:b/>
          <w:bCs/>
          <w:color w:val="000000" w:themeColor="text1"/>
          <w:spacing w:val="-6"/>
          <w:sz w:val="30"/>
          <w:szCs w:val="30"/>
          <w:highlight w:val="none"/>
          <w14:textFill>
            <w14:solidFill>
              <w14:schemeClr w14:val="tx1"/>
            </w14:solidFill>
          </w14:textFill>
        </w:rPr>
        <w:br w:type="page"/>
      </w:r>
    </w:p>
    <w:p w14:paraId="042A8A28">
      <w:pPr>
        <w:spacing w:before="98" w:line="221" w:lineRule="auto"/>
        <w:ind w:left="4248"/>
        <w:outlineLvl w:val="9"/>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pacing w:val="-6"/>
          <w:sz w:val="30"/>
          <w:szCs w:val="30"/>
          <w:highlight w:val="none"/>
          <w14:textFill>
            <w14:solidFill>
              <w14:schemeClr w14:val="tx1"/>
            </w14:solidFill>
          </w14:textFill>
        </w:rPr>
        <w:t>综合评分表</w:t>
      </w:r>
      <w:bookmarkEnd w:id="136"/>
      <w:bookmarkEnd w:id="137"/>
      <w:bookmarkEnd w:id="138"/>
    </w:p>
    <w:p w14:paraId="17330DDD">
      <w:pPr>
        <w:spacing w:before="5"/>
        <w:rPr>
          <w:rFonts w:hint="eastAsia" w:ascii="宋体" w:hAnsi="宋体" w:eastAsia="宋体" w:cs="宋体"/>
          <w:color w:val="000000" w:themeColor="text1"/>
          <w:highlight w:val="none"/>
          <w14:textFill>
            <w14:solidFill>
              <w14:schemeClr w14:val="tx1"/>
            </w14:solidFill>
          </w14:textFill>
        </w:rPr>
      </w:pPr>
    </w:p>
    <w:tbl>
      <w:tblPr>
        <w:tblStyle w:val="12"/>
        <w:tblW w:w="10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7"/>
        <w:gridCol w:w="224"/>
        <w:gridCol w:w="3878"/>
        <w:gridCol w:w="5111"/>
      </w:tblGrid>
      <w:tr w14:paraId="1C42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460" w:type="dxa"/>
            <w:gridSpan w:val="4"/>
            <w:tcBorders>
              <w:top w:val="single" w:color="auto" w:sz="4" w:space="0"/>
              <w:left w:val="single" w:color="auto" w:sz="4" w:space="0"/>
              <w:bottom w:val="single" w:color="auto" w:sz="4" w:space="0"/>
              <w:right w:val="single" w:color="auto" w:sz="4" w:space="0"/>
            </w:tcBorders>
            <w:shd w:val="clear" w:color="auto" w:fill="D7D7D7"/>
            <w:noWrap w:val="0"/>
            <w:vAlign w:val="center"/>
          </w:tcPr>
          <w:p w14:paraId="7F6CDC3B">
            <w:pPr>
              <w:pStyle w:val="5"/>
              <w:keepNext w:val="0"/>
              <w:keepLines w:val="0"/>
              <w:pageBreakBefore w:val="0"/>
              <w:widowControl w:val="0"/>
              <w:tabs>
                <w:tab w:val="left" w:pos="1354"/>
                <w:tab w:val="left" w:pos="1459"/>
                <w:tab w:val="center" w:pos="3902"/>
                <w:tab w:val="right" w:pos="7805"/>
              </w:tabs>
              <w:kinsoku/>
              <w:wordWrap w:val="0"/>
              <w:overflowPunct/>
              <w:topLinePunct w:val="0"/>
              <w:autoSpaceDE/>
              <w:autoSpaceDN/>
              <w:bidi w:val="0"/>
              <w:adjustRightInd w:val="0"/>
              <w:snapToGrid w:val="0"/>
              <w:spacing w:before="0" w:after="0" w:line="380" w:lineRule="exact"/>
              <w:ind w:left="0" w:leftChars="0" w:right="0" w:rightChars="0" w:firstLine="0" w:firstLineChars="0"/>
              <w:jc w:val="both"/>
              <w:textAlignment w:val="auto"/>
              <w:rPr>
                <w:rFonts w:hint="eastAsia" w:ascii="宋体" w:hAnsi="宋体" w:eastAsia="宋体" w:cs="宋体"/>
                <w:b w:val="0"/>
                <w:bCs w:val="0"/>
                <w:caps w:val="0"/>
                <w:smallCaps w:val="0"/>
                <w:snapToGrid w:val="0"/>
                <w:color w:val="000000" w:themeColor="text1"/>
                <w:spacing w:val="0"/>
                <w:kern w:val="0"/>
                <w:sz w:val="24"/>
                <w:szCs w:val="24"/>
                <w:highlight w:val="none"/>
                <w:lang w:val="en-US" w:eastAsia="zh-CN"/>
                <w14:textFill>
                  <w14:solidFill>
                    <w14:schemeClr w14:val="tx1"/>
                  </w14:solidFill>
                </w14:textFill>
              </w:rPr>
            </w:pPr>
            <w:bookmarkStart w:id="139" w:name="_Toc31744"/>
            <w:bookmarkStart w:id="140" w:name="_Toc9725"/>
            <w:bookmarkStart w:id="141" w:name="_Toc5769"/>
            <w:r>
              <w:rPr>
                <w:rFonts w:hint="eastAsia" w:ascii="宋体" w:hAnsi="宋体" w:eastAsia="宋体" w:cs="宋体"/>
                <w:b w:val="0"/>
                <w:bCs w:val="0"/>
                <w:caps w:val="0"/>
                <w:smallCaps w:val="0"/>
                <w:snapToGrid w:val="0"/>
                <w:color w:val="000000" w:themeColor="text1"/>
                <w:spacing w:val="0"/>
                <w:kern w:val="0"/>
                <w:sz w:val="24"/>
                <w:szCs w:val="24"/>
                <w:highlight w:val="none"/>
                <w:lang w:eastAsia="zh-CN"/>
                <w14:textFill>
                  <w14:solidFill>
                    <w14:schemeClr w14:val="tx1"/>
                  </w14:solidFill>
                </w14:textFill>
              </w:rPr>
              <w:t>商务部分，满分：</w:t>
            </w:r>
            <w:r>
              <w:rPr>
                <w:rFonts w:hint="eastAsia" w:ascii="宋体" w:hAnsi="宋体" w:eastAsia="宋体" w:cs="宋体"/>
                <w:b w:val="0"/>
                <w:bCs w:val="0"/>
                <w:caps w:val="0"/>
                <w:smallCaps w:val="0"/>
                <w:snapToGrid w:val="0"/>
                <w:color w:val="000000" w:themeColor="text1"/>
                <w:spacing w:val="0"/>
                <w:kern w:val="0"/>
                <w:sz w:val="24"/>
                <w:szCs w:val="24"/>
                <w:highlight w:val="none"/>
                <w:u w:val="single"/>
                <w:lang w:val="en-US" w:eastAsia="zh-CN"/>
                <w14:textFill>
                  <w14:solidFill>
                    <w14:schemeClr w14:val="tx1"/>
                  </w14:solidFill>
                </w14:textFill>
              </w:rPr>
              <w:t xml:space="preserve">  80    </w:t>
            </w:r>
            <w:r>
              <w:rPr>
                <w:rFonts w:hint="eastAsia" w:ascii="宋体" w:hAnsi="宋体" w:eastAsia="宋体" w:cs="宋体"/>
                <w:b w:val="0"/>
                <w:bCs w:val="0"/>
                <w:caps w:val="0"/>
                <w:smallCaps w:val="0"/>
                <w:snapToGrid w:val="0"/>
                <w:color w:val="000000" w:themeColor="text1"/>
                <w:spacing w:val="0"/>
                <w:kern w:val="0"/>
                <w:sz w:val="24"/>
                <w:szCs w:val="24"/>
                <w:highlight w:val="none"/>
                <w:lang w:val="en-US" w:eastAsia="zh-CN"/>
                <w14:textFill>
                  <w14:solidFill>
                    <w14:schemeClr w14:val="tx1"/>
                  </w14:solidFill>
                </w14:textFill>
              </w:rPr>
              <w:t>分。</w:t>
            </w:r>
          </w:p>
        </w:tc>
      </w:tr>
      <w:tr w14:paraId="1508F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247" w:type="dxa"/>
            <w:tcBorders>
              <w:top w:val="single" w:color="auto" w:sz="4" w:space="0"/>
              <w:left w:val="single" w:color="auto" w:sz="4" w:space="0"/>
              <w:bottom w:val="single" w:color="auto" w:sz="4" w:space="0"/>
              <w:right w:val="single" w:color="auto" w:sz="4" w:space="0"/>
            </w:tcBorders>
            <w:noWrap w:val="0"/>
            <w:vAlign w:val="center"/>
          </w:tcPr>
          <w:p w14:paraId="67DA43A9">
            <w:pPr>
              <w:pStyle w:val="5"/>
              <w:keepNext w:val="0"/>
              <w:keepLines w:val="0"/>
              <w:pageBreakBefore w:val="0"/>
              <w:widowControl w:val="0"/>
              <w:tabs>
                <w:tab w:val="left" w:pos="1354"/>
                <w:tab w:val="left" w:pos="1459"/>
                <w:tab w:val="center" w:pos="3902"/>
                <w:tab w:val="right" w:pos="7805"/>
              </w:tabs>
              <w:kinsoku/>
              <w:wordWrap w:val="0"/>
              <w:overflowPunct/>
              <w:topLinePunct w:val="0"/>
              <w:autoSpaceDE/>
              <w:autoSpaceDN/>
              <w:bidi w:val="0"/>
              <w:adjustRightInd w:val="0"/>
              <w:snapToGrid w:val="0"/>
              <w:spacing w:before="0" w:after="0" w:line="380" w:lineRule="exact"/>
              <w:ind w:left="0" w:leftChars="0" w:right="0" w:rightChars="0" w:firstLine="0" w:firstLineChars="0"/>
              <w:jc w:val="center"/>
              <w:textAlignment w:val="auto"/>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14:textFill>
                  <w14:solidFill>
                    <w14:schemeClr w14:val="tx1"/>
                  </w14:solidFill>
                </w14:textFill>
              </w:rPr>
              <w:t>评分因素</w:t>
            </w:r>
          </w:p>
        </w:tc>
        <w:tc>
          <w:tcPr>
            <w:tcW w:w="4102" w:type="dxa"/>
            <w:gridSpan w:val="2"/>
            <w:tcBorders>
              <w:top w:val="single" w:color="auto" w:sz="4" w:space="0"/>
              <w:left w:val="single" w:color="auto" w:sz="4" w:space="0"/>
              <w:bottom w:val="single" w:color="auto" w:sz="4" w:space="0"/>
              <w:right w:val="single" w:color="auto" w:sz="4" w:space="0"/>
            </w:tcBorders>
            <w:noWrap w:val="0"/>
            <w:vAlign w:val="center"/>
          </w:tcPr>
          <w:p w14:paraId="47381DDB">
            <w:pPr>
              <w:pStyle w:val="5"/>
              <w:keepNext w:val="0"/>
              <w:keepLines w:val="0"/>
              <w:pageBreakBefore w:val="0"/>
              <w:widowControl w:val="0"/>
              <w:tabs>
                <w:tab w:val="left" w:pos="1354"/>
                <w:tab w:val="left" w:pos="1459"/>
                <w:tab w:val="center" w:pos="3902"/>
                <w:tab w:val="right" w:pos="7805"/>
              </w:tabs>
              <w:kinsoku/>
              <w:wordWrap w:val="0"/>
              <w:overflowPunct/>
              <w:topLinePunct w:val="0"/>
              <w:autoSpaceDE/>
              <w:autoSpaceDN/>
              <w:bidi w:val="0"/>
              <w:adjustRightInd w:val="0"/>
              <w:snapToGrid w:val="0"/>
              <w:spacing w:before="0" w:after="0" w:line="380" w:lineRule="exact"/>
              <w:ind w:left="0" w:leftChars="0" w:right="0" w:rightChars="0" w:firstLine="0" w:firstLineChars="0"/>
              <w:jc w:val="center"/>
              <w:textAlignment w:val="auto"/>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14:textFill>
                  <w14:solidFill>
                    <w14:schemeClr w14:val="tx1"/>
                  </w14:solidFill>
                </w14:textFill>
              </w:rPr>
              <w:t>评分标准</w:t>
            </w:r>
          </w:p>
        </w:tc>
        <w:tc>
          <w:tcPr>
            <w:tcW w:w="5111" w:type="dxa"/>
            <w:tcBorders>
              <w:top w:val="single" w:color="auto" w:sz="4" w:space="0"/>
              <w:left w:val="single" w:color="auto" w:sz="4" w:space="0"/>
              <w:bottom w:val="single" w:color="auto" w:sz="4" w:space="0"/>
              <w:right w:val="single" w:color="auto" w:sz="4" w:space="0"/>
            </w:tcBorders>
            <w:noWrap w:val="0"/>
            <w:vAlign w:val="center"/>
          </w:tcPr>
          <w:p w14:paraId="1C49C190">
            <w:pPr>
              <w:pStyle w:val="5"/>
              <w:keepNext w:val="0"/>
              <w:keepLines w:val="0"/>
              <w:pageBreakBefore w:val="0"/>
              <w:widowControl w:val="0"/>
              <w:tabs>
                <w:tab w:val="left" w:pos="1354"/>
                <w:tab w:val="left" w:pos="1459"/>
                <w:tab w:val="center" w:pos="3902"/>
                <w:tab w:val="right" w:pos="7805"/>
              </w:tabs>
              <w:kinsoku/>
              <w:wordWrap w:val="0"/>
              <w:overflowPunct/>
              <w:topLinePunct w:val="0"/>
              <w:autoSpaceDE/>
              <w:autoSpaceDN/>
              <w:bidi w:val="0"/>
              <w:adjustRightInd w:val="0"/>
              <w:snapToGrid w:val="0"/>
              <w:spacing w:before="0" w:after="0" w:line="380" w:lineRule="exact"/>
              <w:ind w:left="0" w:leftChars="0" w:right="0" w:rightChars="0" w:firstLine="0" w:firstLineChars="0"/>
              <w:jc w:val="center"/>
              <w:textAlignment w:val="auto"/>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val="en-US" w:eastAsia="zh-CN"/>
                <w14:textFill>
                  <w14:solidFill>
                    <w14:schemeClr w14:val="tx1"/>
                  </w14:solidFill>
                </w14:textFill>
              </w:rPr>
              <w:t>备注</w:t>
            </w:r>
          </w:p>
        </w:tc>
      </w:tr>
      <w:tr w14:paraId="498B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5" w:hRule="atLeast"/>
          <w:jc w:val="center"/>
        </w:trPr>
        <w:tc>
          <w:tcPr>
            <w:tcW w:w="1247" w:type="dxa"/>
            <w:tcBorders>
              <w:top w:val="single" w:color="auto" w:sz="4" w:space="0"/>
              <w:left w:val="single" w:color="auto" w:sz="4" w:space="0"/>
              <w:bottom w:val="single" w:color="auto" w:sz="4" w:space="0"/>
              <w:right w:val="single" w:color="auto" w:sz="4" w:space="0"/>
            </w:tcBorders>
            <w:noWrap w:val="0"/>
            <w:vAlign w:val="center"/>
          </w:tcPr>
          <w:p w14:paraId="6D05962D">
            <w:pPr>
              <w:pStyle w:val="5"/>
              <w:keepNext w:val="0"/>
              <w:keepLines w:val="0"/>
              <w:pageBreakBefore w:val="0"/>
              <w:widowControl w:val="0"/>
              <w:kinsoku/>
              <w:wordWrap w:val="0"/>
              <w:overflowPunct/>
              <w:topLinePunct w:val="0"/>
              <w:autoSpaceDE/>
              <w:autoSpaceDN/>
              <w:bidi w:val="0"/>
              <w:adjustRightInd w:val="0"/>
              <w:snapToGrid w:val="0"/>
              <w:spacing w:before="0" w:after="0"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14:textFill>
                  <w14:solidFill>
                    <w14:schemeClr w14:val="tx1"/>
                  </w14:solidFill>
                </w14:textFill>
              </w:rPr>
              <w:t>企业奖项</w:t>
            </w:r>
          </w:p>
          <w:p w14:paraId="2003AD5E">
            <w:pPr>
              <w:pStyle w:val="5"/>
              <w:keepNext w:val="0"/>
              <w:keepLines w:val="0"/>
              <w:pageBreakBefore w:val="0"/>
              <w:widowControl w:val="0"/>
              <w:kinsoku/>
              <w:wordWrap w:val="0"/>
              <w:overflowPunct/>
              <w:topLinePunct w:val="0"/>
              <w:autoSpaceDE/>
              <w:autoSpaceDN/>
              <w:bidi w:val="0"/>
              <w:adjustRightInd w:val="0"/>
              <w:snapToGrid w:val="0"/>
              <w:spacing w:before="0" w:after="0"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14:textFill>
                  <w14:solidFill>
                    <w14:schemeClr w14:val="tx1"/>
                  </w14:solidFill>
                </w14:textFill>
              </w:rPr>
              <w:t>分</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14:textFill>
                  <w14:solidFill>
                    <w14:schemeClr w14:val="tx1"/>
                  </w14:solidFill>
                </w14:textFill>
              </w:rPr>
              <w:t>）</w:t>
            </w:r>
          </w:p>
        </w:tc>
        <w:tc>
          <w:tcPr>
            <w:tcW w:w="4102" w:type="dxa"/>
            <w:gridSpan w:val="2"/>
            <w:tcBorders>
              <w:top w:val="single" w:color="auto" w:sz="4" w:space="0"/>
              <w:left w:val="single" w:color="auto" w:sz="4" w:space="0"/>
              <w:bottom w:val="single" w:color="auto" w:sz="4" w:space="0"/>
              <w:right w:val="single" w:color="auto" w:sz="4" w:space="0"/>
            </w:tcBorders>
            <w:noWrap w:val="0"/>
            <w:vAlign w:val="center"/>
          </w:tcPr>
          <w:p w14:paraId="159659FD">
            <w:pPr>
              <w:pStyle w:val="5"/>
              <w:keepNext w:val="0"/>
              <w:keepLines w:val="0"/>
              <w:pageBreakBefore w:val="0"/>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企业近</w:t>
            </w:r>
            <w:r>
              <w:rPr>
                <w:rFonts w:hint="eastAsia" w:asciiTheme="minorEastAsia" w:hAnsiTheme="minorEastAsia" w:eastAsiaTheme="minorEastAsia" w:cstheme="minorEastAsia"/>
                <w:b w:val="0"/>
                <w:bCs w:val="0"/>
                <w:snapToGrid w:val="0"/>
                <w:color w:val="000000" w:themeColor="text1"/>
                <w:kern w:val="0"/>
                <w:sz w:val="21"/>
                <w:szCs w:val="21"/>
                <w:highlight w:val="none"/>
                <w:u w:val="single"/>
                <w14:textFill>
                  <w14:solidFill>
                    <w14:schemeClr w14:val="tx1"/>
                  </w14:solidFill>
                </w14:textFill>
              </w:rPr>
              <w:t xml:space="preserve"> 5 </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年来（201</w:t>
            </w: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年1月1日至20</w:t>
            </w: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24</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年</w:t>
            </w: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月</w:t>
            </w: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31</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日）获得</w:t>
            </w:r>
            <w:r>
              <w:rPr>
                <w:rFonts w:hint="eastAsia" w:asciiTheme="minorEastAsia" w:hAnsiTheme="minorEastAsia" w:eastAsiaTheme="minorEastAsia" w:cstheme="minorEastAsia"/>
                <w:b w:val="0"/>
                <w:bCs w:val="0"/>
                <w:snapToGrid w:val="0"/>
                <w:color w:val="000000" w:themeColor="text1"/>
                <w:kern w:val="0"/>
                <w:sz w:val="21"/>
                <w:szCs w:val="21"/>
                <w:highlight w:val="none"/>
                <w:u w:val="single"/>
                <w:lang w:eastAsia="zh-CN"/>
                <w14:textFill>
                  <w14:solidFill>
                    <w14:schemeClr w14:val="tx1"/>
                  </w14:solidFill>
                </w14:textFill>
              </w:rPr>
              <w:t>房屋建筑</w:t>
            </w:r>
            <w:r>
              <w:rPr>
                <w:rFonts w:hint="eastAsia" w:asciiTheme="minorEastAsia" w:hAnsiTheme="minorEastAsia" w:eastAsiaTheme="minorEastAsia" w:cstheme="minorEastAsia"/>
                <w:b w:val="0"/>
                <w:bCs w:val="0"/>
                <w:snapToGrid w:val="0"/>
                <w:color w:val="000000" w:themeColor="text1"/>
                <w:kern w:val="0"/>
                <w:sz w:val="21"/>
                <w:szCs w:val="21"/>
                <w:highlight w:val="none"/>
                <w:u w:val="single"/>
                <w:lang w:val="en-US" w:eastAsia="zh-CN"/>
                <w14:textFill>
                  <w14:solidFill>
                    <w14:schemeClr w14:val="tx1"/>
                  </w14:solidFill>
                </w14:textFill>
              </w:rPr>
              <w:t>/市政</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工程类奖项情况：</w:t>
            </w:r>
          </w:p>
          <w:p w14:paraId="2839E545">
            <w:pPr>
              <w:pStyle w:val="32"/>
              <w:keepNext w:val="0"/>
              <w:keepLines w:val="0"/>
              <w:pageBreakBefore w:val="0"/>
              <w:kinsoku/>
              <w:overflowPunct/>
              <w:topLinePunct w:val="0"/>
              <w:autoSpaceDE/>
              <w:autoSpaceDN/>
              <w:bidi w:val="0"/>
              <w:snapToGrid w:val="0"/>
              <w:spacing w:before="0" w:beforeAutospacing="0" w:after="0" w:afterAutospacing="0" w:line="380" w:lineRule="exact"/>
              <w:ind w:left="0" w:leftChars="0" w:right="0" w:firstLineChars="0"/>
              <w:jc w:val="both"/>
              <w:textAlignment w:val="baseline"/>
              <w:rPr>
                <w:rStyle w:val="16"/>
                <w:rFonts w:hint="eastAsia" w:asciiTheme="minorEastAsia" w:hAnsiTheme="minorEastAsia" w:eastAsiaTheme="minorEastAsia" w:cstheme="minorEastAsia"/>
                <w:b w:val="0"/>
                <w:bCs w:val="0"/>
                <w:i w:val="0"/>
                <w:caps w:val="0"/>
                <w:color w:val="000000" w:themeColor="text1"/>
                <w:spacing w:val="0"/>
                <w:w w:val="100"/>
                <w:kern w:val="0"/>
                <w:sz w:val="21"/>
                <w:szCs w:val="21"/>
                <w:highlight w:val="none"/>
                <w:lang w:val="en-US" w:eastAsia="zh-CN"/>
                <w14:textFill>
                  <w14:solidFill>
                    <w14:schemeClr w14:val="tx1"/>
                  </w14:solidFill>
                </w14:textFill>
              </w:rPr>
            </w:pPr>
            <w:r>
              <w:rPr>
                <w:rStyle w:val="16"/>
                <w:rFonts w:hint="eastAsia" w:asciiTheme="minorEastAsia" w:hAnsiTheme="minorEastAsia" w:eastAsiaTheme="minorEastAsia" w:cstheme="minorEastAsia"/>
                <w:b w:val="0"/>
                <w:bCs w:val="0"/>
                <w:i w:val="0"/>
                <w:caps w:val="0"/>
                <w:color w:val="000000" w:themeColor="text1"/>
                <w:spacing w:val="0"/>
                <w:w w:val="100"/>
                <w:kern w:val="0"/>
                <w:sz w:val="21"/>
                <w:szCs w:val="21"/>
                <w:highlight w:val="none"/>
                <w:lang w:val="en-US" w:eastAsia="zh-CN"/>
                <w14:textFill>
                  <w14:solidFill>
                    <w14:schemeClr w14:val="tx1"/>
                  </w14:solidFill>
                </w14:textFill>
              </w:rPr>
              <w:t>1．获得国家级奖项的，每个得</w:t>
            </w:r>
            <w:r>
              <w:rPr>
                <w:rStyle w:val="16"/>
                <w:rFonts w:hint="eastAsia" w:asciiTheme="minorEastAsia" w:hAnsiTheme="minorEastAsia" w:eastAsiaTheme="minorEastAsia" w:cstheme="minorEastAsia"/>
                <w:b w:val="0"/>
                <w:bCs w:val="0"/>
                <w:i w:val="0"/>
                <w:caps w:val="0"/>
                <w:color w:val="000000" w:themeColor="text1"/>
                <w:spacing w:val="0"/>
                <w:w w:val="100"/>
                <w:kern w:val="0"/>
                <w:sz w:val="21"/>
                <w:szCs w:val="21"/>
                <w:highlight w:val="none"/>
                <w:u w:val="single" w:color="000000"/>
                <w:lang w:val="en-US" w:eastAsia="zh-CN"/>
                <w14:textFill>
                  <w14:solidFill>
                    <w14:schemeClr w14:val="tx1"/>
                  </w14:solidFill>
                </w14:textFill>
              </w:rPr>
              <w:t xml:space="preserve"> </w:t>
            </w:r>
            <w:r>
              <w:rPr>
                <w:rStyle w:val="16"/>
                <w:rFonts w:hint="eastAsia" w:asciiTheme="minorEastAsia" w:hAnsiTheme="minorEastAsia" w:eastAsiaTheme="minorEastAsia" w:cstheme="minorEastAsia"/>
                <w:b w:val="0"/>
                <w:bCs w:val="0"/>
                <w:i w:val="0"/>
                <w:caps w:val="0"/>
                <w:strike w:val="0"/>
                <w:dstrike w:val="0"/>
                <w:color w:val="000000" w:themeColor="text1"/>
                <w:spacing w:val="0"/>
                <w:w w:val="100"/>
                <w:kern w:val="0"/>
                <w:sz w:val="21"/>
                <w:szCs w:val="21"/>
                <w:highlight w:val="none"/>
                <w:u w:val="single" w:color="000000"/>
                <w:lang w:val="en-US" w:eastAsia="zh-CN"/>
                <w14:textFill>
                  <w14:solidFill>
                    <w14:schemeClr w14:val="tx1"/>
                  </w14:solidFill>
                </w14:textFill>
              </w:rPr>
              <w:t>8</w:t>
            </w:r>
            <w:r>
              <w:rPr>
                <w:rStyle w:val="16"/>
                <w:rFonts w:hint="eastAsia" w:asciiTheme="minorEastAsia" w:hAnsiTheme="minorEastAsia" w:eastAsiaTheme="minorEastAsia" w:cstheme="minorEastAsia"/>
                <w:b w:val="0"/>
                <w:bCs w:val="0"/>
                <w:i w:val="0"/>
                <w:caps w:val="0"/>
                <w:color w:val="000000" w:themeColor="text1"/>
                <w:spacing w:val="0"/>
                <w:w w:val="100"/>
                <w:kern w:val="0"/>
                <w:sz w:val="21"/>
                <w:szCs w:val="21"/>
                <w:highlight w:val="none"/>
                <w:lang w:val="en-US" w:eastAsia="zh-CN"/>
                <w14:textFill>
                  <w14:solidFill>
                    <w14:schemeClr w14:val="tx1"/>
                  </w14:solidFill>
                </w14:textFill>
              </w:rPr>
              <w:t>分。</w:t>
            </w:r>
          </w:p>
          <w:p w14:paraId="76318CE6">
            <w:pPr>
              <w:pStyle w:val="32"/>
              <w:keepNext w:val="0"/>
              <w:keepLines w:val="0"/>
              <w:pageBreakBefore w:val="0"/>
              <w:kinsoku/>
              <w:overflowPunct/>
              <w:topLinePunct w:val="0"/>
              <w:autoSpaceDE/>
              <w:autoSpaceDN/>
              <w:bidi w:val="0"/>
              <w:snapToGrid w:val="0"/>
              <w:spacing w:before="0" w:beforeAutospacing="0" w:after="0" w:afterAutospacing="0" w:line="380" w:lineRule="exact"/>
              <w:ind w:left="0" w:leftChars="0" w:right="0" w:firstLineChars="0"/>
              <w:jc w:val="both"/>
              <w:textAlignment w:val="baseline"/>
              <w:rPr>
                <w:rStyle w:val="16"/>
                <w:rFonts w:hint="eastAsia" w:asciiTheme="minorEastAsia" w:hAnsiTheme="minorEastAsia" w:eastAsiaTheme="minorEastAsia" w:cstheme="minorEastAsia"/>
                <w:b w:val="0"/>
                <w:bCs w:val="0"/>
                <w:i w:val="0"/>
                <w:caps w:val="0"/>
                <w:color w:val="000000" w:themeColor="text1"/>
                <w:spacing w:val="0"/>
                <w:w w:val="100"/>
                <w:kern w:val="0"/>
                <w:sz w:val="21"/>
                <w:szCs w:val="21"/>
                <w:highlight w:val="none"/>
                <w:lang w:val="en-US" w:eastAsia="zh-CN"/>
                <w14:textFill>
                  <w14:solidFill>
                    <w14:schemeClr w14:val="tx1"/>
                  </w14:solidFill>
                </w14:textFill>
              </w:rPr>
            </w:pPr>
            <w:r>
              <w:rPr>
                <w:rStyle w:val="16"/>
                <w:rFonts w:hint="eastAsia" w:asciiTheme="minorEastAsia" w:hAnsiTheme="minorEastAsia" w:eastAsiaTheme="minorEastAsia" w:cstheme="minorEastAsia"/>
                <w:b w:val="0"/>
                <w:bCs w:val="0"/>
                <w:i w:val="0"/>
                <w:caps w:val="0"/>
                <w:color w:val="000000" w:themeColor="text1"/>
                <w:spacing w:val="0"/>
                <w:w w:val="100"/>
                <w:kern w:val="0"/>
                <w:sz w:val="21"/>
                <w:szCs w:val="21"/>
                <w:highlight w:val="none"/>
                <w:lang w:val="en-US" w:eastAsia="zh-CN"/>
                <w14:textFill>
                  <w14:solidFill>
                    <w14:schemeClr w14:val="tx1"/>
                  </w14:solidFill>
                </w14:textFill>
              </w:rPr>
              <w:t>2．获得省级奖项的，每个得</w:t>
            </w:r>
            <w:r>
              <w:rPr>
                <w:rStyle w:val="16"/>
                <w:rFonts w:hint="eastAsia" w:asciiTheme="minorEastAsia" w:hAnsiTheme="minorEastAsia" w:eastAsiaTheme="minorEastAsia" w:cstheme="minorEastAsia"/>
                <w:b w:val="0"/>
                <w:bCs w:val="0"/>
                <w:i w:val="0"/>
                <w:caps w:val="0"/>
                <w:color w:val="000000" w:themeColor="text1"/>
                <w:spacing w:val="0"/>
                <w:w w:val="100"/>
                <w:kern w:val="0"/>
                <w:sz w:val="21"/>
                <w:szCs w:val="21"/>
                <w:highlight w:val="none"/>
                <w:u w:val="single" w:color="000000"/>
                <w:lang w:val="en-US" w:eastAsia="zh-CN"/>
                <w14:textFill>
                  <w14:solidFill>
                    <w14:schemeClr w14:val="tx1"/>
                  </w14:solidFill>
                </w14:textFill>
              </w:rPr>
              <w:t xml:space="preserve"> 4</w:t>
            </w:r>
            <w:r>
              <w:rPr>
                <w:rStyle w:val="16"/>
                <w:rFonts w:hint="eastAsia" w:asciiTheme="minorEastAsia" w:hAnsiTheme="minorEastAsia" w:eastAsiaTheme="minorEastAsia" w:cstheme="minorEastAsia"/>
                <w:b w:val="0"/>
                <w:bCs w:val="0"/>
                <w:i w:val="0"/>
                <w:caps w:val="0"/>
                <w:color w:val="000000" w:themeColor="text1"/>
                <w:spacing w:val="0"/>
                <w:w w:val="100"/>
                <w:kern w:val="0"/>
                <w:sz w:val="21"/>
                <w:szCs w:val="21"/>
                <w:highlight w:val="none"/>
                <w:lang w:val="en-US" w:eastAsia="zh-CN"/>
                <w14:textFill>
                  <w14:solidFill>
                    <w14:schemeClr w14:val="tx1"/>
                  </w14:solidFill>
                </w14:textFill>
              </w:rPr>
              <w:t>分。</w:t>
            </w:r>
          </w:p>
          <w:p w14:paraId="2905C9E4">
            <w:pPr>
              <w:pStyle w:val="32"/>
              <w:keepNext w:val="0"/>
              <w:keepLines w:val="0"/>
              <w:pageBreakBefore w:val="0"/>
              <w:kinsoku/>
              <w:overflowPunct/>
              <w:topLinePunct w:val="0"/>
              <w:autoSpaceDE/>
              <w:autoSpaceDN/>
              <w:bidi w:val="0"/>
              <w:snapToGrid w:val="0"/>
              <w:spacing w:before="0" w:beforeAutospacing="0" w:after="0" w:afterAutospacing="0" w:line="380" w:lineRule="exact"/>
              <w:ind w:left="0" w:leftChars="0" w:right="0" w:firstLineChars="0"/>
              <w:jc w:val="both"/>
              <w:textAlignment w:val="baseline"/>
              <w:rPr>
                <w:rStyle w:val="16"/>
                <w:rFonts w:hint="eastAsia" w:asciiTheme="minorEastAsia" w:hAnsiTheme="minorEastAsia" w:eastAsiaTheme="minorEastAsia" w:cstheme="minorEastAsia"/>
                <w:b w:val="0"/>
                <w:bCs w:val="0"/>
                <w:i w:val="0"/>
                <w:caps w:val="0"/>
                <w:color w:val="000000" w:themeColor="text1"/>
                <w:spacing w:val="0"/>
                <w:w w:val="100"/>
                <w:kern w:val="0"/>
                <w:sz w:val="21"/>
                <w:szCs w:val="21"/>
                <w:highlight w:val="none"/>
                <w:lang w:val="en-US" w:eastAsia="zh-CN"/>
                <w14:textFill>
                  <w14:solidFill>
                    <w14:schemeClr w14:val="tx1"/>
                  </w14:solidFill>
                </w14:textFill>
              </w:rPr>
            </w:pPr>
            <w:r>
              <w:rPr>
                <w:rStyle w:val="16"/>
                <w:rFonts w:hint="eastAsia" w:asciiTheme="minorEastAsia" w:hAnsiTheme="minorEastAsia" w:eastAsiaTheme="minorEastAsia" w:cstheme="minorEastAsia"/>
                <w:b w:val="0"/>
                <w:bCs w:val="0"/>
                <w:i w:val="0"/>
                <w:caps w:val="0"/>
                <w:color w:val="000000" w:themeColor="text1"/>
                <w:spacing w:val="0"/>
                <w:w w:val="100"/>
                <w:kern w:val="0"/>
                <w:sz w:val="21"/>
                <w:szCs w:val="21"/>
                <w:highlight w:val="none"/>
                <w:lang w:val="en-US" w:eastAsia="zh-CN"/>
                <w14:textFill>
                  <w14:solidFill>
                    <w14:schemeClr w14:val="tx1"/>
                  </w14:solidFill>
                </w14:textFill>
              </w:rPr>
              <w:t>3．获得地市级奖项的，每个得</w:t>
            </w:r>
            <w:r>
              <w:rPr>
                <w:rStyle w:val="16"/>
                <w:rFonts w:hint="eastAsia" w:asciiTheme="minorEastAsia" w:hAnsiTheme="minorEastAsia" w:eastAsiaTheme="minorEastAsia" w:cstheme="minorEastAsia"/>
                <w:b w:val="0"/>
                <w:bCs w:val="0"/>
                <w:i w:val="0"/>
                <w:caps w:val="0"/>
                <w:color w:val="000000" w:themeColor="text1"/>
                <w:spacing w:val="0"/>
                <w:w w:val="100"/>
                <w:kern w:val="0"/>
                <w:sz w:val="21"/>
                <w:szCs w:val="21"/>
                <w:highlight w:val="none"/>
                <w:u w:val="single" w:color="000000"/>
                <w:lang w:val="en-US" w:eastAsia="zh-CN"/>
                <w14:textFill>
                  <w14:solidFill>
                    <w14:schemeClr w14:val="tx1"/>
                  </w14:solidFill>
                </w14:textFill>
              </w:rPr>
              <w:t xml:space="preserve"> 2</w:t>
            </w:r>
            <w:r>
              <w:rPr>
                <w:rStyle w:val="16"/>
                <w:rFonts w:hint="eastAsia" w:asciiTheme="minorEastAsia" w:hAnsiTheme="minorEastAsia" w:eastAsiaTheme="minorEastAsia" w:cstheme="minorEastAsia"/>
                <w:b w:val="0"/>
                <w:bCs w:val="0"/>
                <w:i w:val="0"/>
                <w:caps w:val="0"/>
                <w:color w:val="000000" w:themeColor="text1"/>
                <w:spacing w:val="0"/>
                <w:w w:val="100"/>
                <w:kern w:val="0"/>
                <w:sz w:val="21"/>
                <w:szCs w:val="21"/>
                <w:highlight w:val="none"/>
                <w:lang w:val="en-US" w:eastAsia="zh-CN"/>
                <w14:textFill>
                  <w14:solidFill>
                    <w14:schemeClr w14:val="tx1"/>
                  </w14:solidFill>
                </w14:textFill>
              </w:rPr>
              <w:t>分。</w:t>
            </w:r>
          </w:p>
          <w:p w14:paraId="330CB3F5">
            <w:pPr>
              <w:pStyle w:val="32"/>
              <w:keepNext w:val="0"/>
              <w:keepLines w:val="0"/>
              <w:pageBreakBefore w:val="0"/>
              <w:kinsoku/>
              <w:overflowPunct/>
              <w:topLinePunct w:val="0"/>
              <w:autoSpaceDE/>
              <w:autoSpaceDN/>
              <w:bidi w:val="0"/>
              <w:snapToGrid w:val="0"/>
              <w:spacing w:before="0" w:beforeAutospacing="0" w:after="0" w:afterAutospacing="0" w:line="380" w:lineRule="exact"/>
              <w:ind w:left="0" w:leftChars="0" w:right="0" w:firstLineChars="0"/>
              <w:jc w:val="both"/>
              <w:textAlignment w:val="baseline"/>
              <w:rPr>
                <w:rStyle w:val="16"/>
                <w:rFonts w:hint="eastAsia" w:asciiTheme="minorEastAsia" w:hAnsiTheme="minorEastAsia" w:eastAsiaTheme="minorEastAsia" w:cstheme="minorEastAsia"/>
                <w:b w:val="0"/>
                <w:bCs w:val="0"/>
                <w:i w:val="0"/>
                <w:caps w:val="0"/>
                <w:color w:val="000000" w:themeColor="text1"/>
                <w:spacing w:val="0"/>
                <w:w w:val="100"/>
                <w:kern w:val="0"/>
                <w:sz w:val="21"/>
                <w:szCs w:val="21"/>
                <w:highlight w:val="none"/>
                <w:lang w:val="en-US" w:eastAsia="zh-CN"/>
                <w14:textFill>
                  <w14:solidFill>
                    <w14:schemeClr w14:val="tx1"/>
                  </w14:solidFill>
                </w14:textFill>
              </w:rPr>
            </w:pPr>
            <w:r>
              <w:rPr>
                <w:rStyle w:val="16"/>
                <w:rFonts w:hint="eastAsia" w:asciiTheme="minorEastAsia" w:hAnsiTheme="minorEastAsia" w:eastAsiaTheme="minorEastAsia" w:cstheme="minorEastAsia"/>
                <w:b w:val="0"/>
                <w:bCs w:val="0"/>
                <w:i w:val="0"/>
                <w:caps w:val="0"/>
                <w:color w:val="000000" w:themeColor="text1"/>
                <w:spacing w:val="0"/>
                <w:w w:val="100"/>
                <w:kern w:val="0"/>
                <w:sz w:val="21"/>
                <w:szCs w:val="21"/>
                <w:highlight w:val="none"/>
                <w:lang w:val="en-US" w:eastAsia="zh-CN"/>
                <w14:textFill>
                  <w14:solidFill>
                    <w14:schemeClr w14:val="tx1"/>
                  </w14:solidFill>
                </w14:textFill>
              </w:rPr>
              <w:t>4．以上奖项均未获得的，不予计分。</w:t>
            </w:r>
          </w:p>
          <w:p w14:paraId="0016B440">
            <w:pPr>
              <w:pStyle w:val="32"/>
              <w:keepNext w:val="0"/>
              <w:keepLines w:val="0"/>
              <w:pageBreakBefore w:val="0"/>
              <w:kinsoku/>
              <w:overflowPunct/>
              <w:topLinePunct w:val="0"/>
              <w:autoSpaceDE/>
              <w:autoSpaceDN/>
              <w:bidi w:val="0"/>
              <w:snapToGrid w:val="0"/>
              <w:spacing w:before="0" w:beforeAutospacing="0" w:after="0" w:afterAutospacing="0" w:line="380" w:lineRule="exact"/>
              <w:ind w:left="0" w:leftChars="0" w:right="0" w:firstLineChars="0"/>
              <w:jc w:val="both"/>
              <w:textAlignment w:val="baseline"/>
              <w:rPr>
                <w:rStyle w:val="16"/>
                <w:rFonts w:hint="eastAsia" w:asciiTheme="minorEastAsia" w:hAnsiTheme="minorEastAsia" w:eastAsiaTheme="minorEastAsia" w:cstheme="minorEastAsia"/>
                <w:b w:val="0"/>
                <w:bCs w:val="0"/>
                <w:i w:val="0"/>
                <w:caps w:val="0"/>
                <w:color w:val="000000" w:themeColor="text1"/>
                <w:spacing w:val="0"/>
                <w:w w:val="100"/>
                <w:kern w:val="0"/>
                <w:sz w:val="21"/>
                <w:szCs w:val="21"/>
                <w:highlight w:val="none"/>
                <w:lang w:val="en-US" w:eastAsia="zh-CN"/>
                <w14:textFill>
                  <w14:solidFill>
                    <w14:schemeClr w14:val="tx1"/>
                  </w14:solidFill>
                </w14:textFill>
              </w:rPr>
            </w:pPr>
            <w:r>
              <w:rPr>
                <w:rStyle w:val="16"/>
                <w:rFonts w:hint="eastAsia" w:asciiTheme="minorEastAsia" w:hAnsiTheme="minorEastAsia" w:eastAsiaTheme="minorEastAsia" w:cstheme="minorEastAsia"/>
                <w:b w:val="0"/>
                <w:bCs w:val="0"/>
                <w:i w:val="0"/>
                <w:caps w:val="0"/>
                <w:color w:val="000000" w:themeColor="text1"/>
                <w:spacing w:val="0"/>
                <w:w w:val="100"/>
                <w:kern w:val="0"/>
                <w:sz w:val="21"/>
                <w:szCs w:val="21"/>
                <w:highlight w:val="none"/>
                <w:lang w:val="en-US" w:eastAsia="zh-CN"/>
                <w14:textFill>
                  <w14:solidFill>
                    <w14:schemeClr w14:val="tx1"/>
                  </w14:solidFill>
                </w14:textFill>
              </w:rPr>
              <w:t>5．本项最高得10分。</w:t>
            </w:r>
          </w:p>
          <w:p w14:paraId="24845C11">
            <w:pPr>
              <w:pStyle w:val="5"/>
              <w:keepNext w:val="0"/>
              <w:keepLines w:val="0"/>
              <w:pageBreakBefore w:val="0"/>
              <w:widowControl w:val="0"/>
              <w:kinsoku/>
              <w:wordWrap w:val="0"/>
              <w:overflowPunct/>
              <w:topLinePunct w:val="0"/>
              <w:autoSpaceDE/>
              <w:autoSpaceDN/>
              <w:bidi w:val="0"/>
              <w:adjustRightInd w:val="0"/>
              <w:snapToGrid w:val="0"/>
              <w:spacing w:before="0" w:after="0" w:line="380" w:lineRule="exact"/>
              <w:ind w:left="0" w:leftChars="0" w:right="0" w:rightChars="0" w:firstLine="0" w:firstLineChars="0"/>
              <w:jc w:val="both"/>
              <w:textAlignment w:val="auto"/>
              <w:outlineLvl w:val="9"/>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14:textFill>
                  <w14:solidFill>
                    <w14:schemeClr w14:val="tx1"/>
                  </w14:solidFill>
                </w14:textFill>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61EBBB4E">
            <w:pPr>
              <w:pStyle w:val="5"/>
              <w:keepNext w:val="0"/>
              <w:keepLines w:val="0"/>
              <w:pageBreakBefore w:val="0"/>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1．允许投标人提交多个业绩，但同一业绩只按最高级别奖项计分一次。</w:t>
            </w:r>
          </w:p>
          <w:p w14:paraId="11A743A1">
            <w:pPr>
              <w:pStyle w:val="5"/>
              <w:keepNext w:val="0"/>
              <w:keepLines w:val="0"/>
              <w:pageBreakBefore w:val="0"/>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2．需附有关奖项证明彩色扫描件，</w:t>
            </w:r>
            <w:r>
              <w:rPr>
                <w:rFonts w:hint="eastAsia" w:asciiTheme="minorEastAsia" w:hAnsiTheme="minorEastAsia" w:eastAsiaTheme="minorEastAsia" w:cstheme="minorEastAsia"/>
                <w:b/>
                <w:bCs/>
                <w:snapToGrid w:val="0"/>
                <w:color w:val="000000" w:themeColor="text1"/>
                <w:kern w:val="0"/>
                <w:sz w:val="21"/>
                <w:szCs w:val="21"/>
                <w:highlight w:val="none"/>
                <w:lang w:val="en-US" w:eastAsia="zh-CN"/>
                <w14:textFill>
                  <w14:solidFill>
                    <w14:schemeClr w14:val="tx1"/>
                  </w14:solidFill>
                </w14:textFill>
              </w:rPr>
              <w:t>同时提供原件供核对。（奖项如电子证书的除外）</w:t>
            </w:r>
          </w:p>
          <w:p w14:paraId="0615A755">
            <w:pPr>
              <w:pStyle w:val="5"/>
              <w:keepNext w:val="0"/>
              <w:keepLines w:val="0"/>
              <w:pageBreakBefore w:val="0"/>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3．颁发机构限定以下范围：</w:t>
            </w:r>
          </w:p>
          <w:p w14:paraId="0DD7D21D">
            <w:pPr>
              <w:pStyle w:val="5"/>
              <w:keepNext w:val="0"/>
              <w:keepLines w:val="0"/>
              <w:pageBreakBefore w:val="0"/>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b w:val="0"/>
                <w:bCs w:val="0"/>
                <w:snapToGrid w:val="0"/>
                <w:color w:val="000000" w:themeColor="text1"/>
                <w:kern w:val="0"/>
                <w:sz w:val="21"/>
                <w:szCs w:val="21"/>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u w:val="single"/>
                <w:lang w:val="en-US" w:eastAsia="zh-CN"/>
                <w14:textFill>
                  <w14:solidFill>
                    <w14:schemeClr w14:val="tx1"/>
                  </w14:solidFill>
                </w14:textFill>
              </w:rPr>
              <w:t>①国家级奖项：国务院、住建部、国家级行业协会；（相关协会需经民政部门备案）</w:t>
            </w:r>
          </w:p>
          <w:p w14:paraId="102A2F4D">
            <w:pPr>
              <w:pStyle w:val="5"/>
              <w:keepNext w:val="0"/>
              <w:keepLines w:val="0"/>
              <w:pageBreakBefore w:val="0"/>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b w:val="0"/>
                <w:bCs w:val="0"/>
                <w:snapToGrid w:val="0"/>
                <w:color w:val="000000" w:themeColor="text1"/>
                <w:kern w:val="0"/>
                <w:sz w:val="21"/>
                <w:szCs w:val="21"/>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u w:val="single"/>
                <w:lang w:val="en-US" w:eastAsia="zh-CN"/>
                <w14:textFill>
                  <w14:solidFill>
                    <w14:schemeClr w14:val="tx1"/>
                  </w14:solidFill>
                </w14:textFill>
              </w:rPr>
              <w:t>②省级奖项：省级人民政府、省级住建部门、省级行业协会；（相关协会需经民政部门备案）</w:t>
            </w:r>
          </w:p>
          <w:p w14:paraId="0D7723EE">
            <w:pPr>
              <w:pStyle w:val="5"/>
              <w:keepNext w:val="0"/>
              <w:keepLines w:val="0"/>
              <w:pageBreakBefore w:val="0"/>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b/>
                <w:bCs/>
                <w:snapToGrid w:val="0"/>
                <w:color w:val="000000" w:themeColor="text1"/>
                <w:kern w:val="0"/>
                <w:sz w:val="21"/>
                <w:szCs w:val="21"/>
                <w:highlight w:val="none"/>
                <w:u w:val="singl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u w:val="single"/>
                <w:lang w:val="en-US" w:eastAsia="zh-CN"/>
                <w14:textFill>
                  <w14:solidFill>
                    <w14:schemeClr w14:val="tx1"/>
                  </w14:solidFill>
                </w14:textFill>
              </w:rPr>
              <w:t>③地市级奖项：地市级人民政府、地市级住建部门、地市级行业协会。（相关协会需经民政部门备案）</w:t>
            </w:r>
          </w:p>
          <w:p w14:paraId="56876BCA">
            <w:pPr>
              <w:pStyle w:val="5"/>
              <w:keepNext w:val="0"/>
              <w:keepLines w:val="0"/>
              <w:pageBreakBefore w:val="0"/>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4．获奖时间以奖项证明的落款日期为准。</w:t>
            </w:r>
          </w:p>
          <w:p w14:paraId="0D516442">
            <w:pPr>
              <w:pStyle w:val="5"/>
              <w:keepNext w:val="0"/>
              <w:keepLines w:val="0"/>
              <w:pageBreakBefore w:val="0"/>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5．任一奖项有以下情形之一的，该奖项视为无效，不予计分：</w:t>
            </w:r>
          </w:p>
          <w:p w14:paraId="3996B058">
            <w:pPr>
              <w:pStyle w:val="5"/>
              <w:keepNext w:val="0"/>
              <w:keepLines w:val="0"/>
              <w:pageBreakBefore w:val="0"/>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①未提供奖项原件的；</w:t>
            </w:r>
          </w:p>
          <w:p w14:paraId="14798556">
            <w:pPr>
              <w:pStyle w:val="5"/>
              <w:keepNext w:val="0"/>
              <w:keepLines w:val="0"/>
              <w:pageBreakBefore w:val="0"/>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②奖项不属于指定类别的；</w:t>
            </w:r>
          </w:p>
          <w:p w14:paraId="326A35E2">
            <w:pPr>
              <w:pStyle w:val="5"/>
              <w:keepNext w:val="0"/>
              <w:keepLines w:val="0"/>
              <w:pageBreakBefore w:val="0"/>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③颁发机构不符合要求的；</w:t>
            </w:r>
          </w:p>
          <w:p w14:paraId="65E211B2">
            <w:pPr>
              <w:pStyle w:val="5"/>
              <w:keepNext w:val="0"/>
              <w:keepLines w:val="0"/>
              <w:pageBreakBefore w:val="0"/>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④获奖时间不符合要求的。</w:t>
            </w:r>
          </w:p>
          <w:p w14:paraId="7CCD3D37">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说明：以上所称“要求”均指本表评分标准及备注的要求，下同。</w:t>
            </w:r>
          </w:p>
        </w:tc>
      </w:tr>
      <w:tr w14:paraId="52635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atLeast"/>
          <w:jc w:val="center"/>
        </w:trPr>
        <w:tc>
          <w:tcPr>
            <w:tcW w:w="1247" w:type="dxa"/>
            <w:tcBorders>
              <w:top w:val="single" w:color="auto" w:sz="4" w:space="0"/>
              <w:left w:val="single" w:color="auto" w:sz="4" w:space="0"/>
              <w:bottom w:val="single" w:color="auto" w:sz="4" w:space="0"/>
              <w:right w:val="single" w:color="auto" w:sz="4" w:space="0"/>
            </w:tcBorders>
            <w:noWrap w:val="0"/>
            <w:vAlign w:val="center"/>
          </w:tcPr>
          <w:p w14:paraId="6470ACC1">
            <w:pPr>
              <w:pStyle w:val="5"/>
              <w:keepNext w:val="0"/>
              <w:keepLines w:val="0"/>
              <w:pageBreakBefore w:val="0"/>
              <w:widowControl w:val="0"/>
              <w:kinsoku/>
              <w:wordWrap w:val="0"/>
              <w:overflowPunct/>
              <w:topLinePunct w:val="0"/>
              <w:autoSpaceDE/>
              <w:autoSpaceDN/>
              <w:bidi w:val="0"/>
              <w:adjustRightInd w:val="0"/>
              <w:snapToGrid w:val="0"/>
              <w:spacing w:before="0" w:after="0"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14:textFill>
                  <w14:solidFill>
                    <w14:schemeClr w14:val="tx1"/>
                  </w14:solidFill>
                </w14:textFill>
              </w:rPr>
              <w:t>项目经理</w:t>
            </w:r>
          </w:p>
          <w:p w14:paraId="5C4AF878">
            <w:pPr>
              <w:pStyle w:val="5"/>
              <w:keepNext w:val="0"/>
              <w:keepLines w:val="0"/>
              <w:pageBreakBefore w:val="0"/>
              <w:widowControl w:val="0"/>
              <w:kinsoku/>
              <w:wordWrap w:val="0"/>
              <w:overflowPunct/>
              <w:topLinePunct w:val="0"/>
              <w:autoSpaceDE/>
              <w:autoSpaceDN/>
              <w:bidi w:val="0"/>
              <w:adjustRightInd w:val="0"/>
              <w:snapToGrid w:val="0"/>
              <w:spacing w:before="0" w:after="0"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14:textFill>
                  <w14:solidFill>
                    <w14:schemeClr w14:val="tx1"/>
                  </w14:solidFill>
                </w14:textFill>
              </w:rPr>
              <w:t>综合素质</w:t>
            </w:r>
          </w:p>
          <w:p w14:paraId="30BDFDA8">
            <w:pPr>
              <w:pStyle w:val="5"/>
              <w:keepNext w:val="0"/>
              <w:keepLines w:val="0"/>
              <w:pageBreakBefore w:val="0"/>
              <w:widowControl w:val="0"/>
              <w:kinsoku/>
              <w:wordWrap w:val="0"/>
              <w:overflowPunct/>
              <w:topLinePunct w:val="0"/>
              <w:autoSpaceDE/>
              <w:autoSpaceDN/>
              <w:bidi w:val="0"/>
              <w:adjustRightInd w:val="0"/>
              <w:snapToGrid w:val="0"/>
              <w:spacing w:before="0" w:after="0"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14:textFill>
                  <w14:solidFill>
                    <w14:schemeClr w14:val="tx1"/>
                  </w14:solidFill>
                </w14:textFill>
              </w:rPr>
              <w:t>10分</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14:textFill>
                  <w14:solidFill>
                    <w14:schemeClr w14:val="tx1"/>
                  </w14:solidFill>
                </w14:textFill>
              </w:rPr>
              <w:t>）</w:t>
            </w:r>
          </w:p>
        </w:tc>
        <w:tc>
          <w:tcPr>
            <w:tcW w:w="4102" w:type="dxa"/>
            <w:gridSpan w:val="2"/>
            <w:tcBorders>
              <w:top w:val="single" w:color="auto" w:sz="4" w:space="0"/>
              <w:left w:val="single" w:color="auto" w:sz="4" w:space="0"/>
              <w:bottom w:val="single" w:color="auto" w:sz="4" w:space="0"/>
              <w:right w:val="single" w:color="auto" w:sz="4" w:space="0"/>
            </w:tcBorders>
            <w:noWrap w:val="0"/>
            <w:vAlign w:val="center"/>
          </w:tcPr>
          <w:p w14:paraId="3F0CAF9B">
            <w:pPr>
              <w:pStyle w:val="5"/>
              <w:keepNext w:val="0"/>
              <w:keepLines w:val="0"/>
              <w:pageBreakBefore w:val="0"/>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项目经理工程类技术职称情况：</w:t>
            </w:r>
          </w:p>
          <w:p w14:paraId="29C03E30">
            <w:pPr>
              <w:pStyle w:val="5"/>
              <w:keepNext w:val="0"/>
              <w:keepLines w:val="0"/>
              <w:pageBreakBefore w:val="0"/>
              <w:numPr>
                <w:ilvl w:val="0"/>
                <w:numId w:val="1"/>
              </w:numPr>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具备</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助理</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工程师或以上职称的，得</w:t>
            </w:r>
            <w:r>
              <w:rPr>
                <w:rFonts w:hint="eastAsia" w:asciiTheme="minorEastAsia" w:hAnsiTheme="minorEastAsia" w:eastAsiaTheme="minorEastAsia" w:cstheme="minorEastAsia"/>
                <w:snapToGrid w:val="0"/>
                <w:color w:val="000000" w:themeColor="text1"/>
                <w:kern w:val="0"/>
                <w:sz w:val="21"/>
                <w:szCs w:val="21"/>
                <w:highlight w:val="none"/>
                <w:u w:val="single"/>
                <w14:textFill>
                  <w14:solidFill>
                    <w14:schemeClr w14:val="tx1"/>
                  </w14:solidFill>
                </w14:textFill>
              </w:rPr>
              <w:t>10</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分。</w:t>
            </w:r>
          </w:p>
          <w:p w14:paraId="3E7802AA">
            <w:pPr>
              <w:pStyle w:val="5"/>
              <w:keepNext w:val="0"/>
              <w:keepLines w:val="0"/>
              <w:pageBreakBefore w:val="0"/>
              <w:numPr>
                <w:ilvl w:val="0"/>
                <w:numId w:val="1"/>
              </w:numPr>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具备</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技术员</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 xml:space="preserve">职称的，得 </w:t>
            </w:r>
            <w:r>
              <w:rPr>
                <w:rFonts w:hint="eastAsia" w:asciiTheme="minorEastAsia" w:hAnsiTheme="minorEastAsia" w:eastAsiaTheme="minorEastAsia" w:cstheme="minorEastAsia"/>
                <w:snapToGrid w:val="0"/>
                <w:color w:val="000000" w:themeColor="text1"/>
                <w:kern w:val="0"/>
                <w:sz w:val="21"/>
                <w:szCs w:val="21"/>
                <w:highlight w:val="none"/>
                <w:u w:val="single"/>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分。</w:t>
            </w:r>
          </w:p>
          <w:p w14:paraId="2F77DB77">
            <w:pPr>
              <w:pStyle w:val="5"/>
              <w:keepNext w:val="0"/>
              <w:keepLines w:val="0"/>
              <w:pageBreakBefore w:val="0"/>
              <w:numPr>
                <w:ilvl w:val="0"/>
                <w:numId w:val="1"/>
              </w:numPr>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不具备以上职称的，或未提供职称证原件的，不予计分。</w:t>
            </w:r>
          </w:p>
        </w:tc>
        <w:tc>
          <w:tcPr>
            <w:tcW w:w="5111" w:type="dxa"/>
            <w:tcBorders>
              <w:top w:val="single" w:color="auto" w:sz="4" w:space="0"/>
              <w:left w:val="single" w:color="auto" w:sz="4" w:space="0"/>
              <w:bottom w:val="single" w:color="auto" w:sz="4" w:space="0"/>
              <w:right w:val="single" w:color="auto" w:sz="4" w:space="0"/>
            </w:tcBorders>
            <w:noWrap w:val="0"/>
            <w:vAlign w:val="center"/>
          </w:tcPr>
          <w:p w14:paraId="4498D050">
            <w:pPr>
              <w:pStyle w:val="5"/>
              <w:keepNext w:val="0"/>
              <w:keepLines w:val="0"/>
              <w:pageBreakBefore w:val="0"/>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需附职称证</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彩色扫描件</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b/>
                <w:bCs/>
                <w:snapToGrid w:val="0"/>
                <w:color w:val="000000" w:themeColor="text1"/>
                <w:kern w:val="0"/>
                <w:sz w:val="21"/>
                <w:szCs w:val="21"/>
                <w:highlight w:val="none"/>
                <w14:textFill>
                  <w14:solidFill>
                    <w14:schemeClr w14:val="tx1"/>
                  </w14:solidFill>
                </w14:textFill>
              </w:rPr>
              <w:t>同时提供原件供核对（职称证为电子证书的除外）</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w:t>
            </w:r>
          </w:p>
          <w:p w14:paraId="3C5495A7">
            <w:pPr>
              <w:pStyle w:val="5"/>
              <w:keepNext w:val="0"/>
              <w:keepLines w:val="0"/>
              <w:pageBreakBefore w:val="0"/>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val="en-US" w:eastAsia="zh-CN"/>
                <w14:textFill>
                  <w14:solidFill>
                    <w14:schemeClr w14:val="tx1"/>
                  </w14:solidFill>
                </w14:textFill>
              </w:rPr>
            </w:pPr>
          </w:p>
        </w:tc>
      </w:tr>
      <w:tr w14:paraId="2B36C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jc w:val="center"/>
        </w:trPr>
        <w:tc>
          <w:tcPr>
            <w:tcW w:w="1247" w:type="dxa"/>
            <w:tcBorders>
              <w:top w:val="single" w:color="auto" w:sz="4" w:space="0"/>
              <w:left w:val="single" w:color="auto" w:sz="4" w:space="0"/>
              <w:bottom w:val="single" w:color="auto" w:sz="4" w:space="0"/>
              <w:right w:val="single" w:color="auto" w:sz="4" w:space="0"/>
            </w:tcBorders>
            <w:noWrap w:val="0"/>
            <w:vAlign w:val="center"/>
          </w:tcPr>
          <w:p w14:paraId="32D7BDC3">
            <w:pPr>
              <w:pStyle w:val="5"/>
              <w:keepNext w:val="0"/>
              <w:keepLines w:val="0"/>
              <w:pageBreakBefore w:val="0"/>
              <w:widowControl w:val="0"/>
              <w:kinsoku/>
              <w:wordWrap w:val="0"/>
              <w:overflowPunct/>
              <w:topLinePunct w:val="0"/>
              <w:autoSpaceDE/>
              <w:autoSpaceDN/>
              <w:bidi w:val="0"/>
              <w:adjustRightInd w:val="0"/>
              <w:snapToGrid w:val="0"/>
              <w:spacing w:before="0" w:after="0"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14:textFill>
                  <w14:solidFill>
                    <w14:schemeClr w14:val="tx1"/>
                  </w14:solidFill>
                </w14:textFill>
              </w:rPr>
              <w:t>企业业绩</w:t>
            </w:r>
          </w:p>
          <w:p w14:paraId="10FCD4DB">
            <w:pPr>
              <w:pStyle w:val="5"/>
              <w:keepNext w:val="0"/>
              <w:keepLines w:val="0"/>
              <w:pageBreakBefore w:val="0"/>
              <w:widowControl w:val="0"/>
              <w:kinsoku/>
              <w:wordWrap w:val="0"/>
              <w:overflowPunct/>
              <w:topLinePunct w:val="0"/>
              <w:autoSpaceDE/>
              <w:autoSpaceDN/>
              <w:bidi w:val="0"/>
              <w:adjustRightInd w:val="0"/>
              <w:snapToGrid w:val="0"/>
              <w:spacing w:before="0" w:after="0"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14:textFill>
                  <w14:solidFill>
                    <w14:schemeClr w14:val="tx1"/>
                  </w14:solidFill>
                </w14:textFill>
              </w:rPr>
              <w:t>1</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14:textFill>
                  <w14:solidFill>
                    <w14:schemeClr w14:val="tx1"/>
                  </w14:solidFill>
                </w14:textFill>
              </w:rPr>
              <w:t>分</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14:textFill>
                  <w14:solidFill>
                    <w14:schemeClr w14:val="tx1"/>
                  </w14:solidFill>
                </w14:textFill>
              </w:rPr>
              <w:t>）</w:t>
            </w:r>
          </w:p>
        </w:tc>
        <w:tc>
          <w:tcPr>
            <w:tcW w:w="4102" w:type="dxa"/>
            <w:gridSpan w:val="2"/>
            <w:tcBorders>
              <w:top w:val="single" w:color="auto" w:sz="4" w:space="0"/>
              <w:left w:val="single" w:color="auto" w:sz="4" w:space="0"/>
              <w:bottom w:val="single" w:color="auto" w:sz="4" w:space="0"/>
              <w:right w:val="single" w:color="auto" w:sz="4" w:space="0"/>
            </w:tcBorders>
            <w:noWrap w:val="0"/>
            <w:vAlign w:val="center"/>
          </w:tcPr>
          <w:p w14:paraId="5E612F37">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企业近5年来（2019年10月1日至</w:t>
            </w: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今</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）业绩情况：</w:t>
            </w:r>
          </w:p>
          <w:p w14:paraId="71E62C1E">
            <w:pPr>
              <w:pStyle w:val="5"/>
              <w:keepNext w:val="0"/>
              <w:keepLines w:val="0"/>
              <w:pageBreakBefore w:val="0"/>
              <w:widowControl w:val="0"/>
              <w:numPr>
                <w:ilvl w:val="0"/>
                <w:numId w:val="2"/>
              </w:numPr>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u w:val="single"/>
                <w:lang w:val="en-US" w:eastAsia="zh-CN"/>
                <w14:textFill>
                  <w14:solidFill>
                    <w14:schemeClr w14:val="tx1"/>
                  </w14:solidFill>
                </w14:textFill>
              </w:rPr>
              <w:t>承接</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过类似工程的，每个得 5 分。</w:t>
            </w:r>
          </w:p>
          <w:p w14:paraId="5A7BB0BC">
            <w:pPr>
              <w:pStyle w:val="5"/>
              <w:keepNext w:val="0"/>
              <w:keepLines w:val="0"/>
              <w:pageBreakBefore w:val="0"/>
              <w:widowControl w:val="0"/>
              <w:numPr>
                <w:ilvl w:val="0"/>
                <w:numId w:val="2"/>
              </w:numPr>
              <w:kinsoku/>
              <w:wordWrap w:val="0"/>
              <w:overflowPunct/>
              <w:topLinePunct w:val="0"/>
              <w:autoSpaceDE/>
              <w:autoSpaceDN/>
              <w:bidi w:val="0"/>
              <w:adjustRightInd w:val="0"/>
              <w:snapToGrid w:val="0"/>
              <w:spacing w:after="0" w:line="380" w:lineRule="exact"/>
              <w:ind w:left="0" w:leftChars="0" w:firstLine="0" w:firstLineChars="0"/>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未</w:t>
            </w:r>
            <w:r>
              <w:rPr>
                <w:rFonts w:hint="eastAsia" w:asciiTheme="minorEastAsia" w:hAnsiTheme="minorEastAsia" w:eastAsiaTheme="minorEastAsia" w:cstheme="minorEastAsia"/>
                <w:snapToGrid w:val="0"/>
                <w:color w:val="000000" w:themeColor="text1"/>
                <w:kern w:val="0"/>
                <w:sz w:val="21"/>
                <w:szCs w:val="21"/>
                <w:highlight w:val="none"/>
                <w:u w:val="single"/>
                <w:lang w:val="en-US" w:eastAsia="zh-CN"/>
                <w14:textFill>
                  <w14:solidFill>
                    <w14:schemeClr w14:val="tx1"/>
                  </w14:solidFill>
                </w14:textFill>
              </w:rPr>
              <w:t>承接</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过类似工程的，不予计分。</w:t>
            </w:r>
          </w:p>
          <w:p w14:paraId="064D4F7F">
            <w:pPr>
              <w:pStyle w:val="5"/>
              <w:keepNext w:val="0"/>
              <w:keepLines w:val="0"/>
              <w:pageBreakBefore w:val="0"/>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 xml:space="preserve">3．本项最高得10分。 </w:t>
            </w:r>
          </w:p>
        </w:tc>
        <w:tc>
          <w:tcPr>
            <w:tcW w:w="5111" w:type="dxa"/>
            <w:tcBorders>
              <w:top w:val="single" w:color="auto" w:sz="4" w:space="0"/>
              <w:left w:val="single" w:color="auto" w:sz="4" w:space="0"/>
              <w:bottom w:val="single" w:color="auto" w:sz="4" w:space="0"/>
              <w:right w:val="single" w:color="auto" w:sz="4" w:space="0"/>
            </w:tcBorders>
            <w:noWrap w:val="0"/>
            <w:vAlign w:val="center"/>
          </w:tcPr>
          <w:p w14:paraId="6849E332">
            <w:pPr>
              <w:pStyle w:val="5"/>
              <w:keepNext w:val="0"/>
              <w:keepLines w:val="0"/>
              <w:pageBreakBefore w:val="0"/>
              <w:widowControl/>
              <w:kinsoku/>
              <w:wordWrap w:val="0"/>
              <w:overflowPunct/>
              <w:topLinePunct w:val="0"/>
              <w:autoSpaceDE/>
              <w:autoSpaceDN/>
              <w:bidi w:val="0"/>
              <w:adjustRightInd w:val="0"/>
              <w:snapToGrid w:val="0"/>
              <w:spacing w:after="0" w:afterAutospacing="0" w:line="380" w:lineRule="exact"/>
              <w:rPr>
                <w:rFonts w:hint="eastAsia" w:asciiTheme="minorEastAsia" w:hAnsiTheme="minorEastAsia" w:eastAsiaTheme="minorEastAsia" w:cstheme="minorEastAsia"/>
                <w:b w:val="0"/>
                <w:bCs w:val="0"/>
                <w:snapToGrid w:val="0"/>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14:textFill>
                  <w14:solidFill>
                    <w14:schemeClr w14:val="tx1"/>
                  </w14:solidFill>
                </w14:textFill>
              </w:rPr>
              <w:t>1</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．类似工程指：</w:t>
            </w:r>
            <w:r>
              <w:rPr>
                <w:rFonts w:hint="eastAsia" w:asciiTheme="minorEastAsia" w:hAnsiTheme="minorEastAsia" w:eastAsiaTheme="minorEastAsia" w:cstheme="minorEastAsia"/>
                <w:strike w:val="0"/>
                <w:dstrike w:val="0"/>
                <w:snapToGrid w:val="0"/>
                <w:color w:val="000000" w:themeColor="text1"/>
                <w:kern w:val="0"/>
                <w:sz w:val="21"/>
                <w:szCs w:val="21"/>
                <w:highlight w:val="none"/>
                <w:u w:val="none"/>
                <w:lang w:val="en-US" w:eastAsia="zh-CN"/>
                <w14:textFill>
                  <w14:solidFill>
                    <w14:schemeClr w14:val="tx1"/>
                  </w14:solidFill>
                </w14:textFill>
              </w:rPr>
              <w:t>合同金额≥1000万元的建筑或</w:t>
            </w:r>
            <w:r>
              <w:rPr>
                <w:rFonts w:hint="eastAsia" w:asciiTheme="minorEastAsia" w:hAnsiTheme="minorEastAsia" w:eastAsiaTheme="minorEastAsia" w:cstheme="minorEastAsia"/>
                <w:snapToGrid w:val="0"/>
                <w:color w:val="000000" w:themeColor="text1"/>
                <w:kern w:val="2"/>
                <w:sz w:val="21"/>
                <w:szCs w:val="21"/>
                <w:highlight w:val="none"/>
                <w:u w:val="none"/>
                <w:lang w:val="en-US" w:eastAsia="zh-CN" w:bidi="ar"/>
                <w14:textFill>
                  <w14:solidFill>
                    <w14:schemeClr w14:val="tx1"/>
                  </w14:solidFill>
                </w14:textFill>
              </w:rPr>
              <w:t>市政工程类施工总承包工程（或设计、施工总承包工程或勘察、设计、施工总承包工程）</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w:t>
            </w:r>
          </w:p>
          <w:p w14:paraId="4AE98046">
            <w:pPr>
              <w:pStyle w:val="5"/>
              <w:keepNext w:val="0"/>
              <w:keepLines w:val="0"/>
              <w:pageBreakBefore w:val="0"/>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b w:val="0"/>
                <w:bCs w:val="0"/>
                <w:i/>
                <w:iCs/>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．需附有关业绩（仅限于以施工 总承包单位身份参建的项目）合同协议书</w:t>
            </w: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彩色扫描件</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b/>
                <w:bCs/>
                <w:snapToGrid w:val="0"/>
                <w:color w:val="000000" w:themeColor="text1"/>
                <w:kern w:val="0"/>
                <w:sz w:val="21"/>
                <w:szCs w:val="21"/>
                <w:highlight w:val="none"/>
                <w14:textFill>
                  <w14:solidFill>
                    <w14:schemeClr w14:val="tx1"/>
                  </w14:solidFill>
                </w14:textFill>
              </w:rPr>
              <w:t>同时提供原件供核对</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w:t>
            </w:r>
          </w:p>
          <w:p w14:paraId="14D57478">
            <w:pPr>
              <w:pStyle w:val="5"/>
              <w:keepNext w:val="0"/>
              <w:keepLines w:val="0"/>
              <w:pageBreakBefore w:val="0"/>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b w:val="0"/>
                <w:bCs w:val="0"/>
                <w:i/>
                <w:iCs/>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．业绩时间以合同协议书日期为准。</w:t>
            </w:r>
          </w:p>
          <w:p w14:paraId="0EF749A4">
            <w:pPr>
              <w:pStyle w:val="5"/>
              <w:keepNext w:val="0"/>
              <w:keepLines w:val="0"/>
              <w:pageBreakBefore w:val="0"/>
              <w:widowControl/>
              <w:kinsoku/>
              <w:wordWrap w:val="0"/>
              <w:overflowPunct/>
              <w:topLinePunct w:val="0"/>
              <w:autoSpaceDE/>
              <w:autoSpaceDN/>
              <w:bidi w:val="0"/>
              <w:adjustRightInd w:val="0"/>
              <w:snapToGrid w:val="0"/>
              <w:spacing w:after="0" w:afterAutospacing="0" w:line="380" w:lineRule="exact"/>
              <w:rPr>
                <w:rFonts w:hint="eastAsia" w:asciiTheme="minorEastAsia" w:hAnsiTheme="minorEastAsia" w:eastAsiaTheme="minorEastAsia" w:cstheme="minorEastAsia"/>
                <w:b w:val="0"/>
                <w:bCs w:val="0"/>
                <w:snapToGrid w:val="0"/>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14:textFill>
                  <w14:solidFill>
                    <w14:schemeClr w14:val="tx1"/>
                  </w14:solidFill>
                </w14:textFill>
              </w:rPr>
              <w:t>4．任一业绩有以下情形之一的，该业绩视为无效，不予计分：</w:t>
            </w:r>
          </w:p>
          <w:p w14:paraId="2171BFD4">
            <w:pPr>
              <w:pStyle w:val="5"/>
              <w:keepNext w:val="0"/>
              <w:keepLines w:val="0"/>
              <w:pageBreakBefore w:val="0"/>
              <w:widowControl/>
              <w:kinsoku/>
              <w:wordWrap w:val="0"/>
              <w:overflowPunct/>
              <w:topLinePunct w:val="0"/>
              <w:autoSpaceDE/>
              <w:autoSpaceDN/>
              <w:bidi w:val="0"/>
              <w:adjustRightInd w:val="0"/>
              <w:snapToGrid w:val="0"/>
              <w:spacing w:after="0" w:afterAutospacing="0" w:line="380" w:lineRule="exact"/>
              <w:rPr>
                <w:rFonts w:hint="eastAsia" w:asciiTheme="minorEastAsia" w:hAnsiTheme="minorEastAsia" w:eastAsiaTheme="minorEastAsia" w:cstheme="minorEastAsia"/>
                <w:b w:val="0"/>
                <w:bCs w:val="0"/>
                <w:snapToGrid w:val="0"/>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14:textFill>
                  <w14:solidFill>
                    <w14:schemeClr w14:val="tx1"/>
                  </w14:solidFill>
                </w14:textFill>
              </w:rPr>
              <w:t>①未提供业绩证明材料原件的；</w:t>
            </w:r>
          </w:p>
          <w:p w14:paraId="1D542641">
            <w:pPr>
              <w:pStyle w:val="5"/>
              <w:keepNext w:val="0"/>
              <w:keepLines w:val="0"/>
              <w:pageBreakBefore w:val="0"/>
              <w:widowControl/>
              <w:kinsoku/>
              <w:wordWrap w:val="0"/>
              <w:overflowPunct/>
              <w:topLinePunct w:val="0"/>
              <w:autoSpaceDE/>
              <w:autoSpaceDN/>
              <w:bidi w:val="0"/>
              <w:adjustRightInd w:val="0"/>
              <w:snapToGrid w:val="0"/>
              <w:spacing w:after="0" w:afterAutospacing="0" w:line="380" w:lineRule="exact"/>
              <w:rPr>
                <w:rFonts w:hint="eastAsia" w:asciiTheme="minorEastAsia" w:hAnsiTheme="minorEastAsia" w:eastAsiaTheme="minorEastAsia" w:cstheme="minorEastAsia"/>
                <w:b w:val="0"/>
                <w:bCs w:val="0"/>
                <w:snapToGrid w:val="0"/>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14:textFill>
                  <w14:solidFill>
                    <w14:schemeClr w14:val="tx1"/>
                  </w14:solidFill>
                </w14:textFill>
              </w:rPr>
              <w:t>②业绩不属于类似工程的；</w:t>
            </w:r>
          </w:p>
          <w:p w14:paraId="064F4B4F">
            <w:pPr>
              <w:pStyle w:val="5"/>
              <w:keepNext w:val="0"/>
              <w:keepLines w:val="0"/>
              <w:pageBreakBefore w:val="0"/>
              <w:widowControl/>
              <w:kinsoku/>
              <w:wordWrap w:val="0"/>
              <w:overflowPunct/>
              <w:topLinePunct w:val="0"/>
              <w:autoSpaceDE/>
              <w:autoSpaceDN/>
              <w:bidi w:val="0"/>
              <w:adjustRightInd w:val="0"/>
              <w:snapToGrid w:val="0"/>
              <w:spacing w:after="0" w:afterAutospacing="0" w:line="380" w:lineRule="exact"/>
              <w:rPr>
                <w:rFonts w:hint="eastAsia" w:asciiTheme="minorEastAsia" w:hAnsiTheme="minorEastAsia" w:eastAsiaTheme="minorEastAsia" w:cstheme="minorEastAsia"/>
                <w:b w:val="0"/>
                <w:bCs w:val="0"/>
                <w:snapToGrid w:val="0"/>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14:textFill>
                  <w14:solidFill>
                    <w14:schemeClr w14:val="tx1"/>
                  </w14:solidFill>
                </w14:textFill>
              </w:rPr>
              <w:t>③不是以指定身份参建的；</w:t>
            </w:r>
          </w:p>
          <w:p w14:paraId="04441063">
            <w:pPr>
              <w:pStyle w:val="5"/>
              <w:keepNext w:val="0"/>
              <w:keepLines w:val="0"/>
              <w:pageBreakBefore w:val="0"/>
              <w:widowControl/>
              <w:kinsoku/>
              <w:wordWrap w:val="0"/>
              <w:overflowPunct/>
              <w:topLinePunct w:val="0"/>
              <w:autoSpaceDE/>
              <w:autoSpaceDN/>
              <w:bidi w:val="0"/>
              <w:adjustRightInd w:val="0"/>
              <w:snapToGrid w:val="0"/>
              <w:spacing w:after="0" w:afterAutospacing="0" w:line="380" w:lineRule="exact"/>
              <w:rPr>
                <w:rFonts w:hint="eastAsia" w:asciiTheme="minorEastAsia" w:hAnsiTheme="minorEastAsia" w:eastAsiaTheme="minorEastAsia" w:cstheme="minorEastAsia"/>
                <w:i/>
                <w:iCs/>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14:textFill>
                  <w14:solidFill>
                    <w14:schemeClr w14:val="tx1"/>
                  </w14:solidFill>
                </w14:textFill>
              </w:rPr>
              <w:t>④业绩时间不符合要求的</w:t>
            </w: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w:t>
            </w:r>
          </w:p>
        </w:tc>
      </w:tr>
      <w:tr w14:paraId="4C5C8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7" w:hRule="atLeast"/>
          <w:jc w:val="center"/>
        </w:trPr>
        <w:tc>
          <w:tcPr>
            <w:tcW w:w="1247" w:type="dxa"/>
            <w:tcBorders>
              <w:top w:val="single" w:color="auto" w:sz="4" w:space="0"/>
              <w:left w:val="single" w:color="auto" w:sz="4" w:space="0"/>
              <w:bottom w:val="single" w:color="auto" w:sz="4" w:space="0"/>
              <w:right w:val="single" w:color="auto" w:sz="4" w:space="0"/>
            </w:tcBorders>
            <w:noWrap w:val="0"/>
            <w:vAlign w:val="center"/>
          </w:tcPr>
          <w:p w14:paraId="0C5C767A">
            <w:pPr>
              <w:pStyle w:val="5"/>
              <w:keepNext w:val="0"/>
              <w:keepLines w:val="0"/>
              <w:pageBreakBefore w:val="0"/>
              <w:widowControl w:val="0"/>
              <w:kinsoku/>
              <w:wordWrap w:val="0"/>
              <w:overflowPunct/>
              <w:topLinePunct w:val="0"/>
              <w:autoSpaceDE/>
              <w:autoSpaceDN/>
              <w:bidi w:val="0"/>
              <w:adjustRightInd w:val="0"/>
              <w:snapToGrid w:val="0"/>
              <w:spacing w:after="0" w:line="380" w:lineRule="exact"/>
              <w:jc w:val="center"/>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企业银行资信评级</w:t>
            </w:r>
          </w:p>
          <w:p w14:paraId="614D0579">
            <w:pPr>
              <w:pStyle w:val="5"/>
              <w:keepNext w:val="0"/>
              <w:keepLines w:val="0"/>
              <w:pageBreakBefore w:val="0"/>
              <w:widowControl w:val="0"/>
              <w:kinsoku/>
              <w:wordWrap w:val="0"/>
              <w:overflowPunct/>
              <w:topLinePunct w:val="0"/>
              <w:autoSpaceDE/>
              <w:autoSpaceDN/>
              <w:bidi w:val="0"/>
              <w:adjustRightInd w:val="0"/>
              <w:snapToGrid w:val="0"/>
              <w:spacing w:after="0" w:line="380" w:lineRule="exact"/>
              <w:jc w:val="center"/>
              <w:textAlignment w:val="auto"/>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(5分）</w:t>
            </w:r>
          </w:p>
        </w:tc>
        <w:tc>
          <w:tcPr>
            <w:tcW w:w="4102" w:type="dxa"/>
            <w:gridSpan w:val="2"/>
            <w:tcBorders>
              <w:top w:val="single" w:color="auto" w:sz="4" w:space="0"/>
              <w:left w:val="single" w:color="auto" w:sz="4" w:space="0"/>
              <w:bottom w:val="single" w:color="auto" w:sz="4" w:space="0"/>
              <w:right w:val="single" w:color="auto" w:sz="4" w:space="0"/>
            </w:tcBorders>
            <w:noWrap w:val="0"/>
            <w:vAlign w:val="center"/>
          </w:tcPr>
          <w:p w14:paraId="0188148B">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1．银行资信评级AAA</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含aaa）</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的，得</w:t>
            </w:r>
            <w:r>
              <w:rPr>
                <w:rFonts w:hint="eastAsia" w:asciiTheme="minorEastAsia" w:hAnsiTheme="minorEastAsia" w:eastAsiaTheme="minorEastAsia" w:cstheme="minorEastAsia"/>
                <w:b w:val="0"/>
                <w:bCs w:val="0"/>
                <w:snapToGrid w:val="0"/>
                <w:color w:val="000000" w:themeColor="text1"/>
                <w:kern w:val="0"/>
                <w:sz w:val="21"/>
                <w:szCs w:val="21"/>
                <w:highlight w:val="none"/>
                <w:u w:val="single"/>
                <w14:textFill>
                  <w14:solidFill>
                    <w14:schemeClr w14:val="tx1"/>
                  </w14:solidFill>
                </w14:textFill>
              </w:rPr>
              <w:t xml:space="preserve"> 5 </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分；</w:t>
            </w:r>
          </w:p>
          <w:p w14:paraId="09876D01">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2．银行资信评级AA（含AA＋、AA－、</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aa</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）的，得</w:t>
            </w:r>
            <w:r>
              <w:rPr>
                <w:rFonts w:hint="eastAsia" w:asciiTheme="minorEastAsia" w:hAnsiTheme="minorEastAsia" w:eastAsiaTheme="minorEastAsia" w:cstheme="minorEastAsia"/>
                <w:b w:val="0"/>
                <w:bCs w:val="0"/>
                <w:snapToGrid w:val="0"/>
                <w:color w:val="000000" w:themeColor="text1"/>
                <w:kern w:val="0"/>
                <w:sz w:val="21"/>
                <w:szCs w:val="21"/>
                <w:highlight w:val="none"/>
                <w:u w:val="single"/>
                <w14:textFill>
                  <w14:solidFill>
                    <w14:schemeClr w14:val="tx1"/>
                  </w14:solidFill>
                </w14:textFill>
              </w:rPr>
              <w:t xml:space="preserve"> 3 </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分。</w:t>
            </w:r>
          </w:p>
          <w:p w14:paraId="3BC76412">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3．银行资信评级A（含A＋、A－、</w:t>
            </w: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a</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）的，得</w:t>
            </w:r>
            <w:r>
              <w:rPr>
                <w:rFonts w:hint="eastAsia" w:asciiTheme="minorEastAsia" w:hAnsiTheme="minorEastAsia" w:eastAsiaTheme="minorEastAsia" w:cstheme="minorEastAsia"/>
                <w:b w:val="0"/>
                <w:bCs w:val="0"/>
                <w:snapToGrid w:val="0"/>
                <w:color w:val="000000" w:themeColor="text1"/>
                <w:kern w:val="0"/>
                <w:sz w:val="21"/>
                <w:szCs w:val="21"/>
                <w:highlight w:val="none"/>
                <w:u w:val="single"/>
                <w14:textFill>
                  <w14:solidFill>
                    <w14:schemeClr w14:val="tx1"/>
                  </w14:solidFill>
                </w14:textFill>
              </w:rPr>
              <w:t xml:space="preserve"> 1 </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分。</w:t>
            </w:r>
          </w:p>
          <w:p w14:paraId="00F4E4CE">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4．未获得过以上评级的，或评级证书无效的，不予计分。</w:t>
            </w:r>
          </w:p>
        </w:tc>
        <w:tc>
          <w:tcPr>
            <w:tcW w:w="5111" w:type="dxa"/>
            <w:tcBorders>
              <w:top w:val="single" w:color="auto" w:sz="4" w:space="0"/>
              <w:left w:val="single" w:color="auto" w:sz="4" w:space="0"/>
              <w:bottom w:val="single" w:color="auto" w:sz="4" w:space="0"/>
              <w:right w:val="single" w:color="auto" w:sz="4" w:space="0"/>
            </w:tcBorders>
            <w:noWrap w:val="0"/>
            <w:vAlign w:val="center"/>
          </w:tcPr>
          <w:p w14:paraId="1BD7EA8B">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1．需附在有效期内的资信评级证书（证明）</w:t>
            </w: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彩色扫描件</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b/>
                <w:bCs/>
                <w:snapToGrid w:val="0"/>
                <w:color w:val="000000" w:themeColor="text1"/>
                <w:kern w:val="0"/>
                <w:sz w:val="21"/>
                <w:szCs w:val="21"/>
                <w:highlight w:val="none"/>
                <w14:textFill>
                  <w14:solidFill>
                    <w14:schemeClr w14:val="tx1"/>
                  </w14:solidFill>
                </w14:textFill>
              </w:rPr>
              <w:t>同时提供原件供核对</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w:t>
            </w:r>
          </w:p>
          <w:p w14:paraId="13C4F6AE">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2．评级证书（证明）须由</w:t>
            </w:r>
            <w:r>
              <w:rPr>
                <w:rFonts w:hint="eastAsia" w:asciiTheme="minorEastAsia" w:hAnsiTheme="minorEastAsia" w:eastAsiaTheme="minorEastAsia" w:cstheme="minorEastAsia"/>
                <w:snapToGrid w:val="0"/>
                <w:color w:val="000000" w:themeColor="text1"/>
                <w:sz w:val="21"/>
                <w:szCs w:val="21"/>
                <w:highlight w:val="none"/>
                <w:u w:val="single"/>
                <w14:textFill>
                  <w14:solidFill>
                    <w14:schemeClr w14:val="tx1"/>
                  </w14:solidFill>
                </w14:textFill>
              </w:rPr>
              <w:t xml:space="preserve">企业基本账户开户银行 </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 xml:space="preserve"> 出具。</w:t>
            </w:r>
          </w:p>
          <w:p w14:paraId="4D9BE586">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3．评级证书（证明）有以下情形之一的，视为无效：</w:t>
            </w:r>
          </w:p>
          <w:p w14:paraId="6AAA6071">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①未提供评级证书（证明）原件的；</w:t>
            </w:r>
          </w:p>
          <w:p w14:paraId="783D604D">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②评级证书（证明）不在有效期内的；</w:t>
            </w:r>
          </w:p>
          <w:p w14:paraId="0C3267E5">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③出具机构不符合要求的。</w:t>
            </w:r>
          </w:p>
        </w:tc>
      </w:tr>
      <w:tr w14:paraId="7F6DB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3" w:hRule="atLeast"/>
          <w:jc w:val="center"/>
        </w:trPr>
        <w:tc>
          <w:tcPr>
            <w:tcW w:w="1247" w:type="dxa"/>
            <w:tcBorders>
              <w:top w:val="single" w:color="auto" w:sz="4" w:space="0"/>
              <w:left w:val="single" w:color="auto" w:sz="4" w:space="0"/>
              <w:bottom w:val="single" w:color="auto" w:sz="4" w:space="0"/>
              <w:right w:val="single" w:color="auto" w:sz="4" w:space="0"/>
            </w:tcBorders>
            <w:noWrap w:val="0"/>
            <w:vAlign w:val="center"/>
          </w:tcPr>
          <w:p w14:paraId="0BA83F86">
            <w:pPr>
              <w:pStyle w:val="5"/>
              <w:keepNext w:val="0"/>
              <w:keepLines w:val="0"/>
              <w:pageBreakBefore w:val="0"/>
              <w:widowControl w:val="0"/>
              <w:kinsoku/>
              <w:wordWrap w:val="0"/>
              <w:overflowPunct/>
              <w:topLinePunct w:val="0"/>
              <w:autoSpaceDE/>
              <w:autoSpaceDN/>
              <w:bidi w:val="0"/>
              <w:adjustRightInd w:val="0"/>
              <w:snapToGrid w:val="0"/>
              <w:spacing w:after="0" w:line="380" w:lineRule="exact"/>
              <w:jc w:val="center"/>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企业履约</w:t>
            </w:r>
          </w:p>
          <w:p w14:paraId="37143BDE">
            <w:pPr>
              <w:pStyle w:val="5"/>
              <w:keepNext w:val="0"/>
              <w:keepLines w:val="0"/>
              <w:pageBreakBefore w:val="0"/>
              <w:widowControl w:val="0"/>
              <w:kinsoku/>
              <w:wordWrap w:val="0"/>
              <w:overflowPunct/>
              <w:topLinePunct w:val="0"/>
              <w:autoSpaceDE/>
              <w:autoSpaceDN/>
              <w:bidi w:val="0"/>
              <w:adjustRightInd w:val="0"/>
              <w:snapToGrid w:val="0"/>
              <w:spacing w:after="0" w:line="380" w:lineRule="exact"/>
              <w:jc w:val="center"/>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信誉</w:t>
            </w:r>
          </w:p>
          <w:p w14:paraId="4AB89074">
            <w:pPr>
              <w:pStyle w:val="5"/>
              <w:keepNext w:val="0"/>
              <w:keepLines w:val="0"/>
              <w:pageBreakBefore w:val="0"/>
              <w:widowControl w:val="0"/>
              <w:kinsoku/>
              <w:wordWrap w:val="0"/>
              <w:overflowPunct/>
              <w:topLinePunct w:val="0"/>
              <w:autoSpaceDE/>
              <w:autoSpaceDN/>
              <w:bidi w:val="0"/>
              <w:adjustRightInd w:val="0"/>
              <w:snapToGrid w:val="0"/>
              <w:spacing w:after="0" w:line="380" w:lineRule="exact"/>
              <w:jc w:val="center"/>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（10分）</w:t>
            </w:r>
          </w:p>
          <w:p w14:paraId="781D640A">
            <w:pPr>
              <w:pStyle w:val="5"/>
              <w:keepNext w:val="0"/>
              <w:keepLines w:val="0"/>
              <w:pageBreakBefore w:val="0"/>
              <w:widowControl w:val="0"/>
              <w:kinsoku/>
              <w:wordWrap w:val="0"/>
              <w:overflowPunct/>
              <w:topLinePunct w:val="0"/>
              <w:autoSpaceDE/>
              <w:autoSpaceDN/>
              <w:bidi w:val="0"/>
              <w:adjustRightInd w:val="0"/>
              <w:snapToGrid w:val="0"/>
              <w:spacing w:after="0" w:line="380" w:lineRule="exact"/>
              <w:jc w:val="center"/>
              <w:textAlignment w:val="auto"/>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bidi="ar"/>
                <w14:textFill>
                  <w14:solidFill>
                    <w14:schemeClr w14:val="tx1"/>
                  </w14:solidFill>
                </w14:textFill>
              </w:rPr>
            </w:pPr>
          </w:p>
        </w:tc>
        <w:tc>
          <w:tcPr>
            <w:tcW w:w="4102" w:type="dxa"/>
            <w:gridSpan w:val="2"/>
            <w:tcBorders>
              <w:top w:val="single" w:color="auto" w:sz="4" w:space="0"/>
              <w:left w:val="single" w:color="auto" w:sz="4" w:space="0"/>
              <w:bottom w:val="single" w:color="auto" w:sz="4" w:space="0"/>
              <w:right w:val="single" w:color="auto" w:sz="4" w:space="0"/>
            </w:tcBorders>
            <w:noWrap w:val="0"/>
            <w:vAlign w:val="center"/>
          </w:tcPr>
          <w:p w14:paraId="0747C5BD">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企业获得“守合同重信用企业”（以下简称“守重”）荣誉情况：</w:t>
            </w:r>
          </w:p>
          <w:p w14:paraId="2BB00FB6">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1.“守重”连续3年的，得3分，超过3年的连续年度，每1年加0.4分（增加部分不连续的，中断年度以外的不予计分），最高得10分。</w:t>
            </w:r>
          </w:p>
          <w:p w14:paraId="68ADDC69">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2．其他情形的，不予计分</w:t>
            </w:r>
          </w:p>
        </w:tc>
        <w:tc>
          <w:tcPr>
            <w:tcW w:w="5111" w:type="dxa"/>
            <w:tcBorders>
              <w:top w:val="single" w:color="auto" w:sz="4" w:space="0"/>
              <w:left w:val="single" w:color="auto" w:sz="4" w:space="0"/>
              <w:bottom w:val="single" w:color="auto" w:sz="4" w:space="0"/>
              <w:right w:val="single" w:color="auto" w:sz="4" w:space="0"/>
            </w:tcBorders>
            <w:noWrap w:val="0"/>
            <w:vAlign w:val="center"/>
          </w:tcPr>
          <w:p w14:paraId="4B7EF15D">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1．需附“守重”证书彩色扫描件，</w:t>
            </w:r>
            <w:r>
              <w:rPr>
                <w:rFonts w:hint="eastAsia" w:asciiTheme="minorEastAsia" w:hAnsiTheme="minorEastAsia" w:eastAsiaTheme="minorEastAsia" w:cstheme="minorEastAsia"/>
                <w:b/>
                <w:bCs/>
                <w:snapToGrid w:val="0"/>
                <w:color w:val="000000" w:themeColor="text1"/>
                <w:kern w:val="0"/>
                <w:sz w:val="21"/>
                <w:szCs w:val="21"/>
                <w:highlight w:val="none"/>
                <w:lang w:val="en-US" w:eastAsia="zh-CN"/>
                <w14:textFill>
                  <w14:solidFill>
                    <w14:schemeClr w14:val="tx1"/>
                  </w14:solidFill>
                </w14:textFill>
              </w:rPr>
              <w:t>同时提供原件供核对。（证书为电子证书的除外）</w:t>
            </w:r>
          </w:p>
          <w:p w14:paraId="01D9816A">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2．“守重”证书须由市场监督行政主管部门（原工商行政主管部门）或省级（含以上）市场协会信用等级评定委员会</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（需经民政局备案）</w:t>
            </w: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颁发。</w:t>
            </w:r>
          </w:p>
          <w:p w14:paraId="6F7FBBBE">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3．有以下情形之一的，视为无效：</w:t>
            </w:r>
          </w:p>
          <w:p w14:paraId="30301215">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①未提供“守重”证书原件的；</w:t>
            </w:r>
          </w:p>
          <w:p w14:paraId="12A82290">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②颁发机构不符合要求的。</w:t>
            </w:r>
          </w:p>
        </w:tc>
      </w:tr>
      <w:tr w14:paraId="60D8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atLeast"/>
          <w:jc w:val="center"/>
        </w:trPr>
        <w:tc>
          <w:tcPr>
            <w:tcW w:w="1247" w:type="dxa"/>
            <w:tcBorders>
              <w:top w:val="single" w:color="auto" w:sz="4" w:space="0"/>
              <w:left w:val="single" w:color="auto" w:sz="4" w:space="0"/>
              <w:bottom w:val="single" w:color="auto" w:sz="4" w:space="0"/>
              <w:right w:val="single" w:color="auto" w:sz="4" w:space="0"/>
            </w:tcBorders>
            <w:noWrap w:val="0"/>
            <w:vAlign w:val="center"/>
          </w:tcPr>
          <w:p w14:paraId="69C6CD08">
            <w:pPr>
              <w:pStyle w:val="5"/>
              <w:keepNext w:val="0"/>
              <w:keepLines w:val="0"/>
              <w:pageBreakBefore w:val="0"/>
              <w:widowControl w:val="0"/>
              <w:kinsoku/>
              <w:wordWrap w:val="0"/>
              <w:overflowPunct/>
              <w:topLinePunct w:val="0"/>
              <w:autoSpaceDE/>
              <w:autoSpaceDN/>
              <w:bidi w:val="0"/>
              <w:adjustRightInd w:val="0"/>
              <w:snapToGrid w:val="0"/>
              <w:spacing w:before="0" w:after="0"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bidi="ar"/>
                <w14:textFill>
                  <w14:solidFill>
                    <w14:schemeClr w14:val="tx1"/>
                  </w14:solidFill>
                </w14:textFill>
              </w:rPr>
            </w:pP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bidi="ar"/>
                <w14:textFill>
                  <w14:solidFill>
                    <w14:schemeClr w14:val="tx1"/>
                  </w14:solidFill>
                </w14:textFill>
              </w:rPr>
              <w:t>企业管理</w:t>
            </w:r>
          </w:p>
          <w:p w14:paraId="239E00B5">
            <w:pPr>
              <w:pStyle w:val="5"/>
              <w:keepNext w:val="0"/>
              <w:keepLines w:val="0"/>
              <w:pageBreakBefore w:val="0"/>
              <w:widowControl w:val="0"/>
              <w:kinsoku/>
              <w:wordWrap w:val="0"/>
              <w:overflowPunct/>
              <w:topLinePunct w:val="0"/>
              <w:autoSpaceDE/>
              <w:autoSpaceDN/>
              <w:bidi w:val="0"/>
              <w:adjustRightInd w:val="0"/>
              <w:snapToGrid w:val="0"/>
              <w:spacing w:before="0" w:after="0"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bidi="ar"/>
                <w14:textFill>
                  <w14:solidFill>
                    <w14:schemeClr w14:val="tx1"/>
                  </w14:solidFill>
                </w14:textFill>
              </w:rPr>
            </w:pP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bidi="ar"/>
                <w14:textFill>
                  <w14:solidFill>
                    <w14:schemeClr w14:val="tx1"/>
                  </w14:solidFill>
                </w14:textFill>
              </w:rPr>
              <w:t>体系认证</w:t>
            </w:r>
          </w:p>
          <w:p w14:paraId="5529F992">
            <w:pPr>
              <w:pStyle w:val="5"/>
              <w:keepNext w:val="0"/>
              <w:keepLines w:val="0"/>
              <w:pageBreakBefore w:val="0"/>
              <w:widowControl w:val="0"/>
              <w:kinsoku/>
              <w:wordWrap w:val="0"/>
              <w:overflowPunct/>
              <w:topLinePunct w:val="0"/>
              <w:autoSpaceDE/>
              <w:autoSpaceDN/>
              <w:bidi w:val="0"/>
              <w:adjustRightInd w:val="0"/>
              <w:snapToGrid w:val="0"/>
              <w:spacing w:before="0" w:after="0"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val="en-US" w:eastAsia="zh-CN" w:bidi="ar"/>
                <w14:textFill>
                  <w14:solidFill>
                    <w14:schemeClr w14:val="tx1"/>
                  </w14:solidFill>
                </w14:textFill>
              </w:rPr>
              <w:t>6</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bidi="ar"/>
                <w14:textFill>
                  <w14:solidFill>
                    <w14:schemeClr w14:val="tx1"/>
                  </w14:solidFill>
                </w14:textFill>
              </w:rPr>
              <w:t>分</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bidi="ar"/>
                <w14:textFill>
                  <w14:solidFill>
                    <w14:schemeClr w14:val="tx1"/>
                  </w14:solidFill>
                </w14:textFill>
              </w:rPr>
              <w:t>）</w:t>
            </w:r>
          </w:p>
        </w:tc>
        <w:tc>
          <w:tcPr>
            <w:tcW w:w="4102" w:type="dxa"/>
            <w:gridSpan w:val="2"/>
            <w:tcBorders>
              <w:top w:val="single" w:color="auto" w:sz="4" w:space="0"/>
              <w:left w:val="single" w:color="auto" w:sz="4" w:space="0"/>
              <w:bottom w:val="single" w:color="auto" w:sz="4" w:space="0"/>
              <w:right w:val="single" w:color="auto" w:sz="4" w:space="0"/>
            </w:tcBorders>
            <w:noWrap w:val="0"/>
            <w:vAlign w:val="center"/>
          </w:tcPr>
          <w:p w14:paraId="746F0A04">
            <w:pPr>
              <w:pStyle w:val="5"/>
              <w:keepNext w:val="0"/>
              <w:keepLines w:val="0"/>
              <w:pageBreakBefore w:val="0"/>
              <w:widowControl w:val="0"/>
              <w:numPr>
                <w:ilvl w:val="0"/>
                <w:numId w:val="0"/>
              </w:numPr>
              <w:kinsoku/>
              <w:wordWrap w:val="0"/>
              <w:overflowPunct/>
              <w:topLinePunct w:val="0"/>
              <w:autoSpaceDE/>
              <w:autoSpaceDN/>
              <w:bidi w:val="0"/>
              <w:adjustRightInd w:val="0"/>
              <w:snapToGrid w:val="0"/>
              <w:spacing w:before="0" w:after="0" w:line="380" w:lineRule="exact"/>
              <w:ind w:left="0" w:leftChars="0" w:right="0" w:rightChars="0" w:firstLine="0" w:firstLineChars="0"/>
              <w:textAlignment w:val="auto"/>
              <w:outlineLvl w:val="9"/>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14:textFill>
                  <w14:solidFill>
                    <w14:schemeClr w14:val="tx1"/>
                  </w14:solidFill>
                </w14:textFill>
              </w:rPr>
              <w:t>质量管理体系认证</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bidi="ar"/>
                <w14:textFill>
                  <w14:solidFill>
                    <w14:schemeClr w14:val="tx1"/>
                  </w14:solidFill>
                </w14:textFill>
              </w:rPr>
              <w:t>、</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14:textFill>
                  <w14:solidFill>
                    <w14:schemeClr w14:val="tx1"/>
                  </w14:solidFill>
                </w14:textFill>
              </w:rPr>
              <w:t>职业健康安全管理体系认证</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bidi="ar"/>
                <w14:textFill>
                  <w14:solidFill>
                    <w14:schemeClr w14:val="tx1"/>
                  </w14:solidFill>
                </w14:textFill>
              </w:rPr>
              <w:t>、</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14:textFill>
                  <w14:solidFill>
                    <w14:schemeClr w14:val="tx1"/>
                  </w14:solidFill>
                </w14:textFill>
              </w:rPr>
              <w:t>环境管理体系认证</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bidi="ar"/>
                <w14:textFill>
                  <w14:solidFill>
                    <w14:schemeClr w14:val="tx1"/>
                  </w14:solidFill>
                </w14:textFill>
              </w:rPr>
              <w:t>中，每获得</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val="en-US" w:eastAsia="zh-CN" w:bidi="ar"/>
                <w14:textFill>
                  <w14:solidFill>
                    <w14:schemeClr w14:val="tx1"/>
                  </w14:solidFill>
                </w14:textFill>
              </w:rPr>
              <w:t>1</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bidi="ar"/>
                <w14:textFill>
                  <w14:solidFill>
                    <w14:schemeClr w14:val="tx1"/>
                  </w14:solidFill>
                </w14:textFill>
              </w:rPr>
              <w:t>项认证</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14:textFill>
                  <w14:solidFill>
                    <w14:schemeClr w14:val="tx1"/>
                  </w14:solidFill>
                </w14:textFill>
              </w:rPr>
              <w:t>得</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14:textFill>
                  <w14:solidFill>
                    <w14:schemeClr w14:val="tx1"/>
                  </w14:solidFill>
                </w14:textFill>
              </w:rPr>
              <w:t>分</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eastAsia="zh-CN"/>
                <w14:textFill>
                  <w14:solidFill>
                    <w14:schemeClr w14:val="tx1"/>
                  </w14:solidFill>
                </w14:textFill>
              </w:rPr>
              <w:t>，最高得</w:t>
            </w: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val="en-US" w:eastAsia="zh-CN"/>
                <w14:textFill>
                  <w14:solidFill>
                    <w14:schemeClr w14:val="tx1"/>
                  </w14:solidFill>
                </w14:textFill>
              </w:rPr>
              <w:t>6分。</w:t>
            </w:r>
          </w:p>
          <w:p w14:paraId="4B119DAB">
            <w:pPr>
              <w:pStyle w:val="5"/>
              <w:keepNext w:val="0"/>
              <w:keepLines w:val="0"/>
              <w:pageBreakBefore w:val="0"/>
              <w:widowControl w:val="0"/>
              <w:numPr>
                <w:ilvl w:val="0"/>
                <w:numId w:val="0"/>
              </w:numPr>
              <w:kinsoku/>
              <w:wordWrap w:val="0"/>
              <w:overflowPunct/>
              <w:topLinePunct w:val="0"/>
              <w:autoSpaceDE/>
              <w:autoSpaceDN/>
              <w:bidi w:val="0"/>
              <w:adjustRightInd w:val="0"/>
              <w:snapToGrid w:val="0"/>
              <w:spacing w:before="0" w:after="0" w:line="380" w:lineRule="exact"/>
              <w:ind w:left="0" w:leftChars="0" w:right="0" w:rightChars="0" w:firstLine="0" w:firstLineChars="0"/>
              <w:textAlignment w:val="auto"/>
              <w:outlineLvl w:val="9"/>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aps w:val="0"/>
                <w:smallCaps w:val="0"/>
                <w:snapToGrid w:val="0"/>
                <w:color w:val="000000" w:themeColor="text1"/>
                <w:spacing w:val="0"/>
                <w:kern w:val="0"/>
                <w:sz w:val="21"/>
                <w:szCs w:val="21"/>
                <w:highlight w:val="none"/>
                <w:lang w:val="en-US" w:eastAsia="zh-CN"/>
                <w14:textFill>
                  <w14:solidFill>
                    <w14:schemeClr w14:val="tx1"/>
                  </w14:solidFill>
                </w14:textFill>
              </w:rPr>
              <w:t>2．未获得以上认证的，不予计分。</w:t>
            </w:r>
          </w:p>
        </w:tc>
        <w:tc>
          <w:tcPr>
            <w:tcW w:w="5111" w:type="dxa"/>
            <w:tcBorders>
              <w:top w:val="single" w:color="auto" w:sz="4" w:space="0"/>
              <w:left w:val="single" w:color="auto" w:sz="4" w:space="0"/>
              <w:bottom w:val="single" w:color="auto" w:sz="4" w:space="0"/>
              <w:right w:val="single" w:color="auto" w:sz="4" w:space="0"/>
            </w:tcBorders>
            <w:noWrap w:val="0"/>
            <w:vAlign w:val="center"/>
          </w:tcPr>
          <w:p w14:paraId="4FCCFB6B">
            <w:pPr>
              <w:pStyle w:val="5"/>
              <w:keepNext w:val="0"/>
              <w:keepLines w:val="0"/>
              <w:pageBreakBefore w:val="0"/>
              <w:widowControl w:val="0"/>
              <w:kinsoku/>
              <w:wordWrap w:val="0"/>
              <w:overflowPunct/>
              <w:topLinePunct w:val="0"/>
              <w:autoSpaceDE/>
              <w:autoSpaceDN/>
              <w:bidi w:val="0"/>
              <w:adjustRightInd w:val="0"/>
              <w:snapToGrid w:val="0"/>
              <w:spacing w:before="0" w:after="0" w:line="380" w:lineRule="exact"/>
              <w:ind w:left="0" w:leftChars="0" w:right="0" w:rightChars="0" w:firstLine="0" w:firstLineChars="0"/>
              <w:textAlignment w:val="auto"/>
              <w:outlineLvl w:val="9"/>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1．需附在有效期内的认证证书</w:t>
            </w: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彩色扫描件</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b/>
                <w:bCs/>
                <w:snapToGrid w:val="0"/>
                <w:color w:val="000000" w:themeColor="text1"/>
                <w:kern w:val="0"/>
                <w:sz w:val="21"/>
                <w:szCs w:val="21"/>
                <w:highlight w:val="none"/>
                <w14:textFill>
                  <w14:solidFill>
                    <w14:schemeClr w14:val="tx1"/>
                  </w14:solidFill>
                </w14:textFill>
              </w:rPr>
              <w:t>同时提供原件供核对（证书为电子证书的除外）</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w:t>
            </w:r>
          </w:p>
          <w:p w14:paraId="130AB7AC">
            <w:pPr>
              <w:pStyle w:val="5"/>
              <w:keepNext w:val="0"/>
              <w:keepLines w:val="0"/>
              <w:pageBreakBefore w:val="0"/>
              <w:widowControl w:val="0"/>
              <w:kinsoku/>
              <w:wordWrap w:val="0"/>
              <w:overflowPunct/>
              <w:topLinePunct w:val="0"/>
              <w:autoSpaceDE/>
              <w:autoSpaceDN/>
              <w:bidi w:val="0"/>
              <w:adjustRightInd w:val="0"/>
              <w:snapToGrid w:val="0"/>
              <w:spacing w:before="0" w:after="0" w:line="380" w:lineRule="exact"/>
              <w:ind w:left="0" w:leftChars="0" w:right="0" w:rightChars="0" w:firstLine="0" w:firstLineChars="0"/>
              <w:textAlignment w:val="auto"/>
              <w:outlineLvl w:val="9"/>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2．任一认证证书有以下情形之一的，该认证证书视为无效，不予计分：</w:t>
            </w:r>
          </w:p>
          <w:p w14:paraId="1E6AC017">
            <w:pPr>
              <w:pStyle w:val="5"/>
              <w:keepNext w:val="0"/>
              <w:keepLines w:val="0"/>
              <w:pageBreakBefore w:val="0"/>
              <w:widowControl w:val="0"/>
              <w:kinsoku/>
              <w:wordWrap w:val="0"/>
              <w:overflowPunct/>
              <w:topLinePunct w:val="0"/>
              <w:autoSpaceDE/>
              <w:autoSpaceDN/>
              <w:bidi w:val="0"/>
              <w:adjustRightInd w:val="0"/>
              <w:snapToGrid w:val="0"/>
              <w:spacing w:before="0" w:after="0" w:line="380" w:lineRule="exact"/>
              <w:ind w:left="0" w:leftChars="0" w:right="0" w:rightChars="0" w:firstLine="0" w:firstLineChars="0"/>
              <w:textAlignment w:val="auto"/>
              <w:outlineLvl w:val="9"/>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①未提供认证证书原件的；</w:t>
            </w:r>
          </w:p>
          <w:p w14:paraId="2B077A40">
            <w:pPr>
              <w:pStyle w:val="5"/>
              <w:keepNext w:val="0"/>
              <w:keepLines w:val="0"/>
              <w:pageBreakBefore w:val="0"/>
              <w:widowControl w:val="0"/>
              <w:kinsoku/>
              <w:wordWrap w:val="0"/>
              <w:overflowPunct/>
              <w:topLinePunct w:val="0"/>
              <w:autoSpaceDE/>
              <w:autoSpaceDN/>
              <w:bidi w:val="0"/>
              <w:adjustRightInd w:val="0"/>
              <w:snapToGrid w:val="0"/>
              <w:spacing w:before="0" w:after="0" w:line="380" w:lineRule="exact"/>
              <w:ind w:left="0" w:leftChars="0" w:right="0" w:rightChars="0" w:firstLine="0" w:firstLineChars="0"/>
              <w:textAlignment w:val="auto"/>
              <w:outlineLvl w:val="9"/>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②认证证书不在有效期内的。</w:t>
            </w:r>
          </w:p>
        </w:tc>
      </w:tr>
      <w:tr w14:paraId="3FAF9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1247" w:type="dxa"/>
            <w:tcBorders>
              <w:top w:val="single" w:color="auto" w:sz="4" w:space="0"/>
              <w:left w:val="single" w:color="auto" w:sz="4" w:space="0"/>
              <w:bottom w:val="single" w:color="auto" w:sz="4" w:space="0"/>
              <w:right w:val="single" w:color="auto" w:sz="4" w:space="0"/>
            </w:tcBorders>
            <w:noWrap w:val="0"/>
            <w:vAlign w:val="center"/>
          </w:tcPr>
          <w:p w14:paraId="786FB832">
            <w:pPr>
              <w:pStyle w:val="5"/>
              <w:keepNext w:val="0"/>
              <w:keepLines w:val="0"/>
              <w:pageBreakBefore w:val="0"/>
              <w:widowControl w:val="0"/>
              <w:kinsoku/>
              <w:wordWrap w:val="0"/>
              <w:overflowPunct/>
              <w:topLinePunct w:val="0"/>
              <w:autoSpaceDE/>
              <w:autoSpaceDN/>
              <w:bidi w:val="0"/>
              <w:adjustRightInd w:val="0"/>
              <w:snapToGrid w:val="0"/>
              <w:spacing w:after="0" w:line="380" w:lineRule="exact"/>
              <w:jc w:val="center"/>
              <w:textAlignment w:val="auto"/>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企业</w:t>
            </w:r>
          </w:p>
          <w:p w14:paraId="0AE1B981">
            <w:pPr>
              <w:pStyle w:val="5"/>
              <w:keepNext w:val="0"/>
              <w:keepLines w:val="0"/>
              <w:pageBreakBefore w:val="0"/>
              <w:widowControl w:val="0"/>
              <w:kinsoku/>
              <w:wordWrap w:val="0"/>
              <w:overflowPunct/>
              <w:topLinePunct w:val="0"/>
              <w:autoSpaceDE/>
              <w:autoSpaceDN/>
              <w:bidi w:val="0"/>
              <w:adjustRightInd w:val="0"/>
              <w:snapToGrid w:val="0"/>
              <w:spacing w:after="0" w:line="380" w:lineRule="exact"/>
              <w:jc w:val="center"/>
              <w:textAlignment w:val="auto"/>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财务状况</w:t>
            </w:r>
          </w:p>
          <w:p w14:paraId="0C363B64">
            <w:pPr>
              <w:pStyle w:val="5"/>
              <w:keepNext w:val="0"/>
              <w:keepLines w:val="0"/>
              <w:pageBreakBefore w:val="0"/>
              <w:widowControl w:val="0"/>
              <w:kinsoku/>
              <w:wordWrap w:val="0"/>
              <w:overflowPunct/>
              <w:topLinePunct w:val="0"/>
              <w:autoSpaceDE/>
              <w:autoSpaceDN/>
              <w:bidi w:val="0"/>
              <w:adjustRightInd w:val="0"/>
              <w:snapToGrid w:val="0"/>
              <w:spacing w:after="0" w:line="380" w:lineRule="exact"/>
              <w:jc w:val="center"/>
              <w:textAlignment w:val="auto"/>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（9分）</w:t>
            </w:r>
          </w:p>
        </w:tc>
        <w:tc>
          <w:tcPr>
            <w:tcW w:w="4102" w:type="dxa"/>
            <w:gridSpan w:val="2"/>
            <w:tcBorders>
              <w:top w:val="single" w:color="auto" w:sz="4" w:space="0"/>
              <w:left w:val="single" w:color="auto" w:sz="4" w:space="0"/>
              <w:bottom w:val="single" w:color="auto" w:sz="4" w:space="0"/>
              <w:right w:val="single" w:color="auto" w:sz="4" w:space="0"/>
            </w:tcBorders>
            <w:noWrap w:val="0"/>
            <w:vAlign w:val="center"/>
          </w:tcPr>
          <w:p w14:paraId="4C88AA01">
            <w:pPr>
              <w:pStyle w:val="34"/>
              <w:keepNext w:val="0"/>
              <w:keepLines w:val="0"/>
              <w:pageBreakBefore w:val="0"/>
              <w:widowControl w:val="0"/>
              <w:numPr>
                <w:ilvl w:val="0"/>
                <w:numId w:val="3"/>
              </w:numPr>
              <w:kinsoku/>
              <w:wordWrap w:val="0"/>
              <w:overflowPunct/>
              <w:topLinePunct w:val="0"/>
              <w:autoSpaceDE/>
              <w:autoSpaceDN/>
              <w:bidi w:val="0"/>
              <w:adjustRightInd w:val="0"/>
              <w:snapToGrid w:val="0"/>
              <w:spacing w:line="380" w:lineRule="exact"/>
              <w:jc w:val="lef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提供不少于</w:t>
            </w:r>
            <w:r>
              <w:rPr>
                <w:rFonts w:hint="eastAsia" w:asciiTheme="minorEastAsia" w:hAnsiTheme="minorEastAsia" w:eastAsiaTheme="minorEastAsia" w:cstheme="minorEastAsia"/>
                <w:b w:val="0"/>
                <w:bCs w:val="0"/>
                <w:snapToGrid w:val="0"/>
                <w:color w:val="000000" w:themeColor="text1"/>
                <w:kern w:val="0"/>
                <w:sz w:val="21"/>
                <w:szCs w:val="21"/>
                <w:highlight w:val="none"/>
                <w:u w:val="single"/>
                <w:lang w:val="en-US" w:eastAsia="zh-CN"/>
                <w14:textFill>
                  <w14:solidFill>
                    <w14:schemeClr w14:val="tx1"/>
                  </w14:solidFill>
                </w14:textFill>
              </w:rPr>
              <w:t>100</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万元银行授信证明的，得</w:t>
            </w: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分。</w:t>
            </w:r>
          </w:p>
          <w:p w14:paraId="3CD21D9B">
            <w:pPr>
              <w:pStyle w:val="34"/>
              <w:keepNext w:val="0"/>
              <w:keepLines w:val="0"/>
              <w:pageBreakBefore w:val="0"/>
              <w:widowControl w:val="0"/>
              <w:kinsoku/>
              <w:wordWrap w:val="0"/>
              <w:overflowPunct/>
              <w:topLinePunct w:val="0"/>
              <w:autoSpaceDE/>
              <w:autoSpaceDN/>
              <w:bidi w:val="0"/>
              <w:adjustRightInd w:val="0"/>
              <w:snapToGrid w:val="0"/>
              <w:spacing w:line="380" w:lineRule="exact"/>
              <w:jc w:val="lef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2．提供投标人基本账户在本项目招标公告发布之日起至投标截止时间期间出现过至少连续3日不少于</w:t>
            </w:r>
            <w:r>
              <w:rPr>
                <w:rFonts w:hint="eastAsia" w:asciiTheme="minorEastAsia" w:hAnsiTheme="minorEastAsia" w:eastAsiaTheme="minorEastAsia" w:cstheme="minorEastAsia"/>
                <w:b w:val="0"/>
                <w:bCs w:val="0"/>
                <w:snapToGrid w:val="0"/>
                <w:color w:val="000000" w:themeColor="text1"/>
                <w:kern w:val="0"/>
                <w:sz w:val="21"/>
                <w:szCs w:val="21"/>
                <w:highlight w:val="none"/>
                <w:u w:val="single"/>
                <w:lang w:val="en-US" w:eastAsia="zh-CN"/>
                <w14:textFill>
                  <w14:solidFill>
                    <w14:schemeClr w14:val="tx1"/>
                  </w14:solidFill>
                </w14:textFill>
              </w:rPr>
              <w:t>100</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万元存款余额资金流水证明的，得</w:t>
            </w: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分。</w:t>
            </w:r>
          </w:p>
          <w:p w14:paraId="30137D69">
            <w:pPr>
              <w:pStyle w:val="34"/>
              <w:keepNext w:val="0"/>
              <w:keepLines w:val="0"/>
              <w:pageBreakBefore w:val="0"/>
              <w:widowControl w:val="0"/>
              <w:kinsoku/>
              <w:wordWrap w:val="0"/>
              <w:overflowPunct/>
              <w:topLinePunct w:val="0"/>
              <w:autoSpaceDE/>
              <w:autoSpaceDN/>
              <w:bidi w:val="0"/>
              <w:adjustRightInd w:val="0"/>
              <w:snapToGrid w:val="0"/>
              <w:spacing w:line="380" w:lineRule="exact"/>
              <w:jc w:val="left"/>
              <w:textAlignment w:val="auto"/>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14:textFill>
                  <w14:solidFill>
                    <w14:schemeClr w14:val="tx1"/>
                  </w14:solidFill>
                </w14:textFill>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77CF0C38">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1．需附在有效期内的有关证明</w:t>
            </w: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彩色扫描件</w:t>
            </w: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w:t>
            </w:r>
          </w:p>
          <w:p w14:paraId="2DF8027B">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2．银行授信证明有以下情形之一的，视为无效，不予计分：</w:t>
            </w:r>
          </w:p>
          <w:p w14:paraId="78B100A7">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①授信证明不在有效期内的；</w:t>
            </w:r>
          </w:p>
          <w:p w14:paraId="599C6604">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②授信额度不符合要求的；</w:t>
            </w:r>
          </w:p>
          <w:p w14:paraId="4D739244">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3．存款余额资金流水证明有以下情形之一的，视为无效，不予计分：</w:t>
            </w:r>
          </w:p>
          <w:p w14:paraId="76EC0AA6">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①存款账户不是基本账户的；</w:t>
            </w:r>
          </w:p>
          <w:p w14:paraId="5B87052E">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②存款时间不符合要求的；</w:t>
            </w:r>
          </w:p>
          <w:p w14:paraId="0DEBA461">
            <w:pPr>
              <w:pStyle w:val="5"/>
              <w:keepNext w:val="0"/>
              <w:keepLines w:val="0"/>
              <w:pageBreakBefore w:val="0"/>
              <w:widowControl w:val="0"/>
              <w:kinsoku/>
              <w:wordWrap w:val="0"/>
              <w:overflowPunct/>
              <w:topLinePunct w:val="0"/>
              <w:autoSpaceDE/>
              <w:autoSpaceDN/>
              <w:bidi w:val="0"/>
              <w:adjustRightInd w:val="0"/>
              <w:snapToGrid w:val="0"/>
              <w:spacing w:after="0" w:line="380" w:lineRule="exact"/>
              <w:textAlignment w:val="auto"/>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14:textFill>
                  <w14:solidFill>
                    <w14:schemeClr w14:val="tx1"/>
                  </w14:solidFill>
                </w14:textFill>
              </w:rPr>
              <w:t>③存款额度不符合要求的。</w:t>
            </w:r>
          </w:p>
        </w:tc>
      </w:tr>
      <w:tr w14:paraId="3DD87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7" w:hRule="atLeast"/>
          <w:jc w:val="center"/>
        </w:trPr>
        <w:tc>
          <w:tcPr>
            <w:tcW w:w="1247" w:type="dxa"/>
            <w:vMerge w:val="restart"/>
            <w:tcBorders>
              <w:top w:val="single" w:color="auto" w:sz="4" w:space="0"/>
              <w:left w:val="single" w:color="auto" w:sz="4" w:space="0"/>
              <w:bottom w:val="single" w:color="auto" w:sz="4" w:space="0"/>
              <w:right w:val="single" w:color="auto" w:sz="4" w:space="0"/>
            </w:tcBorders>
            <w:noWrap w:val="0"/>
            <w:vAlign w:val="center"/>
          </w:tcPr>
          <w:p w14:paraId="7B782881">
            <w:pPr>
              <w:pStyle w:val="5"/>
              <w:keepNext w:val="0"/>
              <w:keepLines w:val="0"/>
              <w:pageBreakBefore w:val="0"/>
              <w:widowControl w:val="0"/>
              <w:kinsoku/>
              <w:wordWrap w:val="0"/>
              <w:overflowPunct/>
              <w:topLinePunct w:val="0"/>
              <w:autoSpaceDE/>
              <w:autoSpaceDN/>
              <w:bidi w:val="0"/>
              <w:adjustRightInd w:val="0"/>
              <w:snapToGrid w:val="0"/>
              <w:spacing w:before="0" w:after="0"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val="en-US" w:eastAsia="zh-CN" w:bidi="ar"/>
                <w14:textFill>
                  <w14:solidFill>
                    <w14:schemeClr w14:val="tx1"/>
                  </w14:solidFill>
                </w14:textFill>
              </w:rPr>
              <w:t>招标人</w:t>
            </w:r>
          </w:p>
          <w:p w14:paraId="03FC9D9D">
            <w:pPr>
              <w:pStyle w:val="5"/>
              <w:keepNext w:val="0"/>
              <w:keepLines w:val="0"/>
              <w:pageBreakBefore w:val="0"/>
              <w:widowControl w:val="0"/>
              <w:kinsoku/>
              <w:wordWrap w:val="0"/>
              <w:overflowPunct/>
              <w:topLinePunct w:val="0"/>
              <w:autoSpaceDE/>
              <w:autoSpaceDN/>
              <w:bidi w:val="0"/>
              <w:adjustRightInd w:val="0"/>
              <w:snapToGrid w:val="0"/>
              <w:spacing w:before="0" w:after="0"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val="en-US" w:eastAsia="zh-CN" w:bidi="ar"/>
                <w14:textFill>
                  <w14:solidFill>
                    <w14:schemeClr w14:val="tx1"/>
                  </w14:solidFill>
                </w14:textFill>
              </w:rPr>
              <w:t>自选项</w:t>
            </w:r>
          </w:p>
          <w:p w14:paraId="0165A0BB">
            <w:pPr>
              <w:pStyle w:val="5"/>
              <w:keepNext w:val="0"/>
              <w:keepLines w:val="0"/>
              <w:pageBreakBefore w:val="0"/>
              <w:widowControl w:val="0"/>
              <w:kinsoku/>
              <w:wordWrap w:val="0"/>
              <w:overflowPunct/>
              <w:topLinePunct w:val="0"/>
              <w:autoSpaceDE/>
              <w:autoSpaceDN/>
              <w:bidi w:val="0"/>
              <w:adjustRightInd w:val="0"/>
              <w:snapToGrid w:val="0"/>
              <w:spacing w:before="0" w:after="0"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val="en-US" w:eastAsia="zh-CN" w:bidi="ar"/>
                <w14:textFill>
                  <w14:solidFill>
                    <w14:schemeClr w14:val="tx1"/>
                  </w14:solidFill>
                </w14:textFill>
              </w:rPr>
              <w:t>（20分）</w:t>
            </w:r>
          </w:p>
        </w:tc>
        <w:tc>
          <w:tcPr>
            <w:tcW w:w="4102" w:type="dxa"/>
            <w:gridSpan w:val="2"/>
            <w:tcBorders>
              <w:top w:val="single" w:color="auto" w:sz="4" w:space="0"/>
              <w:left w:val="single" w:color="auto" w:sz="4" w:space="0"/>
              <w:bottom w:val="single" w:color="auto" w:sz="4" w:space="0"/>
              <w:right w:val="single" w:color="auto" w:sz="4" w:space="0"/>
            </w:tcBorders>
            <w:noWrap w:val="0"/>
            <w:vAlign w:val="center"/>
          </w:tcPr>
          <w:p w14:paraId="29A68403">
            <w:pPr>
              <w:pStyle w:val="5"/>
              <w:keepNext w:val="0"/>
              <w:keepLines w:val="0"/>
              <w:pageBreakBefore w:val="0"/>
              <w:kinsoku/>
              <w:wordWrap w:val="0"/>
              <w:overflowPunct/>
              <w:topLinePunct w:val="0"/>
              <w:autoSpaceDE/>
              <w:autoSpaceDN/>
              <w:bidi w:val="0"/>
              <w:adjustRightInd w:val="0"/>
              <w:snapToGrid w:val="0"/>
              <w:spacing w:line="380" w:lineRule="exact"/>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企业</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2019</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年度至</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2023</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年度连续</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年获得纳税信用A级纳税人的，得</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分</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p>
        </w:tc>
        <w:tc>
          <w:tcPr>
            <w:tcW w:w="5111" w:type="dxa"/>
            <w:tcBorders>
              <w:top w:val="single" w:color="auto" w:sz="4" w:space="0"/>
              <w:left w:val="single" w:color="auto" w:sz="4" w:space="0"/>
              <w:bottom w:val="single" w:color="auto" w:sz="4" w:space="0"/>
              <w:right w:val="single" w:color="auto" w:sz="4" w:space="0"/>
            </w:tcBorders>
            <w:noWrap w:val="0"/>
            <w:vAlign w:val="center"/>
          </w:tcPr>
          <w:p w14:paraId="35A50698">
            <w:pPr>
              <w:keepNext w:val="0"/>
              <w:keepLines w:val="0"/>
              <w:pageBreakBefore w:val="0"/>
              <w:kinsoku/>
              <w:overflowPunct/>
              <w:topLinePunct w:val="0"/>
              <w:autoSpaceDE/>
              <w:autoSpaceDN/>
              <w:bidi w:val="0"/>
              <w:adjustRightInd w:val="0"/>
              <w:snapToGrid w:val="0"/>
              <w:spacing w:line="380" w:lineRule="exact"/>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必须提供企业纳税信用A级纳税人证明材料（或证书）</w:t>
            </w:r>
            <w:r>
              <w:rPr>
                <w:rFonts w:hint="eastAsia" w:asciiTheme="minorEastAsia" w:hAnsiTheme="minorEastAsia" w:eastAsiaTheme="minorEastAsia" w:cstheme="minorEastAsia"/>
                <w:strike w:val="0"/>
                <w:snapToGrid w:val="0"/>
                <w:color w:val="000000" w:themeColor="text1"/>
                <w:kern w:val="0"/>
                <w:sz w:val="21"/>
                <w:szCs w:val="21"/>
                <w:highlight w:val="none"/>
                <w:lang w:val="en-US" w:eastAsia="zh-CN" w:bidi="ar-SA"/>
                <w14:textFill>
                  <w14:solidFill>
                    <w14:schemeClr w14:val="tx1"/>
                  </w14:solidFill>
                </w14:textFill>
              </w:rPr>
              <w:t>彩色扫描件</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及</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国家税务</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局（或省级电子税务局）网上查询截图，</w:t>
            </w: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否则不得分。</w:t>
            </w:r>
          </w:p>
          <w:p w14:paraId="695E8402">
            <w:pPr>
              <w:pStyle w:val="5"/>
              <w:keepNext w:val="0"/>
              <w:keepLines w:val="0"/>
              <w:pageBreakBefore w:val="0"/>
              <w:numPr>
                <w:ilvl w:val="0"/>
                <w:numId w:val="0"/>
              </w:numPr>
              <w:kinsoku/>
              <w:wordWrap w:val="0"/>
              <w:overflowPunct/>
              <w:topLinePunct w:val="0"/>
              <w:autoSpaceDE/>
              <w:autoSpaceDN/>
              <w:bidi w:val="0"/>
              <w:adjustRightInd w:val="0"/>
              <w:snapToGrid w:val="0"/>
              <w:spacing w:line="380" w:lineRule="exact"/>
              <w:ind w:left="0" w:leftChars="0" w:firstLine="0" w:firstLineChars="0"/>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2.只计算投标人自身（不计算投标人的分公司、子公司及分支机构）。</w:t>
            </w:r>
          </w:p>
        </w:tc>
      </w:tr>
      <w:tr w14:paraId="06EFB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4" w:hRule="atLeas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14:paraId="71A47F24">
            <w:pPr>
              <w:pStyle w:val="5"/>
              <w:keepNext w:val="0"/>
              <w:keepLines w:val="0"/>
              <w:pageBreakBefore w:val="0"/>
              <w:widowControl w:val="0"/>
              <w:kinsoku/>
              <w:wordWrap w:val="0"/>
              <w:overflowPunct/>
              <w:topLinePunct w:val="0"/>
              <w:autoSpaceDE/>
              <w:autoSpaceDN/>
              <w:bidi w:val="0"/>
              <w:adjustRightInd w:val="0"/>
              <w:snapToGrid w:val="0"/>
              <w:spacing w:before="0" w:after="0"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eastAsia="zh-CN"/>
                <w14:textFill>
                  <w14:solidFill>
                    <w14:schemeClr w14:val="tx1"/>
                  </w14:solidFill>
                </w14:textFill>
              </w:rPr>
            </w:pPr>
          </w:p>
        </w:tc>
        <w:tc>
          <w:tcPr>
            <w:tcW w:w="4102" w:type="dxa"/>
            <w:gridSpan w:val="2"/>
            <w:tcBorders>
              <w:top w:val="single" w:color="auto" w:sz="4" w:space="0"/>
              <w:left w:val="single" w:color="auto" w:sz="4" w:space="0"/>
              <w:bottom w:val="single" w:color="auto" w:sz="4" w:space="0"/>
              <w:right w:val="single" w:color="auto" w:sz="4" w:space="0"/>
            </w:tcBorders>
            <w:noWrap w:val="0"/>
            <w:vAlign w:val="center"/>
          </w:tcPr>
          <w:p w14:paraId="146942AC">
            <w:pPr>
              <w:pStyle w:val="5"/>
              <w:keepNext w:val="0"/>
              <w:keepLines w:val="0"/>
              <w:pageBreakBefore w:val="0"/>
              <w:kinsoku/>
              <w:wordWrap w:val="0"/>
              <w:overflowPunct/>
              <w:topLinePunct w:val="0"/>
              <w:autoSpaceDE/>
              <w:autoSpaceDN/>
              <w:bidi w:val="0"/>
              <w:adjustRightInd w:val="0"/>
              <w:snapToGrid w:val="0"/>
              <w:spacing w:line="380" w:lineRule="exact"/>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投标人从</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2016</w:t>
            </w:r>
            <w:r>
              <w:rPr>
                <w:rFonts w:hint="eastAsia" w:asciiTheme="minorEastAsia" w:hAnsiTheme="minorEastAsia" w:eastAsiaTheme="minorEastAsia" w:cstheme="minorEastAsia"/>
                <w:strike w:val="0"/>
                <w:snapToGrid w:val="0"/>
                <w:color w:val="000000" w:themeColor="text1"/>
                <w:kern w:val="0"/>
                <w:sz w:val="21"/>
                <w:szCs w:val="21"/>
                <w:highlight w:val="none"/>
                <w:lang w:val="en-US" w:eastAsia="zh-CN" w:bidi="ar-SA"/>
                <w14:textFill>
                  <w14:solidFill>
                    <w14:schemeClr w14:val="tx1"/>
                  </w14:solidFill>
                </w14:textFill>
              </w:rPr>
              <w:t>年1月1日</w:t>
            </w:r>
            <w:r>
              <w:rPr>
                <w:rFonts w:hint="eastAsia" w:asciiTheme="minorEastAsia" w:hAnsiTheme="minorEastAsia" w:eastAsiaTheme="minorEastAsia" w:cstheme="minorEastAsia"/>
                <w:b w:val="0"/>
                <w:bCs w:val="0"/>
                <w:snapToGrid w:val="0"/>
                <w:color w:val="000000" w:themeColor="text1"/>
                <w:kern w:val="0"/>
                <w:sz w:val="21"/>
                <w:szCs w:val="21"/>
                <w:highlight w:val="none"/>
                <w:lang w:eastAsia="zh-CN"/>
                <w14:textFill>
                  <w14:solidFill>
                    <w14:schemeClr w14:val="tx1"/>
                  </w14:solidFill>
                </w14:textFill>
              </w:rPr>
              <w:t>至今</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获得</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省级/国级“企业诚信公约证书”</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称号的得</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1.5</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分，超过</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年的，每增加一年加</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0.5</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分，满分得</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分。</w:t>
            </w:r>
          </w:p>
        </w:tc>
        <w:tc>
          <w:tcPr>
            <w:tcW w:w="5111" w:type="dxa"/>
            <w:tcBorders>
              <w:top w:val="single" w:color="auto" w:sz="4" w:space="0"/>
              <w:left w:val="single" w:color="auto" w:sz="4" w:space="0"/>
              <w:bottom w:val="single" w:color="auto" w:sz="4" w:space="0"/>
              <w:right w:val="single" w:color="auto" w:sz="4" w:space="0"/>
            </w:tcBorders>
            <w:noWrap w:val="0"/>
            <w:vAlign w:val="center"/>
          </w:tcPr>
          <w:p w14:paraId="0F287C69">
            <w:pPr>
              <w:pStyle w:val="5"/>
              <w:keepNext w:val="0"/>
              <w:keepLines w:val="0"/>
              <w:pageBreakBefore w:val="0"/>
              <w:kinsoku/>
              <w:wordWrap w:val="0"/>
              <w:overflowPunct/>
              <w:topLinePunct w:val="0"/>
              <w:autoSpaceDE/>
              <w:autoSpaceDN/>
              <w:bidi w:val="0"/>
              <w:adjustRightInd w:val="0"/>
              <w:snapToGrid w:val="0"/>
              <w:spacing w:after="0" w:line="380" w:lineRule="exact"/>
              <w:rPr>
                <w:rFonts w:hint="eastAsia" w:asciiTheme="minorEastAsia" w:hAnsiTheme="minorEastAsia" w:eastAsiaTheme="minorEastAsia" w:cstheme="minorEastAsia"/>
                <w:b/>
                <w:bCs/>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1．需附相关证书</w:t>
            </w: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彩色扫描件</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b/>
                <w:bCs/>
                <w:snapToGrid w:val="0"/>
                <w:color w:val="000000" w:themeColor="text1"/>
                <w:kern w:val="0"/>
                <w:sz w:val="21"/>
                <w:szCs w:val="21"/>
                <w:highlight w:val="none"/>
                <w14:textFill>
                  <w14:solidFill>
                    <w14:schemeClr w14:val="tx1"/>
                  </w14:solidFill>
                </w14:textFill>
              </w:rPr>
              <w:t>同时提供原件供核对。</w:t>
            </w:r>
          </w:p>
          <w:p w14:paraId="5EFC027B">
            <w:pPr>
              <w:keepNext w:val="0"/>
              <w:keepLines w:val="0"/>
              <w:pageBreakBefore w:val="0"/>
              <w:widowControl/>
              <w:suppressLineNumbers w:val="0"/>
              <w:kinsoku/>
              <w:overflowPunct/>
              <w:topLinePunct w:val="0"/>
              <w:autoSpaceDE/>
              <w:autoSpaceDN/>
              <w:bidi w:val="0"/>
              <w:snapToGrid w:val="0"/>
              <w:spacing w:line="380" w:lineRule="exact"/>
              <w:jc w:val="lef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2．证书须由省级</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/国级</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企业联合会和企业家协会</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（需经民政局备案）</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同时颁发。</w:t>
            </w:r>
          </w:p>
          <w:p w14:paraId="14017B4F">
            <w:pPr>
              <w:pStyle w:val="5"/>
              <w:keepNext w:val="0"/>
              <w:keepLines w:val="0"/>
              <w:pageBreakBefore w:val="0"/>
              <w:numPr>
                <w:ilvl w:val="0"/>
                <w:numId w:val="0"/>
              </w:numPr>
              <w:kinsoku/>
              <w:wordWrap w:val="0"/>
              <w:overflowPunct/>
              <w:topLinePunct w:val="0"/>
              <w:autoSpaceDE/>
              <w:autoSpaceDN/>
              <w:bidi w:val="0"/>
              <w:adjustRightInd w:val="0"/>
              <w:snapToGrid w:val="0"/>
              <w:spacing w:line="380" w:lineRule="exact"/>
              <w:ind w:left="0" w:leftChars="0" w:firstLine="0" w:firstLineChars="0"/>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3．未提供原件的；颁发机构、获奖时间不符合评分标准和备注规定的，不予得分。</w:t>
            </w:r>
          </w:p>
        </w:tc>
      </w:tr>
      <w:tr w14:paraId="6A9B2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atLeas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14:paraId="7495576D">
            <w:pPr>
              <w:pStyle w:val="5"/>
              <w:keepNext w:val="0"/>
              <w:keepLines w:val="0"/>
              <w:pageBreakBefore w:val="0"/>
              <w:widowControl w:val="0"/>
              <w:kinsoku/>
              <w:wordWrap w:val="0"/>
              <w:overflowPunct/>
              <w:topLinePunct w:val="0"/>
              <w:autoSpaceDE/>
              <w:autoSpaceDN/>
              <w:bidi w:val="0"/>
              <w:adjustRightInd w:val="0"/>
              <w:snapToGrid w:val="0"/>
              <w:spacing w:before="0" w:after="0"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eastAsia="zh-CN"/>
                <w14:textFill>
                  <w14:solidFill>
                    <w14:schemeClr w14:val="tx1"/>
                  </w14:solidFill>
                </w14:textFill>
              </w:rPr>
            </w:pPr>
          </w:p>
        </w:tc>
        <w:tc>
          <w:tcPr>
            <w:tcW w:w="4102" w:type="dxa"/>
            <w:gridSpan w:val="2"/>
            <w:tcBorders>
              <w:top w:val="single" w:color="auto" w:sz="4" w:space="0"/>
              <w:left w:val="single" w:color="auto" w:sz="4" w:space="0"/>
              <w:bottom w:val="single" w:color="auto" w:sz="4" w:space="0"/>
              <w:right w:val="single" w:color="auto" w:sz="4" w:space="0"/>
            </w:tcBorders>
            <w:noWrap w:val="0"/>
            <w:vAlign w:val="center"/>
          </w:tcPr>
          <w:p w14:paraId="707D71DD">
            <w:pPr>
              <w:pStyle w:val="34"/>
              <w:keepNext w:val="0"/>
              <w:keepLines w:val="0"/>
              <w:pageBreakBefore w:val="0"/>
              <w:numPr>
                <w:ilvl w:val="0"/>
                <w:numId w:val="4"/>
              </w:numPr>
              <w:kinsoku/>
              <w:wordWrap w:val="0"/>
              <w:overflowPunct/>
              <w:topLinePunct w:val="0"/>
              <w:autoSpaceDE/>
              <w:autoSpaceDN/>
              <w:bidi w:val="0"/>
              <w:adjustRightInd w:val="0"/>
              <w:snapToGrid w:val="0"/>
              <w:spacing w:line="380" w:lineRule="exact"/>
              <w:jc w:val="left"/>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企业</w:t>
            </w: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近5年（</w:t>
            </w:r>
            <w:r>
              <w:rPr>
                <w:rFonts w:hint="eastAsia" w:asciiTheme="minorEastAsia" w:hAnsiTheme="minorEastAsia" w:eastAsiaTheme="minorEastAsia" w:cstheme="minorEastAsia"/>
                <w:strike w:val="0"/>
                <w:snapToGrid w:val="0"/>
                <w:color w:val="000000" w:themeColor="text1"/>
                <w:kern w:val="0"/>
                <w:sz w:val="21"/>
                <w:szCs w:val="21"/>
                <w:highlight w:val="none"/>
                <w:lang w:val="en-US" w:eastAsia="zh-CN" w:bidi="ar-SA"/>
                <w14:textFill>
                  <w14:solidFill>
                    <w14:schemeClr w14:val="tx1"/>
                  </w14:solidFill>
                </w14:textFill>
              </w:rPr>
              <w:t>2019年</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日</w:t>
            </w:r>
            <w:r>
              <w:rPr>
                <w:rFonts w:hint="eastAsia" w:asciiTheme="minorEastAsia" w:hAnsiTheme="minorEastAsia" w:eastAsiaTheme="minorEastAsia" w:cstheme="minorEastAsia"/>
                <w:strike w:val="0"/>
                <w:snapToGrid w:val="0"/>
                <w:color w:val="000000" w:themeColor="text1"/>
                <w:kern w:val="0"/>
                <w:sz w:val="21"/>
                <w:szCs w:val="21"/>
                <w:highlight w:val="none"/>
                <w:lang w:val="en-US" w:eastAsia="zh-CN" w:bidi="ar-SA"/>
                <w14:textFill>
                  <w14:solidFill>
                    <w14:schemeClr w14:val="tx1"/>
                  </w14:solidFill>
                </w14:textFill>
              </w:rPr>
              <w:t>至今</w:t>
            </w: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获得过中国建筑业协会中小企业分会或中国建筑业协会中小企业与供应链分会颁发的AAA级企业信用等级证书的得</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分</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p>
          <w:p w14:paraId="097BE250">
            <w:pPr>
              <w:pStyle w:val="34"/>
              <w:keepNext w:val="0"/>
              <w:keepLines w:val="0"/>
              <w:pageBreakBefore w:val="0"/>
              <w:kinsoku/>
              <w:wordWrap w:val="0"/>
              <w:overflowPunct/>
              <w:topLinePunct w:val="0"/>
              <w:autoSpaceDE/>
              <w:autoSpaceDN/>
              <w:bidi w:val="0"/>
              <w:adjustRightInd w:val="0"/>
              <w:snapToGrid w:val="0"/>
              <w:spacing w:line="380" w:lineRule="exact"/>
              <w:jc w:val="left"/>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2.其他情形的不予计分。</w:t>
            </w:r>
          </w:p>
        </w:tc>
        <w:tc>
          <w:tcPr>
            <w:tcW w:w="5111" w:type="dxa"/>
            <w:tcBorders>
              <w:top w:val="single" w:color="auto" w:sz="4" w:space="0"/>
              <w:left w:val="single" w:color="auto" w:sz="4" w:space="0"/>
              <w:bottom w:val="single" w:color="auto" w:sz="4" w:space="0"/>
              <w:right w:val="single" w:color="auto" w:sz="4" w:space="0"/>
            </w:tcBorders>
            <w:noWrap w:val="0"/>
            <w:vAlign w:val="center"/>
          </w:tcPr>
          <w:p w14:paraId="3AA78F29">
            <w:pPr>
              <w:pStyle w:val="34"/>
              <w:keepNext w:val="0"/>
              <w:keepLines w:val="0"/>
              <w:pageBreakBefore w:val="0"/>
              <w:kinsoku/>
              <w:wordWrap w:val="0"/>
              <w:overflowPunct/>
              <w:topLinePunct w:val="0"/>
              <w:autoSpaceDE/>
              <w:autoSpaceDN/>
              <w:bidi w:val="0"/>
              <w:adjustRightInd w:val="0"/>
              <w:snapToGrid w:val="0"/>
              <w:spacing w:line="380" w:lineRule="exact"/>
              <w:jc w:val="lef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1.证书由“中国建筑业协会中小企业分会或中国建筑业协会中小企业与供应链分会”颁发，须提供有关证书</w:t>
            </w: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彩色扫描件</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b/>
                <w:bCs/>
                <w:snapToGrid w:val="0"/>
                <w:color w:val="000000" w:themeColor="text1"/>
                <w:kern w:val="0"/>
                <w:sz w:val="21"/>
                <w:szCs w:val="21"/>
                <w:highlight w:val="none"/>
                <w14:textFill>
                  <w14:solidFill>
                    <w14:schemeClr w14:val="tx1"/>
                  </w14:solidFill>
                </w14:textFill>
              </w:rPr>
              <w:t>同时提供原件核对</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w:t>
            </w:r>
          </w:p>
          <w:p w14:paraId="6FB6BC5F">
            <w:pPr>
              <w:pStyle w:val="34"/>
              <w:keepNext w:val="0"/>
              <w:keepLines w:val="0"/>
              <w:pageBreakBefore w:val="0"/>
              <w:kinsoku/>
              <w:wordWrap w:val="0"/>
              <w:overflowPunct/>
              <w:topLinePunct w:val="0"/>
              <w:autoSpaceDE/>
              <w:autoSpaceDN/>
              <w:bidi w:val="0"/>
              <w:adjustRightInd w:val="0"/>
              <w:snapToGrid w:val="0"/>
              <w:spacing w:line="380" w:lineRule="exact"/>
              <w:jc w:val="left"/>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2.未提供原件的，颁发机构不符合的，按第2项标准处理。</w:t>
            </w:r>
          </w:p>
        </w:tc>
      </w:tr>
      <w:tr w14:paraId="60B4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14:paraId="30CEE03E">
            <w:pPr>
              <w:pStyle w:val="5"/>
              <w:keepNext w:val="0"/>
              <w:keepLines w:val="0"/>
              <w:pageBreakBefore w:val="0"/>
              <w:widowControl w:val="0"/>
              <w:kinsoku/>
              <w:wordWrap w:val="0"/>
              <w:overflowPunct/>
              <w:topLinePunct w:val="0"/>
              <w:autoSpaceDE/>
              <w:autoSpaceDN/>
              <w:bidi w:val="0"/>
              <w:adjustRightInd w:val="0"/>
              <w:snapToGrid w:val="0"/>
              <w:spacing w:before="0" w:after="0"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eastAsia="zh-CN"/>
                <w14:textFill>
                  <w14:solidFill>
                    <w14:schemeClr w14:val="tx1"/>
                  </w14:solidFill>
                </w14:textFill>
              </w:rPr>
            </w:pPr>
          </w:p>
        </w:tc>
        <w:tc>
          <w:tcPr>
            <w:tcW w:w="4102" w:type="dxa"/>
            <w:gridSpan w:val="2"/>
            <w:tcBorders>
              <w:top w:val="single" w:color="auto" w:sz="4" w:space="0"/>
              <w:left w:val="single" w:color="auto" w:sz="4" w:space="0"/>
              <w:bottom w:val="single" w:color="auto" w:sz="4" w:space="0"/>
              <w:right w:val="single" w:color="auto" w:sz="4" w:space="0"/>
            </w:tcBorders>
            <w:noWrap w:val="0"/>
            <w:vAlign w:val="center"/>
          </w:tcPr>
          <w:p w14:paraId="6DCB8CEC">
            <w:pPr>
              <w:pStyle w:val="5"/>
              <w:keepNext w:val="0"/>
              <w:keepLines w:val="0"/>
              <w:pageBreakBefore w:val="0"/>
              <w:numPr>
                <w:ilvl w:val="0"/>
                <w:numId w:val="5"/>
              </w:numPr>
              <w:kinsoku/>
              <w:wordWrap w:val="0"/>
              <w:overflowPunct/>
              <w:topLinePunct w:val="0"/>
              <w:autoSpaceDE/>
              <w:autoSpaceDN/>
              <w:bidi w:val="0"/>
              <w:adjustRightInd w:val="0"/>
              <w:snapToGrid w:val="0"/>
              <w:spacing w:after="0" w:line="380" w:lineRule="exact"/>
              <w:jc w:val="lef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近</w:t>
            </w:r>
            <w:r>
              <w:rPr>
                <w:rFonts w:hint="eastAsia" w:asciiTheme="minorEastAsia" w:hAnsiTheme="minorEastAsia" w:eastAsiaTheme="minorEastAsia" w:cstheme="minorEastAsia"/>
                <w:snapToGrid w:val="0"/>
                <w:color w:val="000000" w:themeColor="text1"/>
                <w:kern w:val="0"/>
                <w:sz w:val="21"/>
                <w:szCs w:val="21"/>
                <w:highlight w:val="none"/>
                <w:u w:val="single"/>
                <w14:textFill>
                  <w14:solidFill>
                    <w14:schemeClr w14:val="tx1"/>
                  </w14:solidFill>
                </w14:textFill>
              </w:rPr>
              <w:t xml:space="preserve"> 5 </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年来（</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2019</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日至</w:t>
            </w: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14:textFill>
                  <w14:solidFill>
                    <w14:schemeClr w14:val="tx1"/>
                  </w14:solidFill>
                </w14:textFill>
              </w:rPr>
              <w:t>今</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）投标人未发生事故等级为一般事故及以上的生产安全事故、一般质量事故及以上的工程质量事故的，得</w:t>
            </w:r>
            <w:r>
              <w:rPr>
                <w:rFonts w:hint="eastAsia" w:asciiTheme="minorEastAsia" w:hAnsiTheme="minorEastAsia" w:eastAsiaTheme="minorEastAsia" w:cstheme="minorEastAsia"/>
                <w:snapToGrid w:val="0"/>
                <w:color w:val="000000" w:themeColor="text1"/>
                <w:kern w:val="0"/>
                <w:sz w:val="21"/>
                <w:szCs w:val="21"/>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分；</w:t>
            </w:r>
          </w:p>
          <w:p w14:paraId="702F034B">
            <w:pPr>
              <w:pStyle w:val="5"/>
              <w:keepNext w:val="0"/>
              <w:keepLines w:val="0"/>
              <w:pageBreakBefore w:val="0"/>
              <w:kinsoku/>
              <w:wordWrap w:val="0"/>
              <w:overflowPunct/>
              <w:topLinePunct w:val="0"/>
              <w:autoSpaceDE/>
              <w:autoSpaceDN/>
              <w:bidi w:val="0"/>
              <w:adjustRightInd w:val="0"/>
              <w:snapToGrid w:val="0"/>
              <w:spacing w:after="0" w:line="380" w:lineRule="exact"/>
              <w:jc w:val="left"/>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2.其他情形的，不予计分。</w:t>
            </w:r>
          </w:p>
        </w:tc>
        <w:tc>
          <w:tcPr>
            <w:tcW w:w="5111" w:type="dxa"/>
            <w:tcBorders>
              <w:top w:val="single" w:color="auto" w:sz="4" w:space="0"/>
              <w:left w:val="single" w:color="auto" w:sz="4" w:space="0"/>
              <w:bottom w:val="single" w:color="auto" w:sz="4" w:space="0"/>
              <w:right w:val="single" w:color="auto" w:sz="4" w:space="0"/>
            </w:tcBorders>
            <w:noWrap w:val="0"/>
            <w:vAlign w:val="center"/>
          </w:tcPr>
          <w:p w14:paraId="6636E55B">
            <w:pPr>
              <w:pStyle w:val="34"/>
              <w:keepNext w:val="0"/>
              <w:keepLines w:val="0"/>
              <w:pageBreakBefore w:val="0"/>
              <w:numPr>
                <w:ilvl w:val="0"/>
                <w:numId w:val="6"/>
              </w:numPr>
              <w:kinsoku/>
              <w:wordWrap w:val="0"/>
              <w:overflowPunct/>
              <w:topLinePunct w:val="0"/>
              <w:autoSpaceDE/>
              <w:autoSpaceDN/>
              <w:bidi w:val="0"/>
              <w:adjustRightInd w:val="0"/>
              <w:snapToGrid w:val="0"/>
              <w:spacing w:line="3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需提供本单位承诺书（格式自定）并加盖本单位公章。</w:t>
            </w:r>
          </w:p>
          <w:p w14:paraId="0BF3E9EE">
            <w:pPr>
              <w:pStyle w:val="34"/>
              <w:keepNext w:val="0"/>
              <w:keepLines w:val="0"/>
              <w:pageBreakBefore w:val="0"/>
              <w:numPr>
                <w:ilvl w:val="0"/>
                <w:numId w:val="6"/>
              </w:numPr>
              <w:kinsoku/>
              <w:wordWrap w:val="0"/>
              <w:overflowPunct/>
              <w:topLinePunct w:val="0"/>
              <w:autoSpaceDE/>
              <w:autoSpaceDN/>
              <w:bidi w:val="0"/>
              <w:adjustRightInd w:val="0"/>
              <w:snapToGrid w:val="0"/>
              <w:spacing w:line="380" w:lineRule="exact"/>
              <w:jc w:val="left"/>
              <w:rPr>
                <w:rFonts w:hint="eastAsia" w:asciiTheme="minorEastAsia" w:hAnsiTheme="minorEastAsia" w:eastAsiaTheme="minorEastAsia" w:cstheme="minorEastAsia"/>
                <w:caps w:val="0"/>
                <w:smallCaps w:val="0"/>
                <w:snapToGrid w:val="0"/>
                <w:color w:val="000000" w:themeColor="text1"/>
                <w:spacing w:val="0"/>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未提供本单位承诺书并加盖本单位公章的，按第2项标准处理。</w:t>
            </w:r>
          </w:p>
        </w:tc>
      </w:tr>
      <w:tr w14:paraId="5D08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460" w:type="dxa"/>
            <w:gridSpan w:val="4"/>
            <w:shd w:val="clear" w:color="auto" w:fill="DCD8C2"/>
            <w:noWrap w:val="0"/>
            <w:vAlign w:val="center"/>
          </w:tcPr>
          <w:p w14:paraId="0FC4EB72">
            <w:pPr>
              <w:keepNext w:val="0"/>
              <w:keepLines w:val="0"/>
              <w:pageBreakBefore w:val="0"/>
              <w:kinsoku/>
              <w:overflowPunct/>
              <w:topLinePunct w:val="0"/>
              <w:autoSpaceDE/>
              <w:autoSpaceDN/>
              <w:bidi w:val="0"/>
              <w:snapToGrid w:val="0"/>
              <w:spacing w:line="38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技术部分（施工组织设计），满分：</w:t>
            </w:r>
            <w:r>
              <w:rPr>
                <w:rFonts w:hint="eastAsia" w:ascii="宋体" w:hAnsi="宋体" w:eastAsia="宋体" w:cs="宋体"/>
                <w:b/>
                <w:bCs/>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b/>
                <w:bCs/>
                <w:snapToGrid w:val="0"/>
                <w:color w:val="000000" w:themeColor="text1"/>
                <w:kern w:val="0"/>
                <w:sz w:val="24"/>
                <w:szCs w:val="24"/>
                <w:highlight w:val="none"/>
                <w:u w:val="single"/>
                <w:lang w:val="en-US" w:eastAsia="zh-CN"/>
                <w14:textFill>
                  <w14:solidFill>
                    <w14:schemeClr w14:val="tx1"/>
                  </w14:solidFill>
                </w14:textFill>
              </w:rPr>
              <w:t>20</w:t>
            </w:r>
            <w:r>
              <w:rPr>
                <w:rFonts w:hint="eastAsia" w:ascii="宋体" w:hAnsi="宋体" w:eastAsia="宋体" w:cs="宋体"/>
                <w:b/>
                <w:bCs/>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分。</w:t>
            </w:r>
          </w:p>
        </w:tc>
      </w:tr>
      <w:tr w14:paraId="0E27246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1" w:hRule="atLeast"/>
          <w:jc w:val="center"/>
        </w:trPr>
        <w:tc>
          <w:tcPr>
            <w:tcW w:w="1247" w:type="dxa"/>
            <w:tcBorders>
              <w:top w:val="single" w:color="auto" w:sz="4" w:space="0"/>
              <w:left w:val="single" w:color="auto" w:sz="4" w:space="0"/>
              <w:bottom w:val="single" w:color="auto" w:sz="4" w:space="0"/>
              <w:right w:val="single" w:color="auto" w:sz="4" w:space="0"/>
            </w:tcBorders>
            <w:noWrap/>
            <w:vAlign w:val="center"/>
          </w:tcPr>
          <w:p w14:paraId="51C61196">
            <w:pPr>
              <w:pStyle w:val="5"/>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评分因素</w:t>
            </w:r>
          </w:p>
        </w:tc>
        <w:tc>
          <w:tcPr>
            <w:tcW w:w="4102" w:type="dxa"/>
            <w:gridSpan w:val="2"/>
            <w:tcBorders>
              <w:top w:val="single" w:color="auto" w:sz="4" w:space="0"/>
              <w:left w:val="single" w:color="auto" w:sz="4" w:space="0"/>
              <w:bottom w:val="single" w:color="auto" w:sz="4" w:space="0"/>
              <w:right w:val="single" w:color="auto" w:sz="4" w:space="0"/>
            </w:tcBorders>
            <w:noWrap/>
            <w:vAlign w:val="center"/>
          </w:tcPr>
          <w:p w14:paraId="6A18AA39">
            <w:pPr>
              <w:pStyle w:val="5"/>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评分标准</w:t>
            </w:r>
          </w:p>
        </w:tc>
        <w:tc>
          <w:tcPr>
            <w:tcW w:w="5111" w:type="dxa"/>
            <w:tcBorders>
              <w:top w:val="single" w:color="auto" w:sz="4" w:space="0"/>
              <w:left w:val="single" w:color="auto" w:sz="4" w:space="0"/>
              <w:bottom w:val="single" w:color="auto" w:sz="4" w:space="0"/>
              <w:right w:val="single" w:color="auto" w:sz="4" w:space="0"/>
            </w:tcBorders>
            <w:noWrap/>
            <w:vAlign w:val="center"/>
          </w:tcPr>
          <w:p w14:paraId="22584486">
            <w:pPr>
              <w:pStyle w:val="5"/>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备注</w:t>
            </w:r>
          </w:p>
        </w:tc>
      </w:tr>
      <w:tr w14:paraId="408532A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0" w:hRule="atLeast"/>
          <w:jc w:val="center"/>
        </w:trPr>
        <w:tc>
          <w:tcPr>
            <w:tcW w:w="1247" w:type="dxa"/>
            <w:tcBorders>
              <w:top w:val="single" w:color="auto" w:sz="4" w:space="0"/>
              <w:left w:val="single" w:color="auto" w:sz="4" w:space="0"/>
              <w:bottom w:val="single" w:color="auto" w:sz="4" w:space="0"/>
              <w:right w:val="single" w:color="auto" w:sz="4" w:space="0"/>
            </w:tcBorders>
            <w:noWrap/>
            <w:vAlign w:val="center"/>
          </w:tcPr>
          <w:p w14:paraId="02ECCF0B">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总体概述</w:t>
            </w:r>
          </w:p>
          <w:p w14:paraId="2E4768B9">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（3分）</w:t>
            </w:r>
          </w:p>
        </w:tc>
        <w:tc>
          <w:tcPr>
            <w:tcW w:w="4102" w:type="dxa"/>
            <w:gridSpan w:val="2"/>
            <w:tcBorders>
              <w:top w:val="single" w:color="auto" w:sz="4" w:space="0"/>
              <w:left w:val="single" w:color="auto" w:sz="4" w:space="0"/>
              <w:bottom w:val="single" w:color="auto" w:sz="4" w:space="0"/>
              <w:right w:val="single" w:color="auto" w:sz="4" w:space="0"/>
            </w:tcBorders>
            <w:noWrap/>
            <w:vAlign w:val="center"/>
          </w:tcPr>
          <w:p w14:paraId="22C645EB">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【优】得该项评分因素分值的90%～100%（含90%）。</w:t>
            </w:r>
          </w:p>
          <w:p w14:paraId="753F51F3">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【良】得该项评分因素分值的80%～90%（含80%）。</w:t>
            </w:r>
          </w:p>
          <w:p w14:paraId="439EA598">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【中】得该项评分因素分值的70%～80%（含70%）。</w:t>
            </w:r>
          </w:p>
          <w:p w14:paraId="6F184128">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【差】得该项评分因素分值的60～70%（含60%）。</w:t>
            </w:r>
          </w:p>
        </w:tc>
        <w:tc>
          <w:tcPr>
            <w:tcW w:w="5111" w:type="dxa"/>
            <w:tcBorders>
              <w:top w:val="single" w:color="auto" w:sz="4" w:space="0"/>
              <w:left w:val="single" w:color="auto" w:sz="4" w:space="0"/>
              <w:bottom w:val="single" w:color="auto" w:sz="4" w:space="0"/>
              <w:right w:val="single" w:color="auto" w:sz="4" w:space="0"/>
            </w:tcBorders>
            <w:noWrap/>
            <w:vAlign w:val="center"/>
          </w:tcPr>
          <w:p w14:paraId="22F8B41B">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【优】对项目总体有深刻认识，表述清晰、完整、严谨、合理，措施先进、具体、有效、成熟，采用了新技术、新工艺、新材料、新设备；施工段划分呼应总体表述，划分清晰、合理，符合规范要求。</w:t>
            </w:r>
          </w:p>
          <w:p w14:paraId="337DF9B7">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【良】对项目总体有一定认识，表述清晰、完整，措施具体有效；施工段划分呼应总体表述，划分清晰，符合规范要求。</w:t>
            </w:r>
          </w:p>
          <w:p w14:paraId="7116C1CD">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【中】对项目总体有认识，有一定的措施但部分不具体；施工段划分较合理，符合规范要求。</w:t>
            </w:r>
          </w:p>
          <w:p w14:paraId="28CD47E6">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【差】对项目认识不足，表述不清晰，措施不具体；施工段划分不合理。</w:t>
            </w:r>
          </w:p>
        </w:tc>
      </w:tr>
      <w:tr w14:paraId="21BD7D7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16" w:hRule="atLeast"/>
          <w:jc w:val="center"/>
        </w:trPr>
        <w:tc>
          <w:tcPr>
            <w:tcW w:w="1247" w:type="dxa"/>
            <w:tcBorders>
              <w:top w:val="single" w:color="auto" w:sz="4" w:space="0"/>
              <w:left w:val="single" w:color="auto" w:sz="4" w:space="0"/>
              <w:bottom w:val="single" w:color="auto" w:sz="4" w:space="0"/>
              <w:right w:val="single" w:color="auto" w:sz="4" w:space="0"/>
            </w:tcBorders>
            <w:noWrap/>
            <w:vAlign w:val="center"/>
          </w:tcPr>
          <w:p w14:paraId="4F6F6E37">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施工总进</w:t>
            </w:r>
          </w:p>
          <w:p w14:paraId="6ED4BE21">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度计划及</w:t>
            </w:r>
          </w:p>
          <w:p w14:paraId="472F3315">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保证措施</w:t>
            </w:r>
          </w:p>
          <w:p w14:paraId="3526B179">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（3分）</w:t>
            </w:r>
          </w:p>
        </w:tc>
        <w:tc>
          <w:tcPr>
            <w:tcW w:w="4102" w:type="dxa"/>
            <w:gridSpan w:val="2"/>
            <w:tcBorders>
              <w:top w:val="single" w:color="auto" w:sz="4" w:space="0"/>
              <w:left w:val="single" w:color="auto" w:sz="4" w:space="0"/>
              <w:bottom w:val="single" w:color="auto" w:sz="4" w:space="0"/>
              <w:right w:val="single" w:color="auto" w:sz="4" w:space="0"/>
            </w:tcBorders>
            <w:noWrap/>
            <w:vAlign w:val="center"/>
          </w:tcPr>
          <w:p w14:paraId="6123FF1A">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【优】得该项评分因素分值的90%～100%（含90%）。</w:t>
            </w:r>
          </w:p>
          <w:p w14:paraId="2B2D5F85">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【良】得该项评分因素分值的80%～90%（含80%）。</w:t>
            </w:r>
          </w:p>
          <w:p w14:paraId="03B73B0E">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【中】得该项评分因素分值的70%～80%（含70%）。</w:t>
            </w:r>
          </w:p>
          <w:p w14:paraId="2838A475">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【差】得该项评分因素分值的60～70%（含60%）。</w:t>
            </w:r>
          </w:p>
        </w:tc>
        <w:tc>
          <w:tcPr>
            <w:tcW w:w="5111" w:type="dxa"/>
            <w:tcBorders>
              <w:top w:val="single" w:color="auto" w:sz="4" w:space="0"/>
              <w:left w:val="single" w:color="auto" w:sz="4" w:space="0"/>
              <w:bottom w:val="single" w:color="auto" w:sz="4" w:space="0"/>
              <w:right w:val="single" w:color="auto" w:sz="4" w:space="0"/>
            </w:tcBorders>
            <w:noWrap/>
            <w:vAlign w:val="center"/>
          </w:tcPr>
          <w:p w14:paraId="3C26D64F">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优】关键线路清晰、准确、完整，计划编制合理、可行。关键节点的控制措施有力、合理、可行。人、材、机需求和进场计划与进度计划相呼应，较好满足施工需要，调配投入计划合理、准确。进度违约责任承诺具体，经济赔偿合理。</w:t>
            </w:r>
          </w:p>
          <w:p w14:paraId="6410ACC8">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良】关键线路清晰、准确、完整，计划编制可行。关键节点的控制措施合理、可行。人、材、机需求和进场计划与进度计划相呼应，基本满足施工需要，调配投入计划基本合理、准确。进度违约责任承诺具体，经济赔偿较合理。</w:t>
            </w:r>
          </w:p>
          <w:p w14:paraId="0E47DBAF">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【中】关键线路基本准确，计划编制基本合理。关键节点的控制措施基本可行。人、材、机需求和进场计划与进度计划相呼应，基本满足施工需要，调配投入计划基本合理。进度违约责任承诺具体。</w:t>
            </w:r>
          </w:p>
          <w:p w14:paraId="460E1419">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【差】关键线路不准确，计划编制不合理。关键节点的控制不可行。人、材、机需求和进场计划与进度计划不相呼应，不能满足施工需要。没有违约责任承诺。</w:t>
            </w:r>
          </w:p>
        </w:tc>
      </w:tr>
      <w:tr w14:paraId="44F6A91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443" w:hRule="atLeast"/>
          <w:jc w:val="center"/>
        </w:trPr>
        <w:tc>
          <w:tcPr>
            <w:tcW w:w="1247" w:type="dxa"/>
            <w:tcBorders>
              <w:top w:val="single" w:color="auto" w:sz="4" w:space="0"/>
              <w:left w:val="single" w:color="auto" w:sz="4" w:space="0"/>
              <w:bottom w:val="single" w:color="auto" w:sz="4" w:space="0"/>
              <w:right w:val="single" w:color="auto" w:sz="4" w:space="0"/>
            </w:tcBorders>
            <w:noWrap/>
            <w:vAlign w:val="center"/>
          </w:tcPr>
          <w:p w14:paraId="5EAE5A1E">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质量</w:t>
            </w:r>
          </w:p>
          <w:p w14:paraId="75FEC9FE">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保证措施</w:t>
            </w:r>
          </w:p>
          <w:p w14:paraId="2E702202">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4</w:t>
            </w:r>
            <w:r>
              <w:rPr>
                <w:rFonts w:hint="eastAsia" w:ascii="宋体" w:hAnsi="Times New Roman" w:eastAsia="宋体" w:cs="Times New Roman"/>
                <w:color w:val="000000" w:themeColor="text1"/>
                <w:highlight w:val="none"/>
                <w14:textFill>
                  <w14:solidFill>
                    <w14:schemeClr w14:val="tx1"/>
                  </w14:solidFill>
                </w14:textFill>
              </w:rPr>
              <w:t>分）</w:t>
            </w:r>
          </w:p>
        </w:tc>
        <w:tc>
          <w:tcPr>
            <w:tcW w:w="4102" w:type="dxa"/>
            <w:gridSpan w:val="2"/>
            <w:tcBorders>
              <w:top w:val="single" w:color="auto" w:sz="4" w:space="0"/>
              <w:left w:val="single" w:color="auto" w:sz="4" w:space="0"/>
              <w:bottom w:val="single" w:color="auto" w:sz="4" w:space="0"/>
              <w:right w:val="single" w:color="auto" w:sz="4" w:space="0"/>
            </w:tcBorders>
            <w:noWrap/>
            <w:vAlign w:val="center"/>
          </w:tcPr>
          <w:p w14:paraId="4C4955F5">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【优】得该项评分因素分值的90%～100%（含90%）。</w:t>
            </w:r>
          </w:p>
          <w:p w14:paraId="30D457B1">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【良】得该项评分因素分值的80%～90%（含80%）。</w:t>
            </w:r>
          </w:p>
          <w:p w14:paraId="767E9E1B">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【中】得该项评分因素分值的70%～80%（含70%）。</w:t>
            </w:r>
          </w:p>
          <w:p w14:paraId="7C0D81A8">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【差】得该项评分因素分值的60～70%（含60%）。</w:t>
            </w:r>
          </w:p>
        </w:tc>
        <w:tc>
          <w:tcPr>
            <w:tcW w:w="5111" w:type="dxa"/>
            <w:tcBorders>
              <w:top w:val="single" w:color="auto" w:sz="4" w:space="0"/>
              <w:left w:val="single" w:color="auto" w:sz="4" w:space="0"/>
              <w:bottom w:val="single" w:color="auto" w:sz="4" w:space="0"/>
              <w:right w:val="single" w:color="auto" w:sz="4" w:space="0"/>
            </w:tcBorders>
            <w:noWrap/>
            <w:vAlign w:val="center"/>
          </w:tcPr>
          <w:p w14:paraId="25949462">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优】应用新技术、新工艺、新材料、新设备，针对项目实际提出先进、可行、具体的保证措施。超过招标文件的质量要求。投标人企业注册地或分支机构所在地与项目所在地的距离或全资子公司与项目所在地距离100公里内、投标人在相同地质条件业绩情况等相关证明资料。</w:t>
            </w:r>
          </w:p>
          <w:p w14:paraId="057D1858">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良】针对项目实际提出先进、可行、具体的保证措施。满足招标文件的质量要求。投标人企业注册地或分支机构所在地与项目所在地的距离或全资子公司与项目所在地距离200公里内、投标人在相同地质条件业绩情况等相关证明资料。</w:t>
            </w:r>
          </w:p>
          <w:p w14:paraId="19654397">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【中】具体措施可行。满足招标文件的质量要求。投标人企业注册地或分支机构所在地与项目所在地的距离或全资子公司与项目所在地距离300公里内、投标人在相同地质条件业绩情况等相关证明资料。</w:t>
            </w:r>
          </w:p>
          <w:p w14:paraId="3C7F4DCE">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【差】措施不可行，没有质量违约责任承诺。</w:t>
            </w:r>
          </w:p>
        </w:tc>
      </w:tr>
      <w:tr w14:paraId="2108CF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77" w:hRule="atLeast"/>
          <w:jc w:val="center"/>
        </w:trPr>
        <w:tc>
          <w:tcPr>
            <w:tcW w:w="1247" w:type="dxa"/>
            <w:tcBorders>
              <w:top w:val="single" w:color="auto" w:sz="4" w:space="0"/>
              <w:left w:val="single" w:color="auto" w:sz="4" w:space="0"/>
              <w:bottom w:val="single" w:color="auto" w:sz="4" w:space="0"/>
              <w:right w:val="single" w:color="auto" w:sz="4" w:space="0"/>
            </w:tcBorders>
            <w:noWrap/>
            <w:vAlign w:val="center"/>
          </w:tcPr>
          <w:p w14:paraId="75B437C9">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施工</w:t>
            </w:r>
          </w:p>
          <w:p w14:paraId="5244A49C">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技术措施</w:t>
            </w:r>
          </w:p>
          <w:p w14:paraId="6EF9E8A0">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2</w:t>
            </w:r>
            <w:r>
              <w:rPr>
                <w:rFonts w:hint="eastAsia" w:ascii="宋体" w:hAnsi="Times New Roman" w:eastAsia="宋体" w:cs="Times New Roman"/>
                <w:color w:val="000000" w:themeColor="text1"/>
                <w:highlight w:val="none"/>
                <w14:textFill>
                  <w14:solidFill>
                    <w14:schemeClr w14:val="tx1"/>
                  </w14:solidFill>
                </w14:textFill>
              </w:rPr>
              <w:t>分）</w:t>
            </w:r>
          </w:p>
        </w:tc>
        <w:tc>
          <w:tcPr>
            <w:tcW w:w="4102" w:type="dxa"/>
            <w:gridSpan w:val="2"/>
            <w:tcBorders>
              <w:top w:val="single" w:color="auto" w:sz="4" w:space="0"/>
              <w:left w:val="single" w:color="auto" w:sz="4" w:space="0"/>
              <w:bottom w:val="single" w:color="auto" w:sz="4" w:space="0"/>
              <w:right w:val="single" w:color="auto" w:sz="4" w:space="0"/>
            </w:tcBorders>
            <w:noWrap/>
            <w:vAlign w:val="center"/>
          </w:tcPr>
          <w:p w14:paraId="26EFF018">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【优】得该项评分因素分值的90%～100%（含90%）。</w:t>
            </w:r>
          </w:p>
          <w:p w14:paraId="0DA65AA8">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【良】得该项评分因素分值的80%～90%（含80%）。</w:t>
            </w:r>
          </w:p>
          <w:p w14:paraId="16FE23B4">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【中】得该项评分因素分值的70%～80%（含70%）。</w:t>
            </w:r>
          </w:p>
          <w:p w14:paraId="20053ECE">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【差】得该项评分因素分值的60～70%（含60%）。</w:t>
            </w:r>
          </w:p>
        </w:tc>
        <w:tc>
          <w:tcPr>
            <w:tcW w:w="5111" w:type="dxa"/>
            <w:tcBorders>
              <w:top w:val="single" w:color="auto" w:sz="4" w:space="0"/>
              <w:left w:val="single" w:color="auto" w:sz="4" w:space="0"/>
              <w:bottom w:val="single" w:color="auto" w:sz="4" w:space="0"/>
              <w:right w:val="single" w:color="auto" w:sz="4" w:space="0"/>
            </w:tcBorders>
            <w:noWrap/>
            <w:vAlign w:val="center"/>
          </w:tcPr>
          <w:p w14:paraId="452648FF">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优】对项目关键技术、工艺有深入的表述，对重点、难点有先进、合理的建议，解决方案完整、经济、安全、切实可行，措施得力。针对项目实际，提出采用新技术的具体措施。新技术的验证材料可靠，对节约投资和工期的保证措施得力、具体、严谨。对采用新技术可能产生的风险有充分的预见，违约承诺具体，经济赔偿合理。</w:t>
            </w:r>
          </w:p>
          <w:p w14:paraId="6638510F">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良】对项目关键技术、工艺有深入的表述，对重点、难点有合理的建议，解决方案经济、安全、基本可行。针对项目实际，提出采用新技术的具体措施。新技术的验证材料可靠，对节约投资和工期有保证措施。对采用新技术可能产生的风险有一定的预见，违约责任承诺具体，经济赔偿较合理。</w:t>
            </w:r>
          </w:p>
          <w:p w14:paraId="19386029">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中】对项目关键技术有一定了解，对重点、难点有建议，解决方案基本可行。有新技术措施，但验证材料不充分，对节约投资和工期可能有一定收益，但对采用的新技术可能产生的风险预见不足。有违约责任承诺。</w:t>
            </w:r>
          </w:p>
          <w:p w14:paraId="0A405D43">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【差】对项目关键技术有表述，对重点、难点有建议，解决方案不可行。采用的新技术针对性不强或验证材料不可靠，对节约投资、工期没有具体收益。无违约责任承诺。</w:t>
            </w:r>
          </w:p>
        </w:tc>
      </w:tr>
      <w:tr w14:paraId="54F0DBE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506" w:hRule="atLeast"/>
          <w:jc w:val="center"/>
        </w:trPr>
        <w:tc>
          <w:tcPr>
            <w:tcW w:w="1247" w:type="dxa"/>
            <w:tcBorders>
              <w:top w:val="single" w:color="auto" w:sz="4" w:space="0"/>
              <w:left w:val="single" w:color="auto" w:sz="4" w:space="0"/>
              <w:bottom w:val="single" w:color="auto" w:sz="4" w:space="0"/>
              <w:right w:val="single" w:color="auto" w:sz="4" w:space="0"/>
            </w:tcBorders>
            <w:noWrap/>
            <w:vAlign w:val="center"/>
          </w:tcPr>
          <w:p w14:paraId="465C75AB">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绿色施工、安全防护、文明施工措施计划</w:t>
            </w:r>
          </w:p>
          <w:p w14:paraId="78F60B6D">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（3分）</w:t>
            </w:r>
          </w:p>
        </w:tc>
        <w:tc>
          <w:tcPr>
            <w:tcW w:w="4102" w:type="dxa"/>
            <w:gridSpan w:val="2"/>
            <w:tcBorders>
              <w:top w:val="single" w:color="auto" w:sz="4" w:space="0"/>
              <w:left w:val="single" w:color="auto" w:sz="4" w:space="0"/>
              <w:bottom w:val="single" w:color="auto" w:sz="4" w:space="0"/>
              <w:right w:val="single" w:color="auto" w:sz="4" w:space="0"/>
            </w:tcBorders>
            <w:noWrap/>
            <w:vAlign w:val="center"/>
          </w:tcPr>
          <w:p w14:paraId="1E020C55">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【优】得该项评分因素分值的90%～100%（含90%）。</w:t>
            </w:r>
          </w:p>
          <w:p w14:paraId="72BE1526">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【良】得该项评分因素分值的80%～90%（含80%）。</w:t>
            </w:r>
          </w:p>
          <w:p w14:paraId="3E5FE11E">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【中】得该项评分因素分值的70%～80%（含70%）。</w:t>
            </w:r>
          </w:p>
          <w:p w14:paraId="208E306A">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【差】得该项评分因素分值的60～70%（含60%）。</w:t>
            </w:r>
          </w:p>
        </w:tc>
        <w:tc>
          <w:tcPr>
            <w:tcW w:w="5111" w:type="dxa"/>
            <w:tcBorders>
              <w:top w:val="single" w:color="auto" w:sz="4" w:space="0"/>
              <w:left w:val="single" w:color="auto" w:sz="4" w:space="0"/>
              <w:bottom w:val="single" w:color="auto" w:sz="4" w:space="0"/>
              <w:right w:val="single" w:color="auto" w:sz="4" w:space="0"/>
            </w:tcBorders>
            <w:noWrap/>
            <w:vAlign w:val="center"/>
          </w:tcPr>
          <w:p w14:paraId="776D10E0">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【优】针对项目实际情况，有先进、具体、完整、可行的措施，采用规范准确、清晰。</w:t>
            </w:r>
          </w:p>
          <w:p w14:paraId="6DE2ED78">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【良】针对项目实际情况，有合理的措施且具体、完整，采用规范准确。</w:t>
            </w:r>
          </w:p>
          <w:p w14:paraId="29B69FBD">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【中】有基本合理的措施，采用规范准确。</w:t>
            </w:r>
          </w:p>
          <w:p w14:paraId="4754C6E1">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【差】措施不力，采用规范不正确。</w:t>
            </w:r>
          </w:p>
        </w:tc>
      </w:tr>
      <w:tr w14:paraId="048142D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1" w:hRule="atLeast"/>
          <w:jc w:val="center"/>
        </w:trPr>
        <w:tc>
          <w:tcPr>
            <w:tcW w:w="1247" w:type="dxa"/>
            <w:tcBorders>
              <w:top w:val="single" w:color="auto" w:sz="4" w:space="0"/>
              <w:left w:val="single" w:color="auto" w:sz="4" w:space="0"/>
              <w:bottom w:val="single" w:color="auto" w:sz="4" w:space="0"/>
              <w:right w:val="single" w:color="auto" w:sz="4" w:space="0"/>
            </w:tcBorders>
            <w:noWrap/>
            <w:vAlign w:val="center"/>
          </w:tcPr>
          <w:p w14:paraId="66958EB8">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施工平面</w:t>
            </w:r>
          </w:p>
          <w:p w14:paraId="5F128C45">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布置和临时设施布置</w:t>
            </w:r>
          </w:p>
          <w:p w14:paraId="3A81C485">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（2分）</w:t>
            </w:r>
          </w:p>
        </w:tc>
        <w:tc>
          <w:tcPr>
            <w:tcW w:w="4102" w:type="dxa"/>
            <w:gridSpan w:val="2"/>
            <w:tcBorders>
              <w:top w:val="single" w:color="auto" w:sz="4" w:space="0"/>
              <w:left w:val="single" w:color="auto" w:sz="4" w:space="0"/>
              <w:bottom w:val="single" w:color="auto" w:sz="4" w:space="0"/>
              <w:right w:val="single" w:color="auto" w:sz="4" w:space="0"/>
            </w:tcBorders>
            <w:noWrap/>
            <w:vAlign w:val="center"/>
          </w:tcPr>
          <w:p w14:paraId="4EA045F4">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【优】得该项评分因素分值的90%～100%（含90%）。</w:t>
            </w:r>
          </w:p>
          <w:p w14:paraId="778ACD59">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【良】得该项评分因素分值的80%～90%（含80%）。</w:t>
            </w:r>
          </w:p>
          <w:p w14:paraId="667C5FFC">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【中】得该项评分因素分值的70%～80%（含70%）。</w:t>
            </w:r>
          </w:p>
          <w:p w14:paraId="1556788E">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【差】得该项评分因素分值的60～70%（含60%）。</w:t>
            </w:r>
          </w:p>
        </w:tc>
        <w:tc>
          <w:tcPr>
            <w:tcW w:w="5111" w:type="dxa"/>
            <w:tcBorders>
              <w:top w:val="single" w:color="auto" w:sz="4" w:space="0"/>
              <w:left w:val="single" w:color="auto" w:sz="4" w:space="0"/>
              <w:bottom w:val="single" w:color="auto" w:sz="4" w:space="0"/>
              <w:right w:val="single" w:color="auto" w:sz="4" w:space="0"/>
            </w:tcBorders>
            <w:noWrap/>
            <w:vAlign w:val="center"/>
          </w:tcPr>
          <w:p w14:paraId="5CD1A0F9">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【优】总体布置有针对性、合理，较好满足施工需要，符合绿色施工、安全防护、文明施工要求。</w:t>
            </w:r>
          </w:p>
          <w:p w14:paraId="56CF6B63">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【良】总体布置合理，能满足施工需要，基本符合绿色施工、安全防护、文明施工要求。</w:t>
            </w:r>
          </w:p>
          <w:p w14:paraId="1319FF25">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【中】总体布置基本合理，基本满足施工需要。</w:t>
            </w:r>
          </w:p>
          <w:p w14:paraId="16999953">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【差】总体布置不合理，不符合绿色施工、安全防护、文明施工要求。</w:t>
            </w:r>
          </w:p>
        </w:tc>
      </w:tr>
      <w:tr w14:paraId="4B9A3B1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41" w:hRule="atLeast"/>
          <w:jc w:val="center"/>
        </w:trPr>
        <w:tc>
          <w:tcPr>
            <w:tcW w:w="1247" w:type="dxa"/>
            <w:tcBorders>
              <w:top w:val="single" w:color="auto" w:sz="4" w:space="0"/>
              <w:left w:val="single" w:color="auto" w:sz="4" w:space="0"/>
              <w:bottom w:val="single" w:color="auto" w:sz="4" w:space="0"/>
              <w:right w:val="single" w:color="auto" w:sz="4" w:space="0"/>
            </w:tcBorders>
            <w:noWrap/>
            <w:vAlign w:val="center"/>
          </w:tcPr>
          <w:p w14:paraId="71DD7699">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项目</w:t>
            </w:r>
          </w:p>
          <w:p w14:paraId="110F6E20">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管理机构</w:t>
            </w:r>
          </w:p>
          <w:p w14:paraId="1D82C658">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（3分）</w:t>
            </w:r>
          </w:p>
        </w:tc>
        <w:tc>
          <w:tcPr>
            <w:tcW w:w="4102" w:type="dxa"/>
            <w:gridSpan w:val="2"/>
            <w:tcBorders>
              <w:top w:val="single" w:color="auto" w:sz="4" w:space="0"/>
              <w:left w:val="single" w:color="auto" w:sz="4" w:space="0"/>
              <w:bottom w:val="single" w:color="auto" w:sz="4" w:space="0"/>
              <w:right w:val="single" w:color="auto" w:sz="4" w:space="0"/>
            </w:tcBorders>
            <w:noWrap/>
            <w:vAlign w:val="center"/>
          </w:tcPr>
          <w:p w14:paraId="4E1F3899">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【优】得该项评分因素分值的90%～100%（含90%）。</w:t>
            </w:r>
          </w:p>
          <w:p w14:paraId="2AA01041">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【良】得该项评分因素分值的80%～90%（含80%）。</w:t>
            </w:r>
          </w:p>
          <w:p w14:paraId="7E18BE01">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【中】得该项评分因素分值的70%～80%（含70%）。</w:t>
            </w:r>
          </w:p>
          <w:p w14:paraId="5B5C2E8F">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【差】得该项评分因素分值的60～70%（含60%）。</w:t>
            </w:r>
          </w:p>
        </w:tc>
        <w:tc>
          <w:tcPr>
            <w:tcW w:w="5111" w:type="dxa"/>
            <w:tcBorders>
              <w:top w:val="single" w:color="auto" w:sz="4" w:space="0"/>
              <w:left w:val="single" w:color="auto" w:sz="4" w:space="0"/>
              <w:bottom w:val="single" w:color="auto" w:sz="4" w:space="0"/>
              <w:right w:val="single" w:color="auto" w:sz="4" w:space="0"/>
            </w:tcBorders>
            <w:noWrap/>
            <w:vAlign w:val="center"/>
          </w:tcPr>
          <w:p w14:paraId="538DCBB2">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优】组织机构形式合理，有完善的指挥系统，生产及质量、绿色施工、安全、文明施工、创优达标监控系统、联络协调系统，项目管理人员内高级职称人员20%（含20%）以上、中级职称及以上职称人员60%（含60%）以上。</w:t>
            </w:r>
          </w:p>
          <w:p w14:paraId="355F013B">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良】组织机构形式合理，指挥系统，生产及质量、绿色施工、安全、文明施工、创优达标监控系统、联络协调系统齐全，项目管理人员内高级职称人员15%～20%（含15%）、中级职称及以上职称人员50%～60%（含50%）。</w:t>
            </w:r>
          </w:p>
          <w:p w14:paraId="3005CABD">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中】组织机构形式基本合理，有指挥系统，生产及质量、绿色施工、安全、文明施工、创优达标监控系统、联络协调系统，项目管理人员内高级职称人员10%～15%（含10%）、中级职称及以上职称人员40%～50%（含40%）。</w:t>
            </w:r>
          </w:p>
          <w:p w14:paraId="2E81D38F">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highlight w:val="none"/>
                <w14:textFill>
                  <w14:solidFill>
                    <w14:schemeClr w14:val="tx1"/>
                  </w14:solidFill>
                </w14:textFill>
              </w:rPr>
              <w:t>【差】组织机构形式合理，指挥系统，生产及质量、绿色施工、安全、文明施工、创优达标监控系统、联络协调系统不齐全，项目管理人员内高级职称人员10%以下、中级职称及以上职称人员40%以下。</w:t>
            </w:r>
          </w:p>
        </w:tc>
      </w:tr>
      <w:tr w14:paraId="55D391B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1" w:hRule="atLeast"/>
          <w:jc w:val="center"/>
        </w:trPr>
        <w:tc>
          <w:tcPr>
            <w:tcW w:w="10460" w:type="dxa"/>
            <w:gridSpan w:val="4"/>
            <w:tcBorders>
              <w:top w:val="single" w:color="auto" w:sz="4" w:space="0"/>
              <w:left w:val="single" w:color="auto" w:sz="4" w:space="0"/>
              <w:bottom w:val="single" w:color="auto" w:sz="4" w:space="0"/>
              <w:right w:val="single" w:color="auto" w:sz="4" w:space="0"/>
            </w:tcBorders>
            <w:shd w:val="clear" w:color="auto" w:fill="DCD8C2"/>
            <w:noWrap/>
            <w:vAlign w:val="center"/>
          </w:tcPr>
          <w:p w14:paraId="333BF7BC">
            <w:pPr>
              <w:pStyle w:val="24"/>
              <w:keepNext w:val="0"/>
              <w:keepLines w:val="0"/>
              <w:pageBreakBefore w:val="0"/>
              <w:kinsoku/>
              <w:wordWrap w:val="0"/>
              <w:overflowPunct/>
              <w:topLinePunct w:val="0"/>
              <w:autoSpaceDE/>
              <w:autoSpaceDN/>
              <w:bidi w:val="0"/>
              <w:adjustRightInd w:val="0"/>
              <w:snapToGrid w:val="0"/>
              <w:spacing w:line="380" w:lineRule="exac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投标报价部分，满分：</w:t>
            </w:r>
            <w:r>
              <w:rPr>
                <w:rFonts w:hint="eastAsia" w:ascii="宋体" w:hAnsi="宋体" w:eastAsia="宋体" w:cs="宋体"/>
                <w:b/>
                <w:bCs/>
                <w:snapToGrid w:val="0"/>
                <w:color w:val="000000" w:themeColor="text1"/>
                <w:kern w:val="0"/>
                <w:sz w:val="24"/>
                <w:szCs w:val="24"/>
                <w:highlight w:val="none"/>
                <w:u w:val="single"/>
                <w:lang w:val="en-US" w:eastAsia="zh-CN"/>
                <w14:textFill>
                  <w14:solidFill>
                    <w14:schemeClr w14:val="tx1"/>
                  </w14:solidFill>
                </w14:textFill>
              </w:rPr>
              <w:t xml:space="preserve"> 100</w:t>
            </w:r>
            <w:r>
              <w:rPr>
                <w:rFonts w:hint="eastAsia" w:ascii="宋体" w:hAnsi="宋体" w:eastAsia="宋体" w:cs="宋体"/>
                <w:b/>
                <w:bCs/>
                <w:snapToGrid w:val="0"/>
                <w:color w:val="000000" w:themeColor="text1"/>
                <w:kern w:val="0"/>
                <w:sz w:val="24"/>
                <w:szCs w:val="24"/>
                <w:highlight w:val="none"/>
                <w:u w:val="single"/>
                <w14:textFill>
                  <w14:solidFill>
                    <w14:schemeClr w14:val="tx1"/>
                  </w14:solidFill>
                </w14:textFill>
              </w:rPr>
              <w:t>分</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w:t>
            </w:r>
          </w:p>
        </w:tc>
      </w:tr>
      <w:tr w14:paraId="7DCA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71" w:type="dxa"/>
            <w:gridSpan w:val="2"/>
            <w:noWrap w:val="0"/>
            <w:vAlign w:val="center"/>
          </w:tcPr>
          <w:p w14:paraId="5F99522A">
            <w:pPr>
              <w:pStyle w:val="5"/>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评分事项</w:t>
            </w:r>
          </w:p>
        </w:tc>
        <w:tc>
          <w:tcPr>
            <w:tcW w:w="8989" w:type="dxa"/>
            <w:gridSpan w:val="2"/>
            <w:noWrap w:val="0"/>
            <w:vAlign w:val="center"/>
          </w:tcPr>
          <w:p w14:paraId="0648F023">
            <w:pPr>
              <w:pStyle w:val="5"/>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评分方法</w:t>
            </w:r>
          </w:p>
        </w:tc>
      </w:tr>
      <w:tr w14:paraId="616D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1471" w:type="dxa"/>
            <w:gridSpan w:val="2"/>
            <w:noWrap w:val="0"/>
            <w:vAlign w:val="center"/>
          </w:tcPr>
          <w:p w14:paraId="743E2C37">
            <w:pPr>
              <w:pStyle w:val="23"/>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评标基准价D</w:t>
            </w:r>
          </w:p>
        </w:tc>
        <w:tc>
          <w:tcPr>
            <w:tcW w:w="8989" w:type="dxa"/>
            <w:gridSpan w:val="2"/>
            <w:noWrap w:val="0"/>
            <w:vAlign w:val="center"/>
          </w:tcPr>
          <w:p w14:paraId="0D4A1DD9">
            <w:pPr>
              <w:keepNext w:val="0"/>
              <w:keepLines w:val="0"/>
              <w:pageBreakBefore w:val="0"/>
              <w:widowControl w:val="0"/>
              <w:kinsoku/>
              <w:wordWrap w:val="0"/>
              <w:overflowPunct/>
              <w:topLinePunct w:val="0"/>
              <w:autoSpaceDE/>
              <w:autoSpaceDN/>
              <w:bidi w:val="0"/>
              <w:adjustRightInd w:val="0"/>
              <w:snapToGrid w:val="0"/>
              <w:spacing w:before="0" w:after="0" w:line="380" w:lineRule="exact"/>
              <w:ind w:right="0" w:rightChars="0" w:firstLine="480" w:firstLineChars="200"/>
              <w:jc w:val="left"/>
              <w:textAlignment w:val="auto"/>
              <w:outlineLvl w:val="9"/>
              <w:rPr>
                <w:rFonts w:hint="eastAsia" w:ascii="宋体" w:hAnsi="宋体" w:eastAsia="宋体" w:cs="宋体"/>
                <w:caps w:val="0"/>
                <w:smallCaps w:val="0"/>
                <w:snapToGrid w:val="0"/>
                <w:color w:val="000000" w:themeColor="text1"/>
                <w:spacing w:val="0"/>
                <w:kern w:val="0"/>
                <w:sz w:val="24"/>
                <w:szCs w:val="24"/>
                <w:highlight w:val="none"/>
                <w:lang w:val="en-US" w:eastAsia="zh-CN"/>
                <w14:textFill>
                  <w14:solidFill>
                    <w14:schemeClr w14:val="tx1"/>
                  </w14:solidFill>
                </w14:textFill>
              </w:rPr>
            </w:pPr>
            <w:r>
              <w:rPr>
                <w:rFonts w:hint="eastAsia" w:ascii="宋体" w:hAnsi="宋体" w:eastAsia="宋体" w:cs="宋体"/>
                <w:caps w:val="0"/>
                <w:smallCaps w:val="0"/>
                <w:snapToGrid w:val="0"/>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caps w:val="0"/>
                <w:smallCaps w:val="0"/>
                <w:snapToGrid w:val="0"/>
                <w:color w:val="000000" w:themeColor="text1"/>
                <w:spacing w:val="0"/>
                <w:kern w:val="0"/>
                <w:sz w:val="24"/>
                <w:szCs w:val="24"/>
                <w:highlight w:val="none"/>
                <w:lang w:val="en-US" w:eastAsia="zh-CN"/>
                <w14:textFill>
                  <w14:solidFill>
                    <w14:schemeClr w14:val="tx1"/>
                  </w14:solidFill>
                </w14:textFill>
              </w:rPr>
              <w:t>1</w:t>
            </w:r>
            <w:r>
              <w:rPr>
                <w:rFonts w:hint="eastAsia" w:ascii="宋体" w:hAnsi="宋体" w:eastAsia="宋体" w:cs="宋体"/>
                <w:caps w:val="0"/>
                <w:smallCaps w:val="0"/>
                <w:snapToGrid w:val="0"/>
                <w:color w:val="000000" w:themeColor="text1"/>
                <w:spacing w:val="0"/>
                <w:kern w:val="0"/>
                <w:sz w:val="24"/>
                <w:szCs w:val="24"/>
                <w:highlight w:val="none"/>
                <w:lang w:eastAsia="zh-CN"/>
                <w14:textFill>
                  <w14:solidFill>
                    <w14:schemeClr w14:val="tx1"/>
                  </w14:solidFill>
                </w14:textFill>
              </w:rPr>
              <w:t>）确定招标控制价</w:t>
            </w:r>
            <w:r>
              <w:rPr>
                <w:rFonts w:hint="eastAsia" w:ascii="宋体" w:hAnsi="宋体" w:eastAsia="宋体" w:cs="宋体"/>
                <w:caps w:val="0"/>
                <w:smallCaps w:val="0"/>
                <w:snapToGrid w:val="0"/>
                <w:color w:val="000000" w:themeColor="text1"/>
                <w:spacing w:val="0"/>
                <w:kern w:val="0"/>
                <w:sz w:val="24"/>
                <w:szCs w:val="24"/>
                <w:highlight w:val="none"/>
                <w:lang w:val="en-US" w:eastAsia="zh-CN"/>
                <w14:textFill>
                  <w14:solidFill>
                    <w14:schemeClr w14:val="tx1"/>
                  </w14:solidFill>
                </w14:textFill>
              </w:rPr>
              <w:t>下浮系数n：用1～21号球分别代表一个下浮系数，由评委代表从这21个号码中随机抽取</w:t>
            </w:r>
            <w:r>
              <w:rPr>
                <w:rFonts w:hint="eastAsia" w:ascii="宋体" w:hAnsi="宋体" w:eastAsia="宋体" w:cs="宋体"/>
                <w:caps w:val="0"/>
                <w:smallCaps w:val="0"/>
                <w:snapToGrid w:val="0"/>
                <w:color w:val="000000" w:themeColor="text1"/>
                <w:spacing w:val="0"/>
                <w:kern w:val="0"/>
                <w:sz w:val="24"/>
                <w:szCs w:val="24"/>
                <w:highlight w:val="none"/>
                <w:u w:val="single" w:color="auto"/>
                <w:lang w:val="en-US" w:eastAsia="zh-CN"/>
                <w14:textFill>
                  <w14:solidFill>
                    <w14:schemeClr w14:val="tx1"/>
                  </w14:solidFill>
                </w14:textFill>
              </w:rPr>
              <w:t xml:space="preserve"> 3 </w:t>
            </w:r>
            <w:r>
              <w:rPr>
                <w:rFonts w:hint="eastAsia" w:ascii="宋体" w:hAnsi="宋体" w:eastAsia="宋体" w:cs="宋体"/>
                <w:caps w:val="0"/>
                <w:smallCaps w:val="0"/>
                <w:snapToGrid w:val="0"/>
                <w:color w:val="000000" w:themeColor="text1"/>
                <w:spacing w:val="0"/>
                <w:kern w:val="0"/>
                <w:sz w:val="24"/>
                <w:szCs w:val="24"/>
                <w:highlight w:val="none"/>
                <w:lang w:val="en-US" w:eastAsia="zh-CN"/>
                <w14:textFill>
                  <w14:solidFill>
                    <w14:schemeClr w14:val="tx1"/>
                  </w14:solidFill>
                </w14:textFill>
              </w:rPr>
              <w:t>次，每次抽取1个号码，抽出的号球不参与下次抽取。所抽取的3个号码对应下浮系数的算术平均值作为招标控制价下浮系数n。具体号码对应的下浮系数可参考下表。</w:t>
            </w:r>
          </w:p>
          <w:tbl>
            <w:tblPr>
              <w:tblStyle w:val="12"/>
              <w:tblW w:w="0" w:type="auto"/>
              <w:jc w:val="center"/>
              <w:tblLayout w:type="fixed"/>
              <w:tblCellMar>
                <w:top w:w="0" w:type="dxa"/>
                <w:left w:w="108" w:type="dxa"/>
                <w:bottom w:w="0" w:type="dxa"/>
                <w:right w:w="108" w:type="dxa"/>
              </w:tblCellMar>
            </w:tblPr>
            <w:tblGrid>
              <w:gridCol w:w="2088"/>
              <w:gridCol w:w="697"/>
              <w:gridCol w:w="729"/>
              <w:gridCol w:w="759"/>
              <w:gridCol w:w="745"/>
              <w:gridCol w:w="774"/>
              <w:gridCol w:w="727"/>
              <w:gridCol w:w="718"/>
            </w:tblGrid>
            <w:tr w14:paraId="61E0E36F">
              <w:tblPrEx>
                <w:tblCellMar>
                  <w:top w:w="0" w:type="dxa"/>
                  <w:left w:w="108" w:type="dxa"/>
                  <w:bottom w:w="0" w:type="dxa"/>
                  <w:right w:w="108" w:type="dxa"/>
                </w:tblCellMar>
              </w:tblPrEx>
              <w:trPr>
                <w:trHeight w:val="329" w:hRule="atLeast"/>
                <w:jc w:val="center"/>
              </w:trPr>
              <w:tc>
                <w:tcPr>
                  <w:tcW w:w="2088" w:type="dxa"/>
                  <w:tcBorders>
                    <w:top w:val="single" w:color="000000" w:sz="4" w:space="0"/>
                    <w:left w:val="single" w:color="000000" w:sz="4" w:space="0"/>
                    <w:bottom w:val="single" w:color="000000" w:sz="4" w:space="0"/>
                    <w:right w:val="single" w:color="000000" w:sz="4" w:space="0"/>
                  </w:tcBorders>
                  <w:noWrap w:val="0"/>
                  <w:vAlign w:val="center"/>
                </w:tcPr>
                <w:p w14:paraId="400EEB83">
                  <w:pPr>
                    <w:pStyle w:val="5"/>
                    <w:keepNext w:val="0"/>
                    <w:keepLines w:val="0"/>
                    <w:pageBreakBefore w:val="0"/>
                    <w:widowControl/>
                    <w:kinsoku/>
                    <w:wordWrap w:val="0"/>
                    <w:overflowPunct/>
                    <w:topLinePunct w:val="0"/>
                    <w:autoSpaceDE/>
                    <w:autoSpaceDN/>
                    <w:bidi w:val="0"/>
                    <w:adjustRightInd w:val="0"/>
                    <w:snapToGrid w:val="0"/>
                    <w:spacing w:after="0" w:line="380" w:lineRule="exact"/>
                    <w:jc w:val="center"/>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Cs w:val="24"/>
                      <w:highlight w:val="none"/>
                      <w14:textFill>
                        <w14:solidFill>
                          <w14:schemeClr w14:val="tx1"/>
                        </w14:solidFill>
                      </w14:textFill>
                    </w:rPr>
                    <w:t>号球</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2AC208F5">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CE40D8D">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4C38576">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3</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7DBBC0CD">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4</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32A96E39">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5</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414ED13C">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6</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292098FE">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7</w:t>
                  </w:r>
                </w:p>
              </w:tc>
            </w:tr>
            <w:tr w14:paraId="34F73589">
              <w:tblPrEx>
                <w:tblCellMar>
                  <w:top w:w="0" w:type="dxa"/>
                  <w:left w:w="108" w:type="dxa"/>
                  <w:bottom w:w="0" w:type="dxa"/>
                  <w:right w:w="108" w:type="dxa"/>
                </w:tblCellMar>
              </w:tblPrEx>
              <w:trPr>
                <w:trHeight w:val="585" w:hRule="atLeast"/>
                <w:jc w:val="center"/>
              </w:trPr>
              <w:tc>
                <w:tcPr>
                  <w:tcW w:w="2088" w:type="dxa"/>
                  <w:tcBorders>
                    <w:top w:val="single" w:color="000000" w:sz="4" w:space="0"/>
                    <w:left w:val="single" w:color="000000" w:sz="4" w:space="0"/>
                    <w:bottom w:val="single" w:color="000000" w:sz="4" w:space="0"/>
                    <w:right w:val="single" w:color="000000" w:sz="4" w:space="0"/>
                  </w:tcBorders>
                  <w:noWrap w:val="0"/>
                  <w:vAlign w:val="center"/>
                </w:tcPr>
                <w:p w14:paraId="691F9C47">
                  <w:pPr>
                    <w:pStyle w:val="5"/>
                    <w:keepNext w:val="0"/>
                    <w:keepLines w:val="0"/>
                    <w:pageBreakBefore w:val="0"/>
                    <w:widowControl/>
                    <w:kinsoku/>
                    <w:wordWrap w:val="0"/>
                    <w:overflowPunct/>
                    <w:topLinePunct w:val="0"/>
                    <w:autoSpaceDE/>
                    <w:autoSpaceDN/>
                    <w:bidi w:val="0"/>
                    <w:adjustRightInd w:val="0"/>
                    <w:snapToGrid w:val="0"/>
                    <w:spacing w:after="0" w:line="380" w:lineRule="exact"/>
                    <w:jc w:val="center"/>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Cs w:val="24"/>
                      <w:highlight w:val="none"/>
                      <w14:textFill>
                        <w14:solidFill>
                          <w14:schemeClr w14:val="tx1"/>
                        </w14:solidFill>
                      </w14:textFill>
                    </w:rPr>
                    <w:t>下浮系数（%）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41A05476">
                  <w:pPr>
                    <w:keepNext w:val="0"/>
                    <w:keepLines w:val="0"/>
                    <w:pageBreakBefore w:val="0"/>
                    <w:kinsoku/>
                    <w:wordWrap w:val="0"/>
                    <w:overflowPunct/>
                    <w:topLinePunct w:val="0"/>
                    <w:autoSpaceDE/>
                    <w:autoSpaceDN/>
                    <w:bidi w:val="0"/>
                    <w:adjustRightInd w:val="0"/>
                    <w:snapToGrid w:val="0"/>
                    <w:spacing w:line="380" w:lineRule="exact"/>
                    <w:jc w:val="center"/>
                    <w:rPr>
                      <w:rFonts w:hint="default"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1.0</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0157677">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14:textFill>
                        <w14:solidFill>
                          <w14:schemeClr w14:val="tx1"/>
                        </w14:solidFill>
                      </w14:textFill>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FD07A56">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14:textFill>
                        <w14:solidFill>
                          <w14:schemeClr w14:val="tx1"/>
                        </w14:solidFill>
                      </w14:textFill>
                    </w:rPr>
                    <w:t>.2</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4C937EAA">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14:textFill>
                        <w14:solidFill>
                          <w14:schemeClr w14:val="tx1"/>
                        </w14:solidFill>
                      </w14:textFill>
                    </w:rPr>
                    <w:t>.3</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7585F65B">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14:textFill>
                        <w14:solidFill>
                          <w14:schemeClr w14:val="tx1"/>
                        </w14:solidFill>
                      </w14:textFill>
                    </w:rPr>
                    <w:t>.4</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2A1F3EB5">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14:textFill>
                        <w14:solidFill>
                          <w14:schemeClr w14:val="tx1"/>
                        </w14:solidFill>
                      </w14:textFill>
                    </w:rPr>
                    <w:t>.5</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1C74BF42">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14:textFill>
                        <w14:solidFill>
                          <w14:schemeClr w14:val="tx1"/>
                        </w14:solidFill>
                      </w14:textFill>
                    </w:rPr>
                    <w:t>.6</w:t>
                  </w:r>
                </w:p>
              </w:tc>
            </w:tr>
            <w:tr w14:paraId="43DA4CB4">
              <w:tblPrEx>
                <w:tblCellMar>
                  <w:top w:w="0" w:type="dxa"/>
                  <w:left w:w="108" w:type="dxa"/>
                  <w:bottom w:w="0" w:type="dxa"/>
                  <w:right w:w="108" w:type="dxa"/>
                </w:tblCellMar>
              </w:tblPrEx>
              <w:trPr>
                <w:trHeight w:val="329" w:hRule="atLeast"/>
                <w:jc w:val="center"/>
              </w:trPr>
              <w:tc>
                <w:tcPr>
                  <w:tcW w:w="2088" w:type="dxa"/>
                  <w:tcBorders>
                    <w:top w:val="single" w:color="000000" w:sz="4" w:space="0"/>
                    <w:left w:val="single" w:color="000000" w:sz="4" w:space="0"/>
                    <w:bottom w:val="single" w:color="000000" w:sz="4" w:space="0"/>
                    <w:right w:val="single" w:color="000000" w:sz="4" w:space="0"/>
                  </w:tcBorders>
                  <w:noWrap w:val="0"/>
                  <w:vAlign w:val="center"/>
                </w:tcPr>
                <w:p w14:paraId="6DCAB926">
                  <w:pPr>
                    <w:pStyle w:val="5"/>
                    <w:keepNext w:val="0"/>
                    <w:keepLines w:val="0"/>
                    <w:pageBreakBefore w:val="0"/>
                    <w:widowControl/>
                    <w:kinsoku/>
                    <w:wordWrap w:val="0"/>
                    <w:overflowPunct/>
                    <w:topLinePunct w:val="0"/>
                    <w:autoSpaceDE/>
                    <w:autoSpaceDN/>
                    <w:bidi w:val="0"/>
                    <w:adjustRightInd w:val="0"/>
                    <w:snapToGrid w:val="0"/>
                    <w:spacing w:after="0" w:line="380" w:lineRule="exact"/>
                    <w:jc w:val="center"/>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Cs w:val="24"/>
                      <w:highlight w:val="none"/>
                      <w14:textFill>
                        <w14:solidFill>
                          <w14:schemeClr w14:val="tx1"/>
                        </w14:solidFill>
                      </w14:textFill>
                    </w:rPr>
                    <w:t>号球</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001061FC">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8</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28D439D4">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9</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6525812">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10</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0EC08EB8">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11</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7C09AFC">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12</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6AD0CF33">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13</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3080CD29">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14</w:t>
                  </w:r>
                </w:p>
              </w:tc>
            </w:tr>
            <w:tr w14:paraId="60C31FA8">
              <w:tblPrEx>
                <w:tblCellMar>
                  <w:top w:w="0" w:type="dxa"/>
                  <w:left w:w="108" w:type="dxa"/>
                  <w:bottom w:w="0" w:type="dxa"/>
                  <w:right w:w="108" w:type="dxa"/>
                </w:tblCellMar>
              </w:tblPrEx>
              <w:trPr>
                <w:trHeight w:val="585" w:hRule="atLeast"/>
                <w:jc w:val="center"/>
              </w:trPr>
              <w:tc>
                <w:tcPr>
                  <w:tcW w:w="2088" w:type="dxa"/>
                  <w:tcBorders>
                    <w:top w:val="single" w:color="000000" w:sz="4" w:space="0"/>
                    <w:left w:val="single" w:color="000000" w:sz="4" w:space="0"/>
                    <w:bottom w:val="single" w:color="000000" w:sz="4" w:space="0"/>
                    <w:right w:val="single" w:color="000000" w:sz="4" w:space="0"/>
                  </w:tcBorders>
                  <w:noWrap w:val="0"/>
                  <w:vAlign w:val="center"/>
                </w:tcPr>
                <w:p w14:paraId="6650F898">
                  <w:pPr>
                    <w:pStyle w:val="5"/>
                    <w:keepNext w:val="0"/>
                    <w:keepLines w:val="0"/>
                    <w:pageBreakBefore w:val="0"/>
                    <w:widowControl/>
                    <w:kinsoku/>
                    <w:wordWrap w:val="0"/>
                    <w:overflowPunct/>
                    <w:topLinePunct w:val="0"/>
                    <w:autoSpaceDE/>
                    <w:autoSpaceDN/>
                    <w:bidi w:val="0"/>
                    <w:adjustRightInd w:val="0"/>
                    <w:snapToGrid w:val="0"/>
                    <w:spacing w:after="0" w:line="380" w:lineRule="exact"/>
                    <w:jc w:val="center"/>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Cs w:val="24"/>
                      <w:highlight w:val="none"/>
                      <w14:textFill>
                        <w14:solidFill>
                          <w14:schemeClr w14:val="tx1"/>
                        </w14:solidFill>
                      </w14:textFill>
                    </w:rPr>
                    <w:t>下浮系数（%）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6DDFC6BF">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14:textFill>
                        <w14:solidFill>
                          <w14:schemeClr w14:val="tx1"/>
                        </w14:solidFill>
                      </w14:textFill>
                    </w:rPr>
                    <w:t>.7</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6D41599">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14:textFill>
                        <w14:solidFill>
                          <w14:schemeClr w14:val="tx1"/>
                        </w14:solidFill>
                      </w14:textFill>
                    </w:rPr>
                    <w:t>.8</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98E39FD">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14:textFill>
                        <w14:solidFill>
                          <w14:schemeClr w14:val="tx1"/>
                        </w14:solidFill>
                      </w14:textFill>
                    </w:rPr>
                    <w:t>.9</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661D35F8">
                  <w:pPr>
                    <w:keepNext w:val="0"/>
                    <w:keepLines w:val="0"/>
                    <w:pageBreakBefore w:val="0"/>
                    <w:kinsoku/>
                    <w:wordWrap w:val="0"/>
                    <w:overflowPunct/>
                    <w:topLinePunct w:val="0"/>
                    <w:autoSpaceDE/>
                    <w:autoSpaceDN/>
                    <w:bidi w:val="0"/>
                    <w:adjustRightInd w:val="0"/>
                    <w:snapToGrid w:val="0"/>
                    <w:spacing w:line="380" w:lineRule="exact"/>
                    <w:jc w:val="center"/>
                    <w:rPr>
                      <w:rFonts w:hint="default"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677B6F18">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14:textFill>
                        <w14:solidFill>
                          <w14:schemeClr w14:val="tx1"/>
                        </w14:solidFill>
                      </w14:textFill>
                    </w:rPr>
                    <w:t>.1</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631FF1D0">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14:textFill>
                        <w14:solidFill>
                          <w14:schemeClr w14:val="tx1"/>
                        </w14:solidFill>
                      </w14:textFill>
                    </w:rPr>
                    <w:t>.2</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7D034522">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14:textFill>
                        <w14:solidFill>
                          <w14:schemeClr w14:val="tx1"/>
                        </w14:solidFill>
                      </w14:textFill>
                    </w:rPr>
                    <w:t>.3</w:t>
                  </w:r>
                </w:p>
              </w:tc>
            </w:tr>
            <w:tr w14:paraId="215A9698">
              <w:tblPrEx>
                <w:tblCellMar>
                  <w:top w:w="0" w:type="dxa"/>
                  <w:left w:w="108" w:type="dxa"/>
                  <w:bottom w:w="0" w:type="dxa"/>
                  <w:right w:w="108" w:type="dxa"/>
                </w:tblCellMar>
              </w:tblPrEx>
              <w:trPr>
                <w:trHeight w:val="329" w:hRule="atLeast"/>
                <w:jc w:val="center"/>
              </w:trPr>
              <w:tc>
                <w:tcPr>
                  <w:tcW w:w="2088" w:type="dxa"/>
                  <w:tcBorders>
                    <w:top w:val="single" w:color="000000" w:sz="4" w:space="0"/>
                    <w:left w:val="single" w:color="000000" w:sz="4" w:space="0"/>
                    <w:bottom w:val="single" w:color="000000" w:sz="4" w:space="0"/>
                    <w:right w:val="single" w:color="000000" w:sz="4" w:space="0"/>
                  </w:tcBorders>
                  <w:noWrap w:val="0"/>
                  <w:vAlign w:val="center"/>
                </w:tcPr>
                <w:p w14:paraId="6C60595F">
                  <w:pPr>
                    <w:pStyle w:val="5"/>
                    <w:keepNext w:val="0"/>
                    <w:keepLines w:val="0"/>
                    <w:pageBreakBefore w:val="0"/>
                    <w:widowControl/>
                    <w:kinsoku/>
                    <w:wordWrap w:val="0"/>
                    <w:overflowPunct/>
                    <w:topLinePunct w:val="0"/>
                    <w:autoSpaceDE/>
                    <w:autoSpaceDN/>
                    <w:bidi w:val="0"/>
                    <w:adjustRightInd w:val="0"/>
                    <w:snapToGrid w:val="0"/>
                    <w:spacing w:after="0" w:line="380" w:lineRule="exact"/>
                    <w:jc w:val="center"/>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Cs w:val="24"/>
                      <w:highlight w:val="none"/>
                      <w14:textFill>
                        <w14:solidFill>
                          <w14:schemeClr w14:val="tx1"/>
                        </w14:solidFill>
                      </w14:textFill>
                    </w:rPr>
                    <w:t>号球</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4360A5AD">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15</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664163F">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16</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F6AA93C">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17</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1EECDF84">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18</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4A38108">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19</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2B0E6B2F">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20</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243AACD6">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21</w:t>
                  </w:r>
                </w:p>
              </w:tc>
            </w:tr>
            <w:tr w14:paraId="08FEAD0D">
              <w:tblPrEx>
                <w:tblCellMar>
                  <w:top w:w="0" w:type="dxa"/>
                  <w:left w:w="108" w:type="dxa"/>
                  <w:bottom w:w="0" w:type="dxa"/>
                  <w:right w:w="108" w:type="dxa"/>
                </w:tblCellMar>
              </w:tblPrEx>
              <w:trPr>
                <w:trHeight w:val="593" w:hRule="atLeast"/>
                <w:jc w:val="center"/>
              </w:trPr>
              <w:tc>
                <w:tcPr>
                  <w:tcW w:w="2088" w:type="dxa"/>
                  <w:tcBorders>
                    <w:top w:val="single" w:color="000000" w:sz="4" w:space="0"/>
                    <w:left w:val="single" w:color="000000" w:sz="4" w:space="0"/>
                    <w:bottom w:val="single" w:color="000000" w:sz="4" w:space="0"/>
                    <w:right w:val="single" w:color="000000" w:sz="4" w:space="0"/>
                  </w:tcBorders>
                  <w:noWrap w:val="0"/>
                  <w:vAlign w:val="center"/>
                </w:tcPr>
                <w:p w14:paraId="066BFEBE">
                  <w:pPr>
                    <w:pStyle w:val="5"/>
                    <w:keepNext w:val="0"/>
                    <w:keepLines w:val="0"/>
                    <w:pageBreakBefore w:val="0"/>
                    <w:widowControl/>
                    <w:kinsoku/>
                    <w:wordWrap w:val="0"/>
                    <w:overflowPunct/>
                    <w:topLinePunct w:val="0"/>
                    <w:autoSpaceDE/>
                    <w:autoSpaceDN/>
                    <w:bidi w:val="0"/>
                    <w:adjustRightInd w:val="0"/>
                    <w:snapToGrid w:val="0"/>
                    <w:spacing w:after="0" w:line="380" w:lineRule="exact"/>
                    <w:jc w:val="center"/>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Cs w:val="24"/>
                      <w:highlight w:val="none"/>
                      <w14:textFill>
                        <w14:solidFill>
                          <w14:schemeClr w14:val="tx1"/>
                        </w14:solidFill>
                      </w14:textFill>
                    </w:rPr>
                    <w:t>下浮系数（%）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37BE60F2">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14:textFill>
                        <w14:solidFill>
                          <w14:schemeClr w14:val="tx1"/>
                        </w14:solidFill>
                      </w14:textFill>
                    </w:rPr>
                    <w:t>.4</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19566FA">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14:textFill>
                        <w14:solidFill>
                          <w14:schemeClr w14:val="tx1"/>
                        </w14:solidFill>
                      </w14:textFill>
                    </w:rPr>
                    <w:t>.5</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FC46508">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14:textFill>
                        <w14:solidFill>
                          <w14:schemeClr w14:val="tx1"/>
                        </w14:solidFill>
                      </w14:textFill>
                    </w:rPr>
                    <w:t>.6</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3FA426FF">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14:textFill>
                        <w14:solidFill>
                          <w14:schemeClr w14:val="tx1"/>
                        </w14:solidFill>
                      </w14:textFill>
                    </w:rPr>
                    <w:t>7</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5404D2FD">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2.8</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377902D5">
                  <w:pPr>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2.9</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3D09A45C">
                  <w:pPr>
                    <w:keepNext w:val="0"/>
                    <w:keepLines w:val="0"/>
                    <w:pageBreakBefore w:val="0"/>
                    <w:kinsoku/>
                    <w:wordWrap w:val="0"/>
                    <w:overflowPunct/>
                    <w:topLinePunct w:val="0"/>
                    <w:autoSpaceDE/>
                    <w:autoSpaceDN/>
                    <w:bidi w:val="0"/>
                    <w:adjustRightInd w:val="0"/>
                    <w:snapToGrid w:val="0"/>
                    <w:spacing w:line="380" w:lineRule="exact"/>
                    <w:jc w:val="center"/>
                    <w:rPr>
                      <w:rFonts w:hint="default"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p>
              </w:tc>
            </w:tr>
          </w:tbl>
          <w:p w14:paraId="5FE94B58">
            <w:pPr>
              <w:keepNext w:val="0"/>
              <w:keepLines w:val="0"/>
              <w:pageBreakBefore w:val="0"/>
              <w:widowControl w:val="0"/>
              <w:kinsoku/>
              <w:wordWrap w:val="0"/>
              <w:overflowPunct/>
              <w:topLinePunct w:val="0"/>
              <w:autoSpaceDE/>
              <w:autoSpaceDN/>
              <w:bidi w:val="0"/>
              <w:adjustRightInd w:val="0"/>
              <w:snapToGrid w:val="0"/>
              <w:spacing w:before="0" w:after="0" w:line="380" w:lineRule="exact"/>
              <w:ind w:right="0" w:rightChars="0" w:firstLine="480" w:firstLineChars="200"/>
              <w:jc w:val="left"/>
              <w:textAlignment w:val="auto"/>
              <w:outlineLvl w:val="9"/>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aps w:val="0"/>
                <w:smallCaps w:val="0"/>
                <w:snapToGrid w:val="0"/>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caps w:val="0"/>
                <w:smallCaps w:val="0"/>
                <w:snapToGrid w:val="0"/>
                <w:color w:val="000000" w:themeColor="text1"/>
                <w:spacing w:val="0"/>
                <w:kern w:val="0"/>
                <w:sz w:val="24"/>
                <w:szCs w:val="24"/>
                <w:highlight w:val="none"/>
                <w:lang w:val="en-US" w:eastAsia="zh-CN"/>
                <w14:textFill>
                  <w14:solidFill>
                    <w14:schemeClr w14:val="tx1"/>
                  </w14:solidFill>
                </w14:textFill>
              </w:rPr>
              <w:t>2</w:t>
            </w:r>
            <w:r>
              <w:rPr>
                <w:rFonts w:hint="eastAsia" w:ascii="宋体" w:hAnsi="宋体" w:eastAsia="宋体" w:cs="宋体"/>
                <w:caps w:val="0"/>
                <w:smallCaps w:val="0"/>
                <w:snapToGrid w:val="0"/>
                <w:color w:val="000000" w:themeColor="text1"/>
                <w:spacing w:val="0"/>
                <w:kern w:val="0"/>
                <w:sz w:val="24"/>
                <w:szCs w:val="24"/>
                <w:highlight w:val="none"/>
                <w:lang w:eastAsia="zh-CN"/>
                <w14:textFill>
                  <w14:solidFill>
                    <w14:schemeClr w14:val="tx1"/>
                  </w14:solidFill>
                </w14:textFill>
              </w:rPr>
              <w:t>）评标基准价D＝招标控制价×（1－</w:t>
            </w:r>
            <w:r>
              <w:rPr>
                <w:rFonts w:hint="eastAsia" w:ascii="宋体" w:hAnsi="宋体" w:eastAsia="宋体" w:cs="宋体"/>
                <w:caps w:val="0"/>
                <w:smallCaps w:val="0"/>
                <w:snapToGrid w:val="0"/>
                <w:color w:val="000000" w:themeColor="text1"/>
                <w:spacing w:val="0"/>
                <w:kern w:val="0"/>
                <w:sz w:val="24"/>
                <w:szCs w:val="24"/>
                <w:highlight w:val="none"/>
                <w:lang w:val="en-US" w:eastAsia="zh-CN"/>
                <w14:textFill>
                  <w14:solidFill>
                    <w14:schemeClr w14:val="tx1"/>
                  </w14:solidFill>
                </w14:textFill>
              </w:rPr>
              <w:t>n</w:t>
            </w:r>
            <w:r>
              <w:rPr>
                <w:rFonts w:hint="eastAsia" w:ascii="宋体" w:hAnsi="宋体" w:eastAsia="宋体" w:cs="宋体"/>
                <w:caps w:val="0"/>
                <w:smallCaps w:val="0"/>
                <w:snapToGrid w:val="0"/>
                <w:color w:val="000000" w:themeColor="text1"/>
                <w:spacing w:val="0"/>
                <w:kern w:val="0"/>
                <w:sz w:val="24"/>
                <w:szCs w:val="24"/>
                <w:highlight w:val="none"/>
                <w:lang w:eastAsia="zh-CN"/>
                <w14:textFill>
                  <w14:solidFill>
                    <w14:schemeClr w14:val="tx1"/>
                  </w14:solidFill>
                </w14:textFill>
              </w:rPr>
              <w:t>）</w:t>
            </w:r>
          </w:p>
        </w:tc>
      </w:tr>
      <w:tr w14:paraId="2F5A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471" w:type="dxa"/>
            <w:gridSpan w:val="2"/>
            <w:noWrap w:val="0"/>
            <w:vAlign w:val="center"/>
          </w:tcPr>
          <w:p w14:paraId="32B0F0B8">
            <w:pPr>
              <w:pStyle w:val="23"/>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投标报价</w:t>
            </w:r>
          </w:p>
          <w:p w14:paraId="31EAEB1A">
            <w:pPr>
              <w:pStyle w:val="23"/>
              <w:keepNext w:val="0"/>
              <w:keepLines w:val="0"/>
              <w:pageBreakBefore w:val="0"/>
              <w:kinsoku/>
              <w:wordWrap w:val="0"/>
              <w:overflowPunct/>
              <w:topLinePunct w:val="0"/>
              <w:autoSpaceDE/>
              <w:autoSpaceDN/>
              <w:bidi w:val="0"/>
              <w:adjustRightInd w:val="0"/>
              <w:snapToGrid w:val="0"/>
              <w:spacing w:line="380" w:lineRule="exact"/>
              <w:jc w:val="cente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得分N</w:t>
            </w:r>
          </w:p>
        </w:tc>
        <w:tc>
          <w:tcPr>
            <w:tcW w:w="8989" w:type="dxa"/>
            <w:gridSpan w:val="2"/>
            <w:noWrap w:val="0"/>
            <w:vAlign w:val="center"/>
          </w:tcPr>
          <w:p w14:paraId="139E1CBD">
            <w:pPr>
              <w:keepNext w:val="0"/>
              <w:keepLines w:val="0"/>
              <w:pageBreakBefore w:val="0"/>
              <w:kinsoku/>
              <w:wordWrap w:val="0"/>
              <w:overflowPunct/>
              <w:topLinePunct w:val="0"/>
              <w:autoSpaceDE/>
              <w:autoSpaceDN/>
              <w:bidi w:val="0"/>
              <w:adjustRightInd w:val="0"/>
              <w:snapToGrid w:val="0"/>
              <w:spacing w:line="380" w:lineRule="exact"/>
              <w:ind w:firstLine="480" w:firstLineChars="20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采用内插法计算某投标人的投标报价得分N，即当投标人的投标总价等于评标基准价时得</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100</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分，每高于评标基准价一个百分点扣</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 每低于评标基准价一个百分点扣0.</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分，扣完为止。公式如下：</w:t>
            </w:r>
          </w:p>
          <w:p w14:paraId="5E8A9B56">
            <w:pPr>
              <w:keepNext w:val="0"/>
              <w:keepLines w:val="0"/>
              <w:pageBreakBefore w:val="0"/>
              <w:kinsoku/>
              <w:wordWrap w:val="0"/>
              <w:overflowPunct/>
              <w:topLinePunct w:val="0"/>
              <w:autoSpaceDE/>
              <w:autoSpaceDN/>
              <w:bidi w:val="0"/>
              <w:adjustRightInd w:val="0"/>
              <w:snapToGrid w:val="0"/>
              <w:spacing w:line="380" w:lineRule="exact"/>
              <w:ind w:firstLine="480" w:firstLineChars="20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N＝</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100</w:t>
            </w:r>
            <w:r>
              <w:rPr>
                <w:rFonts w:hint="eastAsia" w:ascii="宋体" w:hAnsi="宋体" w:eastAsia="宋体" w:cs="宋体"/>
                <w:snapToGrid w:val="0"/>
                <w:color w:val="000000" w:themeColor="text1"/>
                <w:kern w:val="0"/>
                <w:sz w:val="24"/>
                <w:szCs w:val="24"/>
                <w:highlight w:val="none"/>
                <w14:textFill>
                  <w14:solidFill>
                    <w14:schemeClr w14:val="tx1"/>
                  </w14:solidFill>
                </w14:textFill>
              </w:rPr>
              <w:t>－（|Di－D|÷D）×100×E</w:t>
            </w:r>
          </w:p>
          <w:p w14:paraId="3825D1D9">
            <w:pPr>
              <w:keepNext w:val="0"/>
              <w:keepLines w:val="0"/>
              <w:pageBreakBefore w:val="0"/>
              <w:kinsoku/>
              <w:wordWrap w:val="0"/>
              <w:overflowPunct/>
              <w:topLinePunct w:val="0"/>
              <w:autoSpaceDE/>
              <w:autoSpaceDN/>
              <w:bidi w:val="0"/>
              <w:adjustRightInd w:val="0"/>
              <w:snapToGrid w:val="0"/>
              <w:spacing w:line="380" w:lineRule="exact"/>
              <w:ind w:firstLine="480" w:firstLineChars="200"/>
              <w:jc w:val="left"/>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式中：D为评标基准价；Di为某投标人的投标总价；E为扣分因子，当Di＞D时，E＝</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14:textFill>
                  <w14:solidFill>
                    <w14:schemeClr w14:val="tx1"/>
                  </w14:solidFill>
                </w14:textFill>
              </w:rPr>
              <w:t>；当Di＜D时，E＝0.5。</w:t>
            </w:r>
          </w:p>
        </w:tc>
      </w:tr>
    </w:tbl>
    <w:p w14:paraId="0CC8DDE4">
      <w:pPr>
        <w:spacing w:before="155" w:line="211" w:lineRule="auto"/>
        <w:outlineLvl w:val="9"/>
        <w:rPr>
          <w:rFonts w:hint="eastAsia" w:ascii="宋体" w:hAnsi="宋体" w:eastAsia="宋体" w:cs="宋体"/>
          <w:b/>
          <w:bCs/>
          <w:color w:val="000000" w:themeColor="text1"/>
          <w:spacing w:val="-3"/>
          <w:sz w:val="24"/>
          <w:szCs w:val="24"/>
          <w:highlight w:val="none"/>
          <w14:textFill>
            <w14:solidFill>
              <w14:schemeClr w14:val="tx1"/>
            </w14:solidFill>
          </w14:textFill>
        </w:rPr>
      </w:pPr>
    </w:p>
    <w:p w14:paraId="3E3DF6AC">
      <w:pPr>
        <w:spacing w:before="155" w:line="211" w:lineRule="auto"/>
        <w:ind w:left="496"/>
        <w:outlineLvl w:val="9"/>
        <w:rPr>
          <w:rFonts w:hint="eastAsia" w:ascii="宋体" w:hAnsi="宋体" w:eastAsia="宋体" w:cs="宋体"/>
          <w:color w:val="000000" w:themeColor="text1"/>
          <w:sz w:val="25"/>
          <w:szCs w:val="25"/>
          <w:highlight w:val="none"/>
          <w14:textFill>
            <w14:solidFill>
              <w14:schemeClr w14:val="tx1"/>
            </w14:solidFill>
          </w14:textFill>
        </w:rPr>
      </w:pPr>
      <w:bookmarkStart w:id="142" w:name="_Toc17436"/>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15.5.2  </w:t>
      </w:r>
      <w:r>
        <w:rPr>
          <w:rFonts w:hint="eastAsia" w:ascii="宋体" w:hAnsi="宋体" w:eastAsia="宋体" w:cs="宋体"/>
          <w:color w:val="000000" w:themeColor="text1"/>
          <w:spacing w:val="-3"/>
          <w:sz w:val="24"/>
          <w:szCs w:val="24"/>
          <w:highlight w:val="none"/>
          <w14:textFill>
            <w14:solidFill>
              <w14:schemeClr w14:val="tx1"/>
            </w14:solidFill>
          </w14:textFill>
        </w:rPr>
        <w:t>否决投标说明</w:t>
      </w:r>
      <w:bookmarkEnd w:id="139"/>
      <w:bookmarkEnd w:id="140"/>
      <w:bookmarkEnd w:id="141"/>
      <w:bookmarkEnd w:id="142"/>
    </w:p>
    <w:p w14:paraId="7A2EE53E">
      <w:pPr>
        <w:spacing w:before="150" w:line="332" w:lineRule="auto"/>
        <w:ind w:left="10" w:right="195" w:firstLine="564"/>
        <w:rPr>
          <w:rFonts w:hint="eastAsia" w:ascii="宋体" w:hAnsi="宋体" w:eastAsia="宋体" w:cs="宋体"/>
          <w:color w:val="000000" w:themeColor="text1"/>
          <w:spacing w:val="-5"/>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详细评审阶段否决投标的全部条件，在本章第四节“否决投标条件 ”第 4 条中集中列示。投标人有其中所列任何一种情形的，由评标委员会否决其投标。评标委员会经评审，认为所有投标都不符合招标文件要求的，可否决所有投标，项目的所有投标被否决的，招标人应依法重新组织招标。</w:t>
      </w:r>
    </w:p>
    <w:p w14:paraId="3E787E43">
      <w:pPr>
        <w:spacing w:before="59" w:line="330" w:lineRule="auto"/>
        <w:ind w:left="10" w:right="195"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14:textFill>
            <w14:solidFill>
              <w14:schemeClr w14:val="tx1"/>
            </w14:solidFill>
          </w14:textFill>
        </w:rPr>
        <w:t>注：投标人在详细评审阶段根据评分方法提供的佐证材料，其合法性、有效性和准确性不符合要求的，有关量化因素（或评分因素）的折算、调整（或评分）按相应</w:t>
      </w:r>
      <w:r>
        <w:rPr>
          <w:rFonts w:hint="eastAsia" w:ascii="宋体" w:hAnsi="宋体" w:eastAsia="宋体" w:cs="宋体"/>
          <w:b/>
          <w:bCs/>
          <w:color w:val="000000" w:themeColor="text1"/>
          <w:spacing w:val="-3"/>
          <w:sz w:val="24"/>
          <w:szCs w:val="24"/>
          <w:highlight w:val="none"/>
          <w14:textFill>
            <w14:solidFill>
              <w14:schemeClr w14:val="tx1"/>
            </w14:solidFill>
          </w14:textFill>
        </w:rPr>
        <w:t>量化标准（或评分标准）处理，但不否决投标。</w:t>
      </w:r>
    </w:p>
    <w:p w14:paraId="7A32DAC8">
      <w:pPr>
        <w:spacing w:before="78" w:line="220" w:lineRule="auto"/>
        <w:ind w:left="496"/>
        <w:outlineLvl w:val="2"/>
        <w:rPr>
          <w:rFonts w:hint="eastAsia" w:ascii="宋体" w:hAnsi="宋体" w:eastAsia="宋体" w:cs="宋体"/>
          <w:color w:val="000000" w:themeColor="text1"/>
          <w:sz w:val="24"/>
          <w:szCs w:val="24"/>
          <w:highlight w:val="none"/>
          <w14:textFill>
            <w14:solidFill>
              <w14:schemeClr w14:val="tx1"/>
            </w14:solidFill>
          </w14:textFill>
        </w:rPr>
      </w:pPr>
      <w:bookmarkStart w:id="143" w:name="bookmark137"/>
      <w:bookmarkEnd w:id="143"/>
      <w:bookmarkStart w:id="144" w:name="_Toc20825"/>
      <w:bookmarkStart w:id="145" w:name="_Toc16384"/>
      <w:r>
        <w:rPr>
          <w:rFonts w:hint="eastAsia" w:ascii="宋体" w:hAnsi="宋体" w:eastAsia="宋体" w:cs="宋体"/>
          <w:b/>
          <w:bCs/>
          <w:color w:val="000000" w:themeColor="text1"/>
          <w:spacing w:val="-7"/>
          <w:sz w:val="24"/>
          <w:szCs w:val="24"/>
          <w:highlight w:val="none"/>
          <w14:textFill>
            <w14:solidFill>
              <w14:schemeClr w14:val="tx1"/>
            </w14:solidFill>
          </w14:textFill>
        </w:rPr>
        <w:t>16</w:t>
      </w:r>
      <w:r>
        <w:rPr>
          <w:rFonts w:hint="eastAsia" w:ascii="宋体" w:hAnsi="宋体" w:eastAsia="宋体" w:cs="宋体"/>
          <w:b/>
          <w:bCs/>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14:textFill>
            <w14:solidFill>
              <w14:schemeClr w14:val="tx1"/>
            </w14:solidFill>
          </w14:textFill>
        </w:rPr>
        <w:t>．中标候选人公示</w:t>
      </w:r>
      <w:bookmarkEnd w:id="144"/>
      <w:bookmarkEnd w:id="145"/>
    </w:p>
    <w:p w14:paraId="7DD51611">
      <w:pPr>
        <w:spacing w:before="135" w:line="316" w:lineRule="auto"/>
        <w:ind w:left="2" w:right="105" w:firstLine="494"/>
        <w:jc w:val="both"/>
        <w:rPr>
          <w:rFonts w:hint="eastAsia" w:ascii="宋体" w:hAnsi="宋体" w:eastAsia="宋体" w:cs="宋体"/>
          <w:color w:val="000000" w:themeColor="text1"/>
          <w:spacing w:val="-5"/>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16.1  </w:t>
      </w:r>
      <w:r>
        <w:rPr>
          <w:rFonts w:hint="eastAsia" w:ascii="宋体" w:hAnsi="宋体" w:eastAsia="宋体" w:cs="宋体"/>
          <w:color w:val="000000" w:themeColor="text1"/>
          <w:spacing w:val="-5"/>
          <w:sz w:val="24"/>
          <w:szCs w:val="24"/>
          <w:highlight w:val="none"/>
          <w14:textFill>
            <w14:solidFill>
              <w14:schemeClr w14:val="tx1"/>
            </w14:solidFill>
          </w14:textFill>
        </w:rPr>
        <w:t>招标人自收到评标委员会提交的书面评标报告和中标候选人名单之日起 3  日 内，将评标结果（即中标候选人名单）、中标候选人投标文件（指商务标书分册）、评 标过程（评标专家姓名用代码标记）一并在广东省招标投标监管网（http://zbtb.gd.gov.c n）、全国公共资源交易平台（广东省 ·韶关市）（https://ygp.gdzwfw.gov.cn/ggzy-porta l/#/440200/index）进行公示，公示期不得少于 3 天。</w:t>
      </w:r>
    </w:p>
    <w:p w14:paraId="76283A19">
      <w:pPr>
        <w:keepNext w:val="0"/>
        <w:keepLines w:val="0"/>
        <w:pageBreakBefore w:val="0"/>
        <w:widowControl/>
        <w:kinsoku w:val="0"/>
        <w:wordWrap/>
        <w:overflowPunct/>
        <w:topLinePunct w:val="0"/>
        <w:autoSpaceDE w:val="0"/>
        <w:autoSpaceDN w:val="0"/>
        <w:bidi w:val="0"/>
        <w:adjustRightInd w:val="0"/>
        <w:snapToGrid w:val="0"/>
        <w:spacing w:before="78" w:line="288" w:lineRule="auto"/>
        <w:ind w:left="11" w:firstLine="488"/>
        <w:textAlignment w:val="baseline"/>
        <w:rPr>
          <w:rFonts w:hint="eastAsia" w:ascii="宋体" w:hAnsi="宋体" w:eastAsia="宋体" w:cs="宋体"/>
          <w:color w:val="000000" w:themeColor="text1"/>
          <w:spacing w:val="-5"/>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16.2 </w:t>
      </w:r>
      <w:r>
        <w:rPr>
          <w:rFonts w:hint="eastAsia" w:ascii="宋体" w:hAnsi="宋体" w:eastAsia="宋体" w:cs="宋体"/>
          <w:color w:val="000000" w:themeColor="text1"/>
          <w:spacing w:val="-5"/>
          <w:sz w:val="24"/>
          <w:szCs w:val="24"/>
          <w:highlight w:val="none"/>
          <w14:textFill>
            <w14:solidFill>
              <w14:schemeClr w14:val="tx1"/>
            </w14:solidFill>
          </w14:textFill>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 号）执行。如通过交易服务平台提出异议，投标人必须上传提交异议书扫描件（作为附件），异议书格式内容按照《韶关市工程建设项目招标投标活动异议和投诉处理办法》（韶法审〔2020〕19 号）执行，否则招标人不予受理。投标人提出异议后，必须及时通知招标人查收，否则，由此造成的超出法律规定时限的后果，由投标人自行承担。招标人受理异议后，投标人须及时向招标人提交书面异议。项目如收到异议、投诉等情形，可以根据需要从交易中心处调取纸质档案。</w:t>
      </w:r>
    </w:p>
    <w:p w14:paraId="338AB6D2">
      <w:pPr>
        <w:spacing w:before="79" w:line="309" w:lineRule="auto"/>
        <w:ind w:left="12" w:right="42" w:firstLine="48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9"/>
          <w:sz w:val="24"/>
          <w:szCs w:val="24"/>
          <w:highlight w:val="none"/>
          <w14:textFill>
            <w14:solidFill>
              <w14:schemeClr w14:val="tx1"/>
            </w14:solidFill>
          </w14:textFill>
        </w:rPr>
        <w:t>16.3</w:t>
      </w:r>
      <w:r>
        <w:rPr>
          <w:rFonts w:hint="eastAsia" w:ascii="宋体" w:hAnsi="宋体" w:eastAsia="宋体" w:cs="宋体"/>
          <w:b/>
          <w:bCs/>
          <w:color w:val="000000" w:themeColor="text1"/>
          <w:spacing w:val="24"/>
          <w:w w:val="10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中标候选人公示期满无异议（投诉）后，招标人确定第一中标候选人为中标人，并在中标人确定之日起 7日内向中标人发出中标通知书。在中标通知书发出后5个工作 日内，韶关市公共资源交易中心将投标保证金（或银行保函）退还给中标候选人以外的投标人。</w:t>
      </w:r>
    </w:p>
    <w:p w14:paraId="08A5EDE4">
      <w:pPr>
        <w:spacing w:line="309" w:lineRule="auto"/>
        <w:rPr>
          <w:rFonts w:hint="eastAsia" w:ascii="宋体" w:hAnsi="宋体" w:eastAsia="宋体" w:cs="宋体"/>
          <w:color w:val="000000" w:themeColor="text1"/>
          <w:sz w:val="24"/>
          <w:szCs w:val="24"/>
          <w:highlight w:val="none"/>
          <w14:textFill>
            <w14:solidFill>
              <w14:schemeClr w14:val="tx1"/>
            </w14:solidFill>
          </w14:textFill>
        </w:rPr>
        <w:sectPr>
          <w:headerReference r:id="rId10" w:type="default"/>
          <w:footerReference r:id="rId11" w:type="default"/>
          <w:pgSz w:w="11906" w:h="16839"/>
          <w:pgMar w:top="1440" w:right="1253" w:bottom="1440" w:left="1253" w:header="0" w:footer="1020" w:gutter="0"/>
          <w:pgBorders>
            <w:top w:val="none" w:sz="0" w:space="0"/>
            <w:left w:val="none" w:sz="0" w:space="0"/>
            <w:bottom w:val="none" w:sz="0" w:space="0"/>
            <w:right w:val="none" w:sz="0" w:space="0"/>
          </w:pgBorders>
          <w:pgNumType w:fmt="decimal"/>
          <w:cols w:space="720" w:num="1"/>
          <w:rtlGutter w:val="0"/>
          <w:docGrid w:linePitch="0" w:charSpace="0"/>
        </w:sectPr>
      </w:pPr>
    </w:p>
    <w:p w14:paraId="4598D3DD">
      <w:pPr>
        <w:spacing w:before="78" w:line="220" w:lineRule="auto"/>
        <w:ind w:left="9"/>
        <w:jc w:val="center"/>
        <w:outlineLvl w:val="1"/>
        <w:rPr>
          <w:rFonts w:hint="eastAsia" w:ascii="宋体" w:hAnsi="宋体" w:eastAsia="宋体" w:cs="宋体"/>
          <w:color w:val="000000" w:themeColor="text1"/>
          <w:sz w:val="24"/>
          <w:szCs w:val="24"/>
          <w:highlight w:val="none"/>
          <w14:textFill>
            <w14:solidFill>
              <w14:schemeClr w14:val="tx1"/>
            </w14:solidFill>
          </w14:textFill>
        </w:rPr>
      </w:pPr>
      <w:bookmarkStart w:id="146" w:name="bookmark138"/>
      <w:bookmarkEnd w:id="146"/>
      <w:bookmarkStart w:id="147" w:name="_Toc1969"/>
      <w:r>
        <w:rPr>
          <w:rFonts w:hint="eastAsia" w:ascii="宋体" w:hAnsi="宋体" w:eastAsia="宋体" w:cs="宋体"/>
          <w:b/>
          <w:bCs/>
          <w:color w:val="000000" w:themeColor="text1"/>
          <w:spacing w:val="-3"/>
          <w:sz w:val="24"/>
          <w:szCs w:val="24"/>
          <w:highlight w:val="none"/>
          <w14:textFill>
            <w14:solidFill>
              <w14:schemeClr w14:val="tx1"/>
            </w14:solidFill>
          </w14:textFill>
        </w:rPr>
        <w:t>第四节</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14:textFill>
            <w14:solidFill>
              <w14:schemeClr w14:val="tx1"/>
            </w14:solidFill>
          </w14:textFill>
        </w:rPr>
        <w:t>否决投标条件</w:t>
      </w:r>
      <w:bookmarkEnd w:id="147"/>
    </w:p>
    <w:p w14:paraId="0B3974F2">
      <w:pPr>
        <w:pStyle w:val="5"/>
        <w:spacing w:line="255" w:lineRule="auto"/>
        <w:rPr>
          <w:rFonts w:hint="eastAsia" w:ascii="宋体" w:hAnsi="宋体" w:eastAsia="宋体" w:cs="宋体"/>
          <w:color w:val="000000" w:themeColor="text1"/>
          <w:highlight w:val="none"/>
          <w14:textFill>
            <w14:solidFill>
              <w14:schemeClr w14:val="tx1"/>
            </w14:solidFill>
          </w14:textFill>
        </w:rPr>
      </w:pPr>
    </w:p>
    <w:p w14:paraId="46F7EEA7">
      <w:pPr>
        <w:pStyle w:val="5"/>
        <w:spacing w:line="256" w:lineRule="auto"/>
        <w:rPr>
          <w:rFonts w:hint="eastAsia" w:ascii="宋体" w:hAnsi="宋体" w:eastAsia="宋体" w:cs="宋体"/>
          <w:color w:val="000000" w:themeColor="text1"/>
          <w:highlight w:val="none"/>
          <w14:textFill>
            <w14:solidFill>
              <w14:schemeClr w14:val="tx1"/>
            </w14:solidFill>
          </w14:textFill>
        </w:rPr>
      </w:pPr>
    </w:p>
    <w:p w14:paraId="602D2B7C">
      <w:pPr>
        <w:spacing w:before="78" w:line="330" w:lineRule="auto"/>
        <w:ind w:left="10" w:right="65"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本节所集中列示的否决投标条件，是本章第三节“投标人须知正文</w:t>
      </w:r>
      <w:r>
        <w:rPr>
          <w:rFonts w:hint="eastAsia" w:ascii="宋体" w:hAnsi="宋体" w:eastAsia="宋体" w:cs="宋体"/>
          <w:color w:val="000000" w:themeColor="text1"/>
          <w:spacing w:val="-7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”的组成部分，</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是对本章第三节所规定的否决投标条件的总</w:t>
      </w:r>
      <w:r>
        <w:rPr>
          <w:rFonts w:hint="eastAsia" w:ascii="宋体" w:hAnsi="宋体" w:eastAsia="宋体" w:cs="宋体"/>
          <w:color w:val="000000" w:themeColor="text1"/>
          <w:spacing w:val="-3"/>
          <w:sz w:val="24"/>
          <w:szCs w:val="24"/>
          <w:highlight w:val="none"/>
          <w14:textFill>
            <w14:solidFill>
              <w14:schemeClr w14:val="tx1"/>
            </w14:solidFill>
          </w14:textFill>
        </w:rPr>
        <w:t>结和补充。</w:t>
      </w:r>
      <w:r>
        <w:rPr>
          <w:rFonts w:hint="eastAsia" w:ascii="宋体" w:hAnsi="宋体" w:eastAsia="宋体" w:cs="宋体"/>
          <w:b/>
          <w:bCs/>
          <w:color w:val="000000" w:themeColor="text1"/>
          <w:spacing w:val="-3"/>
          <w:sz w:val="24"/>
          <w:szCs w:val="24"/>
          <w:highlight w:val="none"/>
          <w14:textFill>
            <w14:solidFill>
              <w14:schemeClr w14:val="tx1"/>
            </w14:solidFill>
          </w14:textFill>
        </w:rPr>
        <w:t>投标人未有列入本节情形的，评</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14:textFill>
            <w14:solidFill>
              <w14:schemeClr w14:val="tx1"/>
            </w14:solidFill>
          </w14:textFill>
        </w:rPr>
        <w:t>标时一律不得否决其投标。</w:t>
      </w:r>
      <w:r>
        <w:rPr>
          <w:rFonts w:hint="eastAsia" w:ascii="宋体" w:hAnsi="宋体" w:eastAsia="宋体" w:cs="宋体"/>
          <w:color w:val="000000" w:themeColor="text1"/>
          <w:spacing w:val="-2"/>
          <w:sz w:val="24"/>
          <w:szCs w:val="24"/>
          <w:highlight w:val="none"/>
          <w14:textFill>
            <w14:solidFill>
              <w14:schemeClr w14:val="tx1"/>
            </w14:solidFill>
          </w14:textFill>
        </w:rPr>
        <w:t>本节所称“规定</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”均指招标文件的规</w:t>
      </w:r>
      <w:r>
        <w:rPr>
          <w:rFonts w:hint="eastAsia" w:ascii="宋体" w:hAnsi="宋体" w:eastAsia="宋体" w:cs="宋体"/>
          <w:color w:val="000000" w:themeColor="text1"/>
          <w:spacing w:val="-3"/>
          <w:sz w:val="24"/>
          <w:szCs w:val="24"/>
          <w:highlight w:val="none"/>
          <w14:textFill>
            <w14:solidFill>
              <w14:schemeClr w14:val="tx1"/>
            </w14:solidFill>
          </w14:textFill>
        </w:rPr>
        <w:t>定。</w:t>
      </w:r>
    </w:p>
    <w:p w14:paraId="112C2E94">
      <w:pPr>
        <w:spacing w:before="34" w:line="220" w:lineRule="auto"/>
        <w:ind w:left="495"/>
        <w:outlineLvl w:val="2"/>
        <w:rPr>
          <w:rFonts w:hint="eastAsia" w:ascii="宋体" w:hAnsi="宋体" w:eastAsia="宋体" w:cs="宋体"/>
          <w:color w:val="000000" w:themeColor="text1"/>
          <w:sz w:val="24"/>
          <w:szCs w:val="24"/>
          <w:highlight w:val="none"/>
          <w14:textFill>
            <w14:solidFill>
              <w14:schemeClr w14:val="tx1"/>
            </w14:solidFill>
          </w14:textFill>
        </w:rPr>
      </w:pPr>
      <w:bookmarkStart w:id="148" w:name="_Toc11822"/>
      <w:r>
        <w:rPr>
          <w:rFonts w:hint="eastAsia" w:ascii="宋体" w:hAnsi="宋体" w:eastAsia="宋体" w:cs="宋体"/>
          <w:b/>
          <w:bCs/>
          <w:color w:val="000000" w:themeColor="text1"/>
          <w:spacing w:val="-8"/>
          <w:sz w:val="24"/>
          <w:szCs w:val="24"/>
          <w:highlight w:val="none"/>
          <w14:textFill>
            <w14:solidFill>
              <w14:schemeClr w14:val="tx1"/>
            </w14:solidFill>
          </w14:textFill>
        </w:rPr>
        <w:t>1</w:t>
      </w:r>
      <w:r>
        <w:rPr>
          <w:rFonts w:hint="eastAsia" w:ascii="宋体" w:hAnsi="宋体" w:eastAsia="宋体" w:cs="宋体"/>
          <w:b/>
          <w:bCs/>
          <w:color w:val="000000" w:themeColor="text1"/>
          <w:spacing w:val="-26"/>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14:textFill>
            <w14:solidFill>
              <w14:schemeClr w14:val="tx1"/>
            </w14:solidFill>
          </w14:textFill>
        </w:rPr>
        <w:t>．资格评审环节</w:t>
      </w:r>
      <w:bookmarkEnd w:id="148"/>
    </w:p>
    <w:p w14:paraId="74FEF03C">
      <w:pPr>
        <w:spacing w:before="152" w:line="327" w:lineRule="auto"/>
        <w:ind w:left="13" w:right="65" w:firstLine="47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投标人有下列情形之一的，评标委员会应否决其投标。被否决的投标人，不进入形</w:t>
      </w:r>
      <w:r>
        <w:rPr>
          <w:rFonts w:hint="eastAsia" w:ascii="宋体" w:hAnsi="宋体" w:eastAsia="宋体" w:cs="宋体"/>
          <w:color w:val="000000" w:themeColor="text1"/>
          <w:spacing w:val="-3"/>
          <w:sz w:val="24"/>
          <w:szCs w:val="24"/>
          <w:highlight w:val="none"/>
          <w14:textFill>
            <w14:solidFill>
              <w14:schemeClr w14:val="tx1"/>
            </w14:solidFill>
          </w14:textFill>
        </w:rPr>
        <w:t>式评审环节。</w:t>
      </w:r>
    </w:p>
    <w:p w14:paraId="45FE5554">
      <w:pPr>
        <w:spacing w:before="32" w:line="219" w:lineRule="auto"/>
        <w:ind w:left="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（1）有本章第三节第</w:t>
      </w:r>
      <w:r>
        <w:rPr>
          <w:rFonts w:hint="eastAsia" w:ascii="宋体" w:hAnsi="宋体" w:eastAsia="宋体" w:cs="宋体"/>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2.4 </w:t>
      </w:r>
      <w:r>
        <w:rPr>
          <w:rFonts w:hint="eastAsia" w:ascii="宋体" w:hAnsi="宋体" w:eastAsia="宋体" w:cs="宋体"/>
          <w:color w:val="000000" w:themeColor="text1"/>
          <w:spacing w:val="-2"/>
          <w:sz w:val="24"/>
          <w:szCs w:val="24"/>
          <w:highlight w:val="none"/>
          <w14:textFill>
            <w14:solidFill>
              <w14:schemeClr w14:val="tx1"/>
            </w14:solidFill>
          </w14:textFill>
        </w:rPr>
        <w:t>条“禁止投标条款</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”规定的任何一种情形；</w:t>
      </w:r>
    </w:p>
    <w:p w14:paraId="03414978">
      <w:pPr>
        <w:spacing w:before="154" w:line="220" w:lineRule="auto"/>
        <w:ind w:left="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（2）投标人资质不符合规定的；</w:t>
      </w:r>
    </w:p>
    <w:p w14:paraId="32EED32B">
      <w:pPr>
        <w:spacing w:before="153" w:line="315" w:lineRule="auto"/>
        <w:ind w:right="57" w:firstLine="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（3）投标人名称与营业执照、资质证书、安全生产许可证上的企业名称相互不一</w:t>
      </w:r>
      <w:r>
        <w:rPr>
          <w:rFonts w:hint="eastAsia" w:ascii="宋体" w:hAnsi="宋体" w:eastAsia="宋体" w:cs="宋体"/>
          <w:color w:val="000000" w:themeColor="text1"/>
          <w:spacing w:val="-1"/>
          <w:sz w:val="24"/>
          <w:szCs w:val="24"/>
          <w:highlight w:val="none"/>
          <w14:textFill>
            <w14:solidFill>
              <w14:schemeClr w14:val="tx1"/>
            </w14:solidFill>
          </w14:textFill>
        </w:rPr>
        <w:t>致的；其资质证书、安全生产许可证不是由住房城乡建设主管部门颁发的；营业执照、资质证书、安全生产许可证（含实时网页查询页，可参考网址https://zlaq.mohurd.gov.cnfwmh/bjxcjgl/fwmh/pages/construction_safety/qyaqscxkz/qyaqscxk）被吊销、暂扣或不在 有效期内的；</w:t>
      </w:r>
    </w:p>
    <w:p w14:paraId="0F2A74BC">
      <w:pPr>
        <w:spacing w:before="153" w:line="330" w:lineRule="auto"/>
        <w:ind w:left="9" w:right="66"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14:textFill>
            <w14:solidFill>
              <w14:schemeClr w14:val="tx1"/>
            </w14:solidFill>
          </w14:textFill>
        </w:rPr>
        <w:t>注：投标人已经工商变更，但其企业资质证书、安全生产许可证</w:t>
      </w:r>
      <w:r>
        <w:rPr>
          <w:rFonts w:hint="eastAsia" w:ascii="宋体" w:hAnsi="宋体" w:eastAsia="宋体" w:cs="宋体"/>
          <w:b/>
          <w:bCs/>
          <w:color w:val="000000" w:themeColor="text1"/>
          <w:spacing w:val="-5"/>
          <w:sz w:val="24"/>
          <w:szCs w:val="24"/>
          <w:highlight w:val="none"/>
          <w14:textFill>
            <w14:solidFill>
              <w14:schemeClr w14:val="tx1"/>
            </w14:solidFill>
          </w14:textFill>
        </w:rPr>
        <w:t>的企业名称未完成</w:t>
      </w:r>
      <w:r>
        <w:rPr>
          <w:rFonts w:hint="eastAsia" w:ascii="宋体" w:hAnsi="宋体" w:eastAsia="宋体" w:cs="宋体"/>
          <w:b/>
          <w:bCs/>
          <w:color w:val="000000" w:themeColor="text1"/>
          <w:spacing w:val="-4"/>
          <w:sz w:val="24"/>
          <w:szCs w:val="24"/>
          <w:highlight w:val="none"/>
          <w14:textFill>
            <w14:solidFill>
              <w14:schemeClr w14:val="tx1"/>
            </w14:solidFill>
          </w14:textFill>
        </w:rPr>
        <w:t>变更的，不得否决其投标；投标人营业执照、资质证书、安全生产许可证之间登</w:t>
      </w:r>
      <w:r>
        <w:rPr>
          <w:rFonts w:hint="eastAsia" w:ascii="宋体" w:hAnsi="宋体" w:eastAsia="宋体" w:cs="宋体"/>
          <w:b/>
          <w:bCs/>
          <w:color w:val="000000" w:themeColor="text1"/>
          <w:spacing w:val="-5"/>
          <w:sz w:val="24"/>
          <w:szCs w:val="24"/>
          <w:highlight w:val="none"/>
          <w14:textFill>
            <w14:solidFill>
              <w14:schemeClr w14:val="tx1"/>
            </w14:solidFill>
          </w14:textFill>
        </w:rPr>
        <w:t>记的信</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14:textFill>
            <w14:solidFill>
              <w14:schemeClr w14:val="tx1"/>
            </w14:solidFill>
          </w14:textFill>
        </w:rPr>
        <w:t>息不一致，应当允许投标人澄清，不得直接否决其投</w:t>
      </w:r>
      <w:r>
        <w:rPr>
          <w:rFonts w:hint="eastAsia" w:ascii="宋体" w:hAnsi="宋体" w:eastAsia="宋体" w:cs="宋体"/>
          <w:b/>
          <w:bCs/>
          <w:color w:val="000000" w:themeColor="text1"/>
          <w:spacing w:val="-3"/>
          <w:sz w:val="24"/>
          <w:szCs w:val="24"/>
          <w:highlight w:val="none"/>
          <w14:textFill>
            <w14:solidFill>
              <w14:schemeClr w14:val="tx1"/>
            </w14:solidFill>
          </w14:textFill>
        </w:rPr>
        <w:t>标。</w:t>
      </w:r>
    </w:p>
    <w:p w14:paraId="43462506">
      <w:pPr>
        <w:spacing w:before="32" w:line="325" w:lineRule="auto"/>
        <w:ind w:left="10" w:right="65" w:firstLine="490"/>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（4）拟派项目经理、项目技术负责人、专职安全员的条件不符合规定的；拟派专</w:t>
      </w:r>
      <w:r>
        <w:rPr>
          <w:rFonts w:hint="eastAsia" w:ascii="宋体" w:hAnsi="宋体" w:eastAsia="宋体" w:cs="宋体"/>
          <w:color w:val="000000" w:themeColor="text1"/>
          <w:spacing w:val="-2"/>
          <w:sz w:val="24"/>
          <w:szCs w:val="24"/>
          <w:highlight w:val="none"/>
          <w14:textFill>
            <w14:solidFill>
              <w14:schemeClr w14:val="tx1"/>
            </w14:solidFill>
          </w14:textFill>
        </w:rPr>
        <w:t>职安全员数量不符合规</w:t>
      </w:r>
      <w:r>
        <w:rPr>
          <w:rFonts w:hint="eastAsia" w:ascii="宋体" w:hAnsi="宋体" w:eastAsia="宋体" w:cs="宋体"/>
          <w:color w:val="000000" w:themeColor="text1"/>
          <w:spacing w:val="1"/>
          <w:sz w:val="24"/>
          <w:szCs w:val="24"/>
          <w:highlight w:val="none"/>
          <w14:textFill>
            <w14:solidFill>
              <w14:schemeClr w14:val="tx1"/>
            </w14:solidFill>
          </w14:textFill>
        </w:rPr>
        <w:t>定的；项目技术负责人未在投标文件《项目技术负责人简历表》中签</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字确认。</w:t>
      </w:r>
    </w:p>
    <w:p w14:paraId="1444556B">
      <w:pPr>
        <w:spacing w:before="34" w:line="334" w:lineRule="auto"/>
        <w:ind w:left="8" w:right="65" w:firstLine="492"/>
        <w:jc w:val="both"/>
        <w:rPr>
          <w:rFonts w:hint="eastAsia" w:ascii="宋体" w:hAnsi="宋体" w:eastAsia="宋体" w:cs="宋体"/>
          <w:b/>
          <w:bCs/>
          <w:color w:val="000000" w:themeColor="text1"/>
          <w:spacing w:val="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温馨提示：建造师打印电子证书后，应在个人签名处手写本人签名，未手写签名或与签名图像笔迹不一致的，该电子证书无效。</w:t>
      </w:r>
    </w:p>
    <w:p w14:paraId="4C6FF416">
      <w:pPr>
        <w:spacing w:before="34" w:line="334" w:lineRule="auto"/>
        <w:ind w:left="8" w:right="65" w:firstLine="492"/>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（5）《项目经理简历表》中拟派项目经理与</w:t>
      </w:r>
      <w:r>
        <w:rPr>
          <w:rFonts w:hint="eastAsia" w:ascii="宋体" w:hAnsi="宋体" w:eastAsia="宋体" w:cs="宋体"/>
          <w:color w:val="000000" w:themeColor="text1"/>
          <w:spacing w:val="-2"/>
          <w:sz w:val="24"/>
          <w:szCs w:val="24"/>
          <w:highlight w:val="none"/>
          <w14:textFill>
            <w14:solidFill>
              <w14:schemeClr w14:val="tx1"/>
            </w14:solidFill>
          </w14:textFill>
        </w:rPr>
        <w:t>《开标一览表》不一致的；拟派的项目经理未在投标文件《项目经理简历表》中签字确认；一级建造师的注册证书不是国家 住建部颁发的；二级建造师的电子注册证书不是省级住建厅颁发的；建造师的注册单位</w:t>
      </w:r>
      <w:r>
        <w:rPr>
          <w:rFonts w:hint="eastAsia" w:ascii="宋体" w:hAnsi="宋体" w:eastAsia="宋体" w:cs="宋体"/>
          <w:color w:val="000000" w:themeColor="text1"/>
          <w:spacing w:val="1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与投标人不一致的；项目管理班子组成人员的各类证书、证件、证明不在有效期内的（</w:t>
      </w:r>
      <w:r>
        <w:rPr>
          <w:rFonts w:hint="eastAsia" w:ascii="宋体" w:hAnsi="宋体" w:eastAsia="宋体" w:cs="宋体"/>
          <w:b/>
          <w:bCs/>
          <w:color w:val="000000" w:themeColor="text1"/>
          <w:spacing w:val="-8"/>
          <w:sz w:val="24"/>
          <w:szCs w:val="24"/>
          <w:highlight w:val="none"/>
          <w14:textFill>
            <w14:solidFill>
              <w14:schemeClr w14:val="tx1"/>
            </w14:solidFill>
          </w14:textFill>
        </w:rPr>
        <w:t>建造师注册证书不在使用有效期内的</w:t>
      </w:r>
      <w:r>
        <w:rPr>
          <w:rFonts w:hint="eastAsia" w:ascii="宋体" w:hAnsi="宋体" w:eastAsia="宋体" w:cs="宋体"/>
          <w:color w:val="000000" w:themeColor="text1"/>
          <w:spacing w:val="-8"/>
          <w:sz w:val="24"/>
          <w:szCs w:val="24"/>
          <w:highlight w:val="none"/>
          <w14:textFill>
            <w14:solidFill>
              <w14:schemeClr w14:val="tx1"/>
            </w14:solidFill>
          </w14:textFill>
        </w:rPr>
        <w:t>）；擅</w:t>
      </w:r>
      <w:r>
        <w:rPr>
          <w:rFonts w:hint="eastAsia" w:ascii="宋体" w:hAnsi="宋体" w:eastAsia="宋体" w:cs="宋体"/>
          <w:color w:val="000000" w:themeColor="text1"/>
          <w:spacing w:val="-2"/>
          <w:sz w:val="24"/>
          <w:szCs w:val="24"/>
          <w:highlight w:val="none"/>
          <w14:textFill>
            <w14:solidFill>
              <w14:schemeClr w14:val="tx1"/>
            </w14:solidFill>
          </w14:textFill>
        </w:rPr>
        <w:t>自修改、遗漏《项</w:t>
      </w:r>
      <w:r>
        <w:rPr>
          <w:rFonts w:hint="eastAsia" w:ascii="宋体" w:hAnsi="宋体" w:eastAsia="宋体" w:cs="宋体"/>
          <w:color w:val="000000" w:themeColor="text1"/>
          <w:spacing w:val="-3"/>
          <w:sz w:val="24"/>
          <w:szCs w:val="24"/>
          <w:highlight w:val="none"/>
          <w14:textFill>
            <w14:solidFill>
              <w14:schemeClr w14:val="tx1"/>
            </w14:solidFill>
          </w14:textFill>
        </w:rPr>
        <w:t>目经理任职声明》实质性内容的；</w:t>
      </w:r>
    </w:p>
    <w:p w14:paraId="798C8207">
      <w:pPr>
        <w:spacing w:before="1" w:line="293" w:lineRule="auto"/>
        <w:ind w:left="28" w:right="66" w:firstLine="46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14:textFill>
            <w14:solidFill>
              <w14:schemeClr w14:val="tx1"/>
            </w14:solidFill>
          </w14:textFill>
        </w:rPr>
        <w:t>注：投标人已经工商变更，但其员工执业资格注册证书的注册单</w:t>
      </w:r>
      <w:r>
        <w:rPr>
          <w:rFonts w:hint="eastAsia" w:ascii="宋体" w:hAnsi="宋体" w:eastAsia="宋体" w:cs="宋体"/>
          <w:b/>
          <w:bCs/>
          <w:color w:val="000000" w:themeColor="text1"/>
          <w:spacing w:val="-5"/>
          <w:sz w:val="24"/>
          <w:szCs w:val="24"/>
          <w:highlight w:val="none"/>
          <w14:textFill>
            <w14:solidFill>
              <w14:schemeClr w14:val="tx1"/>
            </w14:solidFill>
          </w14:textFill>
        </w:rPr>
        <w:t>位名称未完成变更的，不得否决其投标。</w:t>
      </w:r>
    </w:p>
    <w:p w14:paraId="0F18A91D">
      <w:pPr>
        <w:spacing w:before="38" w:line="220" w:lineRule="auto"/>
        <w:ind w:left="494"/>
        <w:rPr>
          <w:rFonts w:hint="eastAsia" w:ascii="宋体" w:hAnsi="宋体" w:eastAsia="宋体" w:cs="宋体"/>
          <w:color w:val="000000" w:themeColor="text1"/>
          <w:highlight w:val="none"/>
          <w14:textFill>
            <w14:solidFill>
              <w14:schemeClr w14:val="tx1"/>
            </w14:solidFill>
          </w14:textFill>
        </w:rPr>
      </w:pPr>
      <w:bookmarkStart w:id="149" w:name="OLE_LINK27"/>
      <w:r>
        <w:rPr>
          <w:rFonts w:hint="eastAsia" w:ascii="宋体" w:hAnsi="宋体" w:eastAsia="宋体" w:cs="宋体"/>
          <w:b/>
          <w:bCs/>
          <w:color w:val="000000" w:themeColor="text1"/>
          <w:spacing w:val="-4"/>
          <w:sz w:val="24"/>
          <w:szCs w:val="24"/>
          <w:highlight w:val="none"/>
          <w14:textFill>
            <w14:solidFill>
              <w14:schemeClr w14:val="tx1"/>
            </w14:solidFill>
          </w14:textFill>
        </w:rPr>
        <w:t>鉴于目前继续教育开展的实际情况，建筑和市政工程施工现场专</w:t>
      </w:r>
      <w:r>
        <w:rPr>
          <w:rFonts w:hint="eastAsia" w:ascii="宋体" w:hAnsi="宋体" w:eastAsia="宋体" w:cs="宋体"/>
          <w:b/>
          <w:bCs/>
          <w:color w:val="000000" w:themeColor="text1"/>
          <w:spacing w:val="-5"/>
          <w:sz w:val="24"/>
          <w:szCs w:val="24"/>
          <w:highlight w:val="none"/>
          <w14:textFill>
            <w14:solidFill>
              <w14:schemeClr w14:val="tx1"/>
            </w14:solidFill>
          </w14:textFill>
        </w:rPr>
        <w:t>业人员（例如：施</w:t>
      </w:r>
    </w:p>
    <w:p w14:paraId="4F7B3592">
      <w:pPr>
        <w:spacing w:before="78" w:line="219" w:lineRule="auto"/>
        <w:rPr>
          <w:rFonts w:hint="eastAsia" w:ascii="宋体" w:hAnsi="宋体" w:eastAsia="宋体" w:cs="宋体"/>
          <w:color w:val="000000" w:themeColor="text1"/>
          <w:sz w:val="24"/>
          <w:szCs w:val="24"/>
          <w:highlight w:val="none"/>
          <w14:textFill>
            <w14:solidFill>
              <w14:schemeClr w14:val="tx1"/>
            </w14:solidFill>
          </w14:textFill>
        </w:rPr>
      </w:pPr>
      <w:bookmarkStart w:id="150" w:name="bookmark139"/>
      <w:bookmarkEnd w:id="150"/>
      <w:r>
        <w:rPr>
          <w:rFonts w:hint="eastAsia" w:ascii="宋体" w:hAnsi="宋体" w:eastAsia="宋体" w:cs="宋体"/>
          <w:b/>
          <w:bCs/>
          <w:color w:val="000000" w:themeColor="text1"/>
          <w:spacing w:val="-2"/>
          <w:sz w:val="24"/>
          <w:szCs w:val="24"/>
          <w:highlight w:val="none"/>
          <w14:textFill>
            <w14:solidFill>
              <w14:schemeClr w14:val="tx1"/>
            </w14:solidFill>
          </w14:textFill>
        </w:rPr>
        <w:t>工员、质量员、材料员、资料员）的岗位证书或培训证书不审查其证书的有效期。</w:t>
      </w:r>
      <w:bookmarkEnd w:id="149"/>
    </w:p>
    <w:p w14:paraId="0F791476">
      <w:pPr>
        <w:spacing w:before="146" w:line="220" w:lineRule="auto"/>
        <w:ind w:left="4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（6）招标文件规定不接受联合体投标，但以联合体投标的；</w:t>
      </w:r>
    </w:p>
    <w:p w14:paraId="2C69257C">
      <w:pPr>
        <w:keepNext w:val="0"/>
        <w:keepLines w:val="0"/>
        <w:pageBreakBefore w:val="0"/>
        <w:widowControl/>
        <w:kinsoku w:val="0"/>
        <w:wordWrap/>
        <w:overflowPunct/>
        <w:topLinePunct w:val="0"/>
        <w:autoSpaceDE w:val="0"/>
        <w:autoSpaceDN w:val="0"/>
        <w:bidi w:val="0"/>
        <w:adjustRightInd w:val="0"/>
        <w:snapToGrid w:val="0"/>
        <w:spacing w:before="150" w:line="288" w:lineRule="auto"/>
        <w:ind w:right="198" w:firstLine="493"/>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联合体投标，未提交《联合体协议书》的；擅自修改、遗漏《联合体协议书》实质性内容的；联合体成员的数量、资质不符合规定的；联合体成员同时以自己名义单独投标或者参加其他联合体投标的；</w:t>
      </w:r>
    </w:p>
    <w:p w14:paraId="50011199">
      <w:pPr>
        <w:spacing w:before="150" w:line="280" w:lineRule="auto"/>
        <w:ind w:right="200" w:firstLine="4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投标人为外省建筑企业，但未提供“进粤企业和人员诚信信息登记平台</w:t>
      </w:r>
      <w:r>
        <w:rPr>
          <w:rFonts w:hint="eastAsia" w:ascii="宋体" w:hAnsi="宋体" w:eastAsia="宋体" w:cs="宋体"/>
          <w:color w:val="000000" w:themeColor="text1"/>
          <w:spacing w:val="-7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”企</w:t>
      </w:r>
      <w:r>
        <w:rPr>
          <w:rFonts w:hint="eastAsia" w:ascii="宋体" w:hAnsi="宋体" w:eastAsia="宋体" w:cs="宋体"/>
          <w:color w:val="000000" w:themeColor="text1"/>
          <w:spacing w:val="-1"/>
          <w:sz w:val="24"/>
          <w:szCs w:val="24"/>
          <w:highlight w:val="none"/>
          <w14:textFill>
            <w14:solidFill>
              <w14:schemeClr w14:val="tx1"/>
            </w14:solidFill>
          </w14:textFill>
        </w:rPr>
        <w:t>业和拟派人员信息情况打印页或网页截图的。</w:t>
      </w:r>
    </w:p>
    <w:p w14:paraId="4A7BFED6">
      <w:pPr>
        <w:spacing w:before="154" w:line="221" w:lineRule="auto"/>
        <w:ind w:left="477"/>
        <w:outlineLvl w:val="2"/>
        <w:rPr>
          <w:rFonts w:hint="eastAsia" w:ascii="宋体" w:hAnsi="宋体" w:eastAsia="宋体" w:cs="宋体"/>
          <w:color w:val="000000" w:themeColor="text1"/>
          <w:sz w:val="24"/>
          <w:szCs w:val="24"/>
          <w:highlight w:val="none"/>
          <w14:textFill>
            <w14:solidFill>
              <w14:schemeClr w14:val="tx1"/>
            </w14:solidFill>
          </w14:textFill>
        </w:rPr>
      </w:pPr>
      <w:bookmarkStart w:id="151" w:name="_Toc8853"/>
      <w:r>
        <w:rPr>
          <w:rFonts w:hint="eastAsia" w:ascii="宋体" w:hAnsi="宋体" w:eastAsia="宋体" w:cs="宋体"/>
          <w:b/>
          <w:bCs/>
          <w:color w:val="000000" w:themeColor="text1"/>
          <w:spacing w:val="-7"/>
          <w:sz w:val="24"/>
          <w:szCs w:val="24"/>
          <w:highlight w:val="none"/>
          <w14:textFill>
            <w14:solidFill>
              <w14:schemeClr w14:val="tx1"/>
            </w14:solidFill>
          </w14:textFill>
        </w:rPr>
        <w:t>2</w:t>
      </w:r>
      <w:r>
        <w:rPr>
          <w:rFonts w:hint="eastAsia" w:ascii="宋体" w:hAnsi="宋体" w:eastAsia="宋体" w:cs="宋体"/>
          <w:b/>
          <w:bCs/>
          <w:color w:val="000000" w:themeColor="text1"/>
          <w:spacing w:val="-24"/>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14:textFill>
            <w14:solidFill>
              <w14:schemeClr w14:val="tx1"/>
            </w14:solidFill>
          </w14:textFill>
        </w:rPr>
        <w:t>．形式评审环节</w:t>
      </w:r>
      <w:bookmarkEnd w:id="151"/>
    </w:p>
    <w:p w14:paraId="33654F10">
      <w:pPr>
        <w:spacing w:before="151" w:line="327" w:lineRule="auto"/>
        <w:ind w:right="200"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投标人有下列情形之一的，评标委员会应否决其投标。被否决的投标人，不进入响应性评审环节。</w:t>
      </w:r>
    </w:p>
    <w:p w14:paraId="4BAC9BEA">
      <w:pPr>
        <w:spacing w:before="32" w:line="219" w:lineRule="auto"/>
        <w:ind w:left="4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（1）各分册没按招标文件规定加盖电子印章；</w:t>
      </w:r>
    </w:p>
    <w:p w14:paraId="6E2B21D1">
      <w:pPr>
        <w:spacing w:before="153" w:line="280" w:lineRule="auto"/>
        <w:ind w:left="1" w:right="200" w:firstLine="49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（2）本章第三节第</w:t>
      </w:r>
      <w:r>
        <w:rPr>
          <w:rFonts w:hint="eastAsia" w:ascii="宋体" w:hAnsi="宋体" w:eastAsia="宋体" w:cs="宋体"/>
          <w:color w:val="000000" w:themeColor="text1"/>
          <w:spacing w:val="-33"/>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14:textFill>
            <w14:solidFill>
              <w14:schemeClr w14:val="tx1"/>
            </w14:solidFill>
          </w14:textFill>
        </w:rPr>
        <w:t>10.2.2</w:t>
      </w:r>
      <w:r>
        <w:rPr>
          <w:rFonts w:hint="eastAsia" w:ascii="宋体" w:hAnsi="宋体" w:eastAsia="宋体" w:cs="宋体"/>
          <w:color w:val="000000" w:themeColor="text1"/>
          <w:spacing w:val="-8"/>
          <w:sz w:val="24"/>
          <w:szCs w:val="24"/>
          <w:highlight w:val="none"/>
          <w14:textFill>
            <w14:solidFill>
              <w14:schemeClr w14:val="tx1"/>
            </w14:solidFill>
          </w14:textFill>
        </w:rPr>
        <w:t xml:space="preserve"> 目、第</w:t>
      </w:r>
      <w:r>
        <w:rPr>
          <w:rFonts w:hint="eastAsia" w:ascii="宋体" w:hAnsi="宋体" w:eastAsia="宋体" w:cs="宋体"/>
          <w:color w:val="000000" w:themeColor="text1"/>
          <w:spacing w:val="-33"/>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14:textFill>
            <w14:solidFill>
              <w14:schemeClr w14:val="tx1"/>
            </w14:solidFill>
          </w14:textFill>
        </w:rPr>
        <w:t>10.3.2</w:t>
      </w:r>
      <w:r>
        <w:rPr>
          <w:rFonts w:hint="eastAsia" w:ascii="宋体" w:hAnsi="宋体" w:eastAsia="宋体" w:cs="宋体"/>
          <w:color w:val="000000" w:themeColor="text1"/>
          <w:spacing w:val="-8"/>
          <w:sz w:val="24"/>
          <w:szCs w:val="24"/>
          <w:highlight w:val="none"/>
          <w14:textFill>
            <w14:solidFill>
              <w14:schemeClr w14:val="tx1"/>
            </w14:solidFill>
          </w14:textFill>
        </w:rPr>
        <w:t xml:space="preserve"> 目、第</w:t>
      </w:r>
      <w:r>
        <w:rPr>
          <w:rFonts w:hint="eastAsia" w:ascii="宋体" w:hAnsi="宋体" w:eastAsia="宋体" w:cs="宋体"/>
          <w:color w:val="000000" w:themeColor="text1"/>
          <w:spacing w:val="-33"/>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14:textFill>
            <w14:solidFill>
              <w14:schemeClr w14:val="tx1"/>
            </w14:solidFill>
          </w14:textFill>
        </w:rPr>
        <w:t>10.4.3</w:t>
      </w:r>
      <w:r>
        <w:rPr>
          <w:rFonts w:hint="eastAsia" w:ascii="宋体" w:hAnsi="宋体" w:eastAsia="宋体" w:cs="宋体"/>
          <w:color w:val="000000" w:themeColor="text1"/>
          <w:spacing w:val="-8"/>
          <w:sz w:val="24"/>
          <w:szCs w:val="24"/>
          <w:highlight w:val="none"/>
          <w14:textFill>
            <w14:solidFill>
              <w14:schemeClr w14:val="tx1"/>
            </w14:solidFill>
          </w14:textFill>
        </w:rPr>
        <w:t xml:space="preserve"> 目中规定的“所有投标人</w:t>
      </w:r>
      <w:r>
        <w:rPr>
          <w:rFonts w:hint="eastAsia" w:ascii="宋体" w:hAnsi="宋体" w:eastAsia="宋体" w:cs="宋体"/>
          <w:color w:val="000000" w:themeColor="text1"/>
          <w:spacing w:val="-1"/>
          <w:sz w:val="24"/>
          <w:szCs w:val="24"/>
          <w:highlight w:val="none"/>
          <w14:textFill>
            <w14:solidFill>
              <w14:schemeClr w14:val="tx1"/>
            </w14:solidFill>
          </w14:textFill>
        </w:rPr>
        <w:t>均应提供</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”的组成内容（包括该组成内容的所附资料）中，</w:t>
      </w:r>
      <w:r>
        <w:rPr>
          <w:rFonts w:hint="eastAsia" w:ascii="宋体" w:hAnsi="宋体" w:eastAsia="宋体" w:cs="宋体"/>
          <w:color w:val="000000" w:themeColor="text1"/>
          <w:spacing w:val="-2"/>
          <w:sz w:val="24"/>
          <w:szCs w:val="24"/>
          <w:highlight w:val="none"/>
          <w14:textFill>
            <w14:solidFill>
              <w14:schemeClr w14:val="tx1"/>
            </w14:solidFill>
          </w14:textFill>
        </w:rPr>
        <w:t>任何一项有缺漏的；</w:t>
      </w:r>
    </w:p>
    <w:p w14:paraId="36D3CEC6">
      <w:pPr>
        <w:spacing w:before="136" w:line="326" w:lineRule="auto"/>
        <w:ind w:left="8" w:right="200" w:firstLine="42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（3）关键字迹模糊、无法辨认，且该种过错将导致评标委员会无法判断投标文件是</w:t>
      </w:r>
      <w:r>
        <w:rPr>
          <w:rFonts w:hint="eastAsia" w:ascii="宋体" w:hAnsi="宋体" w:eastAsia="宋体" w:cs="宋体"/>
          <w:color w:val="000000" w:themeColor="text1"/>
          <w:spacing w:val="-2"/>
          <w:sz w:val="24"/>
          <w:szCs w:val="24"/>
          <w:highlight w:val="none"/>
          <w14:textFill>
            <w14:solidFill>
              <w14:schemeClr w14:val="tx1"/>
            </w14:solidFill>
          </w14:textFill>
        </w:rPr>
        <w:t>否响应招标文件实质性要求的；有涂改、行间插字或删除，但未加盖单位章或由投标人</w:t>
      </w:r>
      <w:r>
        <w:rPr>
          <w:rFonts w:hint="eastAsia" w:ascii="宋体" w:hAnsi="宋体" w:eastAsia="宋体" w:cs="宋体"/>
          <w:color w:val="000000" w:themeColor="text1"/>
          <w:spacing w:val="-1"/>
          <w:sz w:val="24"/>
          <w:szCs w:val="24"/>
          <w:highlight w:val="none"/>
          <w14:textFill>
            <w14:solidFill>
              <w14:schemeClr w14:val="tx1"/>
            </w14:solidFill>
          </w14:textFill>
        </w:rPr>
        <w:t>的法定代表人或其委托代理人签字确认的；</w:t>
      </w:r>
    </w:p>
    <w:p w14:paraId="5FFF89B9">
      <w:pPr>
        <w:spacing w:before="209" w:line="219" w:lineRule="auto"/>
        <w:ind w:left="43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（4）投标文件未按规定签字、盖章的。</w:t>
      </w:r>
    </w:p>
    <w:p w14:paraId="707E04F7">
      <w:pPr>
        <w:spacing w:before="206" w:line="340" w:lineRule="auto"/>
        <w:ind w:left="1" w:firstLine="49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（5）招标文件规定施工组织设计采用“暗标</w:t>
      </w:r>
      <w:r>
        <w:rPr>
          <w:rFonts w:hint="eastAsia" w:ascii="宋体" w:hAnsi="宋体" w:eastAsia="宋体" w:cs="宋体"/>
          <w:color w:val="000000" w:themeColor="text1"/>
          <w:spacing w:val="-7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”方式进行评审，但施工组织设计的</w:t>
      </w:r>
      <w:r>
        <w:rPr>
          <w:rFonts w:hint="eastAsia" w:ascii="宋体" w:hAnsi="宋体" w:eastAsia="宋体" w:cs="宋体"/>
          <w:color w:val="000000" w:themeColor="text1"/>
          <w:spacing w:val="-4"/>
          <w:sz w:val="24"/>
          <w:szCs w:val="24"/>
          <w:highlight w:val="none"/>
          <w14:textFill>
            <w14:solidFill>
              <w14:schemeClr w14:val="tx1"/>
            </w14:solidFill>
          </w14:textFill>
        </w:rPr>
        <w:t>规格颜色、文字排版、正文篇幅（若有）不符合规定的；其任何部位出现手写以及涂改、</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行间插字或删除痕迹的；其任何部位出现投标人的名称和其它可识别投标人身份的字符、</w:t>
      </w:r>
      <w:r>
        <w:rPr>
          <w:rFonts w:hint="eastAsia" w:ascii="宋体" w:hAnsi="宋体" w:eastAsia="宋体" w:cs="宋体"/>
          <w:color w:val="000000" w:themeColor="text1"/>
          <w:spacing w:val="1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徽标、人员名称以及其他特殊标记的。</w:t>
      </w:r>
    </w:p>
    <w:p w14:paraId="1C64F3A3">
      <w:pPr>
        <w:spacing w:before="227" w:line="221" w:lineRule="auto"/>
        <w:ind w:left="475"/>
        <w:outlineLvl w:val="2"/>
        <w:rPr>
          <w:rFonts w:hint="eastAsia" w:ascii="宋体" w:hAnsi="宋体" w:eastAsia="宋体" w:cs="宋体"/>
          <w:color w:val="000000" w:themeColor="text1"/>
          <w:sz w:val="24"/>
          <w:szCs w:val="24"/>
          <w:highlight w:val="none"/>
          <w14:textFill>
            <w14:solidFill>
              <w14:schemeClr w14:val="tx1"/>
            </w14:solidFill>
          </w14:textFill>
        </w:rPr>
      </w:pPr>
      <w:bookmarkStart w:id="152" w:name="_Toc121"/>
      <w:r>
        <w:rPr>
          <w:rFonts w:hint="eastAsia" w:ascii="宋体" w:hAnsi="宋体" w:eastAsia="宋体" w:cs="宋体"/>
          <w:b/>
          <w:bCs/>
          <w:color w:val="000000" w:themeColor="text1"/>
          <w:spacing w:val="-6"/>
          <w:sz w:val="24"/>
          <w:szCs w:val="24"/>
          <w:highlight w:val="none"/>
          <w14:textFill>
            <w14:solidFill>
              <w14:schemeClr w14:val="tx1"/>
            </w14:solidFill>
          </w14:textFill>
        </w:rPr>
        <w:t>3</w:t>
      </w:r>
      <w:r>
        <w:rPr>
          <w:rFonts w:hint="eastAsia" w:ascii="宋体" w:hAnsi="宋体" w:eastAsia="宋体" w:cs="宋体"/>
          <w:b/>
          <w:bCs/>
          <w:color w:val="000000" w:themeColor="text1"/>
          <w:spacing w:val="-24"/>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14:textFill>
            <w14:solidFill>
              <w14:schemeClr w14:val="tx1"/>
            </w14:solidFill>
          </w14:textFill>
        </w:rPr>
        <w:t>．响应性评审环节</w:t>
      </w:r>
      <w:bookmarkEnd w:id="152"/>
    </w:p>
    <w:p w14:paraId="023371C4">
      <w:pPr>
        <w:spacing w:before="151" w:line="327" w:lineRule="auto"/>
        <w:ind w:left="1" w:right="200" w:firstLine="48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投标人有下列情形之一的，评标委员会应否决其投标。被否决的投标人，不进入详细评审阶段。</w:t>
      </w:r>
    </w:p>
    <w:p w14:paraId="039432FC">
      <w:pPr>
        <w:spacing w:before="31" w:line="279" w:lineRule="auto"/>
        <w:ind w:left="40" w:right="200" w:firstLine="45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（1）承诺的投标有效期短于规定的；质量标准低于规定的；工期超出规定的；擅</w:t>
      </w:r>
      <w:r>
        <w:rPr>
          <w:rFonts w:hint="eastAsia" w:ascii="宋体" w:hAnsi="宋体" w:eastAsia="宋体" w:cs="宋体"/>
          <w:color w:val="000000" w:themeColor="text1"/>
          <w:spacing w:val="-2"/>
          <w:sz w:val="24"/>
          <w:szCs w:val="24"/>
          <w:highlight w:val="none"/>
          <w14:textFill>
            <w14:solidFill>
              <w14:schemeClr w14:val="tx1"/>
            </w14:solidFill>
          </w14:textFill>
        </w:rPr>
        <w:t>自修改、遗漏《投标函》《各项承诺一览表》实质性内容的；</w:t>
      </w:r>
    </w:p>
    <w:p w14:paraId="3A9ED79E">
      <w:pPr>
        <w:spacing w:before="157" w:line="278" w:lineRule="auto"/>
        <w:ind w:left="2" w:right="200" w:firstLine="4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（2）编制《投标总价》的造价工程师，其注册证书不是</w:t>
      </w:r>
      <w:r>
        <w:rPr>
          <w:rFonts w:hint="eastAsia" w:ascii="宋体" w:hAnsi="宋体" w:eastAsia="宋体" w:cs="宋体"/>
          <w:b/>
          <w:bCs/>
          <w:color w:val="000000" w:themeColor="text1"/>
          <w:spacing w:val="1"/>
          <w:sz w:val="24"/>
          <w:szCs w:val="24"/>
          <w:highlight w:val="none"/>
          <w14:textFill>
            <w14:solidFill>
              <w14:schemeClr w14:val="tx1"/>
            </w14:solidFill>
          </w14:textFill>
        </w:rPr>
        <w:t>住建部门</w:t>
      </w:r>
      <w:r>
        <w:rPr>
          <w:rFonts w:hint="eastAsia" w:ascii="宋体" w:hAnsi="宋体" w:eastAsia="宋体" w:cs="宋体"/>
          <w:color w:val="000000" w:themeColor="text1"/>
          <w:spacing w:val="1"/>
          <w:sz w:val="24"/>
          <w:szCs w:val="24"/>
          <w:highlight w:val="none"/>
          <w14:textFill>
            <w14:solidFill>
              <w14:schemeClr w14:val="tx1"/>
            </w14:solidFill>
          </w14:textFill>
        </w:rPr>
        <w:t>颁发的；其注册</w:t>
      </w:r>
      <w:r>
        <w:rPr>
          <w:rFonts w:hint="eastAsia" w:ascii="宋体" w:hAnsi="宋体" w:eastAsia="宋体" w:cs="宋体"/>
          <w:color w:val="000000" w:themeColor="text1"/>
          <w:sz w:val="24"/>
          <w:szCs w:val="24"/>
          <w:highlight w:val="none"/>
          <w14:textFill>
            <w14:solidFill>
              <w14:schemeClr w14:val="tx1"/>
            </w14:solidFill>
          </w14:textFill>
        </w:rPr>
        <w:t>单位与投标人（或造价咨询人）不一致的；</w:t>
      </w:r>
      <w:r>
        <w:rPr>
          <w:rFonts w:hint="eastAsia" w:ascii="宋体" w:hAnsi="宋体" w:eastAsia="宋体" w:cs="宋体"/>
          <w:color w:val="000000" w:themeColor="text1"/>
          <w:spacing w:val="-1"/>
          <w:sz w:val="24"/>
          <w:szCs w:val="24"/>
          <w:highlight w:val="none"/>
          <w14:textFill>
            <w14:solidFill>
              <w14:schemeClr w14:val="tx1"/>
            </w14:solidFill>
          </w14:textFill>
        </w:rPr>
        <w:t>其注册证书不在有效期内的。</w:t>
      </w:r>
    </w:p>
    <w:p w14:paraId="7EBE7469">
      <w:pPr>
        <w:spacing w:before="156" w:line="329" w:lineRule="auto"/>
        <w:ind w:right="200" w:firstLine="48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14:textFill>
            <w14:solidFill>
              <w14:schemeClr w14:val="tx1"/>
            </w14:solidFill>
          </w14:textFill>
        </w:rPr>
        <w:t>注：投标人（或造价咨询人）已经工商变更，但其员工的执业资格注</w:t>
      </w:r>
      <w:r>
        <w:rPr>
          <w:rFonts w:hint="eastAsia" w:ascii="宋体" w:hAnsi="宋体" w:eastAsia="宋体" w:cs="宋体"/>
          <w:b/>
          <w:bCs/>
          <w:color w:val="000000" w:themeColor="text1"/>
          <w:spacing w:val="-5"/>
          <w:sz w:val="24"/>
          <w:szCs w:val="24"/>
          <w:highlight w:val="none"/>
          <w14:textFill>
            <w14:solidFill>
              <w14:schemeClr w14:val="tx1"/>
            </w14:solidFill>
          </w14:textFill>
        </w:rPr>
        <w:t>册证书的注册单位名称未完成变更的，不得否决其投标。此条与 10.3.1 中的造价工程师执业（含二级 造价工程师）指引相一致。</w:t>
      </w:r>
    </w:p>
    <w:p w14:paraId="70E2ADFC">
      <w:pPr>
        <w:spacing w:before="78" w:line="299" w:lineRule="auto"/>
        <w:ind w:left="2" w:right="81" w:firstLine="48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（3）投标人委托造价咨询单位编制《投标总价》，但未在《投标总价扉页》（即扉—3）“投标人</w:t>
      </w:r>
      <w:r>
        <w:rPr>
          <w:rFonts w:hint="eastAsia" w:ascii="宋体" w:hAnsi="宋体" w:eastAsia="宋体" w:cs="宋体"/>
          <w:color w:val="000000" w:themeColor="text1"/>
          <w:spacing w:val="-8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”栏目加盖造价咨询人公章的；未提</w:t>
      </w:r>
      <w:r>
        <w:rPr>
          <w:rFonts w:hint="eastAsia" w:ascii="宋体" w:hAnsi="宋体" w:eastAsia="宋体" w:cs="宋体"/>
          <w:color w:val="000000" w:themeColor="text1"/>
          <w:sz w:val="24"/>
          <w:szCs w:val="24"/>
          <w:highlight w:val="none"/>
          <w14:textFill>
            <w14:solidFill>
              <w14:schemeClr w14:val="tx1"/>
            </w14:solidFill>
          </w14:textFill>
        </w:rPr>
        <w:t xml:space="preserve">供造价咨询人的营业执照副本彩 </w:t>
      </w:r>
      <w:r>
        <w:rPr>
          <w:rFonts w:hint="eastAsia" w:ascii="宋体" w:hAnsi="宋体" w:eastAsia="宋体" w:cs="宋体"/>
          <w:color w:val="000000" w:themeColor="text1"/>
          <w:spacing w:val="-3"/>
          <w:sz w:val="24"/>
          <w:szCs w:val="24"/>
          <w:highlight w:val="none"/>
          <w14:textFill>
            <w14:solidFill>
              <w14:schemeClr w14:val="tx1"/>
            </w14:solidFill>
          </w14:textFill>
        </w:rPr>
        <w:t>色扫描件；</w:t>
      </w:r>
    </w:p>
    <w:p w14:paraId="05BC2C53">
      <w:pPr>
        <w:spacing w:before="151" w:line="360" w:lineRule="auto"/>
        <w:ind w:right="21" w:firstLine="49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（4）出现两个或两个以上投标总价的（同一个投标总价大、小写不一致的除外</w:t>
      </w:r>
      <w:r>
        <w:rPr>
          <w:rFonts w:hint="eastAsia" w:ascii="宋体" w:hAnsi="宋体" w:eastAsia="宋体" w:cs="宋体"/>
          <w:color w:val="000000" w:themeColor="text1"/>
          <w:spacing w:val="-31"/>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投标总价超出</w:t>
      </w:r>
      <w:r>
        <w:rPr>
          <w:rFonts w:hint="eastAsia" w:ascii="宋体" w:hAnsi="宋体" w:eastAsia="宋体" w:cs="宋体"/>
          <w:b/>
          <w:bCs/>
          <w:color w:val="000000" w:themeColor="text1"/>
          <w:spacing w:val="-2"/>
          <w:sz w:val="24"/>
          <w:szCs w:val="24"/>
          <w:highlight w:val="none"/>
          <w14:textFill>
            <w14:solidFill>
              <w14:schemeClr w14:val="tx1"/>
            </w14:solidFill>
          </w14:textFill>
        </w:rPr>
        <w:t>最高投标限价</w:t>
      </w:r>
      <w:r>
        <w:rPr>
          <w:rFonts w:hint="eastAsia" w:ascii="宋体" w:hAnsi="宋体" w:eastAsia="宋体" w:cs="宋体"/>
          <w:color w:val="000000" w:themeColor="text1"/>
          <w:spacing w:val="-2"/>
          <w:sz w:val="24"/>
          <w:szCs w:val="24"/>
          <w:highlight w:val="none"/>
          <w14:textFill>
            <w14:solidFill>
              <w14:schemeClr w14:val="tx1"/>
            </w14:solidFill>
          </w14:textFill>
        </w:rPr>
        <w:t>的；绿色施工安全防护措施费少于规定的；暂列金额、暂估</w:t>
      </w:r>
      <w:r>
        <w:rPr>
          <w:rFonts w:hint="eastAsia" w:ascii="宋体" w:hAnsi="宋体" w:eastAsia="宋体" w:cs="宋体"/>
          <w:color w:val="000000" w:themeColor="text1"/>
          <w:spacing w:val="-3"/>
          <w:sz w:val="24"/>
          <w:szCs w:val="24"/>
          <w:highlight w:val="none"/>
          <w14:textFill>
            <w14:solidFill>
              <w14:schemeClr w14:val="tx1"/>
            </w14:solidFill>
          </w14:textFill>
        </w:rPr>
        <w:t>价未按照招标工程量清单统一报价的；投标总价下浮率超过</w:t>
      </w:r>
      <w:r>
        <w:rPr>
          <w:rFonts w:hint="eastAsia" w:ascii="宋体" w:hAnsi="宋体" w:eastAsia="宋体" w:cs="宋体"/>
          <w:color w:val="000000" w:themeColor="text1"/>
          <w:spacing w:val="-2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15%，又未提供相应书面说</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明和佐证材料或提供的书面说明和佐证材料不能令人信服，被评标委员会认定以低于成</w:t>
      </w:r>
      <w:r>
        <w:rPr>
          <w:rFonts w:hint="eastAsia" w:ascii="宋体" w:hAnsi="宋体" w:eastAsia="宋体" w:cs="宋体"/>
          <w:color w:val="000000" w:themeColor="text1"/>
          <w:sz w:val="24"/>
          <w:szCs w:val="24"/>
          <w:highlight w:val="none"/>
          <w14:textFill>
            <w14:solidFill>
              <w14:schemeClr w14:val="tx1"/>
            </w14:solidFill>
          </w14:textFill>
        </w:rPr>
        <w:t>本报价竞标的；擅自修改、增减招标工程量清单</w:t>
      </w:r>
      <w:r>
        <w:rPr>
          <w:rFonts w:hint="eastAsia" w:ascii="宋体" w:hAnsi="宋体" w:eastAsia="宋体" w:cs="宋体"/>
          <w:color w:val="000000" w:themeColor="text1"/>
          <w:spacing w:val="-1"/>
          <w:sz w:val="24"/>
          <w:szCs w:val="24"/>
          <w:highlight w:val="none"/>
          <w14:textFill>
            <w14:solidFill>
              <w14:schemeClr w14:val="tx1"/>
            </w14:solidFill>
          </w14:textFill>
        </w:rPr>
        <w:t>项目（包括措施项目）的；</w:t>
      </w:r>
    </w:p>
    <w:p w14:paraId="62906720">
      <w:pPr>
        <w:spacing w:before="156" w:line="299" w:lineRule="auto"/>
        <w:ind w:right="81" w:firstLine="49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（5）在施工组织设计评审中，评标委员会认定质量、进度保障措施与国家和省市</w:t>
      </w:r>
      <w:r>
        <w:rPr>
          <w:rFonts w:hint="eastAsia" w:ascii="宋体" w:hAnsi="宋体" w:eastAsia="宋体" w:cs="宋体"/>
          <w:color w:val="000000" w:themeColor="text1"/>
          <w:spacing w:val="-3"/>
          <w:sz w:val="24"/>
          <w:szCs w:val="24"/>
          <w:highlight w:val="none"/>
          <w14:textFill>
            <w14:solidFill>
              <w14:schemeClr w14:val="tx1"/>
            </w14:solidFill>
          </w14:textFill>
        </w:rPr>
        <w:t>现行有关规范、规定、标准有重大偏差，</w:t>
      </w:r>
      <w:r>
        <w:rPr>
          <w:rFonts w:hint="eastAsia" w:ascii="宋体" w:hAnsi="宋体" w:eastAsia="宋体" w:cs="宋体"/>
          <w:b/>
          <w:bCs/>
          <w:color w:val="000000" w:themeColor="text1"/>
          <w:spacing w:val="-3"/>
          <w:sz w:val="24"/>
          <w:szCs w:val="24"/>
          <w:highlight w:val="none"/>
          <w14:textFill>
            <w14:solidFill>
              <w14:schemeClr w14:val="tx1"/>
            </w14:solidFill>
          </w14:textFill>
        </w:rPr>
        <w:t>且该种过错将导致工程质量、进度管理目标无</w:t>
      </w:r>
      <w:r>
        <w:rPr>
          <w:rFonts w:hint="eastAsia" w:ascii="宋体" w:hAnsi="宋体" w:eastAsia="宋体" w:cs="宋体"/>
          <w:b/>
          <w:bCs/>
          <w:color w:val="000000" w:themeColor="text1"/>
          <w:spacing w:val="-4"/>
          <w:sz w:val="24"/>
          <w:szCs w:val="24"/>
          <w:highlight w:val="none"/>
          <w14:textFill>
            <w14:solidFill>
              <w14:schemeClr w14:val="tx1"/>
            </w14:solidFill>
          </w14:textFill>
        </w:rPr>
        <w:t>法实现的</w:t>
      </w:r>
      <w:r>
        <w:rPr>
          <w:rFonts w:hint="eastAsia" w:ascii="宋体" w:hAnsi="宋体" w:eastAsia="宋体" w:cs="宋体"/>
          <w:color w:val="000000" w:themeColor="text1"/>
          <w:spacing w:val="-4"/>
          <w:sz w:val="24"/>
          <w:szCs w:val="24"/>
          <w:highlight w:val="none"/>
          <w14:textFill>
            <w14:solidFill>
              <w14:schemeClr w14:val="tx1"/>
            </w14:solidFill>
          </w14:textFill>
        </w:rPr>
        <w:t>。</w:t>
      </w:r>
    </w:p>
    <w:p w14:paraId="0DBFDD7A">
      <w:pPr>
        <w:spacing w:before="151" w:line="221" w:lineRule="auto"/>
        <w:ind w:left="476"/>
        <w:outlineLvl w:val="2"/>
        <w:rPr>
          <w:rFonts w:hint="eastAsia" w:ascii="宋体" w:hAnsi="宋体" w:eastAsia="宋体" w:cs="宋体"/>
          <w:color w:val="000000" w:themeColor="text1"/>
          <w:sz w:val="24"/>
          <w:szCs w:val="24"/>
          <w:highlight w:val="none"/>
          <w14:textFill>
            <w14:solidFill>
              <w14:schemeClr w14:val="tx1"/>
            </w14:solidFill>
          </w14:textFill>
        </w:rPr>
      </w:pPr>
      <w:bookmarkStart w:id="153" w:name="_Toc7538"/>
      <w:r>
        <w:rPr>
          <w:rFonts w:hint="eastAsia" w:ascii="宋体" w:hAnsi="宋体" w:eastAsia="宋体" w:cs="宋体"/>
          <w:b/>
          <w:bCs/>
          <w:color w:val="000000" w:themeColor="text1"/>
          <w:spacing w:val="-11"/>
          <w:sz w:val="24"/>
          <w:szCs w:val="24"/>
          <w:highlight w:val="none"/>
          <w14:textFill>
            <w14:solidFill>
              <w14:schemeClr w14:val="tx1"/>
            </w14:solidFill>
          </w14:textFill>
        </w:rPr>
        <w:t>4</w:t>
      </w:r>
      <w:r>
        <w:rPr>
          <w:rFonts w:hint="eastAsia" w:ascii="宋体" w:hAnsi="宋体" w:eastAsia="宋体" w:cs="宋体"/>
          <w:b/>
          <w:bCs/>
          <w:color w:val="000000" w:themeColor="text1"/>
          <w:spacing w:val="-29"/>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11"/>
          <w:sz w:val="24"/>
          <w:szCs w:val="24"/>
          <w:highlight w:val="none"/>
          <w14:textFill>
            <w14:solidFill>
              <w14:schemeClr w14:val="tx1"/>
            </w14:solidFill>
          </w14:textFill>
        </w:rPr>
        <w:t>．其他</w:t>
      </w:r>
      <w:bookmarkEnd w:id="153"/>
    </w:p>
    <w:p w14:paraId="1DB8C9BB">
      <w:pPr>
        <w:spacing w:before="153" w:line="326" w:lineRule="auto"/>
        <w:ind w:firstLine="47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在任何评标环节（或阶段</w:t>
      </w:r>
      <w:r>
        <w:rPr>
          <w:rFonts w:hint="eastAsia" w:ascii="宋体" w:hAnsi="宋体" w:eastAsia="宋体" w:cs="宋体"/>
          <w:color w:val="000000" w:themeColor="text1"/>
          <w:spacing w:val="-36"/>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投标人有下列情形之一的，评标委员会应否</w:t>
      </w:r>
      <w:r>
        <w:rPr>
          <w:rFonts w:hint="eastAsia" w:ascii="宋体" w:hAnsi="宋体" w:eastAsia="宋体" w:cs="宋体"/>
          <w:color w:val="000000" w:themeColor="text1"/>
          <w:spacing w:val="-5"/>
          <w:sz w:val="24"/>
          <w:szCs w:val="24"/>
          <w:highlight w:val="none"/>
          <w14:textFill>
            <w14:solidFill>
              <w14:schemeClr w14:val="tx1"/>
            </w14:solidFill>
          </w14:textFill>
        </w:rPr>
        <w:t>决其投标。</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被否决的投标人，不进入下一环节（或阶段）。</w:t>
      </w:r>
    </w:p>
    <w:p w14:paraId="0CA58726">
      <w:pPr>
        <w:spacing w:before="33" w:line="219" w:lineRule="auto"/>
        <w:ind w:left="49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（1）不按评标委员会要求澄清、说明或补正的；</w:t>
      </w:r>
    </w:p>
    <w:p w14:paraId="0D1C3C0F">
      <w:pPr>
        <w:spacing w:before="154" w:line="219" w:lineRule="auto"/>
        <w:ind w:left="49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（2）有下列情形之一，被评标委员会认定属于串通投标的：</w:t>
      </w:r>
    </w:p>
    <w:p w14:paraId="66C929C2">
      <w:pPr>
        <w:spacing w:before="157" w:line="218" w:lineRule="auto"/>
        <w:ind w:left="47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①不同投标人的投标文件两处以上（含两处）错、漏一致；</w:t>
      </w:r>
    </w:p>
    <w:p w14:paraId="6D5FB77A">
      <w:pPr>
        <w:spacing w:before="156" w:line="278" w:lineRule="auto"/>
        <w:ind w:right="21" w:firstLine="47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②不同投标人的投标总价相近且各分项报价、综合单价分析表内容混乱不能相互对</w:t>
      </w:r>
      <w:r>
        <w:rPr>
          <w:rFonts w:hint="eastAsia" w:ascii="宋体" w:hAnsi="宋体" w:eastAsia="宋体" w:cs="宋体"/>
          <w:color w:val="000000" w:themeColor="text1"/>
          <w:spacing w:val="-6"/>
          <w:sz w:val="24"/>
          <w:szCs w:val="24"/>
          <w:highlight w:val="none"/>
          <w14:textFill>
            <w14:solidFill>
              <w14:schemeClr w14:val="tx1"/>
            </w14:solidFill>
          </w14:textFill>
        </w:rPr>
        <w:t>应、乱调乱压或乱抬的，而在询标时没有合理的解释或者不能提供计算依据和</w:t>
      </w:r>
      <w:r>
        <w:rPr>
          <w:rFonts w:hint="eastAsia" w:ascii="宋体" w:hAnsi="宋体" w:eastAsia="宋体" w:cs="宋体"/>
          <w:color w:val="000000" w:themeColor="text1"/>
          <w:spacing w:val="-7"/>
          <w:sz w:val="24"/>
          <w:szCs w:val="24"/>
          <w:highlight w:val="none"/>
          <w14:textFill>
            <w14:solidFill>
              <w14:schemeClr w14:val="tx1"/>
            </w14:solidFill>
          </w14:textFill>
        </w:rPr>
        <w:t>报价依据；</w:t>
      </w:r>
    </w:p>
    <w:p w14:paraId="22325080">
      <w:pPr>
        <w:spacing w:before="157" w:line="218" w:lineRule="auto"/>
        <w:ind w:left="47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③不同投标人的投标各项报价存在异常一致</w:t>
      </w:r>
      <w:r>
        <w:rPr>
          <w:rFonts w:hint="eastAsia" w:ascii="宋体" w:hAnsi="宋体" w:eastAsia="宋体" w:cs="宋体"/>
          <w:color w:val="000000" w:themeColor="text1"/>
          <w:spacing w:val="-1"/>
          <w:sz w:val="24"/>
          <w:szCs w:val="24"/>
          <w:highlight w:val="none"/>
          <w14:textFill>
            <w14:solidFill>
              <w14:schemeClr w14:val="tx1"/>
            </w14:solidFill>
          </w14:textFill>
        </w:rPr>
        <w:t>或者呈规律性变化；</w:t>
      </w:r>
    </w:p>
    <w:p w14:paraId="36C4CB17">
      <w:pPr>
        <w:spacing w:before="156" w:line="218" w:lineRule="auto"/>
        <w:ind w:left="47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④不同投标人的投标文件由同一单位或者同一个人编制；</w:t>
      </w:r>
    </w:p>
    <w:p w14:paraId="1A519F59">
      <w:pPr>
        <w:spacing w:before="157" w:line="280" w:lineRule="auto"/>
        <w:ind w:left="1" w:right="81" w:firstLine="47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⑤不同投标人的投标文件中投标资料（包括电子资料）相互混装或项目班子成员出</w:t>
      </w:r>
      <w:r>
        <w:rPr>
          <w:rFonts w:hint="eastAsia" w:ascii="宋体" w:hAnsi="宋体" w:eastAsia="宋体" w:cs="宋体"/>
          <w:color w:val="000000" w:themeColor="text1"/>
          <w:spacing w:val="-3"/>
          <w:sz w:val="24"/>
          <w:szCs w:val="24"/>
          <w:highlight w:val="none"/>
          <w14:textFill>
            <w14:solidFill>
              <w14:schemeClr w14:val="tx1"/>
            </w14:solidFill>
          </w14:textFill>
        </w:rPr>
        <w:t>现同一人；</w:t>
      </w:r>
    </w:p>
    <w:p w14:paraId="2D971149">
      <w:pPr>
        <w:spacing w:before="152" w:line="279" w:lineRule="auto"/>
        <w:ind w:left="3" w:right="81" w:firstLine="47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⑥不同投标人的投标文件由同一电脑编制或同一台附属设备打印，或投标报价用同</w:t>
      </w:r>
      <w:r>
        <w:rPr>
          <w:rFonts w:hint="eastAsia" w:ascii="宋体" w:hAnsi="宋体" w:eastAsia="宋体" w:cs="宋体"/>
          <w:color w:val="000000" w:themeColor="text1"/>
          <w:spacing w:val="-1"/>
          <w:sz w:val="24"/>
          <w:szCs w:val="24"/>
          <w:highlight w:val="none"/>
          <w14:textFill>
            <w14:solidFill>
              <w14:schemeClr w14:val="tx1"/>
            </w14:solidFill>
          </w14:textFill>
        </w:rPr>
        <w:t>一个预算编制软件密码锁制作或出自同一电子文档；</w:t>
      </w:r>
    </w:p>
    <w:p w14:paraId="3D4E49BC">
      <w:pPr>
        <w:spacing w:before="155" w:line="218" w:lineRule="auto"/>
        <w:ind w:left="47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⑦不同投标人的投标保证由同一企业或同一账户资金缴纳；</w:t>
      </w:r>
    </w:p>
    <w:p w14:paraId="16BEF131">
      <w:pPr>
        <w:spacing w:before="157" w:line="299" w:lineRule="auto"/>
        <w:ind w:right="81" w:firstLine="47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⑧不同投标人委托同一个人或注册在同一家企业的注册人员或同一家企业为其投</w:t>
      </w:r>
      <w:r>
        <w:rPr>
          <w:rFonts w:hint="eastAsia" w:ascii="宋体" w:hAnsi="宋体" w:eastAsia="宋体" w:cs="宋体"/>
          <w:color w:val="000000" w:themeColor="text1"/>
          <w:spacing w:val="-2"/>
          <w:sz w:val="24"/>
          <w:szCs w:val="24"/>
          <w:highlight w:val="none"/>
          <w14:textFill>
            <w14:solidFill>
              <w14:schemeClr w14:val="tx1"/>
            </w14:solidFill>
          </w14:textFill>
        </w:rPr>
        <w:t>标提供投标咨询、商务报价、技术咨询（招标项目本身要求采用专有技术的除外）等服</w:t>
      </w:r>
      <w:r>
        <w:rPr>
          <w:rFonts w:hint="eastAsia" w:ascii="宋体" w:hAnsi="宋体" w:eastAsia="宋体" w:cs="宋体"/>
          <w:color w:val="000000" w:themeColor="text1"/>
          <w:spacing w:val="-6"/>
          <w:sz w:val="24"/>
          <w:szCs w:val="24"/>
          <w:highlight w:val="none"/>
          <w14:textFill>
            <w14:solidFill>
              <w14:schemeClr w14:val="tx1"/>
            </w14:solidFill>
          </w14:textFill>
        </w:rPr>
        <w:t>务。</w:t>
      </w:r>
    </w:p>
    <w:p w14:paraId="54009CDE">
      <w:pPr>
        <w:spacing w:line="299" w:lineRule="auto"/>
        <w:rPr>
          <w:rFonts w:hint="eastAsia" w:ascii="宋体" w:hAnsi="宋体" w:eastAsia="宋体" w:cs="宋体"/>
          <w:color w:val="000000" w:themeColor="text1"/>
          <w:sz w:val="24"/>
          <w:szCs w:val="24"/>
          <w:highlight w:val="none"/>
          <w14:textFill>
            <w14:solidFill>
              <w14:schemeClr w14:val="tx1"/>
            </w14:solidFill>
          </w14:textFill>
        </w:rPr>
        <w:sectPr>
          <w:footerReference r:id="rId12"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5FFFBA50">
      <w:pPr>
        <w:spacing w:before="78" w:line="219" w:lineRule="auto"/>
        <w:ind w:left="3525"/>
        <w:outlineLvl w:val="0"/>
        <w:rPr>
          <w:rFonts w:hint="eastAsia" w:ascii="宋体" w:hAnsi="宋体" w:eastAsia="宋体" w:cs="宋体"/>
          <w:color w:val="000000" w:themeColor="text1"/>
          <w:sz w:val="24"/>
          <w:szCs w:val="24"/>
          <w:highlight w:val="none"/>
          <w14:textFill>
            <w14:solidFill>
              <w14:schemeClr w14:val="tx1"/>
            </w14:solidFill>
          </w14:textFill>
        </w:rPr>
      </w:pPr>
      <w:bookmarkStart w:id="154" w:name="bookmark57"/>
      <w:bookmarkEnd w:id="154"/>
      <w:bookmarkStart w:id="155" w:name="_Toc10955"/>
      <w:r>
        <w:rPr>
          <w:rFonts w:hint="eastAsia" w:ascii="宋体" w:hAnsi="宋体" w:eastAsia="宋体" w:cs="宋体"/>
          <w:b/>
          <w:bCs/>
          <w:color w:val="000000" w:themeColor="text1"/>
          <w:spacing w:val="-7"/>
          <w:sz w:val="24"/>
          <w:szCs w:val="24"/>
          <w:highlight w:val="none"/>
          <w14:textFill>
            <w14:solidFill>
              <w14:schemeClr w14:val="tx1"/>
            </w14:solidFill>
          </w14:textFill>
        </w:rPr>
        <w:t>第二章</w:t>
      </w:r>
      <w:r>
        <w:rPr>
          <w:rFonts w:hint="eastAsia" w:ascii="宋体" w:hAnsi="宋体" w:eastAsia="宋体" w:cs="宋体"/>
          <w:color w:val="000000" w:themeColor="text1"/>
          <w:spacing w:val="32"/>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14:textFill>
            <w14:solidFill>
              <w14:schemeClr w14:val="tx1"/>
            </w14:solidFill>
          </w14:textFill>
        </w:rPr>
        <w:t>中标人须知</w:t>
      </w:r>
      <w:bookmarkEnd w:id="155"/>
    </w:p>
    <w:p w14:paraId="3C63E460">
      <w:pPr>
        <w:spacing w:before="78" w:line="219" w:lineRule="auto"/>
        <w:ind w:left="582"/>
        <w:outlineLvl w:val="2"/>
        <w:rPr>
          <w:rFonts w:hint="eastAsia" w:ascii="宋体" w:hAnsi="宋体" w:eastAsia="宋体" w:cs="宋体"/>
          <w:color w:val="000000" w:themeColor="text1"/>
          <w:sz w:val="24"/>
          <w:szCs w:val="24"/>
          <w:highlight w:val="none"/>
          <w14:textFill>
            <w14:solidFill>
              <w14:schemeClr w14:val="tx1"/>
            </w14:solidFill>
          </w14:textFill>
        </w:rPr>
      </w:pPr>
      <w:bookmarkStart w:id="156" w:name="_Toc32102"/>
      <w:r>
        <w:rPr>
          <w:rFonts w:hint="eastAsia" w:ascii="宋体" w:hAnsi="宋体" w:eastAsia="宋体" w:cs="宋体"/>
          <w:b/>
          <w:bCs/>
          <w:color w:val="000000" w:themeColor="text1"/>
          <w:spacing w:val="-9"/>
          <w:sz w:val="24"/>
          <w:szCs w:val="24"/>
          <w:highlight w:val="none"/>
          <w14:textFill>
            <w14:solidFill>
              <w14:schemeClr w14:val="tx1"/>
            </w14:solidFill>
          </w14:textFill>
        </w:rPr>
        <w:t>1</w:t>
      </w:r>
      <w:r>
        <w:rPr>
          <w:rFonts w:hint="eastAsia" w:ascii="宋体" w:hAnsi="宋体" w:eastAsia="宋体" w:cs="宋体"/>
          <w:b/>
          <w:bCs/>
          <w:color w:val="000000" w:themeColor="text1"/>
          <w:spacing w:val="-25"/>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9"/>
          <w:sz w:val="24"/>
          <w:szCs w:val="24"/>
          <w:highlight w:val="none"/>
          <w14:textFill>
            <w14:solidFill>
              <w14:schemeClr w14:val="tx1"/>
            </w14:solidFill>
          </w14:textFill>
        </w:rPr>
        <w:t>．中标通知书</w:t>
      </w:r>
      <w:bookmarkEnd w:id="156"/>
    </w:p>
    <w:p w14:paraId="0D2E755E">
      <w:pPr>
        <w:spacing w:before="152" w:line="332" w:lineRule="auto"/>
        <w:ind w:left="17" w:firstLine="559"/>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招标人确定第一中标候选人为中标人，并在中标人确定之日起</w:t>
      </w:r>
      <w:r>
        <w:rPr>
          <w:rFonts w:hint="eastAsia" w:ascii="宋体" w:hAnsi="宋体" w:eastAsia="宋体" w:cs="宋体"/>
          <w:color w:val="000000" w:themeColor="text1"/>
          <w:spacing w:val="-4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7日内向中</w:t>
      </w:r>
      <w:r>
        <w:rPr>
          <w:rFonts w:hint="eastAsia" w:ascii="宋体" w:hAnsi="宋体" w:eastAsia="宋体" w:cs="宋体"/>
          <w:color w:val="000000" w:themeColor="text1"/>
          <w:sz w:val="24"/>
          <w:szCs w:val="24"/>
          <w:highlight w:val="none"/>
          <w14:textFill>
            <w14:solidFill>
              <w14:schemeClr w14:val="tx1"/>
            </w14:solidFill>
          </w14:textFill>
        </w:rPr>
        <w:t>标人发</w:t>
      </w:r>
      <w:r>
        <w:rPr>
          <w:rFonts w:hint="eastAsia" w:ascii="宋体" w:hAnsi="宋体" w:eastAsia="宋体" w:cs="宋体"/>
          <w:color w:val="000000" w:themeColor="text1"/>
          <w:spacing w:val="-3"/>
          <w:sz w:val="24"/>
          <w:szCs w:val="24"/>
          <w:highlight w:val="none"/>
          <w14:textFill>
            <w14:solidFill>
              <w14:schemeClr w14:val="tx1"/>
            </w14:solidFill>
          </w14:textFill>
        </w:rPr>
        <w:t>出中标通知书，中标人必须按韶关市公共资源交易中心的规定办理相关手续后方可领取。</w:t>
      </w:r>
      <w:r>
        <w:rPr>
          <w:rFonts w:hint="eastAsia" w:ascii="宋体" w:hAnsi="宋体" w:eastAsia="宋体" w:cs="宋体"/>
          <w:color w:val="000000" w:themeColor="text1"/>
          <w:spacing w:val="-2"/>
          <w:sz w:val="24"/>
          <w:szCs w:val="24"/>
          <w:highlight w:val="none"/>
          <w14:textFill>
            <w14:solidFill>
              <w14:schemeClr w14:val="tx1"/>
            </w14:solidFill>
          </w14:textFill>
        </w:rPr>
        <w:t>中标通知书对招标人和中标人均具有法律约束力。中标通知书发出后，招标人改变中标</w:t>
      </w:r>
      <w:r>
        <w:rPr>
          <w:rFonts w:hint="eastAsia" w:ascii="宋体" w:hAnsi="宋体" w:eastAsia="宋体" w:cs="宋体"/>
          <w:color w:val="000000" w:themeColor="text1"/>
          <w:spacing w:val="-1"/>
          <w:sz w:val="24"/>
          <w:szCs w:val="24"/>
          <w:highlight w:val="none"/>
          <w14:textFill>
            <w14:solidFill>
              <w14:schemeClr w14:val="tx1"/>
            </w14:solidFill>
          </w14:textFill>
        </w:rPr>
        <w:t>结果和中标人放弃中标的，应当承担法律责任。</w:t>
      </w:r>
    </w:p>
    <w:p w14:paraId="33680385">
      <w:pPr>
        <w:pStyle w:val="5"/>
        <w:spacing w:line="394" w:lineRule="auto"/>
        <w:rPr>
          <w:rFonts w:hint="eastAsia" w:ascii="宋体" w:hAnsi="宋体" w:eastAsia="宋体" w:cs="宋体"/>
          <w:color w:val="000000" w:themeColor="text1"/>
          <w:highlight w:val="none"/>
          <w14:textFill>
            <w14:solidFill>
              <w14:schemeClr w14:val="tx1"/>
            </w14:solidFill>
          </w14:textFill>
        </w:rPr>
      </w:pPr>
    </w:p>
    <w:p w14:paraId="0E2EC4A2">
      <w:pPr>
        <w:spacing w:before="78" w:line="221" w:lineRule="auto"/>
        <w:ind w:left="572"/>
        <w:outlineLvl w:val="2"/>
        <w:rPr>
          <w:rFonts w:hint="eastAsia" w:ascii="宋体" w:hAnsi="宋体" w:eastAsia="宋体" w:cs="宋体"/>
          <w:color w:val="000000" w:themeColor="text1"/>
          <w:sz w:val="24"/>
          <w:szCs w:val="24"/>
          <w:highlight w:val="none"/>
          <w14:textFill>
            <w14:solidFill>
              <w14:schemeClr w14:val="tx1"/>
            </w14:solidFill>
          </w14:textFill>
        </w:rPr>
      </w:pPr>
      <w:bookmarkStart w:id="157" w:name="_Toc24401"/>
      <w:r>
        <w:rPr>
          <w:rFonts w:hint="eastAsia" w:ascii="宋体" w:hAnsi="宋体" w:eastAsia="宋体" w:cs="宋体"/>
          <w:b/>
          <w:bCs/>
          <w:color w:val="000000" w:themeColor="text1"/>
          <w:spacing w:val="-7"/>
          <w:sz w:val="24"/>
          <w:szCs w:val="24"/>
          <w:highlight w:val="none"/>
          <w14:textFill>
            <w14:solidFill>
              <w14:schemeClr w14:val="tx1"/>
            </w14:solidFill>
          </w14:textFill>
        </w:rPr>
        <w:t>2</w:t>
      </w:r>
      <w:r>
        <w:rPr>
          <w:rFonts w:hint="eastAsia" w:ascii="宋体" w:hAnsi="宋体" w:eastAsia="宋体" w:cs="宋体"/>
          <w:b/>
          <w:bCs/>
          <w:color w:val="000000" w:themeColor="text1"/>
          <w:spacing w:val="-24"/>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14:textFill>
            <w14:solidFill>
              <w14:schemeClr w14:val="tx1"/>
            </w14:solidFill>
          </w14:textFill>
        </w:rPr>
        <w:t>．中标结果公示</w:t>
      </w:r>
      <w:bookmarkEnd w:id="157"/>
    </w:p>
    <w:p w14:paraId="3734BB52">
      <w:pPr>
        <w:spacing w:before="115" w:line="316" w:lineRule="auto"/>
        <w:ind w:left="2" w:right="203" w:firstLine="59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中标通知书发出后</w:t>
      </w:r>
      <w:r>
        <w:rPr>
          <w:rFonts w:hint="eastAsia" w:ascii="宋体" w:hAnsi="宋体" w:eastAsia="宋体" w:cs="宋体"/>
          <w:color w:val="000000" w:themeColor="text1"/>
          <w:spacing w:val="-3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15</w:t>
      </w:r>
      <w:r>
        <w:rPr>
          <w:rFonts w:hint="eastAsia" w:ascii="宋体" w:hAnsi="宋体" w:eastAsia="宋体" w:cs="宋体"/>
          <w:color w:val="000000" w:themeColor="text1"/>
          <w:spacing w:val="50"/>
          <w:w w:val="10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日内，招标人应将中标结果在广东省招标投标</w:t>
      </w:r>
      <w:r>
        <w:rPr>
          <w:rFonts w:hint="eastAsia" w:ascii="宋体" w:hAnsi="宋体" w:eastAsia="宋体" w:cs="宋体"/>
          <w:color w:val="000000" w:themeColor="text1"/>
          <w:spacing w:val="-3"/>
          <w:sz w:val="24"/>
          <w:szCs w:val="24"/>
          <w:highlight w:val="none"/>
          <w14:textFill>
            <w14:solidFill>
              <w14:schemeClr w14:val="tx1"/>
            </w14:solidFill>
          </w14:textFill>
        </w:rPr>
        <w:t>监管网（http:</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//zbtb.gd.gov.cn）、全国公共资源交易平台（广东省</w:t>
      </w:r>
      <w:r>
        <w:rPr>
          <w:rFonts w:hint="eastAsia" w:ascii="宋体" w:hAnsi="宋体" w:eastAsia="宋体" w:cs="宋体"/>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·韶关市</w:t>
      </w:r>
      <w:r>
        <w:rPr>
          <w:rFonts w:hint="eastAsia" w:ascii="宋体" w:hAnsi="宋体" w:eastAsia="宋体" w:cs="宋体"/>
          <w:color w:val="000000" w:themeColor="text1"/>
          <w:spacing w:val="-3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https://ygp.</w:t>
      </w:r>
      <w:r>
        <w:rPr>
          <w:rFonts w:hint="eastAsia" w:ascii="宋体" w:hAnsi="宋体" w:eastAsia="宋体" w:cs="宋体"/>
          <w:color w:val="000000" w:themeColor="text1"/>
          <w:spacing w:val="-3"/>
          <w:sz w:val="24"/>
          <w:szCs w:val="24"/>
          <w:highlight w:val="none"/>
          <w14:textFill>
            <w14:solidFill>
              <w14:schemeClr w14:val="tx1"/>
            </w14:solidFill>
          </w14:textFill>
        </w:rPr>
        <w:t>gdzwfw.gov.</w:t>
      </w:r>
      <w:r>
        <w:rPr>
          <w:rFonts w:hint="eastAsia" w:ascii="宋体" w:hAnsi="宋体" w:eastAsia="宋体" w:cs="宋体"/>
          <w:color w:val="000000" w:themeColor="text1"/>
          <w:sz w:val="24"/>
          <w:szCs w:val="24"/>
          <w:highlight w:val="none"/>
          <w14:textFill>
            <w14:solidFill>
              <w14:schemeClr w14:val="tx1"/>
            </w14:solidFill>
          </w14:textFill>
        </w:rPr>
        <w:t xml:space="preserve"> cn/ggzy-portal/#/440200/index）进行公示。</w:t>
      </w:r>
    </w:p>
    <w:p w14:paraId="6D402282">
      <w:pPr>
        <w:pStyle w:val="5"/>
        <w:spacing w:line="475" w:lineRule="auto"/>
        <w:rPr>
          <w:rFonts w:hint="eastAsia" w:ascii="宋体" w:hAnsi="宋体" w:eastAsia="宋体" w:cs="宋体"/>
          <w:color w:val="000000" w:themeColor="text1"/>
          <w:highlight w:val="none"/>
          <w14:textFill>
            <w14:solidFill>
              <w14:schemeClr w14:val="tx1"/>
            </w14:solidFill>
          </w14:textFill>
        </w:rPr>
      </w:pPr>
    </w:p>
    <w:p w14:paraId="2C95E54C">
      <w:pPr>
        <w:spacing w:before="79" w:line="221" w:lineRule="auto"/>
        <w:ind w:left="57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58" w:name="_Toc3915"/>
      <w:r>
        <w:rPr>
          <w:rFonts w:hint="eastAsia" w:ascii="宋体" w:hAnsi="宋体" w:eastAsia="宋体" w:cs="宋体"/>
          <w:b/>
          <w:bCs/>
          <w:color w:val="000000" w:themeColor="text1"/>
          <w:spacing w:val="-8"/>
          <w:sz w:val="24"/>
          <w:szCs w:val="24"/>
          <w:highlight w:val="none"/>
          <w14:textFill>
            <w14:solidFill>
              <w14:schemeClr w14:val="tx1"/>
            </w14:solidFill>
          </w14:textFill>
        </w:rPr>
        <w:t>3</w:t>
      </w:r>
      <w:r>
        <w:rPr>
          <w:rFonts w:hint="eastAsia" w:ascii="宋体" w:hAnsi="宋体" w:eastAsia="宋体" w:cs="宋体"/>
          <w:b/>
          <w:bCs/>
          <w:color w:val="000000" w:themeColor="text1"/>
          <w:spacing w:val="-25"/>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14:textFill>
            <w14:solidFill>
              <w14:schemeClr w14:val="tx1"/>
            </w14:solidFill>
          </w14:textFill>
        </w:rPr>
        <w:t>．履约保证</w:t>
      </w:r>
      <w:bookmarkEnd w:id="158"/>
    </w:p>
    <w:p w14:paraId="677C4C26">
      <w:pPr>
        <w:keepNext w:val="0"/>
        <w:keepLines w:val="0"/>
        <w:pageBreakBefore w:val="0"/>
        <w:widowControl/>
        <w:kinsoku w:val="0"/>
        <w:wordWrap/>
        <w:overflowPunct/>
        <w:topLinePunct w:val="0"/>
        <w:autoSpaceDE w:val="0"/>
        <w:autoSpaceDN w:val="0"/>
        <w:bidi w:val="0"/>
        <w:adjustRightInd w:val="0"/>
        <w:snapToGrid w:val="0"/>
        <w:spacing w:before="153" w:line="312" w:lineRule="auto"/>
        <w:ind w:firstLine="470"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3.1</w:t>
      </w:r>
      <w:r>
        <w:rPr>
          <w:rFonts w:hint="eastAsia" w:ascii="宋体" w:hAnsi="宋体" w:eastAsia="宋体" w:cs="宋体"/>
          <w:b/>
          <w:bCs/>
          <w:color w:val="000000" w:themeColor="text1"/>
          <w:spacing w:val="1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中标人须在领取中标通知书之日起</w:t>
      </w:r>
      <w:r>
        <w:rPr>
          <w:rFonts w:hint="eastAsia" w:ascii="宋体" w:hAnsi="宋体" w:eastAsia="宋体" w:cs="宋体"/>
          <w:color w:val="000000" w:themeColor="text1"/>
          <w:spacing w:val="-3"/>
          <w:sz w:val="24"/>
          <w:szCs w:val="24"/>
          <w:highlight w:val="none"/>
          <w:u w:val="single"/>
          <w:lang w:val="en-US" w:eastAsia="zh-CN"/>
          <w14:textFill>
            <w14:solidFill>
              <w14:schemeClr w14:val="tx1"/>
            </w14:solidFill>
          </w14:textFill>
        </w:rPr>
        <w:t xml:space="preserve"> 10 </w:t>
      </w:r>
      <w:r>
        <w:rPr>
          <w:rFonts w:hint="eastAsia" w:ascii="宋体" w:hAnsi="宋体" w:eastAsia="宋体" w:cs="宋体"/>
          <w:color w:val="000000" w:themeColor="text1"/>
          <w:spacing w:val="-3"/>
          <w:sz w:val="24"/>
          <w:szCs w:val="24"/>
          <w:highlight w:val="none"/>
          <w14:textFill>
            <w14:solidFill>
              <w14:schemeClr w14:val="tx1"/>
            </w14:solidFill>
          </w14:textFill>
        </w:rPr>
        <w:t>个工作日内、签订合同前向招标人提交金额</w:t>
      </w:r>
      <w:r>
        <w:rPr>
          <w:rFonts w:hint="eastAsia" w:ascii="宋体" w:hAnsi="宋体" w:eastAsia="宋体" w:cs="宋体"/>
          <w:color w:val="000000" w:themeColor="text1"/>
          <w:spacing w:val="-1"/>
          <w:position w:val="2"/>
          <w:sz w:val="24"/>
          <w:szCs w:val="24"/>
          <w:highlight w:val="none"/>
          <w14:textFill>
            <w14:solidFill>
              <w14:schemeClr w14:val="tx1"/>
            </w14:solidFill>
          </w14:textFill>
        </w:rPr>
        <w:t>为中标价</w:t>
      </w:r>
      <w:r>
        <w:rPr>
          <w:rFonts w:hint="eastAsia" w:ascii="宋体" w:hAnsi="宋体" w:eastAsia="宋体" w:cs="宋体"/>
          <w:color w:val="000000" w:themeColor="text1"/>
          <w:spacing w:val="-1"/>
          <w:position w:val="2"/>
          <w:sz w:val="24"/>
          <w:szCs w:val="24"/>
          <w:highlight w:val="none"/>
          <w:u w:val="single"/>
          <w:lang w:val="en-US" w:eastAsia="zh-CN"/>
          <w14:textFill>
            <w14:solidFill>
              <w14:schemeClr w14:val="tx1"/>
            </w14:solidFill>
          </w14:textFill>
        </w:rPr>
        <w:t xml:space="preserve"> 5</w:t>
      </w:r>
      <w:r>
        <w:rPr>
          <w:rFonts w:hint="eastAsia" w:ascii="宋体" w:hAnsi="宋体" w:eastAsia="宋体" w:cs="宋体"/>
          <w:color w:val="000000" w:themeColor="text1"/>
          <w:spacing w:val="-1"/>
          <w:position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position w:val="2"/>
          <w:sz w:val="24"/>
          <w:szCs w:val="24"/>
          <w:highlight w:val="none"/>
          <w14:textFill>
            <w14:solidFill>
              <w14:schemeClr w14:val="tx1"/>
            </w14:solidFill>
          </w14:textFill>
        </w:rPr>
        <w:t>的履约保证。 联合体中标的，由联合体牵头人提交。</w:t>
      </w:r>
    </w:p>
    <w:p w14:paraId="49B5F994">
      <w:pPr>
        <w:spacing w:before="89" w:line="286" w:lineRule="auto"/>
        <w:ind w:left="12" w:right="108" w:firstLine="473"/>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3.2</w:t>
      </w:r>
      <w:r>
        <w:rPr>
          <w:rFonts w:hint="eastAsia" w:ascii="宋体" w:hAnsi="宋体" w:eastAsia="宋体" w:cs="宋体"/>
          <w:b/>
          <w:bCs/>
          <w:color w:val="000000" w:themeColor="text1"/>
          <w:spacing w:val="34"/>
          <w:w w:val="10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position w:val="2"/>
          <w:sz w:val="24"/>
          <w:szCs w:val="24"/>
          <w:highlight w:val="none"/>
          <w14:textFill>
            <w14:solidFill>
              <w14:schemeClr w14:val="tx1"/>
            </w14:solidFill>
          </w14:textFill>
        </w:rPr>
        <w:t>中标人根据《关于统一在市公共资源交易一体化服务平台缴退工程建设项目履约保证金的通知》办理相关手续，履约保证的形式包括履约保证金、履约保证担保、履约保证保险三种，由中标人自主选择</w:t>
      </w:r>
      <w:r>
        <w:rPr>
          <w:rFonts w:hint="eastAsia" w:ascii="宋体" w:hAnsi="宋体" w:eastAsia="宋体" w:cs="宋体"/>
          <w:color w:val="000000" w:themeColor="text1"/>
          <w:spacing w:val="-2"/>
          <w:sz w:val="24"/>
          <w:szCs w:val="24"/>
          <w:highlight w:val="none"/>
          <w14:textFill>
            <w14:solidFill>
              <w14:schemeClr w14:val="tx1"/>
            </w14:solidFill>
          </w14:textFill>
        </w:rPr>
        <w:t>。商业保函、银行保函或保险合同（或保险单）的</w:t>
      </w:r>
      <w:r>
        <w:rPr>
          <w:rFonts w:hint="eastAsia" w:ascii="宋体" w:hAnsi="宋体" w:eastAsia="宋体" w:cs="宋体"/>
          <w:color w:val="000000" w:themeColor="text1"/>
          <w:spacing w:val="1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有效期应当自合同生效之日起至项目通过竣工验收之日后</w:t>
      </w:r>
      <w:r>
        <w:rPr>
          <w:rFonts w:hint="eastAsia" w:ascii="宋体" w:hAnsi="宋体" w:eastAsia="宋体" w:cs="宋体"/>
          <w:color w:val="000000" w:themeColor="text1"/>
          <w:spacing w:val="-4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28 天止。</w:t>
      </w:r>
    </w:p>
    <w:p w14:paraId="0431B761">
      <w:pPr>
        <w:wordWrap w:val="0"/>
        <w:spacing w:line="440" w:lineRule="exact"/>
        <w:ind w:firstLine="562"/>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position w:val="2"/>
          <w:sz w:val="24"/>
          <w:szCs w:val="24"/>
          <w:highlight w:val="none"/>
          <w:lang w:eastAsia="zh-CN"/>
          <w14:textFill>
            <w14:solidFill>
              <w14:schemeClr w14:val="tx1"/>
            </w14:solidFill>
          </w14:textFill>
        </w:rPr>
        <w:t>注：中标通知书发出时，招标人发起收缴履约保证金并填写保证金金额、缴交时限和项目工期；由中标人在建设工程交易系统中自主选择一种进行缴交。项目竣工后，由招标人发起退保。）</w:t>
      </w:r>
    </w:p>
    <w:p w14:paraId="1AD60AEA">
      <w:pPr>
        <w:spacing w:before="145" w:line="319" w:lineRule="auto"/>
        <w:ind w:left="12" w:right="108" w:firstLine="4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14:textFill>
            <w14:solidFill>
              <w14:schemeClr w14:val="tx1"/>
            </w14:solidFill>
          </w14:textFill>
        </w:rPr>
        <w:t>3.3</w:t>
      </w:r>
      <w:r>
        <w:rPr>
          <w:rFonts w:hint="eastAsia" w:ascii="宋体" w:hAnsi="宋体" w:eastAsia="宋体" w:cs="宋体"/>
          <w:b/>
          <w:bCs/>
          <w:color w:val="000000" w:themeColor="text1"/>
          <w:spacing w:val="1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中标人在领取中标通知书之日起</w:t>
      </w:r>
      <w:r>
        <w:rPr>
          <w:rFonts w:hint="eastAsia" w:ascii="宋体" w:hAnsi="宋体" w:eastAsia="宋体" w:cs="宋体"/>
          <w:color w:val="000000" w:themeColor="text1"/>
          <w:spacing w:val="-3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10 个工</w:t>
      </w:r>
      <w:r>
        <w:rPr>
          <w:rFonts w:hint="eastAsia" w:ascii="宋体" w:hAnsi="宋体" w:eastAsia="宋体" w:cs="宋体"/>
          <w:color w:val="000000" w:themeColor="text1"/>
          <w:spacing w:val="-5"/>
          <w:sz w:val="24"/>
          <w:szCs w:val="24"/>
          <w:highlight w:val="none"/>
          <w14:textFill>
            <w14:solidFill>
              <w14:schemeClr w14:val="tx1"/>
            </w14:solidFill>
          </w14:textFill>
        </w:rPr>
        <w:t>作日内仍未提交履约保证的，招标人发</w:t>
      </w:r>
      <w:r>
        <w:rPr>
          <w:rFonts w:hint="eastAsia" w:ascii="宋体" w:hAnsi="宋体" w:eastAsia="宋体" w:cs="宋体"/>
          <w:color w:val="000000" w:themeColor="text1"/>
          <w:spacing w:val="1"/>
          <w:sz w:val="24"/>
          <w:szCs w:val="24"/>
          <w:highlight w:val="none"/>
          <w14:textFill>
            <w14:solidFill>
              <w14:schemeClr w14:val="tx1"/>
            </w14:solidFill>
          </w14:textFill>
        </w:rPr>
        <w:t>出第一次提醒函；在领取中标通知书之日起</w:t>
      </w:r>
      <w:r>
        <w:rPr>
          <w:rFonts w:hint="eastAsia" w:ascii="宋体" w:hAnsi="宋体" w:eastAsia="宋体" w:cs="宋体"/>
          <w:color w:val="000000" w:themeColor="text1"/>
          <w:spacing w:val="-3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15 个工作日内仍未提交的</w:t>
      </w:r>
      <w:r>
        <w:rPr>
          <w:rFonts w:hint="eastAsia" w:ascii="宋体" w:hAnsi="宋体" w:eastAsia="宋体" w:cs="宋体"/>
          <w:color w:val="000000" w:themeColor="text1"/>
          <w:sz w:val="24"/>
          <w:szCs w:val="24"/>
          <w:highlight w:val="none"/>
          <w14:textFill>
            <w14:solidFill>
              <w14:schemeClr w14:val="tx1"/>
            </w14:solidFill>
          </w14:textFill>
        </w:rPr>
        <w:t>，招标人发出第</w:t>
      </w:r>
      <w:r>
        <w:rPr>
          <w:rFonts w:hint="eastAsia" w:ascii="宋体" w:hAnsi="宋体" w:eastAsia="宋体" w:cs="宋体"/>
          <w:color w:val="000000" w:themeColor="text1"/>
          <w:spacing w:val="1"/>
          <w:sz w:val="24"/>
          <w:szCs w:val="24"/>
          <w:highlight w:val="none"/>
          <w14:textFill>
            <w14:solidFill>
              <w14:schemeClr w14:val="tx1"/>
            </w14:solidFill>
          </w14:textFill>
        </w:rPr>
        <w:t>二次提醒函；在领取中标通知书之日起</w:t>
      </w:r>
      <w:r>
        <w:rPr>
          <w:rFonts w:hint="eastAsia" w:ascii="宋体" w:hAnsi="宋体" w:eastAsia="宋体" w:cs="宋体"/>
          <w:color w:val="000000" w:themeColor="text1"/>
          <w:spacing w:val="-3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20 个工作日内仍未提交的，视其放弃中标。并</w:t>
      </w:r>
      <w:r>
        <w:rPr>
          <w:rFonts w:hint="eastAsia" w:ascii="宋体" w:hAnsi="宋体" w:eastAsia="宋体" w:cs="宋体"/>
          <w:color w:val="000000" w:themeColor="text1"/>
          <w:spacing w:val="-2"/>
          <w:sz w:val="24"/>
          <w:szCs w:val="24"/>
          <w:highlight w:val="none"/>
          <w14:textFill>
            <w14:solidFill>
              <w14:schemeClr w14:val="tx1"/>
            </w14:solidFill>
          </w14:textFill>
        </w:rPr>
        <w:t>由招标人通报建设行政管理部门。如采用商业保函、银行保函或保险合同方式缴纳履约保证金，在保函或保险合同到期前一个月，中标人须主动办理续期手续或提交新的商业</w:t>
      </w:r>
      <w:r>
        <w:rPr>
          <w:rFonts w:hint="eastAsia" w:ascii="宋体" w:hAnsi="宋体" w:eastAsia="宋体" w:cs="宋体"/>
          <w:color w:val="000000" w:themeColor="text1"/>
          <w:spacing w:val="-1"/>
          <w:sz w:val="24"/>
          <w:szCs w:val="24"/>
          <w:highlight w:val="none"/>
          <w14:textFill>
            <w14:solidFill>
              <w14:schemeClr w14:val="tx1"/>
            </w14:solidFill>
          </w14:textFill>
        </w:rPr>
        <w:t>保函、银行保函或保险合同。</w:t>
      </w:r>
    </w:p>
    <w:p w14:paraId="439D8102">
      <w:pPr>
        <w:spacing w:before="152" w:line="299" w:lineRule="auto"/>
        <w:ind w:left="12" w:right="108" w:firstLine="47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3.4  </w:t>
      </w:r>
      <w:r>
        <w:rPr>
          <w:rFonts w:hint="eastAsia" w:ascii="宋体" w:hAnsi="宋体" w:eastAsia="宋体" w:cs="宋体"/>
          <w:color w:val="000000" w:themeColor="text1"/>
          <w:sz w:val="24"/>
          <w:szCs w:val="24"/>
          <w:highlight w:val="none"/>
          <w14:textFill>
            <w14:solidFill>
              <w14:schemeClr w14:val="tx1"/>
            </w14:solidFill>
          </w14:textFill>
        </w:rPr>
        <w:t>在工程实施过程中，如果承包人（即招标阶段的中标人，下同）由于自身的资</w:t>
      </w:r>
      <w:r>
        <w:rPr>
          <w:rFonts w:hint="eastAsia" w:ascii="宋体" w:hAnsi="宋体" w:eastAsia="宋体" w:cs="宋体"/>
          <w:color w:val="000000" w:themeColor="text1"/>
          <w:spacing w:val="-2"/>
          <w:sz w:val="24"/>
          <w:szCs w:val="24"/>
          <w:highlight w:val="none"/>
          <w14:textFill>
            <w14:solidFill>
              <w14:schemeClr w14:val="tx1"/>
            </w14:solidFill>
          </w14:textFill>
        </w:rPr>
        <w:t>金、技术、质量、非不可抗力等原因给发包人（即招标阶段的招标人，下同）造成经济</w:t>
      </w:r>
      <w:r>
        <w:rPr>
          <w:rFonts w:hint="eastAsia" w:ascii="宋体" w:hAnsi="宋体" w:eastAsia="宋体" w:cs="宋体"/>
          <w:color w:val="000000" w:themeColor="text1"/>
          <w:spacing w:val="-1"/>
          <w:sz w:val="24"/>
          <w:szCs w:val="24"/>
          <w:highlight w:val="none"/>
          <w14:textFill>
            <w14:solidFill>
              <w14:schemeClr w14:val="tx1"/>
            </w14:solidFill>
          </w14:textFill>
        </w:rPr>
        <w:t>损失，发包人有权扣划相应金额的履约保证。</w:t>
      </w:r>
    </w:p>
    <w:p w14:paraId="6132D08E">
      <w:pPr>
        <w:spacing w:before="154" w:line="220" w:lineRule="auto"/>
        <w:ind w:left="48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3.5  </w:t>
      </w:r>
      <w:r>
        <w:rPr>
          <w:rFonts w:hint="eastAsia" w:ascii="宋体" w:hAnsi="宋体" w:eastAsia="宋体" w:cs="宋体"/>
          <w:color w:val="000000" w:themeColor="text1"/>
          <w:sz w:val="24"/>
          <w:szCs w:val="24"/>
          <w:highlight w:val="none"/>
          <w14:textFill>
            <w14:solidFill>
              <w14:schemeClr w14:val="tx1"/>
            </w14:solidFill>
          </w14:textFill>
        </w:rPr>
        <w:t>项目通过竣工验收之日后</w:t>
      </w:r>
      <w:r>
        <w:rPr>
          <w:rFonts w:hint="eastAsia" w:ascii="宋体" w:hAnsi="宋体" w:eastAsia="宋体" w:cs="宋体"/>
          <w:color w:val="000000" w:themeColor="text1"/>
          <w:spacing w:val="-55"/>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28 天内，发包人将履</w:t>
      </w:r>
      <w:r>
        <w:rPr>
          <w:rFonts w:hint="eastAsia" w:ascii="宋体" w:hAnsi="宋体" w:eastAsia="宋体" w:cs="宋体"/>
          <w:color w:val="000000" w:themeColor="text1"/>
          <w:spacing w:val="-1"/>
          <w:sz w:val="24"/>
          <w:szCs w:val="24"/>
          <w:highlight w:val="none"/>
          <w14:textFill>
            <w14:solidFill>
              <w14:schemeClr w14:val="tx1"/>
            </w14:solidFill>
          </w14:textFill>
        </w:rPr>
        <w:t>约保证退还给承包人。</w:t>
      </w:r>
    </w:p>
    <w:p w14:paraId="05A3F90E">
      <w:pPr>
        <w:pStyle w:val="5"/>
        <w:spacing w:line="256" w:lineRule="auto"/>
        <w:rPr>
          <w:rFonts w:hint="eastAsia" w:ascii="宋体" w:hAnsi="宋体" w:eastAsia="宋体" w:cs="宋体"/>
          <w:color w:val="000000" w:themeColor="text1"/>
          <w:highlight w:val="none"/>
          <w14:textFill>
            <w14:solidFill>
              <w14:schemeClr w14:val="tx1"/>
            </w14:solidFill>
          </w14:textFill>
        </w:rPr>
      </w:pPr>
    </w:p>
    <w:p w14:paraId="13852EBE">
      <w:pPr>
        <w:pStyle w:val="5"/>
        <w:spacing w:line="257" w:lineRule="auto"/>
        <w:rPr>
          <w:rFonts w:hint="eastAsia" w:ascii="宋体" w:hAnsi="宋体" w:eastAsia="宋体" w:cs="宋体"/>
          <w:color w:val="000000" w:themeColor="text1"/>
          <w:highlight w:val="none"/>
          <w14:textFill>
            <w14:solidFill>
              <w14:schemeClr w14:val="tx1"/>
            </w14:solidFill>
          </w14:textFill>
        </w:rPr>
      </w:pPr>
    </w:p>
    <w:p w14:paraId="52841E06">
      <w:pPr>
        <w:spacing w:before="78" w:line="222" w:lineRule="auto"/>
        <w:ind w:left="488"/>
        <w:outlineLvl w:val="2"/>
        <w:rPr>
          <w:rFonts w:hint="eastAsia" w:ascii="宋体" w:hAnsi="宋体" w:eastAsia="宋体" w:cs="宋体"/>
          <w:color w:val="000000" w:themeColor="text1"/>
          <w:sz w:val="24"/>
          <w:szCs w:val="24"/>
          <w:highlight w:val="none"/>
          <w14:textFill>
            <w14:solidFill>
              <w14:schemeClr w14:val="tx1"/>
            </w14:solidFill>
          </w14:textFill>
        </w:rPr>
      </w:pPr>
      <w:bookmarkStart w:id="159" w:name="_Toc5465"/>
      <w:r>
        <w:rPr>
          <w:rFonts w:hint="eastAsia" w:ascii="宋体" w:hAnsi="宋体" w:eastAsia="宋体" w:cs="宋体"/>
          <w:b/>
          <w:bCs/>
          <w:color w:val="000000" w:themeColor="text1"/>
          <w:spacing w:val="-8"/>
          <w:sz w:val="24"/>
          <w:szCs w:val="24"/>
          <w:highlight w:val="none"/>
          <w14:textFill>
            <w14:solidFill>
              <w14:schemeClr w14:val="tx1"/>
            </w14:solidFill>
          </w14:textFill>
        </w:rPr>
        <w:t>4</w:t>
      </w:r>
      <w:r>
        <w:rPr>
          <w:rFonts w:hint="eastAsia" w:ascii="宋体" w:hAnsi="宋体" w:eastAsia="宋体" w:cs="宋体"/>
          <w:b/>
          <w:bCs/>
          <w:color w:val="000000" w:themeColor="text1"/>
          <w:spacing w:val="-27"/>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14:textFill>
            <w14:solidFill>
              <w14:schemeClr w14:val="tx1"/>
            </w14:solidFill>
          </w14:textFill>
        </w:rPr>
        <w:t>．合同订立</w:t>
      </w:r>
      <w:bookmarkEnd w:id="159"/>
    </w:p>
    <w:p w14:paraId="60A8639F">
      <w:pPr>
        <w:spacing w:before="150" w:line="279" w:lineRule="auto"/>
        <w:ind w:left="13" w:right="108" w:firstLine="47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4.1  </w:t>
      </w:r>
      <w:r>
        <w:rPr>
          <w:rFonts w:hint="eastAsia" w:ascii="宋体" w:hAnsi="宋体" w:eastAsia="宋体" w:cs="宋体"/>
          <w:color w:val="000000" w:themeColor="text1"/>
          <w:sz w:val="24"/>
          <w:szCs w:val="24"/>
          <w:highlight w:val="none"/>
          <w14:textFill>
            <w14:solidFill>
              <w14:schemeClr w14:val="tx1"/>
            </w14:solidFill>
          </w14:textFill>
        </w:rPr>
        <w:t>招标人应当自中标通知书发出之日起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三十 </w:t>
      </w:r>
      <w:r>
        <w:rPr>
          <w:rFonts w:hint="eastAsia" w:ascii="宋体" w:hAnsi="宋体" w:eastAsia="宋体" w:cs="宋体"/>
          <w:color w:val="000000" w:themeColor="text1"/>
          <w:sz w:val="24"/>
          <w:szCs w:val="24"/>
          <w:highlight w:val="none"/>
          <w14:textFill>
            <w14:solidFill>
              <w14:schemeClr w14:val="tx1"/>
            </w14:solidFill>
          </w14:textFill>
        </w:rPr>
        <w:t>日内，按照招标文件、中标人的投标</w:t>
      </w:r>
      <w:r>
        <w:rPr>
          <w:rFonts w:hint="eastAsia" w:ascii="宋体" w:hAnsi="宋体" w:eastAsia="宋体" w:cs="宋体"/>
          <w:color w:val="000000" w:themeColor="text1"/>
          <w:spacing w:val="-1"/>
          <w:sz w:val="24"/>
          <w:szCs w:val="24"/>
          <w:highlight w:val="none"/>
          <w14:textFill>
            <w14:solidFill>
              <w14:schemeClr w14:val="tx1"/>
            </w14:solidFill>
          </w14:textFill>
        </w:rPr>
        <w:t>文件与中标人订立书面合同。</w:t>
      </w:r>
    </w:p>
    <w:p w14:paraId="44F9543E">
      <w:pPr>
        <w:spacing w:before="156" w:line="219" w:lineRule="auto"/>
        <w:ind w:left="48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4.2  </w:t>
      </w:r>
      <w:r>
        <w:rPr>
          <w:rFonts w:hint="eastAsia" w:ascii="宋体" w:hAnsi="宋体" w:eastAsia="宋体" w:cs="宋体"/>
          <w:color w:val="000000" w:themeColor="text1"/>
          <w:spacing w:val="-1"/>
          <w:sz w:val="24"/>
          <w:szCs w:val="24"/>
          <w:highlight w:val="none"/>
          <w14:textFill>
            <w14:solidFill>
              <w14:schemeClr w14:val="tx1"/>
            </w14:solidFill>
          </w14:textFill>
        </w:rPr>
        <w:t>不正常报价的梳理和确认</w:t>
      </w:r>
    </w:p>
    <w:p w14:paraId="416E0180">
      <w:pPr>
        <w:spacing w:before="154" w:line="299" w:lineRule="auto"/>
        <w:ind w:left="14" w:right="64" w:firstLine="4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4.2.1 合同订立期间，在不改变中标人的投标总价的前提下，招标人应对中标人的</w:t>
      </w:r>
      <w:r>
        <w:rPr>
          <w:rFonts w:hint="eastAsia" w:ascii="宋体" w:hAnsi="宋体" w:eastAsia="宋体" w:cs="宋体"/>
          <w:b/>
          <w:bCs/>
          <w:color w:val="000000" w:themeColor="text1"/>
          <w:spacing w:val="-3"/>
          <w:sz w:val="24"/>
          <w:szCs w:val="24"/>
          <w:highlight w:val="none"/>
          <w14:textFill>
            <w14:solidFill>
              <w14:schemeClr w14:val="tx1"/>
            </w14:solidFill>
          </w14:textFill>
        </w:rPr>
        <w:t>投标报价进行全面分析和整理，从而发现并提取其中可能存在的算术性错误、错漏项、不平衡报价等不正常报价，并修正其中的算术性错误。</w:t>
      </w:r>
      <w:r>
        <w:rPr>
          <w:rFonts w:hint="eastAsia" w:ascii="宋体" w:hAnsi="宋体" w:eastAsia="宋体" w:cs="宋体"/>
          <w:color w:val="000000" w:themeColor="text1"/>
          <w:spacing w:val="-3"/>
          <w:sz w:val="24"/>
          <w:szCs w:val="24"/>
          <w:highlight w:val="none"/>
          <w14:textFill>
            <w14:solidFill>
              <w14:schemeClr w14:val="tx1"/>
            </w14:solidFill>
          </w14:textFill>
        </w:rPr>
        <w:t>招标人不具备</w:t>
      </w:r>
      <w:r>
        <w:rPr>
          <w:rFonts w:hint="eastAsia" w:ascii="宋体" w:hAnsi="宋体" w:eastAsia="宋体" w:cs="宋体"/>
          <w:color w:val="000000" w:themeColor="text1"/>
          <w:spacing w:val="-4"/>
          <w:sz w:val="24"/>
          <w:szCs w:val="24"/>
          <w:highlight w:val="none"/>
          <w14:textFill>
            <w14:solidFill>
              <w14:schemeClr w14:val="tx1"/>
            </w14:solidFill>
          </w14:textFill>
        </w:rPr>
        <w:t>以上能力的，可授</w:t>
      </w:r>
      <w:r>
        <w:rPr>
          <w:rFonts w:hint="eastAsia" w:ascii="宋体" w:hAnsi="宋体" w:eastAsia="宋体" w:cs="宋体"/>
          <w:color w:val="000000" w:themeColor="text1"/>
          <w:spacing w:val="-1"/>
          <w:sz w:val="24"/>
          <w:szCs w:val="24"/>
          <w:highlight w:val="none"/>
          <w14:textFill>
            <w14:solidFill>
              <w14:schemeClr w14:val="tx1"/>
            </w14:solidFill>
          </w14:textFill>
        </w:rPr>
        <w:t>权编制本项目招标控制价的造价咨询单位实施。</w:t>
      </w:r>
    </w:p>
    <w:p w14:paraId="0BF121F6">
      <w:pPr>
        <w:spacing w:before="121" w:line="309" w:lineRule="auto"/>
        <w:ind w:left="14" w:right="65" w:firstLine="4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4.2.2  </w:t>
      </w:r>
      <w:r>
        <w:rPr>
          <w:rFonts w:hint="eastAsia" w:ascii="宋体" w:hAnsi="宋体" w:eastAsia="宋体" w:cs="宋体"/>
          <w:color w:val="000000" w:themeColor="text1"/>
          <w:spacing w:val="2"/>
          <w:sz w:val="24"/>
          <w:szCs w:val="24"/>
          <w:highlight w:val="none"/>
          <w14:textFill>
            <w14:solidFill>
              <w14:schemeClr w14:val="tx1"/>
            </w14:solidFill>
          </w14:textFill>
        </w:rPr>
        <w:t>算术性错误的分析和修正。投标报价汇</w:t>
      </w:r>
      <w:r>
        <w:rPr>
          <w:rFonts w:hint="eastAsia" w:ascii="宋体" w:hAnsi="宋体" w:eastAsia="宋体" w:cs="宋体"/>
          <w:color w:val="000000" w:themeColor="text1"/>
          <w:spacing w:val="1"/>
          <w:sz w:val="24"/>
          <w:szCs w:val="24"/>
          <w:highlight w:val="none"/>
          <w14:textFill>
            <w14:solidFill>
              <w14:schemeClr w14:val="tx1"/>
            </w14:solidFill>
          </w14:textFill>
        </w:rPr>
        <w:t>总表中，投标总价与各分项费用之和</w:t>
      </w:r>
      <w:r>
        <w:rPr>
          <w:rFonts w:hint="eastAsia" w:ascii="宋体" w:hAnsi="宋体" w:eastAsia="宋体" w:cs="宋体"/>
          <w:color w:val="000000" w:themeColor="text1"/>
          <w:spacing w:val="-2"/>
          <w:sz w:val="24"/>
          <w:szCs w:val="24"/>
          <w:highlight w:val="none"/>
          <w14:textFill>
            <w14:solidFill>
              <w14:schemeClr w14:val="tx1"/>
            </w14:solidFill>
          </w14:textFill>
        </w:rPr>
        <w:t>不一致的，以投标总价为准修正分项费用；投标报价汇总表的各分项费用与对应分项表中的费用不一致的，以投标报价汇总表中的分项费用为准修正对应分项表中的费用；各</w:t>
      </w:r>
      <w:r>
        <w:rPr>
          <w:rFonts w:hint="eastAsia" w:ascii="宋体" w:hAnsi="宋体" w:eastAsia="宋体" w:cs="宋体"/>
          <w:color w:val="000000" w:themeColor="text1"/>
          <w:sz w:val="24"/>
          <w:szCs w:val="24"/>
          <w:highlight w:val="none"/>
          <w14:textFill>
            <w14:solidFill>
              <w14:schemeClr w14:val="tx1"/>
            </w14:solidFill>
          </w14:textFill>
        </w:rPr>
        <w:t>分项表中总价金额与依据单价计算出的结果不</w:t>
      </w:r>
      <w:r>
        <w:rPr>
          <w:rFonts w:hint="eastAsia" w:ascii="宋体" w:hAnsi="宋体" w:eastAsia="宋体" w:cs="宋体"/>
          <w:color w:val="000000" w:themeColor="text1"/>
          <w:spacing w:val="-1"/>
          <w:sz w:val="24"/>
          <w:szCs w:val="24"/>
          <w:highlight w:val="none"/>
          <w14:textFill>
            <w14:solidFill>
              <w14:schemeClr w14:val="tx1"/>
            </w14:solidFill>
          </w14:textFill>
        </w:rPr>
        <w:t>一致的，以总价为准修正单价。</w:t>
      </w:r>
    </w:p>
    <w:p w14:paraId="0D1041E0">
      <w:pPr>
        <w:spacing w:before="157" w:line="279" w:lineRule="auto"/>
        <w:ind w:left="12" w:right="66" w:firstLine="47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4.2.3  </w:t>
      </w:r>
      <w:r>
        <w:rPr>
          <w:rFonts w:hint="eastAsia" w:ascii="宋体" w:hAnsi="宋体" w:eastAsia="宋体" w:cs="宋体"/>
          <w:color w:val="000000" w:themeColor="text1"/>
          <w:spacing w:val="2"/>
          <w:sz w:val="24"/>
          <w:szCs w:val="24"/>
          <w:highlight w:val="none"/>
          <w14:textFill>
            <w14:solidFill>
              <w14:schemeClr w14:val="tx1"/>
            </w14:solidFill>
          </w14:textFill>
        </w:rPr>
        <w:t>错漏项的认定。中标人已标价工程量清</w:t>
      </w:r>
      <w:r>
        <w:rPr>
          <w:rFonts w:hint="eastAsia" w:ascii="宋体" w:hAnsi="宋体" w:eastAsia="宋体" w:cs="宋体"/>
          <w:color w:val="000000" w:themeColor="text1"/>
          <w:spacing w:val="1"/>
          <w:sz w:val="24"/>
          <w:szCs w:val="24"/>
          <w:highlight w:val="none"/>
          <w14:textFill>
            <w14:solidFill>
              <w14:schemeClr w14:val="tx1"/>
            </w14:solidFill>
          </w14:textFill>
        </w:rPr>
        <w:t>单中，任一清单项目未填报价格或价</w:t>
      </w:r>
      <w:r>
        <w:rPr>
          <w:rFonts w:hint="eastAsia" w:ascii="宋体" w:hAnsi="宋体" w:eastAsia="宋体" w:cs="宋体"/>
          <w:color w:val="000000" w:themeColor="text1"/>
          <w:spacing w:val="-1"/>
          <w:sz w:val="24"/>
          <w:szCs w:val="24"/>
          <w:highlight w:val="none"/>
          <w14:textFill>
            <w14:solidFill>
              <w14:schemeClr w14:val="tx1"/>
            </w14:solidFill>
          </w14:textFill>
        </w:rPr>
        <w:t>格为零的，视为错漏项。</w:t>
      </w:r>
    </w:p>
    <w:p w14:paraId="3A357F91">
      <w:pPr>
        <w:spacing w:before="121" w:line="360" w:lineRule="auto"/>
        <w:ind w:firstLine="49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4.2.4  </w:t>
      </w:r>
      <w:r>
        <w:rPr>
          <w:rFonts w:hint="eastAsia" w:ascii="宋体" w:hAnsi="宋体" w:eastAsia="宋体" w:cs="宋体"/>
          <w:color w:val="000000" w:themeColor="text1"/>
          <w:spacing w:val="2"/>
          <w:sz w:val="24"/>
          <w:szCs w:val="24"/>
          <w:highlight w:val="none"/>
          <w14:textFill>
            <w14:solidFill>
              <w14:schemeClr w14:val="tx1"/>
            </w14:solidFill>
          </w14:textFill>
        </w:rPr>
        <w:t>不平衡报价的认定。经修正算术性错误后的中标人已标价工程量清单中，</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对于投标报价中综合单价相对招标控制价《分部分项工程和单价措施项目清单与计价表》中对应综合单价的偏差大于±15% </w:t>
      </w:r>
      <w:r>
        <w:rPr>
          <w:rFonts w:hint="eastAsia" w:ascii="宋体" w:hAnsi="宋体" w:eastAsia="宋体" w:cs="宋体"/>
          <w:color w:val="000000" w:themeColor="text1"/>
          <w:spacing w:val="2"/>
          <w:sz w:val="24"/>
          <w:szCs w:val="24"/>
          <w:highlight w:val="none"/>
          <w:u w:val="none"/>
          <w14:textFill>
            <w14:solidFill>
              <w14:schemeClr w14:val="tx1"/>
            </w14:solidFill>
          </w14:textFill>
        </w:rPr>
        <w:t>的清</w:t>
      </w:r>
      <w:r>
        <w:rPr>
          <w:rFonts w:hint="eastAsia" w:ascii="宋体" w:hAnsi="宋体" w:eastAsia="宋体" w:cs="宋体"/>
          <w:color w:val="000000" w:themeColor="text1"/>
          <w:spacing w:val="-3"/>
          <w:sz w:val="24"/>
          <w:szCs w:val="24"/>
          <w:highlight w:val="none"/>
          <w:u w:val="none"/>
          <w14:textFill>
            <w14:solidFill>
              <w14:schemeClr w14:val="tx1"/>
            </w14:solidFill>
          </w14:textFill>
        </w:rPr>
        <w:t>单项目</w:t>
      </w:r>
      <w:r>
        <w:rPr>
          <w:rFonts w:hint="eastAsia" w:ascii="宋体" w:hAnsi="宋体" w:eastAsia="宋体" w:cs="宋体"/>
          <w:color w:val="000000" w:themeColor="text1"/>
          <w:spacing w:val="-3"/>
          <w:sz w:val="24"/>
          <w:szCs w:val="24"/>
          <w:highlight w:val="none"/>
          <w14:textFill>
            <w14:solidFill>
              <w14:schemeClr w14:val="tx1"/>
            </w14:solidFill>
          </w14:textFill>
        </w:rPr>
        <w:t>，视为不平衡报价项目。</w:t>
      </w:r>
    </w:p>
    <w:p w14:paraId="59BB732F">
      <w:pPr>
        <w:spacing w:before="146" w:line="330" w:lineRule="auto"/>
        <w:ind w:left="10" w:right="65" w:firstLine="47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4.2.5 </w:t>
      </w:r>
      <w:r>
        <w:rPr>
          <w:rFonts w:hint="eastAsia" w:ascii="宋体" w:hAnsi="宋体" w:eastAsia="宋体" w:cs="宋体"/>
          <w:color w:val="000000" w:themeColor="text1"/>
          <w:spacing w:val="-3"/>
          <w:sz w:val="24"/>
          <w:szCs w:val="24"/>
          <w:highlight w:val="none"/>
          <w14:textFill>
            <w14:solidFill>
              <w14:schemeClr w14:val="tx1"/>
            </w14:solidFill>
          </w14:textFill>
        </w:rPr>
        <w:t>施工合同签订前，招标人或其授权的造价咨询单位应就发现的以上所有不平衡报价进行修正，形成《不平衡报价修正报告》，并由招标人和中标人共同签章确认，构成施工合同的组成部分。</w:t>
      </w:r>
    </w:p>
    <w:p w14:paraId="1B35F881">
      <w:pPr>
        <w:spacing w:before="34" w:line="326" w:lineRule="auto"/>
        <w:ind w:left="12" w:right="65" w:firstLine="4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4.2.6 合同履行过程中，被认定为错漏项的清单项目，结算时按照第三章“拟签订</w:t>
      </w:r>
      <w:r>
        <w:rPr>
          <w:rFonts w:hint="eastAsia" w:ascii="宋体" w:hAnsi="宋体" w:eastAsia="宋体" w:cs="宋体"/>
          <w:b/>
          <w:bCs/>
          <w:color w:val="000000" w:themeColor="text1"/>
          <w:spacing w:val="-6"/>
          <w:sz w:val="24"/>
          <w:szCs w:val="24"/>
          <w:highlight w:val="none"/>
          <w14:textFill>
            <w14:solidFill>
              <w14:schemeClr w14:val="tx1"/>
            </w14:solidFill>
          </w14:textFill>
        </w:rPr>
        <w:t>合同的主要条款</w:t>
      </w:r>
      <w:r>
        <w:rPr>
          <w:rFonts w:hint="eastAsia" w:ascii="宋体" w:hAnsi="宋体" w:eastAsia="宋体" w:cs="宋体"/>
          <w:color w:val="000000" w:themeColor="text1"/>
          <w:spacing w:val="-77"/>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14:textFill>
            <w14:solidFill>
              <w14:schemeClr w14:val="tx1"/>
            </w14:solidFill>
          </w14:textFill>
        </w:rPr>
        <w:t>”规定处理。</w:t>
      </w:r>
    </w:p>
    <w:p w14:paraId="0A0FE849">
      <w:pPr>
        <w:spacing w:before="33" w:line="317" w:lineRule="auto"/>
        <w:ind w:left="12" w:right="38" w:firstLine="476"/>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4.2.7  合同履行过程中，合同约定的调</w:t>
      </w:r>
      <w:r>
        <w:rPr>
          <w:rFonts w:hint="eastAsia" w:ascii="宋体" w:hAnsi="宋体" w:eastAsia="宋体" w:cs="宋体"/>
          <w:b/>
          <w:bCs/>
          <w:color w:val="000000" w:themeColor="text1"/>
          <w:spacing w:val="-1"/>
          <w:sz w:val="24"/>
          <w:szCs w:val="24"/>
          <w:highlight w:val="none"/>
          <w14:textFill>
            <w14:solidFill>
              <w14:schemeClr w14:val="tx1"/>
            </w14:solidFill>
          </w14:textFill>
        </w:rPr>
        <w:t>整因素（如工程量偏差、工程变更、项目特</w:t>
      </w:r>
      <w:r>
        <w:rPr>
          <w:rFonts w:hint="eastAsia" w:ascii="宋体" w:hAnsi="宋体" w:eastAsia="宋体" w:cs="宋体"/>
          <w:b/>
          <w:bCs/>
          <w:color w:val="000000" w:themeColor="text1"/>
          <w:spacing w:val="-4"/>
          <w:sz w:val="24"/>
          <w:szCs w:val="24"/>
          <w:highlight w:val="none"/>
          <w14:textFill>
            <w14:solidFill>
              <w14:schemeClr w14:val="tx1"/>
            </w14:solidFill>
          </w14:textFill>
        </w:rPr>
        <w:t>征不符、招标工程量清单缺项等）出现时，被认定为不平衡报价的清单项目以及</w:t>
      </w:r>
      <w:r>
        <w:rPr>
          <w:rFonts w:hint="eastAsia" w:ascii="宋体" w:hAnsi="宋体" w:eastAsia="宋体" w:cs="宋体"/>
          <w:b/>
          <w:bCs/>
          <w:color w:val="000000" w:themeColor="text1"/>
          <w:spacing w:val="-5"/>
          <w:sz w:val="24"/>
          <w:szCs w:val="24"/>
          <w:highlight w:val="none"/>
          <w14:textFill>
            <w14:solidFill>
              <w14:schemeClr w14:val="tx1"/>
            </w14:solidFill>
          </w14:textFill>
        </w:rPr>
        <w:t>采用被</w:t>
      </w:r>
      <w:r>
        <w:rPr>
          <w:rFonts w:hint="eastAsia" w:ascii="宋体" w:hAnsi="宋体" w:eastAsia="宋体" w:cs="宋体"/>
          <w:b/>
          <w:bCs/>
          <w:color w:val="000000" w:themeColor="text1"/>
          <w:spacing w:val="-3"/>
          <w:sz w:val="24"/>
          <w:szCs w:val="24"/>
          <w:highlight w:val="none"/>
          <w14:textFill>
            <w14:solidFill>
              <w14:schemeClr w14:val="tx1"/>
            </w14:solidFill>
          </w14:textFill>
        </w:rPr>
        <w:t>认定为不平衡报价的清单项目的价格作为取价（或参照取</w:t>
      </w:r>
      <w:r>
        <w:rPr>
          <w:rFonts w:hint="eastAsia" w:ascii="宋体" w:hAnsi="宋体" w:eastAsia="宋体" w:cs="宋体"/>
          <w:b/>
          <w:bCs/>
          <w:color w:val="000000" w:themeColor="text1"/>
          <w:spacing w:val="-4"/>
          <w:sz w:val="24"/>
          <w:szCs w:val="24"/>
          <w:highlight w:val="none"/>
          <w14:textFill>
            <w14:solidFill>
              <w14:schemeClr w14:val="tx1"/>
            </w14:solidFill>
          </w14:textFill>
        </w:rPr>
        <w:t>价）依据的变更、新增项目，</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14:textFill>
            <w14:solidFill>
              <w14:schemeClr w14:val="tx1"/>
            </w14:solidFill>
          </w14:textFill>
        </w:rPr>
        <w:t>按照第三章“拟签订合同的主要条款</w:t>
      </w:r>
      <w:r>
        <w:rPr>
          <w:rFonts w:hint="eastAsia" w:ascii="宋体" w:hAnsi="宋体" w:eastAsia="宋体" w:cs="宋体"/>
          <w:color w:val="000000" w:themeColor="text1"/>
          <w:spacing w:val="-86"/>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14:textFill>
            <w14:solidFill>
              <w14:schemeClr w14:val="tx1"/>
            </w14:solidFill>
          </w14:textFill>
        </w:rPr>
        <w:t>”有关规定调整</w:t>
      </w:r>
      <w:r>
        <w:rPr>
          <w:rFonts w:hint="eastAsia" w:ascii="宋体" w:hAnsi="宋体" w:eastAsia="宋体" w:cs="宋体"/>
          <w:b/>
          <w:bCs/>
          <w:color w:val="000000" w:themeColor="text1"/>
          <w:spacing w:val="-4"/>
          <w:sz w:val="24"/>
          <w:szCs w:val="24"/>
          <w:highlight w:val="none"/>
          <w14:textFill>
            <w14:solidFill>
              <w14:schemeClr w14:val="tx1"/>
            </w14:solidFill>
          </w14:textFill>
        </w:rPr>
        <w:t>合同价款。</w:t>
      </w:r>
    </w:p>
    <w:p w14:paraId="4C2BA967">
      <w:pPr>
        <w:spacing w:before="87" w:line="276" w:lineRule="auto"/>
        <w:ind w:left="48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4.3  </w:t>
      </w:r>
      <w:r>
        <w:rPr>
          <w:rFonts w:hint="eastAsia" w:ascii="宋体" w:hAnsi="宋体" w:eastAsia="宋体" w:cs="宋体"/>
          <w:color w:val="000000" w:themeColor="text1"/>
          <w:sz w:val="24"/>
          <w:szCs w:val="24"/>
          <w:highlight w:val="none"/>
          <w14:textFill>
            <w14:solidFill>
              <w14:schemeClr w14:val="tx1"/>
            </w14:solidFill>
          </w14:textFill>
        </w:rPr>
        <w:t>本招标项目合同计价方式为：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单价 </w:t>
      </w:r>
      <w:r>
        <w:rPr>
          <w:rFonts w:hint="eastAsia" w:ascii="宋体" w:hAnsi="宋体" w:eastAsia="宋体" w:cs="宋体"/>
          <w:color w:val="000000" w:themeColor="text1"/>
          <w:spacing w:val="-1"/>
          <w:sz w:val="24"/>
          <w:szCs w:val="24"/>
          <w:highlight w:val="none"/>
          <w14:textFill>
            <w14:solidFill>
              <w14:schemeClr w14:val="tx1"/>
            </w14:solidFill>
          </w14:textFill>
        </w:rPr>
        <w:t>合同。</w:t>
      </w:r>
    </w:p>
    <w:p w14:paraId="7AD8D0F4">
      <w:pPr>
        <w:spacing w:before="120" w:line="298" w:lineRule="auto"/>
        <w:ind w:left="11" w:right="28" w:firstLine="47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14:textFill>
            <w14:solidFill>
              <w14:schemeClr w14:val="tx1"/>
            </w14:solidFill>
          </w14:textFill>
        </w:rPr>
        <w:t xml:space="preserve">4.4  </w:t>
      </w:r>
      <w:r>
        <w:rPr>
          <w:rFonts w:hint="eastAsia" w:ascii="宋体" w:hAnsi="宋体" w:eastAsia="宋体" w:cs="宋体"/>
          <w:color w:val="000000" w:themeColor="text1"/>
          <w:spacing w:val="-4"/>
          <w:sz w:val="24"/>
          <w:szCs w:val="24"/>
          <w:highlight w:val="none"/>
          <w14:textFill>
            <w14:solidFill>
              <w14:schemeClr w14:val="tx1"/>
            </w14:solidFill>
          </w14:textFill>
        </w:rPr>
        <w:t>合同的标的、质量、履行期限条款和合同的价款、单</w:t>
      </w:r>
      <w:r>
        <w:rPr>
          <w:rFonts w:hint="eastAsia" w:ascii="宋体" w:hAnsi="宋体" w:eastAsia="宋体" w:cs="宋体"/>
          <w:color w:val="000000" w:themeColor="text1"/>
          <w:spacing w:val="-5"/>
          <w:sz w:val="24"/>
          <w:szCs w:val="24"/>
          <w:highlight w:val="none"/>
          <w14:textFill>
            <w14:solidFill>
              <w14:schemeClr w14:val="tx1"/>
            </w14:solidFill>
          </w14:textFill>
        </w:rPr>
        <w:t>价、比例条款等主要条款，</w:t>
      </w:r>
      <w:r>
        <w:rPr>
          <w:rFonts w:hint="eastAsia" w:ascii="宋体" w:hAnsi="宋体" w:eastAsia="宋体" w:cs="宋体"/>
          <w:color w:val="000000" w:themeColor="text1"/>
          <w:spacing w:val="-2"/>
          <w:sz w:val="24"/>
          <w:szCs w:val="24"/>
          <w:highlight w:val="none"/>
          <w14:textFill>
            <w14:solidFill>
              <w14:schemeClr w14:val="tx1"/>
            </w14:solidFill>
          </w14:textFill>
        </w:rPr>
        <w:t>应当与招标文件、中标人的投标文件的内容一致。中标人在签订合同时不得向招标人提出附加条件。</w:t>
      </w:r>
    </w:p>
    <w:p w14:paraId="77C16957">
      <w:pPr>
        <w:spacing w:before="158" w:line="298" w:lineRule="auto"/>
        <w:ind w:left="12" w:right="91" w:firstLine="47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4.5  </w:t>
      </w:r>
      <w:r>
        <w:rPr>
          <w:rFonts w:hint="eastAsia" w:ascii="宋体" w:hAnsi="宋体" w:eastAsia="宋体" w:cs="宋体"/>
          <w:color w:val="000000" w:themeColor="text1"/>
          <w:spacing w:val="-3"/>
          <w:sz w:val="24"/>
          <w:szCs w:val="24"/>
          <w:highlight w:val="none"/>
          <w14:textFill>
            <w14:solidFill>
              <w14:schemeClr w14:val="tx1"/>
            </w14:solidFill>
          </w14:textFill>
        </w:rPr>
        <w:t>若中标人在领取中标通知书之日起</w:t>
      </w:r>
      <w:r>
        <w:rPr>
          <w:rFonts w:hint="eastAsia" w:ascii="宋体" w:hAnsi="宋体" w:eastAsia="宋体" w:cs="宋体"/>
          <w:color w:val="000000" w:themeColor="text1"/>
          <w:spacing w:val="-5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30</w:t>
      </w:r>
      <w:r>
        <w:rPr>
          <w:rFonts w:hint="eastAsia" w:ascii="宋体" w:hAnsi="宋体" w:eastAsia="宋体" w:cs="宋体"/>
          <w:color w:val="000000" w:themeColor="text1"/>
          <w:spacing w:val="1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天内仍未签订合同，招标人发出第一次提</w:t>
      </w:r>
      <w:r>
        <w:rPr>
          <w:rFonts w:hint="eastAsia" w:ascii="宋体" w:hAnsi="宋体" w:eastAsia="宋体" w:cs="宋体"/>
          <w:color w:val="000000" w:themeColor="text1"/>
          <w:spacing w:val="1"/>
          <w:sz w:val="24"/>
          <w:szCs w:val="24"/>
          <w:highlight w:val="none"/>
          <w14:textFill>
            <w14:solidFill>
              <w14:schemeClr w14:val="tx1"/>
            </w14:solidFill>
          </w14:textFill>
        </w:rPr>
        <w:t>醒函；在领取中标通知书之日起</w:t>
      </w:r>
      <w:r>
        <w:rPr>
          <w:rFonts w:hint="eastAsia" w:ascii="宋体" w:hAnsi="宋体" w:eastAsia="宋体" w:cs="宋体"/>
          <w:color w:val="000000" w:themeColor="text1"/>
          <w:spacing w:val="-5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40</w:t>
      </w:r>
      <w:r>
        <w:rPr>
          <w:rFonts w:hint="eastAsia" w:ascii="宋体" w:hAnsi="宋体" w:eastAsia="宋体" w:cs="宋体"/>
          <w:color w:val="000000" w:themeColor="text1"/>
          <w:spacing w:val="1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天内仍未签订，招标人发出第二次提醒函；在</w:t>
      </w:r>
      <w:r>
        <w:rPr>
          <w:rFonts w:hint="eastAsia" w:ascii="宋体" w:hAnsi="宋体" w:eastAsia="宋体" w:cs="宋体"/>
          <w:color w:val="000000" w:themeColor="text1"/>
          <w:sz w:val="24"/>
          <w:szCs w:val="24"/>
          <w:highlight w:val="none"/>
          <w14:textFill>
            <w14:solidFill>
              <w14:schemeClr w14:val="tx1"/>
            </w14:solidFill>
          </w14:textFill>
        </w:rPr>
        <w:t>领取</w:t>
      </w:r>
      <w:r>
        <w:rPr>
          <w:rFonts w:hint="eastAsia" w:ascii="宋体" w:hAnsi="宋体" w:eastAsia="宋体" w:cs="宋体"/>
          <w:color w:val="000000" w:themeColor="text1"/>
          <w:spacing w:val="-1"/>
          <w:sz w:val="24"/>
          <w:szCs w:val="24"/>
          <w:highlight w:val="none"/>
          <w14:textFill>
            <w14:solidFill>
              <w14:schemeClr w14:val="tx1"/>
            </w14:solidFill>
          </w14:textFill>
        </w:rPr>
        <w:t>中标通知书之日起</w:t>
      </w:r>
      <w:r>
        <w:rPr>
          <w:rFonts w:hint="eastAsia" w:ascii="宋体" w:hAnsi="宋体" w:eastAsia="宋体" w:cs="宋体"/>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45 天内仍未签订，视其放弃中标。</w:t>
      </w:r>
    </w:p>
    <w:p w14:paraId="3235BDE2">
      <w:pPr>
        <w:spacing w:before="155" w:line="299" w:lineRule="auto"/>
        <w:ind w:left="12" w:right="82" w:firstLine="47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4.6  </w:t>
      </w:r>
      <w:r>
        <w:rPr>
          <w:rFonts w:hint="eastAsia" w:ascii="宋体" w:hAnsi="宋体" w:eastAsia="宋体" w:cs="宋体"/>
          <w:color w:val="000000" w:themeColor="text1"/>
          <w:sz w:val="24"/>
          <w:szCs w:val="24"/>
          <w:highlight w:val="none"/>
          <w14:textFill>
            <w14:solidFill>
              <w14:schemeClr w14:val="tx1"/>
            </w14:solidFill>
          </w14:textFill>
        </w:rPr>
        <w:t>在书面合同订立之日起</w:t>
      </w:r>
      <w:r>
        <w:rPr>
          <w:rFonts w:hint="eastAsia" w:ascii="宋体" w:hAnsi="宋体" w:eastAsia="宋体" w:cs="宋体"/>
          <w:color w:val="000000" w:themeColor="text1"/>
          <w:spacing w:val="-55"/>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 个工作日内，由中标人或招标代理机构将合同上传至</w:t>
      </w:r>
      <w:r>
        <w:rPr>
          <w:rFonts w:hint="eastAsia" w:ascii="宋体" w:hAnsi="宋体" w:eastAsia="宋体" w:cs="宋体"/>
          <w:color w:val="000000" w:themeColor="text1"/>
          <w:spacing w:val="-2"/>
          <w:sz w:val="24"/>
          <w:szCs w:val="24"/>
          <w:highlight w:val="none"/>
          <w14:textFill>
            <w14:solidFill>
              <w14:schemeClr w14:val="tx1"/>
            </w14:solidFill>
          </w14:textFill>
        </w:rPr>
        <w:t>建设工程交易系统，并发起退还投标保证的申请。韶关市公共资源交易中心在收到申请之日起</w:t>
      </w:r>
      <w:r>
        <w:rPr>
          <w:rFonts w:hint="eastAsia" w:ascii="宋体" w:hAnsi="宋体" w:eastAsia="宋体" w:cs="宋体"/>
          <w:color w:val="000000" w:themeColor="text1"/>
          <w:spacing w:val="-3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3 个工作日内，将投标保证金（或银行保函）退还给中标人和其他中标候选人。</w:t>
      </w:r>
    </w:p>
    <w:p w14:paraId="1D51752E">
      <w:pPr>
        <w:spacing w:before="78" w:line="220" w:lineRule="auto"/>
        <w:ind w:left="489"/>
        <w:outlineLvl w:val="2"/>
        <w:rPr>
          <w:rFonts w:hint="eastAsia" w:ascii="宋体" w:hAnsi="宋体" w:eastAsia="宋体" w:cs="宋体"/>
          <w:color w:val="000000" w:themeColor="text1"/>
          <w:sz w:val="24"/>
          <w:szCs w:val="24"/>
          <w:highlight w:val="none"/>
          <w14:textFill>
            <w14:solidFill>
              <w14:schemeClr w14:val="tx1"/>
            </w14:solidFill>
          </w14:textFill>
        </w:rPr>
      </w:pPr>
      <w:bookmarkStart w:id="160" w:name="_Toc15277"/>
      <w:r>
        <w:rPr>
          <w:rFonts w:hint="eastAsia" w:ascii="宋体" w:hAnsi="宋体" w:eastAsia="宋体" w:cs="宋体"/>
          <w:b/>
          <w:bCs/>
          <w:color w:val="000000" w:themeColor="text1"/>
          <w:spacing w:val="-6"/>
          <w:sz w:val="24"/>
          <w:szCs w:val="24"/>
          <w:highlight w:val="none"/>
          <w14:textFill>
            <w14:solidFill>
              <w14:schemeClr w14:val="tx1"/>
            </w14:solidFill>
          </w14:textFill>
        </w:rPr>
        <w:t>5</w:t>
      </w:r>
      <w:r>
        <w:rPr>
          <w:rFonts w:hint="eastAsia" w:ascii="宋体" w:hAnsi="宋体" w:eastAsia="宋体" w:cs="宋体"/>
          <w:b/>
          <w:bCs/>
          <w:color w:val="000000" w:themeColor="text1"/>
          <w:spacing w:val="-29"/>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14:textFill>
            <w14:solidFill>
              <w14:schemeClr w14:val="tx1"/>
            </w14:solidFill>
          </w14:textFill>
        </w:rPr>
        <w:t>．放弃中标的处理</w:t>
      </w:r>
      <w:bookmarkEnd w:id="160"/>
    </w:p>
    <w:p w14:paraId="18C72D34">
      <w:pPr>
        <w:spacing w:before="150" w:line="319" w:lineRule="auto"/>
        <w:ind w:left="12" w:right="91" w:firstLine="47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5.1</w:t>
      </w:r>
      <w:r>
        <w:rPr>
          <w:rFonts w:hint="eastAsia" w:ascii="宋体" w:hAnsi="宋体" w:eastAsia="宋体" w:cs="宋体"/>
          <w:b/>
          <w:bCs/>
          <w:color w:val="000000" w:themeColor="text1"/>
          <w:spacing w:val="19"/>
          <w:w w:val="10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中标人无正当理由放弃中标的，取消其中标资格，其投标保证不予退还，给招</w:t>
      </w:r>
      <w:r>
        <w:rPr>
          <w:rFonts w:hint="eastAsia" w:ascii="宋体" w:hAnsi="宋体" w:eastAsia="宋体" w:cs="宋体"/>
          <w:color w:val="000000" w:themeColor="text1"/>
          <w:spacing w:val="-2"/>
          <w:sz w:val="24"/>
          <w:szCs w:val="24"/>
          <w:highlight w:val="none"/>
          <w14:textFill>
            <w14:solidFill>
              <w14:schemeClr w14:val="tx1"/>
            </w14:solidFill>
          </w14:textFill>
        </w:rPr>
        <w:t>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因此种情况造成</w:t>
      </w:r>
      <w:r>
        <w:rPr>
          <w:rFonts w:hint="eastAsia" w:ascii="宋体" w:hAnsi="宋体" w:eastAsia="宋体" w:cs="宋体"/>
          <w:color w:val="000000" w:themeColor="text1"/>
          <w:spacing w:val="1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招标人重新招标的，招标人可不接受该弃标人再次投标。同时，</w:t>
      </w:r>
      <w:r>
        <w:rPr>
          <w:rFonts w:hint="eastAsia" w:ascii="宋体" w:hAnsi="宋体" w:eastAsia="宋体" w:cs="宋体"/>
          <w:b/>
          <w:bCs/>
          <w:color w:val="000000" w:themeColor="text1"/>
          <w:spacing w:val="-2"/>
          <w:sz w:val="24"/>
          <w:szCs w:val="24"/>
          <w:highlight w:val="none"/>
          <w14:textFill>
            <w14:solidFill>
              <w14:schemeClr w14:val="tx1"/>
            </w14:solidFill>
          </w14:textFill>
        </w:rPr>
        <w:t>招</w:t>
      </w:r>
      <w:r>
        <w:rPr>
          <w:rFonts w:hint="eastAsia" w:ascii="宋体" w:hAnsi="宋体" w:eastAsia="宋体" w:cs="宋体"/>
          <w:b/>
          <w:bCs/>
          <w:color w:val="000000" w:themeColor="text1"/>
          <w:spacing w:val="-3"/>
          <w:sz w:val="24"/>
          <w:szCs w:val="24"/>
          <w:highlight w:val="none"/>
          <w14:textFill>
            <w14:solidFill>
              <w14:schemeClr w14:val="tx1"/>
            </w14:solidFill>
          </w14:textFill>
        </w:rPr>
        <w:t>标人应将该弃标人的失信行为向行政监督部门报告。</w:t>
      </w:r>
    </w:p>
    <w:p w14:paraId="339D148C">
      <w:pPr>
        <w:spacing w:before="79" w:line="298" w:lineRule="auto"/>
        <w:ind w:left="10" w:right="91" w:firstLine="479"/>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b/>
          <w:bCs/>
          <w:color w:val="000000" w:themeColor="text1"/>
          <w:spacing w:val="-5"/>
          <w:sz w:val="24"/>
          <w:szCs w:val="24"/>
          <w:highlight w:val="none"/>
          <w14:textFill>
            <w14:solidFill>
              <w14:schemeClr w14:val="tx1"/>
            </w14:solidFill>
          </w14:textFill>
        </w:rPr>
        <w:t>5.2</w:t>
      </w:r>
      <w:r>
        <w:rPr>
          <w:rFonts w:hint="eastAsia" w:ascii="宋体" w:hAnsi="宋体" w:eastAsia="宋体" w:cs="宋体"/>
          <w:b/>
          <w:bCs/>
          <w:color w:val="000000" w:themeColor="text1"/>
          <w:spacing w:val="1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中标人因不可抗力提出不能履行合同的，须在领取中标通知书之日起</w:t>
      </w:r>
      <w:r>
        <w:rPr>
          <w:rFonts w:hint="eastAsia" w:ascii="宋体" w:hAnsi="宋体" w:eastAsia="宋体" w:cs="宋体"/>
          <w:color w:val="000000" w:themeColor="text1"/>
          <w:spacing w:val="-3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10</w:t>
      </w:r>
      <w:r>
        <w:rPr>
          <w:rFonts w:hint="eastAsia" w:ascii="宋体" w:hAnsi="宋体" w:eastAsia="宋体" w:cs="宋体"/>
          <w:color w:val="000000" w:themeColor="text1"/>
          <w:spacing w:val="1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天</w:t>
      </w:r>
      <w:r>
        <w:rPr>
          <w:rFonts w:hint="eastAsia" w:ascii="宋体" w:hAnsi="宋体" w:eastAsia="宋体" w:cs="宋体"/>
          <w:color w:val="000000" w:themeColor="text1"/>
          <w:spacing w:val="-6"/>
          <w:sz w:val="24"/>
          <w:szCs w:val="24"/>
          <w:highlight w:val="none"/>
          <w14:textFill>
            <w14:solidFill>
              <w14:schemeClr w14:val="tx1"/>
            </w14:solidFill>
          </w14:textFill>
        </w:rPr>
        <w:t>内提</w:t>
      </w:r>
      <w:r>
        <w:rPr>
          <w:rFonts w:hint="eastAsia" w:ascii="宋体" w:hAnsi="宋体" w:eastAsia="宋体" w:cs="宋体"/>
          <w:color w:val="000000" w:themeColor="text1"/>
          <w:spacing w:val="-2"/>
          <w:sz w:val="24"/>
          <w:szCs w:val="24"/>
          <w:highlight w:val="none"/>
          <w14:textFill>
            <w14:solidFill>
              <w14:schemeClr w14:val="tx1"/>
            </w14:solidFill>
          </w14:textFill>
        </w:rPr>
        <w:t>供有关证明文件或资料，其投标保证予以退还，招标人可按照评标委员会提出的中标候选人名单排序依次确定其他中标候选人为中标人。如果招标人认为其他中标候选人的条</w:t>
      </w:r>
    </w:p>
    <w:p w14:paraId="0C97F14D">
      <w:pPr>
        <w:spacing w:before="79" w:line="298" w:lineRule="auto"/>
        <w:ind w:right="91"/>
        <w:rPr>
          <w:rFonts w:hint="eastAsia" w:ascii="宋体" w:hAnsi="宋体" w:eastAsia="宋体" w:cs="宋体"/>
          <w:color w:val="000000" w:themeColor="text1"/>
          <w:sz w:val="24"/>
          <w:szCs w:val="24"/>
          <w:highlight w:val="none"/>
          <w14:textFill>
            <w14:solidFill>
              <w14:schemeClr w14:val="tx1"/>
            </w14:solidFill>
          </w14:textFill>
        </w:rPr>
      </w:pPr>
      <w:bookmarkStart w:id="161" w:name="bookmark84"/>
      <w:bookmarkEnd w:id="161"/>
      <w:r>
        <w:rPr>
          <w:rFonts w:hint="eastAsia" w:ascii="宋体" w:hAnsi="宋体" w:eastAsia="宋体" w:cs="宋体"/>
          <w:color w:val="000000" w:themeColor="text1"/>
          <w:spacing w:val="-2"/>
          <w:sz w:val="24"/>
          <w:szCs w:val="24"/>
          <w:highlight w:val="none"/>
          <w14:textFill>
            <w14:solidFill>
              <w14:schemeClr w14:val="tx1"/>
            </w14:solidFill>
          </w14:textFill>
        </w:rPr>
        <w:t>件明显不利于招标人的，也可以重新招标</w:t>
      </w:r>
      <w:r>
        <w:rPr>
          <w:rFonts w:hint="eastAsia" w:ascii="宋体" w:hAnsi="宋体" w:eastAsia="宋体" w:cs="宋体"/>
          <w:color w:val="000000" w:themeColor="text1"/>
          <w:spacing w:val="-1"/>
          <w:sz w:val="24"/>
          <w:szCs w:val="24"/>
          <w:highlight w:val="none"/>
          <w14:textFill>
            <w14:solidFill>
              <w14:schemeClr w14:val="tx1"/>
            </w14:solidFill>
          </w14:textFill>
        </w:rPr>
        <w:t>。</w:t>
      </w:r>
    </w:p>
    <w:p w14:paraId="01B074AE">
      <w:pPr>
        <w:pStyle w:val="11"/>
        <w:rPr>
          <w:rFonts w:hint="eastAsia" w:ascii="宋体" w:hAnsi="宋体" w:eastAsia="宋体" w:cs="宋体"/>
          <w:color w:val="000000" w:themeColor="text1"/>
          <w:highlight w:val="none"/>
          <w14:textFill>
            <w14:solidFill>
              <w14:schemeClr w14:val="tx1"/>
            </w14:solidFill>
          </w14:textFill>
        </w:rPr>
        <w:sectPr>
          <w:footerReference r:id="rId13"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3622B001">
      <w:pPr>
        <w:spacing w:before="78" w:line="219" w:lineRule="auto"/>
        <w:ind w:left="2923"/>
        <w:outlineLvl w:val="0"/>
        <w:rPr>
          <w:rFonts w:hint="eastAsia" w:ascii="宋体" w:hAnsi="宋体" w:eastAsia="宋体" w:cs="宋体"/>
          <w:color w:val="000000" w:themeColor="text1"/>
          <w:sz w:val="24"/>
          <w:szCs w:val="24"/>
          <w:highlight w:val="none"/>
          <w14:textFill>
            <w14:solidFill>
              <w14:schemeClr w14:val="tx1"/>
            </w14:solidFill>
          </w14:textFill>
        </w:rPr>
      </w:pPr>
      <w:bookmarkStart w:id="162" w:name="bookmark86"/>
      <w:bookmarkEnd w:id="162"/>
      <w:bookmarkStart w:id="163" w:name="_Toc28650"/>
      <w:r>
        <w:rPr>
          <w:rFonts w:hint="eastAsia" w:ascii="宋体" w:hAnsi="宋体" w:eastAsia="宋体" w:cs="宋体"/>
          <w:b/>
          <w:bCs/>
          <w:color w:val="000000" w:themeColor="text1"/>
          <w:spacing w:val="-3"/>
          <w:sz w:val="24"/>
          <w:szCs w:val="24"/>
          <w:highlight w:val="none"/>
          <w14:textFill>
            <w14:solidFill>
              <w14:schemeClr w14:val="tx1"/>
            </w14:solidFill>
          </w14:textFill>
        </w:rPr>
        <w:t>第三章</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14:textFill>
            <w14:solidFill>
              <w14:schemeClr w14:val="tx1"/>
            </w14:solidFill>
          </w14:textFill>
        </w:rPr>
        <w:t>拟签订合同的主要条款</w:t>
      </w:r>
      <w:bookmarkEnd w:id="163"/>
    </w:p>
    <w:p w14:paraId="0B04D162">
      <w:pPr>
        <w:pStyle w:val="5"/>
        <w:spacing w:line="257" w:lineRule="auto"/>
        <w:rPr>
          <w:rFonts w:hint="eastAsia" w:ascii="宋体" w:hAnsi="宋体" w:eastAsia="宋体" w:cs="宋体"/>
          <w:color w:val="000000" w:themeColor="text1"/>
          <w:highlight w:val="none"/>
          <w14:textFill>
            <w14:solidFill>
              <w14:schemeClr w14:val="tx1"/>
            </w14:solidFill>
          </w14:textFill>
        </w:rPr>
      </w:pPr>
    </w:p>
    <w:p w14:paraId="0B370127">
      <w:pPr>
        <w:pStyle w:val="5"/>
        <w:spacing w:line="257" w:lineRule="auto"/>
        <w:rPr>
          <w:rFonts w:hint="eastAsia" w:ascii="宋体" w:hAnsi="宋体" w:eastAsia="宋体" w:cs="宋体"/>
          <w:color w:val="000000" w:themeColor="text1"/>
          <w:highlight w:val="none"/>
          <w14:textFill>
            <w14:solidFill>
              <w14:schemeClr w14:val="tx1"/>
            </w14:solidFill>
          </w14:textFill>
        </w:rPr>
      </w:pPr>
    </w:p>
    <w:p w14:paraId="6F61A5A1">
      <w:pPr>
        <w:spacing w:before="78" w:line="220" w:lineRule="auto"/>
        <w:ind w:left="498"/>
        <w:outlineLvl w:val="2"/>
        <w:rPr>
          <w:rFonts w:hint="eastAsia" w:ascii="宋体" w:hAnsi="宋体" w:eastAsia="宋体" w:cs="宋体"/>
          <w:color w:val="000000" w:themeColor="text1"/>
          <w:sz w:val="24"/>
          <w:szCs w:val="24"/>
          <w:highlight w:val="none"/>
          <w14:textFill>
            <w14:solidFill>
              <w14:schemeClr w14:val="tx1"/>
            </w14:solidFill>
          </w14:textFill>
        </w:rPr>
      </w:pPr>
      <w:bookmarkStart w:id="164" w:name="_Toc11124"/>
      <w:r>
        <w:rPr>
          <w:rFonts w:hint="eastAsia" w:ascii="宋体" w:hAnsi="宋体" w:eastAsia="宋体" w:cs="宋体"/>
          <w:b/>
          <w:bCs/>
          <w:color w:val="000000" w:themeColor="text1"/>
          <w:spacing w:val="-8"/>
          <w:sz w:val="24"/>
          <w:szCs w:val="24"/>
          <w:highlight w:val="none"/>
          <w14:textFill>
            <w14:solidFill>
              <w14:schemeClr w14:val="tx1"/>
            </w14:solidFill>
          </w14:textFill>
        </w:rPr>
        <w:t>1</w:t>
      </w:r>
      <w:r>
        <w:rPr>
          <w:rFonts w:hint="eastAsia" w:ascii="宋体" w:hAnsi="宋体" w:eastAsia="宋体" w:cs="宋体"/>
          <w:b/>
          <w:bCs/>
          <w:color w:val="000000" w:themeColor="text1"/>
          <w:spacing w:val="-26"/>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14:textFill>
            <w14:solidFill>
              <w14:schemeClr w14:val="tx1"/>
            </w14:solidFill>
          </w14:textFill>
        </w:rPr>
        <w:t>．工程承包方式</w:t>
      </w:r>
      <w:bookmarkEnd w:id="164"/>
    </w:p>
    <w:p w14:paraId="68DBE4BA">
      <w:pPr>
        <w:spacing w:before="153" w:line="299" w:lineRule="auto"/>
        <w:ind w:left="11" w:right="295" w:firstLine="48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1.1  </w:t>
      </w:r>
      <w:r>
        <w:rPr>
          <w:rFonts w:hint="eastAsia" w:ascii="宋体" w:hAnsi="宋体" w:eastAsia="宋体" w:cs="宋体"/>
          <w:color w:val="000000" w:themeColor="text1"/>
          <w:sz w:val="24"/>
          <w:szCs w:val="24"/>
          <w:highlight w:val="none"/>
          <w14:textFill>
            <w14:solidFill>
              <w14:schemeClr w14:val="tx1"/>
            </w14:solidFill>
          </w14:textFill>
        </w:rPr>
        <w:t>承包人以中标价按包工包料、包质量、包安全包文明施工、包工期</w:t>
      </w:r>
      <w:r>
        <w:rPr>
          <w:rFonts w:hint="eastAsia" w:ascii="宋体" w:hAnsi="宋体" w:eastAsia="宋体" w:cs="宋体"/>
          <w:color w:val="000000" w:themeColor="text1"/>
          <w:spacing w:val="-1"/>
          <w:sz w:val="24"/>
          <w:szCs w:val="24"/>
          <w:highlight w:val="none"/>
          <w14:textFill>
            <w14:solidFill>
              <w14:schemeClr w14:val="tx1"/>
            </w14:solidFill>
          </w14:textFill>
        </w:rPr>
        <w:t>方式总承包</w:t>
      </w:r>
      <w:r>
        <w:rPr>
          <w:rFonts w:hint="eastAsia" w:ascii="宋体" w:hAnsi="宋体" w:eastAsia="宋体" w:cs="宋体"/>
          <w:color w:val="000000" w:themeColor="text1"/>
          <w:spacing w:val="-2"/>
          <w:sz w:val="24"/>
          <w:szCs w:val="24"/>
          <w:highlight w:val="none"/>
          <w14:textFill>
            <w14:solidFill>
              <w14:schemeClr w14:val="tx1"/>
            </w14:solidFill>
          </w14:textFill>
        </w:rPr>
        <w:t>施工，不允许转包和违法分包，如果确需分包须与发包人协商，在得到发包人和监理单</w:t>
      </w:r>
      <w:r>
        <w:rPr>
          <w:rFonts w:hint="eastAsia" w:ascii="宋体" w:hAnsi="宋体" w:eastAsia="宋体" w:cs="宋体"/>
          <w:color w:val="000000" w:themeColor="text1"/>
          <w:spacing w:val="-1"/>
          <w:sz w:val="24"/>
          <w:szCs w:val="24"/>
          <w:highlight w:val="none"/>
          <w14:textFill>
            <w14:solidFill>
              <w14:schemeClr w14:val="tx1"/>
            </w14:solidFill>
          </w14:textFill>
        </w:rPr>
        <w:t>位同意后报建设行政主管部门备案。</w:t>
      </w:r>
    </w:p>
    <w:p w14:paraId="1A7AD95C">
      <w:pPr>
        <w:spacing w:before="153" w:line="219" w:lineRule="auto"/>
        <w:ind w:left="5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1.1.1  </w:t>
      </w:r>
      <w:r>
        <w:rPr>
          <w:rFonts w:hint="eastAsia" w:ascii="宋体" w:hAnsi="宋体" w:eastAsia="宋体" w:cs="宋体"/>
          <w:color w:val="000000" w:themeColor="text1"/>
          <w:spacing w:val="-1"/>
          <w:sz w:val="24"/>
          <w:szCs w:val="24"/>
          <w:highlight w:val="none"/>
          <w14:textFill>
            <w14:solidFill>
              <w14:schemeClr w14:val="tx1"/>
            </w14:solidFill>
          </w14:textFill>
        </w:rPr>
        <w:t>包工包料：材料符合招标文件要求并报验使用；办理用工保险。</w:t>
      </w:r>
    </w:p>
    <w:p w14:paraId="6D255FC4">
      <w:pPr>
        <w:spacing w:before="156" w:line="220" w:lineRule="auto"/>
        <w:ind w:left="5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1.1.2  </w:t>
      </w:r>
      <w:r>
        <w:rPr>
          <w:rFonts w:hint="eastAsia" w:ascii="宋体" w:hAnsi="宋体" w:eastAsia="宋体" w:cs="宋体"/>
          <w:color w:val="000000" w:themeColor="text1"/>
          <w:spacing w:val="-1"/>
          <w:sz w:val="24"/>
          <w:szCs w:val="24"/>
          <w:highlight w:val="none"/>
          <w14:textFill>
            <w14:solidFill>
              <w14:schemeClr w14:val="tx1"/>
            </w14:solidFill>
          </w14:textFill>
        </w:rPr>
        <w:t>包质量：符合招标文件要求。</w:t>
      </w:r>
    </w:p>
    <w:p w14:paraId="7B161543">
      <w:pPr>
        <w:spacing w:before="153" w:line="220" w:lineRule="auto"/>
        <w:ind w:left="5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1.1.3  </w:t>
      </w:r>
      <w:r>
        <w:rPr>
          <w:rFonts w:hint="eastAsia" w:ascii="宋体" w:hAnsi="宋体" w:eastAsia="宋体" w:cs="宋体"/>
          <w:color w:val="000000" w:themeColor="text1"/>
          <w:spacing w:val="-1"/>
          <w:sz w:val="24"/>
          <w:szCs w:val="24"/>
          <w:highlight w:val="none"/>
          <w14:textFill>
            <w14:solidFill>
              <w14:schemeClr w14:val="tx1"/>
            </w14:solidFill>
          </w14:textFill>
        </w:rPr>
        <w:t>包安全包文明施工：符合招标文件要求。</w:t>
      </w:r>
    </w:p>
    <w:p w14:paraId="09912ACB">
      <w:pPr>
        <w:spacing w:before="154" w:line="219" w:lineRule="auto"/>
        <w:ind w:left="5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1.1.4  </w:t>
      </w:r>
      <w:r>
        <w:rPr>
          <w:rFonts w:hint="eastAsia" w:ascii="宋体" w:hAnsi="宋体" w:eastAsia="宋体" w:cs="宋体"/>
          <w:color w:val="000000" w:themeColor="text1"/>
          <w:spacing w:val="-1"/>
          <w:sz w:val="24"/>
          <w:szCs w:val="24"/>
          <w:highlight w:val="none"/>
          <w14:textFill>
            <w14:solidFill>
              <w14:schemeClr w14:val="tx1"/>
            </w14:solidFill>
          </w14:textFill>
        </w:rPr>
        <w:t>包工期：本招标项目施工必须在招标工期内完成。</w:t>
      </w:r>
    </w:p>
    <w:p w14:paraId="63DA8E8F">
      <w:pPr>
        <w:pStyle w:val="5"/>
        <w:spacing w:line="257" w:lineRule="auto"/>
        <w:rPr>
          <w:rFonts w:hint="eastAsia" w:ascii="宋体" w:hAnsi="宋体" w:eastAsia="宋体" w:cs="宋体"/>
          <w:color w:val="000000" w:themeColor="text1"/>
          <w:highlight w:val="none"/>
          <w14:textFill>
            <w14:solidFill>
              <w14:schemeClr w14:val="tx1"/>
            </w14:solidFill>
          </w14:textFill>
        </w:rPr>
      </w:pPr>
    </w:p>
    <w:p w14:paraId="41E26BE4">
      <w:pPr>
        <w:pStyle w:val="5"/>
        <w:spacing w:line="257" w:lineRule="auto"/>
        <w:rPr>
          <w:rFonts w:hint="eastAsia" w:ascii="宋体" w:hAnsi="宋体" w:eastAsia="宋体" w:cs="宋体"/>
          <w:color w:val="000000" w:themeColor="text1"/>
          <w:highlight w:val="none"/>
          <w14:textFill>
            <w14:solidFill>
              <w14:schemeClr w14:val="tx1"/>
            </w14:solidFill>
          </w14:textFill>
        </w:rPr>
      </w:pPr>
    </w:p>
    <w:p w14:paraId="5E683A9A">
      <w:pPr>
        <w:spacing w:before="78" w:line="220" w:lineRule="auto"/>
        <w:ind w:left="488"/>
        <w:outlineLvl w:val="2"/>
        <w:rPr>
          <w:rFonts w:hint="eastAsia" w:ascii="宋体" w:hAnsi="宋体" w:eastAsia="宋体" w:cs="宋体"/>
          <w:color w:val="000000" w:themeColor="text1"/>
          <w:sz w:val="24"/>
          <w:szCs w:val="24"/>
          <w:highlight w:val="none"/>
          <w14:textFill>
            <w14:solidFill>
              <w14:schemeClr w14:val="tx1"/>
            </w14:solidFill>
          </w14:textFill>
        </w:rPr>
      </w:pPr>
      <w:bookmarkStart w:id="165" w:name="bookmark88"/>
      <w:bookmarkEnd w:id="165"/>
      <w:bookmarkStart w:id="166" w:name="_Toc17990"/>
      <w:r>
        <w:rPr>
          <w:rFonts w:hint="eastAsia" w:ascii="宋体" w:hAnsi="宋体" w:eastAsia="宋体" w:cs="宋体"/>
          <w:b/>
          <w:bCs/>
          <w:color w:val="000000" w:themeColor="text1"/>
          <w:spacing w:val="-7"/>
          <w:sz w:val="24"/>
          <w:szCs w:val="24"/>
          <w:highlight w:val="none"/>
          <w14:textFill>
            <w14:solidFill>
              <w14:schemeClr w14:val="tx1"/>
            </w14:solidFill>
          </w14:textFill>
        </w:rPr>
        <w:t>2</w:t>
      </w:r>
      <w:r>
        <w:rPr>
          <w:rFonts w:hint="eastAsia" w:ascii="宋体" w:hAnsi="宋体" w:eastAsia="宋体" w:cs="宋体"/>
          <w:b/>
          <w:bCs/>
          <w:color w:val="000000" w:themeColor="text1"/>
          <w:spacing w:val="-24"/>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14:textFill>
            <w14:solidFill>
              <w14:schemeClr w14:val="tx1"/>
            </w14:solidFill>
          </w14:textFill>
        </w:rPr>
        <w:t>．工程结算原则</w:t>
      </w:r>
      <w:bookmarkEnd w:id="166"/>
    </w:p>
    <w:p w14:paraId="047D1E9F">
      <w:pPr>
        <w:spacing w:before="153" w:line="219" w:lineRule="auto"/>
        <w:ind w:left="48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2.1 </w:t>
      </w:r>
      <w:r>
        <w:rPr>
          <w:rFonts w:hint="eastAsia" w:ascii="宋体" w:hAnsi="宋体" w:eastAsia="宋体" w:cs="宋体"/>
          <w:color w:val="000000" w:themeColor="text1"/>
          <w:spacing w:val="-1"/>
          <w:sz w:val="24"/>
          <w:szCs w:val="24"/>
          <w:highlight w:val="none"/>
          <w14:textFill>
            <w14:solidFill>
              <w14:schemeClr w14:val="tx1"/>
            </w14:solidFill>
          </w14:textFill>
        </w:rPr>
        <w:t>承包人的投标总价为中标价，即为签约合同价。</w:t>
      </w:r>
    </w:p>
    <w:p w14:paraId="7FAD113F">
      <w:pPr>
        <w:spacing w:before="155" w:line="319" w:lineRule="auto"/>
        <w:ind w:left="12" w:right="231" w:firstLine="47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2.2 </w:t>
      </w:r>
      <w:r>
        <w:rPr>
          <w:rFonts w:hint="eastAsia" w:ascii="宋体" w:hAnsi="宋体" w:eastAsia="宋体" w:cs="宋体"/>
          <w:color w:val="000000" w:themeColor="text1"/>
          <w:spacing w:val="2"/>
          <w:sz w:val="24"/>
          <w:szCs w:val="24"/>
          <w:highlight w:val="none"/>
          <w14:textFill>
            <w14:solidFill>
              <w14:schemeClr w14:val="tx1"/>
            </w14:solidFill>
          </w14:textFill>
        </w:rPr>
        <w:t>招标工程量清单标明的工程量是投标人投标报价的</w:t>
      </w:r>
      <w:r>
        <w:rPr>
          <w:rFonts w:hint="eastAsia" w:ascii="宋体" w:hAnsi="宋体" w:eastAsia="宋体" w:cs="宋体"/>
          <w:color w:val="000000" w:themeColor="text1"/>
          <w:spacing w:val="1"/>
          <w:sz w:val="24"/>
          <w:szCs w:val="24"/>
          <w:highlight w:val="none"/>
          <w14:textFill>
            <w14:solidFill>
              <w14:schemeClr w14:val="tx1"/>
            </w14:solidFill>
          </w14:textFill>
        </w:rPr>
        <w:t>共同基础，竣工结算的工程</w:t>
      </w:r>
      <w:r>
        <w:rPr>
          <w:rFonts w:hint="eastAsia" w:ascii="宋体" w:hAnsi="宋体" w:eastAsia="宋体" w:cs="宋体"/>
          <w:color w:val="000000" w:themeColor="text1"/>
          <w:spacing w:val="-5"/>
          <w:sz w:val="24"/>
          <w:szCs w:val="24"/>
          <w:highlight w:val="none"/>
          <w14:textFill>
            <w14:solidFill>
              <w14:schemeClr w14:val="tx1"/>
            </w14:solidFill>
          </w14:textFill>
        </w:rPr>
        <w:t>量按</w:t>
      </w:r>
      <w:bookmarkStart w:id="167" w:name="OLE_LINK28"/>
      <w:r>
        <w:rPr>
          <w:rFonts w:hint="eastAsia" w:ascii="宋体" w:hAnsi="宋体" w:eastAsia="宋体" w:cs="宋体"/>
          <w:color w:val="000000" w:themeColor="text1"/>
          <w:spacing w:val="-5"/>
          <w:sz w:val="24"/>
          <w:szCs w:val="24"/>
          <w:highlight w:val="none"/>
          <w14:textFill>
            <w14:solidFill>
              <w14:schemeClr w14:val="tx1"/>
            </w14:solidFill>
          </w14:textFill>
        </w:rPr>
        <w:t>《建设工程工程量清单计价规范》（GB50500—2013）对工程计量的规定进行计量，</w:t>
      </w:r>
      <w:r>
        <w:rPr>
          <w:rFonts w:hint="eastAsia" w:ascii="宋体" w:hAnsi="宋体" w:eastAsia="宋体" w:cs="宋体"/>
          <w:color w:val="000000" w:themeColor="text1"/>
          <w:spacing w:val="-2"/>
          <w:sz w:val="24"/>
          <w:szCs w:val="24"/>
          <w:highlight w:val="none"/>
          <w14:textFill>
            <w14:solidFill>
              <w14:schemeClr w14:val="tx1"/>
            </w14:solidFill>
          </w14:textFill>
        </w:rPr>
        <w:t>必须以承包人完成合同工程应予计量的工程量确定。施</w:t>
      </w:r>
      <w:bookmarkEnd w:id="167"/>
      <w:r>
        <w:rPr>
          <w:rFonts w:hint="eastAsia" w:ascii="宋体" w:hAnsi="宋体" w:eastAsia="宋体" w:cs="宋体"/>
          <w:color w:val="000000" w:themeColor="text1"/>
          <w:spacing w:val="-2"/>
          <w:sz w:val="24"/>
          <w:szCs w:val="24"/>
          <w:highlight w:val="none"/>
          <w14:textFill>
            <w14:solidFill>
              <w14:schemeClr w14:val="tx1"/>
            </w14:solidFill>
          </w14:textFill>
        </w:rPr>
        <w:t>工中进行工程计量，当发现招标工程量清单中出现缺项、工程量偏差、或因工程变更引起工程量增减时，应按承包人在履行合同义务中完成的工程量计算。因承包人原因造成的超出合同工程范围施工或返工</w:t>
      </w:r>
      <w:r>
        <w:rPr>
          <w:rFonts w:hint="eastAsia" w:ascii="宋体" w:hAnsi="宋体" w:eastAsia="宋体" w:cs="宋体"/>
          <w:color w:val="000000" w:themeColor="text1"/>
          <w:spacing w:val="-1"/>
          <w:sz w:val="24"/>
          <w:szCs w:val="24"/>
          <w:highlight w:val="none"/>
          <w14:textFill>
            <w14:solidFill>
              <w14:schemeClr w14:val="tx1"/>
            </w14:solidFill>
          </w14:textFill>
        </w:rPr>
        <w:t>的工程量，发包人不予计量。</w:t>
      </w:r>
    </w:p>
    <w:p w14:paraId="0EBA0169">
      <w:pPr>
        <w:spacing w:before="38" w:line="299" w:lineRule="auto"/>
        <w:ind w:left="12" w:right="183" w:firstLine="4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2.3  </w:t>
      </w:r>
      <w:r>
        <w:rPr>
          <w:rFonts w:hint="eastAsia" w:ascii="宋体" w:hAnsi="宋体" w:eastAsia="宋体" w:cs="宋体"/>
          <w:color w:val="000000" w:themeColor="text1"/>
          <w:sz w:val="24"/>
          <w:szCs w:val="24"/>
          <w:highlight w:val="none"/>
          <w14:textFill>
            <w14:solidFill>
              <w14:schemeClr w14:val="tx1"/>
            </w14:solidFill>
          </w14:textFill>
        </w:rPr>
        <w:t>施工合同履行期间，若出现下列情形的，发、承包双方应当按照以下规定调整</w:t>
      </w:r>
      <w:r>
        <w:rPr>
          <w:rFonts w:hint="eastAsia" w:ascii="宋体" w:hAnsi="宋体" w:eastAsia="宋体" w:cs="宋体"/>
          <w:color w:val="000000" w:themeColor="text1"/>
          <w:spacing w:val="-3"/>
          <w:sz w:val="24"/>
          <w:szCs w:val="24"/>
          <w:highlight w:val="none"/>
          <w14:textFill>
            <w14:solidFill>
              <w14:schemeClr w14:val="tx1"/>
            </w14:solidFill>
          </w14:textFill>
        </w:rPr>
        <w:t>合同价款：</w:t>
      </w:r>
    </w:p>
    <w:p w14:paraId="28C07B92">
      <w:pPr>
        <w:spacing w:before="227" w:line="220" w:lineRule="auto"/>
        <w:ind w:left="48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2.3.1  </w:t>
      </w:r>
      <w:r>
        <w:rPr>
          <w:rFonts w:hint="eastAsia" w:ascii="宋体" w:hAnsi="宋体" w:eastAsia="宋体" w:cs="宋体"/>
          <w:color w:val="000000" w:themeColor="text1"/>
          <w:spacing w:val="-1"/>
          <w:sz w:val="24"/>
          <w:szCs w:val="24"/>
          <w:highlight w:val="none"/>
          <w14:textFill>
            <w14:solidFill>
              <w14:schemeClr w14:val="tx1"/>
            </w14:solidFill>
          </w14:textFill>
        </w:rPr>
        <w:t>法律法规变化</w:t>
      </w:r>
    </w:p>
    <w:p w14:paraId="6BF5F2D0">
      <w:pPr>
        <w:spacing w:before="156" w:line="298" w:lineRule="auto"/>
        <w:ind w:left="10" w:right="183" w:firstLine="47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"2.3.1.1"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pacing w:val="-3"/>
          <w:sz w:val="24"/>
          <w:szCs w:val="24"/>
          <w:highlight w:val="none"/>
          <w14:textFill>
            <w14:solidFill>
              <w14:schemeClr w14:val="tx1"/>
            </w14:solidFill>
          </w14:textFill>
        </w:rPr>
        <w:t>2.3.1.1</w:t>
      </w:r>
      <w:r>
        <w:rPr>
          <w:rFonts w:hint="eastAsia" w:ascii="宋体" w:hAnsi="宋体" w:eastAsia="宋体" w:cs="宋体"/>
          <w:b/>
          <w:bCs/>
          <w:color w:val="000000" w:themeColor="text1"/>
          <w:spacing w:val="-3"/>
          <w:sz w:val="24"/>
          <w:szCs w:val="24"/>
          <w:highlight w:val="none"/>
          <w14:textFill>
            <w14:solidFill>
              <w14:schemeClr w14:val="tx1"/>
            </w14:solidFill>
          </w14:textFill>
        </w:rPr>
        <w:fldChar w:fldCharType="end"/>
      </w: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基准日之后，因国家法律、法规、规章和政策发生变化引起工程造价增减变</w:t>
      </w:r>
      <w:r>
        <w:rPr>
          <w:rFonts w:hint="eastAsia" w:ascii="宋体" w:hAnsi="宋体" w:eastAsia="宋体" w:cs="宋体"/>
          <w:color w:val="000000" w:themeColor="text1"/>
          <w:spacing w:val="-2"/>
          <w:sz w:val="24"/>
          <w:szCs w:val="24"/>
          <w:highlight w:val="none"/>
          <w14:textFill>
            <w14:solidFill>
              <w14:schemeClr w14:val="tx1"/>
            </w14:solidFill>
          </w14:textFill>
        </w:rPr>
        <w:t>化时，发、承包双方应按照省级建设主管部门（或省级行业主管部门）或其授权的工程</w:t>
      </w:r>
      <w:r>
        <w:rPr>
          <w:rFonts w:hint="eastAsia" w:ascii="宋体" w:hAnsi="宋体" w:eastAsia="宋体" w:cs="宋体"/>
          <w:color w:val="000000" w:themeColor="text1"/>
          <w:spacing w:val="-1"/>
          <w:sz w:val="24"/>
          <w:szCs w:val="24"/>
          <w:highlight w:val="none"/>
          <w14:textFill>
            <w14:solidFill>
              <w14:schemeClr w14:val="tx1"/>
            </w14:solidFill>
          </w14:textFill>
        </w:rPr>
        <w:t>造价管理机构据此发布的最新规定调整合同价款。</w:t>
      </w:r>
    </w:p>
    <w:p w14:paraId="3215BC69">
      <w:pPr>
        <w:spacing w:before="157" w:line="325" w:lineRule="auto"/>
        <w:ind w:left="12" w:right="183" w:firstLine="47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1"/>
          <w:sz w:val="24"/>
          <w:szCs w:val="24"/>
          <w:highlight w:val="none"/>
          <w14:textFill>
            <w14:solidFill>
              <w14:schemeClr w14:val="tx1"/>
            </w14:solidFill>
          </w14:textFill>
        </w:rPr>
        <w:t>注：本招标文件所称“基准日</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11"/>
          <w:sz w:val="24"/>
          <w:szCs w:val="24"/>
          <w:highlight w:val="none"/>
          <w14:textFill>
            <w14:solidFill>
              <w14:schemeClr w14:val="tx1"/>
            </w14:solidFill>
          </w14:textFill>
        </w:rPr>
        <w:t>”，均指投标文</w:t>
      </w:r>
      <w:r>
        <w:rPr>
          <w:rFonts w:hint="eastAsia" w:ascii="宋体" w:hAnsi="宋体" w:eastAsia="宋体" w:cs="宋体"/>
          <w:b/>
          <w:bCs/>
          <w:color w:val="000000" w:themeColor="text1"/>
          <w:spacing w:val="-12"/>
          <w:sz w:val="24"/>
          <w:szCs w:val="24"/>
          <w:highlight w:val="none"/>
          <w14:textFill>
            <w14:solidFill>
              <w14:schemeClr w14:val="tx1"/>
            </w14:solidFill>
          </w14:textFill>
        </w:rPr>
        <w:t>件递交截止时间（见第一章第二节“重</w:t>
      </w:r>
      <w:r>
        <w:rPr>
          <w:rFonts w:hint="eastAsia" w:ascii="宋体" w:hAnsi="宋体" w:eastAsia="宋体" w:cs="宋体"/>
          <w:b/>
          <w:bCs/>
          <w:color w:val="000000" w:themeColor="text1"/>
          <w:spacing w:val="-5"/>
          <w:sz w:val="24"/>
          <w:szCs w:val="24"/>
          <w:highlight w:val="none"/>
          <w14:textFill>
            <w14:solidFill>
              <w14:schemeClr w14:val="tx1"/>
            </w14:solidFill>
          </w14:textFill>
        </w:rPr>
        <w:t>要事项时间地点一览表</w:t>
      </w:r>
      <w:r>
        <w:rPr>
          <w:rFonts w:hint="eastAsia" w:ascii="宋体" w:hAnsi="宋体" w:eastAsia="宋体" w:cs="宋体"/>
          <w:color w:val="000000" w:themeColor="text1"/>
          <w:spacing w:val="-73"/>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5"/>
          <w:sz w:val="24"/>
          <w:szCs w:val="24"/>
          <w:highlight w:val="none"/>
          <w14:textFill>
            <w14:solidFill>
              <w14:schemeClr w14:val="tx1"/>
            </w14:solidFill>
          </w14:textFill>
        </w:rPr>
        <w:t>”）前</w:t>
      </w:r>
      <w:r>
        <w:rPr>
          <w:rFonts w:hint="eastAsia" w:ascii="宋体" w:hAnsi="宋体" w:eastAsia="宋体" w:cs="宋体"/>
          <w:color w:val="000000" w:themeColor="text1"/>
          <w:spacing w:val="-55"/>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5"/>
          <w:sz w:val="24"/>
          <w:szCs w:val="24"/>
          <w:highlight w:val="none"/>
          <w14:textFill>
            <w14:solidFill>
              <w14:schemeClr w14:val="tx1"/>
            </w14:solidFill>
          </w14:textFill>
        </w:rPr>
        <w:t>28 天。</w:t>
      </w:r>
    </w:p>
    <w:p w14:paraId="5B8E95D2">
      <w:pPr>
        <w:spacing w:before="33" w:line="299" w:lineRule="auto"/>
        <w:ind w:left="11" w:firstLine="47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"2.3.1.2"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pacing w:val="1"/>
          <w:sz w:val="24"/>
          <w:szCs w:val="24"/>
          <w:highlight w:val="none"/>
          <w14:textFill>
            <w14:solidFill>
              <w14:schemeClr w14:val="tx1"/>
            </w14:solidFill>
          </w14:textFill>
        </w:rPr>
        <w:t>2.3.1.2</w:t>
      </w:r>
      <w:r>
        <w:rPr>
          <w:rFonts w:hint="eastAsia" w:ascii="宋体" w:hAnsi="宋体" w:eastAsia="宋体" w:cs="宋体"/>
          <w:b/>
          <w:bCs/>
          <w:color w:val="000000" w:themeColor="text1"/>
          <w:spacing w:val="1"/>
          <w:sz w:val="24"/>
          <w:szCs w:val="24"/>
          <w:highlight w:val="none"/>
          <w14:textFill>
            <w14:solidFill>
              <w14:schemeClr w14:val="tx1"/>
            </w14:solidFill>
          </w14:textFill>
        </w:rPr>
        <w:fldChar w:fldCharType="end"/>
      </w:r>
      <w:r>
        <w:rPr>
          <w:rFonts w:hint="eastAsia" w:ascii="宋体" w:hAnsi="宋体" w:eastAsia="宋体" w:cs="宋体"/>
          <w:b/>
          <w:bCs/>
          <w:color w:val="000000" w:themeColor="text1"/>
          <w:spacing w:val="1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因承包人原因导致工程延误，本章第</w:t>
      </w:r>
      <w:r>
        <w:rPr>
          <w:rFonts w:hint="eastAsia" w:ascii="宋体" w:hAnsi="宋体" w:eastAsia="宋体" w:cs="宋体"/>
          <w:color w:val="000000" w:themeColor="text1"/>
          <w:spacing w:val="-51"/>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 xml:space="preserve">.3.1.1 </w:t>
      </w:r>
      <w:r>
        <w:rPr>
          <w:rFonts w:hint="eastAsia" w:ascii="宋体" w:hAnsi="宋体" w:eastAsia="宋体" w:cs="宋体"/>
          <w:color w:val="000000" w:themeColor="text1"/>
          <w:sz w:val="24"/>
          <w:szCs w:val="24"/>
          <w:highlight w:val="none"/>
          <w14:textFill>
            <w14:solidFill>
              <w14:schemeClr w14:val="tx1"/>
            </w14:solidFill>
          </w14:textFill>
        </w:rPr>
        <w:t>子目中的法定机构根据国家法</w:t>
      </w:r>
      <w:r>
        <w:rPr>
          <w:rFonts w:hint="eastAsia" w:ascii="宋体" w:hAnsi="宋体" w:eastAsia="宋体" w:cs="宋体"/>
          <w:color w:val="000000" w:themeColor="text1"/>
          <w:spacing w:val="-3"/>
          <w:sz w:val="24"/>
          <w:szCs w:val="24"/>
          <w:highlight w:val="none"/>
          <w14:textFill>
            <w14:solidFill>
              <w14:schemeClr w14:val="tx1"/>
            </w14:solidFill>
          </w14:textFill>
        </w:rPr>
        <w:t>律法规变化发布新规的时间在合同工程原定竣工时间之后的，合同价款调增的不予调整，</w:t>
      </w:r>
      <w:r>
        <w:rPr>
          <w:rFonts w:hint="eastAsia" w:ascii="宋体" w:hAnsi="宋体" w:eastAsia="宋体" w:cs="宋体"/>
          <w:color w:val="000000" w:themeColor="text1"/>
          <w:spacing w:val="-1"/>
          <w:sz w:val="24"/>
          <w:szCs w:val="24"/>
          <w:highlight w:val="none"/>
          <w14:textFill>
            <w14:solidFill>
              <w14:schemeClr w14:val="tx1"/>
            </w14:solidFill>
          </w14:textFill>
        </w:rPr>
        <w:t>合同价款调减的予以调整。</w:t>
      </w:r>
    </w:p>
    <w:p w14:paraId="231CEC4D">
      <w:pPr>
        <w:spacing w:before="155" w:line="220" w:lineRule="auto"/>
        <w:ind w:left="48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2.3.2  </w:t>
      </w:r>
      <w:r>
        <w:rPr>
          <w:rFonts w:hint="eastAsia" w:ascii="宋体" w:hAnsi="宋体" w:eastAsia="宋体" w:cs="宋体"/>
          <w:color w:val="000000" w:themeColor="text1"/>
          <w:spacing w:val="-1"/>
          <w:sz w:val="24"/>
          <w:szCs w:val="24"/>
          <w:highlight w:val="none"/>
          <w14:textFill>
            <w14:solidFill>
              <w14:schemeClr w14:val="tx1"/>
            </w14:solidFill>
          </w14:textFill>
        </w:rPr>
        <w:t>工程量偏差或变化</w:t>
      </w:r>
    </w:p>
    <w:p w14:paraId="655704F0">
      <w:pPr>
        <w:spacing w:before="158" w:line="309" w:lineRule="auto"/>
        <w:ind w:left="10" w:right="183" w:firstLine="47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"2.3.2.1"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pacing w:val="-3"/>
          <w:sz w:val="24"/>
          <w:szCs w:val="24"/>
          <w:highlight w:val="none"/>
          <w14:textFill>
            <w14:solidFill>
              <w14:schemeClr w14:val="tx1"/>
            </w14:solidFill>
          </w14:textFill>
        </w:rPr>
        <w:t>2.3.2.1</w:t>
      </w:r>
      <w:r>
        <w:rPr>
          <w:rFonts w:hint="eastAsia" w:ascii="宋体" w:hAnsi="宋体" w:eastAsia="宋体" w:cs="宋体"/>
          <w:b/>
          <w:bCs/>
          <w:color w:val="000000" w:themeColor="text1"/>
          <w:spacing w:val="-3"/>
          <w:sz w:val="24"/>
          <w:szCs w:val="24"/>
          <w:highlight w:val="none"/>
          <w14:textFill>
            <w14:solidFill>
              <w14:schemeClr w14:val="tx1"/>
            </w14:solidFill>
          </w14:textFill>
        </w:rPr>
        <w:fldChar w:fldCharType="end"/>
      </w: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合同履行期间，当应予计算的实际工程量与招标工程量清单出现偏差或因工程变更引起已标价工程量清单项目的工程数量发生变化时，工程量偏差或变化在</w:t>
      </w:r>
      <w:r>
        <w:rPr>
          <w:rFonts w:hint="eastAsia" w:ascii="宋体" w:hAnsi="宋体" w:eastAsia="宋体" w:cs="宋体"/>
          <w:color w:val="000000" w:themeColor="text1"/>
          <w:spacing w:val="-2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15%以</w:t>
      </w:r>
      <w:r>
        <w:rPr>
          <w:rFonts w:hint="eastAsia" w:ascii="宋体" w:hAnsi="宋体" w:eastAsia="宋体" w:cs="宋体"/>
          <w:color w:val="000000" w:themeColor="text1"/>
          <w:spacing w:val="-4"/>
          <w:sz w:val="24"/>
          <w:szCs w:val="24"/>
          <w:highlight w:val="none"/>
          <w14:textFill>
            <w14:solidFill>
              <w14:schemeClr w14:val="tx1"/>
            </w14:solidFill>
          </w14:textFill>
        </w:rPr>
        <w:t>内（含</w:t>
      </w:r>
      <w:r>
        <w:rPr>
          <w:rFonts w:hint="eastAsia" w:ascii="宋体" w:hAnsi="宋体" w:eastAsia="宋体" w:cs="宋体"/>
          <w:color w:val="000000" w:themeColor="text1"/>
          <w:spacing w:val="-2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15%）的，其综合单价不予调整；工程量偏差或变化超过</w:t>
      </w:r>
      <w:r>
        <w:rPr>
          <w:rFonts w:hint="eastAsia" w:ascii="宋体" w:hAnsi="宋体" w:eastAsia="宋体" w:cs="宋体"/>
          <w:color w:val="000000" w:themeColor="text1"/>
          <w:spacing w:val="-3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15%的，按照以下规定</w:t>
      </w:r>
      <w:r>
        <w:rPr>
          <w:rFonts w:hint="eastAsia" w:ascii="宋体" w:hAnsi="宋体" w:eastAsia="宋体" w:cs="宋体"/>
          <w:color w:val="000000" w:themeColor="text1"/>
          <w:spacing w:val="-3"/>
          <w:sz w:val="24"/>
          <w:szCs w:val="24"/>
          <w:highlight w:val="none"/>
          <w14:textFill>
            <w14:solidFill>
              <w14:schemeClr w14:val="tx1"/>
            </w14:solidFill>
          </w14:textFill>
        </w:rPr>
        <w:t>调整：</w:t>
      </w:r>
    </w:p>
    <w:p w14:paraId="6F1EA887">
      <w:pPr>
        <w:spacing w:before="78" w:line="327" w:lineRule="auto"/>
        <w:ind w:left="12" w:firstLine="478"/>
        <w:jc w:val="both"/>
        <w:rPr>
          <w:rFonts w:hint="eastAsia" w:ascii="宋体" w:hAnsi="宋体" w:eastAsia="宋体" w:cs="宋体"/>
          <w:color w:val="000000" w:themeColor="text1"/>
          <w:sz w:val="24"/>
          <w:szCs w:val="24"/>
          <w:highlight w:val="none"/>
          <w14:textFill>
            <w14:solidFill>
              <w14:schemeClr w14:val="tx1"/>
            </w14:solidFill>
          </w14:textFill>
        </w:rPr>
      </w:pPr>
      <w:bookmarkStart w:id="168" w:name="bookmark142"/>
      <w:bookmarkEnd w:id="168"/>
      <w:r>
        <w:rPr>
          <w:rFonts w:hint="eastAsia" w:ascii="宋体" w:hAnsi="宋体" w:eastAsia="宋体" w:cs="宋体"/>
          <w:color w:val="000000" w:themeColor="text1"/>
          <w:spacing w:val="-3"/>
          <w:sz w:val="24"/>
          <w:szCs w:val="24"/>
          <w:highlight w:val="none"/>
          <w14:textFill>
            <w14:solidFill>
              <w14:schemeClr w14:val="tx1"/>
            </w14:solidFill>
          </w14:textFill>
        </w:rPr>
        <w:t>对于合理报价的清单项目，当工程量增加超过</w:t>
      </w:r>
      <w:r>
        <w:rPr>
          <w:rFonts w:hint="eastAsia" w:ascii="宋体" w:hAnsi="宋体" w:eastAsia="宋体" w:cs="宋体"/>
          <w:color w:val="000000" w:themeColor="text1"/>
          <w:spacing w:val="-2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15%时，增加部分的工程量的综合单</w:t>
      </w:r>
      <w:r>
        <w:rPr>
          <w:rFonts w:hint="eastAsia" w:ascii="宋体" w:hAnsi="宋体" w:eastAsia="宋体" w:cs="宋体"/>
          <w:color w:val="000000" w:themeColor="text1"/>
          <w:spacing w:val="-7"/>
          <w:sz w:val="24"/>
          <w:szCs w:val="24"/>
          <w:highlight w:val="none"/>
          <w14:textFill>
            <w14:solidFill>
              <w14:schemeClr w14:val="tx1"/>
            </w14:solidFill>
          </w14:textFill>
        </w:rPr>
        <w:t>价以</w:t>
      </w:r>
      <w:r>
        <w:rPr>
          <w:rFonts w:hint="eastAsia" w:ascii="宋体" w:hAnsi="宋体" w:eastAsia="宋体" w:cs="宋体"/>
          <w:color w:val="000000" w:themeColor="text1"/>
          <w:spacing w:val="-3"/>
          <w:sz w:val="24"/>
          <w:szCs w:val="24"/>
          <w:highlight w:val="none"/>
          <w14:textFill>
            <w14:solidFill>
              <w14:schemeClr w14:val="tx1"/>
            </w14:solidFill>
          </w14:textFill>
        </w:rPr>
        <w:t>投标报价《分部分项工程和单价措施项目清单与计价表》中综合单价为基价调低 3%；当工程量减少超过 15%时，减少后剩余部分的工程量的综合单价以投标报价《分部分项工程和单价措施项目清单与计价表》中综合单价为基价调高 3%</w:t>
      </w:r>
      <w:r>
        <w:rPr>
          <w:rFonts w:hint="eastAsia" w:ascii="宋体" w:hAnsi="宋体" w:eastAsia="宋体" w:cs="宋体"/>
          <w:color w:val="000000" w:themeColor="text1"/>
          <w:spacing w:val="-1"/>
          <w:sz w:val="24"/>
          <w:szCs w:val="24"/>
          <w:highlight w:val="none"/>
          <w14:textFill>
            <w14:solidFill>
              <w14:schemeClr w14:val="tx1"/>
            </w14:solidFill>
          </w14:textFill>
        </w:rPr>
        <w:t>。</w:t>
      </w:r>
    </w:p>
    <w:p w14:paraId="19CF62EE">
      <w:pPr>
        <w:spacing w:before="97" w:line="324" w:lineRule="auto"/>
        <w:ind w:left="13" w:right="179" w:firstLine="47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14:textFill>
            <w14:solidFill>
              <w14:schemeClr w14:val="tx1"/>
            </w14:solidFill>
          </w14:textFill>
        </w:rPr>
        <w:t>对于按照第二章“</w:t>
      </w:r>
      <w:r>
        <w:rPr>
          <w:rFonts w:hint="eastAsia" w:ascii="宋体" w:hAnsi="宋体" w:eastAsia="宋体" w:cs="宋体"/>
          <w:color w:val="000000" w:themeColor="text1"/>
          <w:spacing w:val="-89"/>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14:textFill>
            <w14:solidFill>
              <w14:schemeClr w14:val="tx1"/>
            </w14:solidFill>
          </w14:textFill>
        </w:rPr>
        <w:t>中标人须知</w:t>
      </w:r>
      <w:r>
        <w:rPr>
          <w:rFonts w:hint="eastAsia" w:ascii="宋体" w:hAnsi="宋体" w:eastAsia="宋体" w:cs="宋体"/>
          <w:color w:val="000000" w:themeColor="text1"/>
          <w:spacing w:val="-89"/>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14:textFill>
            <w14:solidFill>
              <w14:schemeClr w14:val="tx1"/>
            </w14:solidFill>
          </w14:textFill>
        </w:rPr>
        <w:t>”第</w:t>
      </w:r>
      <w:r>
        <w:rPr>
          <w:rFonts w:hint="eastAsia" w:ascii="宋体" w:hAnsi="宋体" w:eastAsia="宋体" w:cs="宋体"/>
          <w:color w:val="000000" w:themeColor="text1"/>
          <w:spacing w:val="-54"/>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14:textFill>
            <w14:solidFill>
              <w14:schemeClr w14:val="tx1"/>
            </w14:solidFill>
          </w14:textFill>
        </w:rPr>
        <w:t>4.2 条被认定为不平衡报价的清单项目，其综合</w:t>
      </w:r>
      <w:r>
        <w:rPr>
          <w:rFonts w:hint="eastAsia" w:ascii="宋体" w:hAnsi="宋体" w:eastAsia="宋体" w:cs="宋体"/>
          <w:b/>
          <w:bCs/>
          <w:color w:val="000000" w:themeColor="text1"/>
          <w:spacing w:val="-3"/>
          <w:sz w:val="24"/>
          <w:szCs w:val="24"/>
          <w:highlight w:val="none"/>
          <w14:textFill>
            <w14:solidFill>
              <w14:schemeClr w14:val="tx1"/>
            </w14:solidFill>
          </w14:textFill>
        </w:rPr>
        <w:t>单价按照以下方法调整：</w:t>
      </w:r>
    </w:p>
    <w:p w14:paraId="25F45A58">
      <w:pPr>
        <w:spacing w:before="97" w:line="324" w:lineRule="auto"/>
        <w:ind w:left="13" w:right="179" w:firstLine="477"/>
        <w:rPr>
          <w:rFonts w:hint="eastAsia" w:ascii="宋体" w:hAnsi="宋体" w:eastAsia="宋体" w:cs="宋体"/>
          <w:b/>
          <w:bCs/>
          <w:color w:val="000000" w:themeColor="text1"/>
          <w:spacing w:val="-4"/>
          <w:sz w:val="24"/>
          <w:szCs w:val="24"/>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14:textFill>
            <w14:solidFill>
              <w14:schemeClr w14:val="tx1"/>
            </w14:solidFill>
          </w14:textFill>
        </w:rPr>
        <w:t>以招标控制价中《分部分项工程和单价措施项目清单与计价表》子目相对应综合单价×（1-中标下浮率）。</w:t>
      </w:r>
    </w:p>
    <w:p w14:paraId="3E1FC9C8">
      <w:pPr>
        <w:spacing w:before="97" w:line="324" w:lineRule="auto"/>
        <w:ind w:left="13" w:right="179" w:firstLine="477"/>
        <w:rPr>
          <w:rFonts w:hint="eastAsia" w:ascii="宋体" w:hAnsi="宋体" w:eastAsia="宋体" w:cs="宋体"/>
          <w:b/>
          <w:bCs/>
          <w:color w:val="000000" w:themeColor="text1"/>
          <w:spacing w:val="-4"/>
          <w:sz w:val="24"/>
          <w:szCs w:val="24"/>
          <w:highlight w:val="none"/>
          <w14:textFill>
            <w14:solidFill>
              <w14:schemeClr w14:val="tx1"/>
            </w14:solidFill>
          </w14:textFill>
        </w:rPr>
      </w:pPr>
      <w:bookmarkStart w:id="169" w:name="_Toc18478"/>
      <w:bookmarkStart w:id="170" w:name="_Toc12035"/>
      <w:bookmarkStart w:id="171" w:name="_Toc30068"/>
      <w:r>
        <w:rPr>
          <w:rFonts w:hint="eastAsia" w:ascii="宋体" w:hAnsi="宋体" w:eastAsia="宋体" w:cs="宋体"/>
          <w:b/>
          <w:bCs/>
          <w:color w:val="000000" w:themeColor="text1"/>
          <w:spacing w:val="-4"/>
          <w:sz w:val="24"/>
          <w:szCs w:val="24"/>
          <w:highlight w:val="none"/>
          <w14:textFill>
            <w14:solidFill>
              <w14:schemeClr w14:val="tx1"/>
            </w14:solidFill>
          </w14:textFill>
        </w:rPr>
        <w:t>中标下浮率=[1-（中标价-中标绿色施工安全防护措施费-暂列金额-暂估价）/（</w:t>
      </w:r>
      <w:bookmarkEnd w:id="169"/>
      <w:bookmarkEnd w:id="170"/>
      <w:bookmarkStart w:id="172" w:name="_Toc13602"/>
      <w:bookmarkStart w:id="173" w:name="_Toc15512"/>
      <w:r>
        <w:rPr>
          <w:rFonts w:hint="eastAsia" w:ascii="宋体" w:hAnsi="宋体" w:eastAsia="宋体" w:cs="宋体"/>
          <w:b/>
          <w:bCs/>
          <w:color w:val="000000" w:themeColor="text1"/>
          <w:spacing w:val="-4"/>
          <w:sz w:val="24"/>
          <w:szCs w:val="24"/>
          <w:highlight w:val="none"/>
          <w14:textFill>
            <w14:solidFill>
              <w14:schemeClr w14:val="tx1"/>
            </w14:solidFill>
          </w14:textFill>
        </w:rPr>
        <w:t>招标控制价-控制价绿色施工安全防护措施费-暂列金额-暂估价）] ×100%</w:t>
      </w:r>
      <w:bookmarkEnd w:id="171"/>
      <w:bookmarkEnd w:id="172"/>
      <w:bookmarkEnd w:id="173"/>
    </w:p>
    <w:p w14:paraId="5F716669">
      <w:pPr>
        <w:spacing w:before="123" w:line="301" w:lineRule="auto"/>
        <w:ind w:left="10" w:right="116" w:firstLine="482"/>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若修正后的该部分《分部分项工程和单价措施项目清单与计价表》总金额大于原投</w:t>
      </w:r>
      <w:r>
        <w:rPr>
          <w:rFonts w:hint="eastAsia" w:ascii="宋体" w:hAnsi="宋体" w:eastAsia="宋体" w:cs="宋体"/>
          <w:color w:val="000000" w:themeColor="text1"/>
          <w:spacing w:val="-1"/>
          <w:sz w:val="24"/>
          <w:szCs w:val="24"/>
          <w:highlight w:val="none"/>
          <w14:textFill>
            <w14:solidFill>
              <w14:schemeClr w14:val="tx1"/>
            </w14:solidFill>
          </w14:textFill>
        </w:rPr>
        <w:t>标报价中的该部分总金额，则从投标报价需</w:t>
      </w:r>
      <w:r>
        <w:rPr>
          <w:rFonts w:hint="eastAsia" w:ascii="宋体" w:hAnsi="宋体" w:eastAsia="宋体" w:cs="宋体"/>
          <w:color w:val="000000" w:themeColor="text1"/>
          <w:spacing w:val="-2"/>
          <w:sz w:val="24"/>
          <w:szCs w:val="24"/>
          <w:highlight w:val="none"/>
          <w14:textFill>
            <w14:solidFill>
              <w14:schemeClr w14:val="tx1"/>
            </w14:solidFill>
          </w14:textFill>
        </w:rPr>
        <w:t>调高的综合单价中选择偏离最大的清单开始</w:t>
      </w:r>
      <w:r>
        <w:rPr>
          <w:rFonts w:hint="eastAsia" w:ascii="宋体" w:hAnsi="宋体" w:eastAsia="宋体" w:cs="宋体"/>
          <w:color w:val="000000" w:themeColor="text1"/>
          <w:spacing w:val="-1"/>
          <w:sz w:val="24"/>
          <w:szCs w:val="24"/>
          <w:highlight w:val="none"/>
          <w14:textFill>
            <w14:solidFill>
              <w14:schemeClr w14:val="tx1"/>
            </w14:solidFill>
          </w14:textFill>
        </w:rPr>
        <w:t>调整，调整幅度逐步减少，直至修正后的该</w:t>
      </w:r>
      <w:r>
        <w:rPr>
          <w:rFonts w:hint="eastAsia" w:ascii="宋体" w:hAnsi="宋体" w:eastAsia="宋体" w:cs="宋体"/>
          <w:color w:val="000000" w:themeColor="text1"/>
          <w:spacing w:val="-2"/>
          <w:sz w:val="24"/>
          <w:szCs w:val="24"/>
          <w:highlight w:val="none"/>
          <w14:textFill>
            <w14:solidFill>
              <w14:schemeClr w14:val="tx1"/>
            </w14:solidFill>
          </w14:textFill>
        </w:rPr>
        <w:t>部分《分部分项工程和单价措施项目清单与</w:t>
      </w:r>
      <w:r>
        <w:rPr>
          <w:rFonts w:hint="eastAsia" w:ascii="宋体" w:hAnsi="宋体" w:eastAsia="宋体" w:cs="宋体"/>
          <w:color w:val="000000" w:themeColor="text1"/>
          <w:spacing w:val="-1"/>
          <w:sz w:val="24"/>
          <w:szCs w:val="24"/>
          <w:highlight w:val="none"/>
          <w14:textFill>
            <w14:solidFill>
              <w14:schemeClr w14:val="tx1"/>
            </w14:solidFill>
          </w14:textFill>
        </w:rPr>
        <w:t>计价表》总金额与原投标报价中的该部分总</w:t>
      </w:r>
      <w:r>
        <w:rPr>
          <w:rFonts w:hint="eastAsia" w:ascii="宋体" w:hAnsi="宋体" w:eastAsia="宋体" w:cs="宋体"/>
          <w:color w:val="000000" w:themeColor="text1"/>
          <w:spacing w:val="-2"/>
          <w:sz w:val="24"/>
          <w:szCs w:val="24"/>
          <w:highlight w:val="none"/>
          <w14:textFill>
            <w14:solidFill>
              <w14:schemeClr w14:val="tx1"/>
            </w14:solidFill>
          </w14:textFill>
        </w:rPr>
        <w:t>金额一致；若修正后的该部分《分部分项工</w:t>
      </w:r>
      <w:r>
        <w:rPr>
          <w:rFonts w:hint="eastAsia" w:ascii="宋体" w:hAnsi="宋体" w:eastAsia="宋体" w:cs="宋体"/>
          <w:color w:val="000000" w:themeColor="text1"/>
          <w:spacing w:val="-1"/>
          <w:sz w:val="24"/>
          <w:szCs w:val="24"/>
          <w:highlight w:val="none"/>
          <w14:textFill>
            <w14:solidFill>
              <w14:schemeClr w14:val="tx1"/>
            </w14:solidFill>
          </w14:textFill>
        </w:rPr>
        <w:t>程和单价措施项目清单与计价表》总金额小</w:t>
      </w:r>
      <w:r>
        <w:rPr>
          <w:rFonts w:hint="eastAsia" w:ascii="宋体" w:hAnsi="宋体" w:eastAsia="宋体" w:cs="宋体"/>
          <w:color w:val="000000" w:themeColor="text1"/>
          <w:spacing w:val="-2"/>
          <w:sz w:val="24"/>
          <w:szCs w:val="24"/>
          <w:highlight w:val="none"/>
          <w14:textFill>
            <w14:solidFill>
              <w14:schemeClr w14:val="tx1"/>
            </w14:solidFill>
          </w14:textFill>
        </w:rPr>
        <w:t>于原投标报价中的该部分总金额，则从投标</w:t>
      </w:r>
      <w:r>
        <w:rPr>
          <w:rFonts w:hint="eastAsia" w:ascii="宋体" w:hAnsi="宋体" w:eastAsia="宋体" w:cs="宋体"/>
          <w:color w:val="000000" w:themeColor="text1"/>
          <w:spacing w:val="-1"/>
          <w:sz w:val="24"/>
          <w:szCs w:val="24"/>
          <w:highlight w:val="none"/>
          <w14:textFill>
            <w14:solidFill>
              <w14:schemeClr w14:val="tx1"/>
            </w14:solidFill>
          </w14:textFill>
        </w:rPr>
        <w:t>报价需调低的综合单价中选择偏离最大的清</w:t>
      </w:r>
      <w:r>
        <w:rPr>
          <w:rFonts w:hint="eastAsia" w:ascii="宋体" w:hAnsi="宋体" w:eastAsia="宋体" w:cs="宋体"/>
          <w:color w:val="000000" w:themeColor="text1"/>
          <w:spacing w:val="-2"/>
          <w:sz w:val="24"/>
          <w:szCs w:val="24"/>
          <w:highlight w:val="none"/>
          <w14:textFill>
            <w14:solidFill>
              <w14:schemeClr w14:val="tx1"/>
            </w14:solidFill>
          </w14:textFill>
        </w:rPr>
        <w:t>单开始调整，调整幅度逐步减少，直至修正</w:t>
      </w:r>
      <w:r>
        <w:rPr>
          <w:rFonts w:hint="eastAsia" w:ascii="宋体" w:hAnsi="宋体" w:eastAsia="宋体" w:cs="宋体"/>
          <w:color w:val="000000" w:themeColor="text1"/>
          <w:spacing w:val="-1"/>
          <w:sz w:val="24"/>
          <w:szCs w:val="24"/>
          <w:highlight w:val="none"/>
          <w14:textFill>
            <w14:solidFill>
              <w14:schemeClr w14:val="tx1"/>
            </w14:solidFill>
          </w14:textFill>
        </w:rPr>
        <w:t>后的该部分《分部分项工程和单价措施项目</w:t>
      </w:r>
      <w:r>
        <w:rPr>
          <w:rFonts w:hint="eastAsia" w:ascii="宋体" w:hAnsi="宋体" w:eastAsia="宋体" w:cs="宋体"/>
          <w:color w:val="000000" w:themeColor="text1"/>
          <w:spacing w:val="-2"/>
          <w:sz w:val="24"/>
          <w:szCs w:val="24"/>
          <w:highlight w:val="none"/>
          <w14:textFill>
            <w14:solidFill>
              <w14:schemeClr w14:val="tx1"/>
            </w14:solidFill>
          </w14:textFill>
        </w:rPr>
        <w:t>清单与计价表》总金额与原投标报价中的该</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14:textFill>
            <w14:solidFill>
              <w14:schemeClr w14:val="tx1"/>
            </w14:solidFill>
          </w14:textFill>
        </w:rPr>
        <w:t>部分总金额一致。修正后的总造价应与总中标价保持一致，形成《不平衡报价修正报告》，</w:t>
      </w:r>
      <w:r>
        <w:rPr>
          <w:rFonts w:hint="eastAsia" w:ascii="宋体" w:hAnsi="宋体" w:eastAsia="宋体" w:cs="宋体"/>
          <w:color w:val="000000" w:themeColor="text1"/>
          <w:spacing w:val="-1"/>
          <w:sz w:val="24"/>
          <w:szCs w:val="24"/>
          <w:highlight w:val="none"/>
          <w14:textFill>
            <w14:solidFill>
              <w14:schemeClr w14:val="tx1"/>
            </w14:solidFill>
          </w14:textFill>
        </w:rPr>
        <w:t>并由招标人和中标人共同签章确认。</w:t>
      </w:r>
    </w:p>
    <w:p w14:paraId="2C74F04F">
      <w:pPr>
        <w:spacing w:before="129" w:line="299" w:lineRule="auto"/>
        <w:ind w:left="12" w:right="179" w:firstLine="47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"2.3.2.2"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pacing w:val="1"/>
          <w:sz w:val="24"/>
          <w:szCs w:val="24"/>
          <w:highlight w:val="none"/>
          <w14:textFill>
            <w14:solidFill>
              <w14:schemeClr w14:val="tx1"/>
            </w14:solidFill>
          </w14:textFill>
        </w:rPr>
        <w:t>2.3.2.2</w:t>
      </w:r>
      <w:r>
        <w:rPr>
          <w:rFonts w:hint="eastAsia" w:ascii="宋体" w:hAnsi="宋体" w:eastAsia="宋体" w:cs="宋体"/>
          <w:b/>
          <w:bCs/>
          <w:color w:val="000000" w:themeColor="text1"/>
          <w:spacing w:val="1"/>
          <w:sz w:val="24"/>
          <w:szCs w:val="24"/>
          <w:highlight w:val="none"/>
          <w14:textFill>
            <w14:solidFill>
              <w14:schemeClr w14:val="tx1"/>
            </w14:solidFill>
          </w14:textFill>
        </w:rPr>
        <w:fldChar w:fldCharType="end"/>
      </w: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如果工程量出现本章第</w:t>
      </w:r>
      <w:r>
        <w:rPr>
          <w:rFonts w:hint="eastAsia" w:ascii="宋体" w:hAnsi="宋体" w:eastAsia="宋体" w:cs="宋体"/>
          <w:color w:val="000000" w:themeColor="text1"/>
          <w:spacing w:val="-41"/>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2.3.2.1 </w:t>
      </w:r>
      <w:r>
        <w:rPr>
          <w:rFonts w:hint="eastAsia" w:ascii="宋体" w:hAnsi="宋体" w:eastAsia="宋体" w:cs="宋体"/>
          <w:color w:val="000000" w:themeColor="text1"/>
          <w:spacing w:val="1"/>
          <w:sz w:val="24"/>
          <w:szCs w:val="24"/>
          <w:highlight w:val="none"/>
          <w14:textFill>
            <w14:solidFill>
              <w14:schemeClr w14:val="tx1"/>
            </w14:solidFill>
          </w14:textFill>
        </w:rPr>
        <w:t>子目的变化，且该变化引起相关措施项目相</w:t>
      </w:r>
      <w:r>
        <w:rPr>
          <w:rFonts w:hint="eastAsia" w:ascii="宋体" w:hAnsi="宋体" w:eastAsia="宋体" w:cs="宋体"/>
          <w:color w:val="000000" w:themeColor="text1"/>
          <w:spacing w:val="-2"/>
          <w:sz w:val="24"/>
          <w:szCs w:val="24"/>
          <w:highlight w:val="none"/>
          <w14:textFill>
            <w14:solidFill>
              <w14:schemeClr w14:val="tx1"/>
            </w14:solidFill>
          </w14:textFill>
        </w:rPr>
        <w:t>应发生变化时，按系数或单一总价方式计价的，工程量增加的措施项目费调增，工程量</w:t>
      </w:r>
      <w:r>
        <w:rPr>
          <w:rFonts w:hint="eastAsia" w:ascii="宋体" w:hAnsi="宋体" w:eastAsia="宋体" w:cs="宋体"/>
          <w:color w:val="000000" w:themeColor="text1"/>
          <w:spacing w:val="-1"/>
          <w:sz w:val="24"/>
          <w:szCs w:val="24"/>
          <w:highlight w:val="none"/>
          <w14:textFill>
            <w14:solidFill>
              <w14:schemeClr w14:val="tx1"/>
            </w14:solidFill>
          </w14:textFill>
        </w:rPr>
        <w:t>减少的措施项目费调减。</w:t>
      </w:r>
    </w:p>
    <w:p w14:paraId="3DB00805">
      <w:pPr>
        <w:spacing w:before="154" w:line="221" w:lineRule="auto"/>
        <w:ind w:left="48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2.3.3  </w:t>
      </w:r>
      <w:r>
        <w:rPr>
          <w:rFonts w:hint="eastAsia" w:ascii="宋体" w:hAnsi="宋体" w:eastAsia="宋体" w:cs="宋体"/>
          <w:color w:val="000000" w:themeColor="text1"/>
          <w:spacing w:val="-1"/>
          <w:sz w:val="24"/>
          <w:szCs w:val="24"/>
          <w:highlight w:val="none"/>
          <w14:textFill>
            <w14:solidFill>
              <w14:schemeClr w14:val="tx1"/>
            </w14:solidFill>
          </w14:textFill>
        </w:rPr>
        <w:t>工程变更</w:t>
      </w:r>
    </w:p>
    <w:p w14:paraId="23DCAF42">
      <w:pPr>
        <w:spacing w:before="153" w:line="279" w:lineRule="auto"/>
        <w:ind w:left="19" w:right="179" w:firstLine="4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"2.3.3.1"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pacing w:val="-3"/>
          <w:sz w:val="24"/>
          <w:szCs w:val="24"/>
          <w:highlight w:val="none"/>
          <w14:textFill>
            <w14:solidFill>
              <w14:schemeClr w14:val="tx1"/>
            </w14:solidFill>
          </w14:textFill>
        </w:rPr>
        <w:t>2.3.3.1</w:t>
      </w:r>
      <w:r>
        <w:rPr>
          <w:rFonts w:hint="eastAsia" w:ascii="宋体" w:hAnsi="宋体" w:eastAsia="宋体" w:cs="宋体"/>
          <w:b/>
          <w:bCs/>
          <w:color w:val="000000" w:themeColor="text1"/>
          <w:spacing w:val="-3"/>
          <w:sz w:val="24"/>
          <w:szCs w:val="24"/>
          <w:highlight w:val="none"/>
          <w14:textFill>
            <w14:solidFill>
              <w14:schemeClr w14:val="tx1"/>
            </w14:solidFill>
          </w14:textFill>
        </w:rPr>
        <w:fldChar w:fldCharType="end"/>
      </w: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合同履行期间，因工程变更引起已标价工程量清单项目发生变化时，按照以下规定调整：</w:t>
      </w:r>
    </w:p>
    <w:p w14:paraId="187CDAE7">
      <w:pPr>
        <w:numPr>
          <w:ilvl w:val="0"/>
          <w:numId w:val="7"/>
        </w:numPr>
        <w:spacing w:before="78" w:line="360" w:lineRule="auto"/>
        <w:ind w:firstLine="242" w:firstLineChars="100"/>
        <w:rPr>
          <w:rFonts w:hint="eastAsia" w:ascii="宋体" w:hAnsi="宋体" w:eastAsia="宋体" w:cs="宋体"/>
          <w:b/>
          <w:bCs/>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已标价工程量清单中有适用于变更工程项目的，采用该项目的单价。</w:t>
      </w:r>
      <w:r>
        <w:rPr>
          <w:rFonts w:hint="eastAsia" w:ascii="宋体" w:hAnsi="宋体" w:eastAsia="宋体" w:cs="宋体"/>
          <w:b/>
          <w:bCs/>
          <w:color w:val="000000" w:themeColor="text1"/>
          <w:spacing w:val="1"/>
          <w:sz w:val="24"/>
          <w:szCs w:val="24"/>
          <w:highlight w:val="none"/>
          <w14:textFill>
            <w14:solidFill>
              <w14:schemeClr w14:val="tx1"/>
            </w14:solidFill>
          </w14:textFill>
        </w:rPr>
        <w:t>但如果</w:t>
      </w:r>
      <w:bookmarkStart w:id="174" w:name="bookmark143"/>
      <w:bookmarkEnd w:id="174"/>
      <w:r>
        <w:rPr>
          <w:rFonts w:hint="eastAsia" w:ascii="宋体" w:hAnsi="宋体" w:eastAsia="宋体" w:cs="宋体"/>
          <w:b/>
          <w:bCs/>
          <w:color w:val="000000" w:themeColor="text1"/>
          <w:spacing w:val="-7"/>
          <w:sz w:val="24"/>
          <w:szCs w:val="24"/>
          <w:highlight w:val="none"/>
          <w14:textFill>
            <w14:solidFill>
              <w14:schemeClr w14:val="tx1"/>
            </w14:solidFill>
          </w14:textFill>
        </w:rPr>
        <w:t>被采用的项目属于按照第二章“中标人须知</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14:textFill>
            <w14:solidFill>
              <w14:schemeClr w14:val="tx1"/>
            </w14:solidFill>
          </w14:textFill>
        </w:rPr>
        <w:t>”第</w:t>
      </w:r>
      <w:r>
        <w:rPr>
          <w:rFonts w:hint="eastAsia" w:ascii="宋体" w:hAnsi="宋体" w:eastAsia="宋体" w:cs="宋体"/>
          <w:color w:val="000000" w:themeColor="text1"/>
          <w:spacing w:val="-54"/>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14:textFill>
            <w14:solidFill>
              <w14:schemeClr w14:val="tx1"/>
            </w14:solidFill>
          </w14:textFill>
        </w:rPr>
        <w:t>4.2 条被认定为不平衡报价的清单项目，</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14:textFill>
            <w14:solidFill>
              <w14:schemeClr w14:val="tx1"/>
            </w14:solidFill>
          </w14:textFill>
        </w:rPr>
        <w:t>变更工程项目的单价按照</w:t>
      </w:r>
      <w:r>
        <w:rPr>
          <w:rFonts w:hint="eastAsia" w:ascii="宋体" w:hAnsi="宋体" w:eastAsia="宋体" w:cs="宋体"/>
          <w:b/>
          <w:bCs/>
          <w:color w:val="000000" w:themeColor="text1"/>
          <w:spacing w:val="-7"/>
          <w:sz w:val="24"/>
          <w:szCs w:val="24"/>
          <w:highlight w:val="none"/>
          <w14:textFill>
            <w14:solidFill>
              <w14:schemeClr w14:val="tx1"/>
            </w14:solidFill>
          </w14:textFill>
        </w:rPr>
        <w:t>本章 2.3.2.1 的</w:t>
      </w:r>
      <w:r>
        <w:rPr>
          <w:rFonts w:hint="eastAsia" w:ascii="宋体" w:hAnsi="宋体" w:eastAsia="宋体" w:cs="宋体"/>
          <w:b/>
          <w:bCs/>
          <w:color w:val="000000" w:themeColor="text1"/>
          <w:spacing w:val="-2"/>
          <w:sz w:val="24"/>
          <w:szCs w:val="24"/>
          <w:highlight w:val="none"/>
          <w14:textFill>
            <w14:solidFill>
              <w14:schemeClr w14:val="tx1"/>
            </w14:solidFill>
          </w14:textFill>
        </w:rPr>
        <w:t>方法调整。】</w:t>
      </w:r>
    </w:p>
    <w:p w14:paraId="7205A22D">
      <w:pPr>
        <w:numPr>
          <w:ilvl w:val="0"/>
          <w:numId w:val="0"/>
        </w:numPr>
        <w:spacing w:before="78" w:line="360" w:lineRule="auto"/>
        <w:ind w:firstLine="237"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2"/>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已标价工程量清单中没有适用但有类似于变更工程项目的，可在合理范围内</w:t>
      </w:r>
      <w:r>
        <w:rPr>
          <w:rFonts w:hint="eastAsia" w:ascii="宋体" w:hAnsi="宋体" w:eastAsia="宋体" w:cs="宋体"/>
          <w:color w:val="000000" w:themeColor="text1"/>
          <w:spacing w:val="-3"/>
          <w:sz w:val="24"/>
          <w:szCs w:val="24"/>
          <w:highlight w:val="none"/>
          <w14:textFill>
            <w14:solidFill>
              <w14:schemeClr w14:val="tx1"/>
            </w14:solidFill>
          </w14:textFill>
        </w:rPr>
        <w:t>参照类似项目的单价。</w:t>
      </w:r>
      <w:r>
        <w:rPr>
          <w:rFonts w:hint="eastAsia" w:ascii="宋体" w:hAnsi="宋体" w:eastAsia="宋体" w:cs="宋体"/>
          <w:b/>
          <w:bCs/>
          <w:color w:val="000000" w:themeColor="text1"/>
          <w:spacing w:val="-3"/>
          <w:sz w:val="24"/>
          <w:szCs w:val="24"/>
          <w:highlight w:val="none"/>
          <w14:textFill>
            <w14:solidFill>
              <w14:schemeClr w14:val="tx1"/>
            </w14:solidFill>
          </w14:textFill>
        </w:rPr>
        <w:t>但如果被参考的类似项目属于按照第二章“</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14:textFill>
            <w14:solidFill>
              <w14:schemeClr w14:val="tx1"/>
            </w14:solidFill>
          </w14:textFill>
        </w:rPr>
        <w:t>中标人须知</w:t>
      </w:r>
      <w:r>
        <w:rPr>
          <w:rFonts w:hint="eastAsia" w:ascii="宋体" w:hAnsi="宋体" w:eastAsia="宋体" w:cs="宋体"/>
          <w:color w:val="000000" w:themeColor="text1"/>
          <w:spacing w:val="-85"/>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14:textFill>
            <w14:solidFill>
              <w14:schemeClr w14:val="tx1"/>
            </w14:solidFill>
          </w14:textFill>
        </w:rPr>
        <w:t>”第</w:t>
      </w:r>
      <w:r>
        <w:rPr>
          <w:rFonts w:hint="eastAsia" w:ascii="宋体" w:hAnsi="宋体" w:eastAsia="宋体" w:cs="宋体"/>
          <w:color w:val="000000" w:themeColor="text1"/>
          <w:spacing w:val="-54"/>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14:textFill>
            <w14:solidFill>
              <w14:schemeClr w14:val="tx1"/>
            </w14:solidFill>
          </w14:textFill>
        </w:rPr>
        <w:t>4.2</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14:textFill>
            <w14:solidFill>
              <w14:schemeClr w14:val="tx1"/>
            </w14:solidFill>
          </w14:textFill>
        </w:rPr>
        <w:t>条被认定为不平衡报价的清单项目，变更工程项目的单价按照本章2.3.2.1 的方法调整。</w:t>
      </w:r>
    </w:p>
    <w:p w14:paraId="314A12AB">
      <w:pPr>
        <w:numPr>
          <w:ilvl w:val="0"/>
          <w:numId w:val="0"/>
        </w:numPr>
        <w:spacing w:before="38" w:line="310" w:lineRule="auto"/>
        <w:ind w:right="81" w:rightChars="0" w:firstLine="242" w:firstLineChars="100"/>
        <w:jc w:val="both"/>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已标价工程量清单中没有适用也没有类似于变更工程项目的，由承包人根据</w:t>
      </w:r>
      <w:r>
        <w:rPr>
          <w:rFonts w:hint="eastAsia" w:ascii="宋体" w:hAnsi="宋体" w:eastAsia="宋体" w:cs="宋体"/>
          <w:color w:val="000000" w:themeColor="text1"/>
          <w:spacing w:val="-2"/>
          <w:sz w:val="24"/>
          <w:szCs w:val="24"/>
          <w:highlight w:val="none"/>
          <w14:textFill>
            <w14:solidFill>
              <w14:schemeClr w14:val="tx1"/>
            </w14:solidFill>
          </w14:textFill>
        </w:rPr>
        <w:t>变更工程资料、计量规则、计价办法、施工当月项目所在地工程造价管理机构发布的价格信息和中标下浮率提出变更工程项目的单价，报发包人确认后调整。中标下浮率的计算公式如下：</w:t>
      </w:r>
    </w:p>
    <w:p w14:paraId="3BB23C34">
      <w:pPr>
        <w:spacing w:before="126" w:line="314" w:lineRule="auto"/>
        <w:ind w:left="29" w:right="21" w:firstLine="50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中标下浮率=[1-（中标价-中标绿色施工安全防护措施费-暂列</w:t>
      </w:r>
      <w:r>
        <w:rPr>
          <w:rFonts w:hint="eastAsia" w:ascii="宋体" w:hAnsi="宋体" w:eastAsia="宋体" w:cs="宋体"/>
          <w:b/>
          <w:bCs/>
          <w:color w:val="000000" w:themeColor="text1"/>
          <w:spacing w:val="-3"/>
          <w:sz w:val="24"/>
          <w:szCs w:val="24"/>
          <w:highlight w:val="none"/>
          <w14:textFill>
            <w14:solidFill>
              <w14:schemeClr w14:val="tx1"/>
            </w14:solidFill>
          </w14:textFill>
        </w:rPr>
        <w:t>金额-暂估价）/（招标控制价-控制价绿色施工安全防护措施费-暂列金额-暂估价）]</w:t>
      </w:r>
      <w:r>
        <w:rPr>
          <w:rFonts w:hint="eastAsia" w:ascii="宋体" w:hAnsi="宋体" w:eastAsia="宋体" w:cs="宋体"/>
          <w:color w:val="000000" w:themeColor="text1"/>
          <w:spacing w:val="-73"/>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14:textFill>
            <w14:solidFill>
              <w14:schemeClr w14:val="tx1"/>
            </w14:solidFill>
          </w14:textFill>
        </w:rPr>
        <w:t>×100%</w:t>
      </w:r>
    </w:p>
    <w:p w14:paraId="132C32ED">
      <w:pPr>
        <w:spacing w:before="145" w:line="309" w:lineRule="auto"/>
        <w:ind w:right="81" w:firstLine="242" w:firstLineChars="100"/>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已标价工程量清单中没有适用也没有类似于变更工程项目，且施工当月项目所在地工程造价管理机构发布的价格信息缺项的，由承包人根据变更工程资料、计量规则、计价办法和通过市场调查等取得有合法依据的市场价格提出变更工程项目的单价，报发包人确认后调整。</w:t>
      </w:r>
    </w:p>
    <w:p w14:paraId="7485EB42">
      <w:pPr>
        <w:spacing w:before="156" w:line="309" w:lineRule="auto"/>
        <w:ind w:left="7" w:right="81" w:firstLine="47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"2.3.3.2"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pacing w:val="-3"/>
          <w:sz w:val="24"/>
          <w:szCs w:val="24"/>
          <w:highlight w:val="none"/>
          <w14:textFill>
            <w14:solidFill>
              <w14:schemeClr w14:val="tx1"/>
            </w14:solidFill>
          </w14:textFill>
        </w:rPr>
        <w:t>2.3.3.2</w:t>
      </w:r>
      <w:r>
        <w:rPr>
          <w:rFonts w:hint="eastAsia" w:ascii="宋体" w:hAnsi="宋体" w:eastAsia="宋体" w:cs="宋体"/>
          <w:b/>
          <w:bCs/>
          <w:color w:val="000000" w:themeColor="text1"/>
          <w:spacing w:val="-3"/>
          <w:sz w:val="24"/>
          <w:szCs w:val="24"/>
          <w:highlight w:val="none"/>
          <w14:textFill>
            <w14:solidFill>
              <w14:schemeClr w14:val="tx1"/>
            </w14:solidFill>
          </w14:textFill>
        </w:rPr>
        <w:fldChar w:fldCharType="end"/>
      </w: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工程变更引起施工方案改变并使措施项目发生变化时，承包人提出调整措施</w:t>
      </w:r>
      <w:r>
        <w:rPr>
          <w:rFonts w:hint="eastAsia" w:ascii="宋体" w:hAnsi="宋体" w:eastAsia="宋体" w:cs="宋体"/>
          <w:color w:val="000000" w:themeColor="text1"/>
          <w:spacing w:val="-2"/>
          <w:sz w:val="24"/>
          <w:szCs w:val="24"/>
          <w:highlight w:val="none"/>
          <w14:textFill>
            <w14:solidFill>
              <w14:schemeClr w14:val="tx1"/>
            </w14:solidFill>
          </w14:textFill>
        </w:rPr>
        <w:t>项目费的，应事先将拟实施的方案提交发包人确认，并应详细说明与原方案措施项目相比的变化情况。拟实施的方案经发、承包双方确认后执行，并按照本章下列规定调整措施项目费：</w:t>
      </w:r>
    </w:p>
    <w:p w14:paraId="48DB76F2">
      <w:pPr>
        <w:spacing w:before="152" w:line="220" w:lineRule="auto"/>
        <w:ind w:left="4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（1）绿色施工安全防护措施费应按照实际发生变化的措施项目计算。</w:t>
      </w:r>
    </w:p>
    <w:p w14:paraId="3430AEEE">
      <w:pPr>
        <w:spacing w:before="156" w:line="309" w:lineRule="auto"/>
        <w:ind w:left="7" w:right="81" w:firstLine="477"/>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3"/>
          <w:sz w:val="24"/>
          <w:szCs w:val="24"/>
          <w:highlight w:val="none"/>
          <w14:textFill>
            <w14:solidFill>
              <w14:schemeClr w14:val="tx1"/>
            </w14:solidFill>
          </w14:textFill>
        </w:rPr>
        <w:t>采用单价计算的措施项目费，应按照实际发生变化的措施项目，按本章第 2.3.3.1 子目的规定确定单价。</w:t>
      </w:r>
    </w:p>
    <w:p w14:paraId="49A98A6F">
      <w:pPr>
        <w:spacing w:before="154" w:line="360" w:lineRule="auto"/>
        <w:ind w:left="8" w:right="81" w:firstLine="49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（3）按总价或系数计算的措施项目费，应按照实际发生变化的措施项目费调整并</w:t>
      </w:r>
      <w:r>
        <w:rPr>
          <w:rFonts w:hint="eastAsia" w:ascii="宋体" w:hAnsi="宋体" w:eastAsia="宋体" w:cs="宋体"/>
          <w:color w:val="000000" w:themeColor="text1"/>
          <w:spacing w:val="-3"/>
          <w:sz w:val="24"/>
          <w:szCs w:val="24"/>
          <w:highlight w:val="none"/>
          <w14:textFill>
            <w14:solidFill>
              <w14:schemeClr w14:val="tx1"/>
            </w14:solidFill>
          </w14:textFill>
        </w:rPr>
        <w:t>考虑中标下浮率因素，即调整金额＝按照实际变化调整后的金额×（ 1-中标下浮率）。</w:t>
      </w:r>
    </w:p>
    <w:p w14:paraId="78BE891C">
      <w:pPr>
        <w:spacing w:before="157" w:line="324" w:lineRule="auto"/>
        <w:ind w:left="21" w:right="81" w:firstLine="4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如果承包人未事先将拟实施的方案提交发包人确认，视为工程变更不引起措施项目费的调整或承包人放弃调整措施项目费的权利。</w:t>
      </w:r>
    </w:p>
    <w:p w14:paraId="2ECDD016">
      <w:pPr>
        <w:spacing w:before="35" w:line="309" w:lineRule="auto"/>
        <w:ind w:right="81" w:firstLine="42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"2.3.3.3"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pacing w:val="-3"/>
          <w:sz w:val="24"/>
          <w:szCs w:val="24"/>
          <w:highlight w:val="none"/>
          <w14:textFill>
            <w14:solidFill>
              <w14:schemeClr w14:val="tx1"/>
            </w14:solidFill>
          </w14:textFill>
        </w:rPr>
        <w:t>2.3.3.3</w:t>
      </w:r>
      <w:r>
        <w:rPr>
          <w:rFonts w:hint="eastAsia" w:ascii="宋体" w:hAnsi="宋体" w:eastAsia="宋体" w:cs="宋体"/>
          <w:b/>
          <w:bCs/>
          <w:color w:val="000000" w:themeColor="text1"/>
          <w:spacing w:val="-3"/>
          <w:sz w:val="24"/>
          <w:szCs w:val="24"/>
          <w:highlight w:val="none"/>
          <w14:textFill>
            <w14:solidFill>
              <w14:schemeClr w14:val="tx1"/>
            </w14:solidFill>
          </w14:textFill>
        </w:rPr>
        <w:fldChar w:fldCharType="end"/>
      </w: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当因非承包人原因，发包人提出的工程变更删减了合同中的某项原定工作或</w:t>
      </w:r>
      <w:r>
        <w:rPr>
          <w:rFonts w:hint="eastAsia" w:ascii="宋体" w:hAnsi="宋体" w:eastAsia="宋体" w:cs="宋体"/>
          <w:color w:val="000000" w:themeColor="text1"/>
          <w:spacing w:val="-2"/>
          <w:sz w:val="24"/>
          <w:szCs w:val="24"/>
          <w:highlight w:val="none"/>
          <w14:textFill>
            <w14:solidFill>
              <w14:schemeClr w14:val="tx1"/>
            </w14:solidFill>
          </w14:textFill>
        </w:rPr>
        <w:t>工程，致使承包人发生的费用或（和）得到的收益不能被包括在其他已支付或应支付的项目中，也未被包含在任何替代的工作或工程中时，承包人有权提出并应得到合理的费用及利润补偿。</w:t>
      </w:r>
    </w:p>
    <w:p w14:paraId="4E492982">
      <w:pPr>
        <w:spacing w:before="155" w:line="220" w:lineRule="auto"/>
        <w:ind w:left="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2.3.4  </w:t>
      </w:r>
      <w:r>
        <w:rPr>
          <w:rFonts w:hint="eastAsia" w:ascii="宋体" w:hAnsi="宋体" w:eastAsia="宋体" w:cs="宋体"/>
          <w:color w:val="000000" w:themeColor="text1"/>
          <w:spacing w:val="-1"/>
          <w:sz w:val="24"/>
          <w:szCs w:val="24"/>
          <w:highlight w:val="none"/>
          <w14:textFill>
            <w14:solidFill>
              <w14:schemeClr w14:val="tx1"/>
            </w14:solidFill>
          </w14:textFill>
        </w:rPr>
        <w:t>项目特征不符</w:t>
      </w:r>
    </w:p>
    <w:p w14:paraId="7DBF02D2">
      <w:pPr>
        <w:spacing w:before="78" w:line="331" w:lineRule="auto"/>
        <w:ind w:left="8" w:right="108" w:firstLine="480"/>
        <w:jc w:val="both"/>
        <w:rPr>
          <w:rFonts w:hint="eastAsia" w:ascii="宋体" w:hAnsi="宋体" w:eastAsia="宋体" w:cs="宋体"/>
          <w:color w:val="000000" w:themeColor="text1"/>
          <w:sz w:val="24"/>
          <w:szCs w:val="24"/>
          <w:highlight w:val="none"/>
          <w14:textFill>
            <w14:solidFill>
              <w14:schemeClr w14:val="tx1"/>
            </w14:solidFill>
          </w14:textFill>
        </w:rPr>
      </w:pPr>
      <w:bookmarkStart w:id="175" w:name="bookmark144"/>
      <w:bookmarkEnd w:id="175"/>
      <w:r>
        <w:rPr>
          <w:rFonts w:hint="eastAsia" w:ascii="宋体" w:hAnsi="宋体" w:eastAsia="宋体" w:cs="宋体"/>
          <w:color w:val="000000" w:themeColor="text1"/>
          <w:spacing w:val="-2"/>
          <w:sz w:val="24"/>
          <w:szCs w:val="24"/>
          <w:highlight w:val="none"/>
          <w14:textFill>
            <w14:solidFill>
              <w14:schemeClr w14:val="tx1"/>
            </w14:solidFill>
          </w14:textFill>
        </w:rPr>
        <w:t>承包人应按照发包人提供的设计图纸实施合同工程，若在合同履行期间出现设计图纸（含设计变更）与招标工程量清单任一项目的特征描述不符，且该变化引起该项目工</w:t>
      </w:r>
      <w:r>
        <w:rPr>
          <w:rFonts w:hint="eastAsia" w:ascii="宋体" w:hAnsi="宋体" w:eastAsia="宋体" w:cs="宋体"/>
          <w:color w:val="000000" w:themeColor="text1"/>
          <w:sz w:val="24"/>
          <w:szCs w:val="24"/>
          <w:highlight w:val="none"/>
          <w14:textFill>
            <w14:solidFill>
              <w14:schemeClr w14:val="tx1"/>
            </w14:solidFill>
          </w14:textFill>
        </w:rPr>
        <w:t>程造价增减变化的，应按照实际施工的项目特征，并按本章第</w:t>
      </w:r>
      <w:r>
        <w:rPr>
          <w:rFonts w:hint="eastAsia" w:ascii="宋体" w:hAnsi="宋体" w:eastAsia="宋体" w:cs="宋体"/>
          <w:color w:val="000000" w:themeColor="text1"/>
          <w:spacing w:val="-52"/>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2.3.3 </w:t>
      </w:r>
      <w:r>
        <w:rPr>
          <w:rFonts w:hint="eastAsia" w:ascii="宋体" w:hAnsi="宋体" w:eastAsia="宋体" w:cs="宋体"/>
          <w:color w:val="000000" w:themeColor="text1"/>
          <w:sz w:val="24"/>
          <w:szCs w:val="24"/>
          <w:highlight w:val="none"/>
          <w14:textFill>
            <w14:solidFill>
              <w14:schemeClr w14:val="tx1"/>
            </w14:solidFill>
          </w14:textFill>
        </w:rPr>
        <w:t>目相</w:t>
      </w:r>
      <w:r>
        <w:rPr>
          <w:rFonts w:hint="eastAsia" w:ascii="宋体" w:hAnsi="宋体" w:eastAsia="宋体" w:cs="宋体"/>
          <w:color w:val="000000" w:themeColor="text1"/>
          <w:spacing w:val="-1"/>
          <w:sz w:val="24"/>
          <w:szCs w:val="24"/>
          <w:highlight w:val="none"/>
          <w14:textFill>
            <w14:solidFill>
              <w14:schemeClr w14:val="tx1"/>
            </w14:solidFill>
          </w14:textFill>
        </w:rPr>
        <w:t>关条款的规定重新确定相应工程量清单项目的综合单价，并调整合同价款。</w:t>
      </w:r>
    </w:p>
    <w:p w14:paraId="197538B0">
      <w:pPr>
        <w:spacing w:before="38" w:line="221" w:lineRule="auto"/>
        <w:ind w:left="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2.3.5  </w:t>
      </w:r>
      <w:r>
        <w:rPr>
          <w:rFonts w:hint="eastAsia" w:ascii="宋体" w:hAnsi="宋体" w:eastAsia="宋体" w:cs="宋体"/>
          <w:color w:val="000000" w:themeColor="text1"/>
          <w:spacing w:val="-1"/>
          <w:sz w:val="24"/>
          <w:szCs w:val="24"/>
          <w:highlight w:val="none"/>
          <w14:textFill>
            <w14:solidFill>
              <w14:schemeClr w14:val="tx1"/>
            </w14:solidFill>
          </w14:textFill>
        </w:rPr>
        <w:t>招标工程量清单缺项</w:t>
      </w:r>
    </w:p>
    <w:p w14:paraId="5867B021">
      <w:pPr>
        <w:spacing w:before="152" w:line="278" w:lineRule="auto"/>
        <w:ind w:left="9" w:right="56" w:firstLine="47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"2.3.5.1"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pacing w:val="-1"/>
          <w:sz w:val="24"/>
          <w:szCs w:val="24"/>
          <w:highlight w:val="none"/>
          <w14:textFill>
            <w14:solidFill>
              <w14:schemeClr w14:val="tx1"/>
            </w14:solidFill>
          </w14:textFill>
        </w:rPr>
        <w:t>2.3.5.1</w:t>
      </w:r>
      <w:r>
        <w:rPr>
          <w:rFonts w:hint="eastAsia" w:ascii="宋体" w:hAnsi="宋体" w:eastAsia="宋体" w:cs="宋体"/>
          <w:b/>
          <w:bCs/>
          <w:color w:val="000000" w:themeColor="text1"/>
          <w:spacing w:val="-1"/>
          <w:sz w:val="24"/>
          <w:szCs w:val="24"/>
          <w:highlight w:val="none"/>
          <w14:textFill>
            <w14:solidFill>
              <w14:schemeClr w14:val="tx1"/>
            </w14:solidFill>
          </w14:textFill>
        </w:rPr>
        <w:fldChar w:fldCharType="end"/>
      </w: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合同履行期间，由于招标</w:t>
      </w:r>
      <w:r>
        <w:rPr>
          <w:rFonts w:hint="eastAsia" w:ascii="宋体" w:hAnsi="宋体" w:eastAsia="宋体" w:cs="宋体"/>
          <w:color w:val="000000" w:themeColor="text1"/>
          <w:spacing w:val="-2"/>
          <w:sz w:val="24"/>
          <w:szCs w:val="24"/>
          <w:highlight w:val="none"/>
          <w14:textFill>
            <w14:solidFill>
              <w14:schemeClr w14:val="tx1"/>
            </w14:solidFill>
          </w14:textFill>
        </w:rPr>
        <w:t>工程量清单中缺项，新增分部分项工程清单项目，</w:t>
      </w:r>
      <w:r>
        <w:rPr>
          <w:rFonts w:hint="eastAsia" w:ascii="宋体" w:hAnsi="宋体" w:eastAsia="宋体" w:cs="宋体"/>
          <w:color w:val="000000" w:themeColor="text1"/>
          <w:spacing w:val="-1"/>
          <w:sz w:val="24"/>
          <w:szCs w:val="24"/>
          <w:highlight w:val="none"/>
          <w14:textFill>
            <w14:solidFill>
              <w14:schemeClr w14:val="tx1"/>
            </w14:solidFill>
          </w14:textFill>
        </w:rPr>
        <w:t>应按照本章第</w:t>
      </w:r>
      <w:r>
        <w:rPr>
          <w:rFonts w:hint="eastAsia" w:ascii="宋体" w:hAnsi="宋体" w:eastAsia="宋体" w:cs="宋体"/>
          <w:color w:val="000000" w:themeColor="text1"/>
          <w:spacing w:val="-39"/>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2.3.3.1 </w:t>
      </w:r>
      <w:r>
        <w:rPr>
          <w:rFonts w:hint="eastAsia" w:ascii="宋体" w:hAnsi="宋体" w:eastAsia="宋体" w:cs="宋体"/>
          <w:color w:val="000000" w:themeColor="text1"/>
          <w:spacing w:val="-1"/>
          <w:sz w:val="24"/>
          <w:szCs w:val="24"/>
          <w:highlight w:val="none"/>
          <w14:textFill>
            <w14:solidFill>
              <w14:schemeClr w14:val="tx1"/>
            </w14:solidFill>
          </w14:textFill>
        </w:rPr>
        <w:t>子目的规定确定单价，并调整合同价款。</w:t>
      </w:r>
    </w:p>
    <w:p w14:paraId="789762A4">
      <w:pPr>
        <w:spacing w:before="157" w:line="219" w:lineRule="auto"/>
        <w:ind w:firstLine="42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"2.3.5.2"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pacing w:val="-1"/>
          <w:sz w:val="24"/>
          <w:szCs w:val="24"/>
          <w:highlight w:val="none"/>
          <w14:textFill>
            <w14:solidFill>
              <w14:schemeClr w14:val="tx1"/>
            </w14:solidFill>
          </w14:textFill>
        </w:rPr>
        <w:t>2.3.5.2</w:t>
      </w:r>
      <w:r>
        <w:rPr>
          <w:rFonts w:hint="eastAsia" w:ascii="宋体" w:hAnsi="宋体" w:eastAsia="宋体" w:cs="宋体"/>
          <w:b/>
          <w:bCs/>
          <w:color w:val="000000" w:themeColor="text1"/>
          <w:spacing w:val="-1"/>
          <w:sz w:val="24"/>
          <w:szCs w:val="24"/>
          <w:highlight w:val="none"/>
          <w14:textFill>
            <w14:solidFill>
              <w14:schemeClr w14:val="tx1"/>
            </w14:solidFill>
          </w14:textFill>
        </w:rPr>
        <w:fldChar w:fldCharType="end"/>
      </w: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新增分部分项工程清单项目后，引起</w:t>
      </w:r>
      <w:r>
        <w:rPr>
          <w:rFonts w:hint="eastAsia" w:ascii="宋体" w:hAnsi="宋体" w:eastAsia="宋体" w:cs="宋体"/>
          <w:color w:val="000000" w:themeColor="text1"/>
          <w:spacing w:val="-2"/>
          <w:sz w:val="24"/>
          <w:szCs w:val="24"/>
          <w:highlight w:val="none"/>
          <w14:textFill>
            <w14:solidFill>
              <w14:schemeClr w14:val="tx1"/>
            </w14:solidFill>
          </w14:textFill>
        </w:rPr>
        <w:t>措施项目发生变化的，应按照本章第</w:t>
      </w:r>
      <w:r>
        <w:rPr>
          <w:rFonts w:hint="eastAsia" w:ascii="宋体" w:hAnsi="宋体" w:eastAsia="宋体" w:cs="宋体"/>
          <w:color w:val="000000" w:themeColor="text1"/>
          <w:spacing w:val="-54"/>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 xml:space="preserve">3.3.2 </w:t>
      </w:r>
      <w:r>
        <w:rPr>
          <w:rFonts w:hint="eastAsia" w:ascii="宋体" w:hAnsi="宋体" w:eastAsia="宋体" w:cs="宋体"/>
          <w:color w:val="000000" w:themeColor="text1"/>
          <w:sz w:val="24"/>
          <w:szCs w:val="24"/>
          <w:highlight w:val="none"/>
          <w14:textFill>
            <w14:solidFill>
              <w14:schemeClr w14:val="tx1"/>
            </w14:solidFill>
          </w14:textFill>
        </w:rPr>
        <w:t>子目的规定，在承包人提交的实施方案被发包人批准后调整</w:t>
      </w:r>
      <w:r>
        <w:rPr>
          <w:rFonts w:hint="eastAsia" w:ascii="宋体" w:hAnsi="宋体" w:eastAsia="宋体" w:cs="宋体"/>
          <w:color w:val="000000" w:themeColor="text1"/>
          <w:spacing w:val="-1"/>
          <w:sz w:val="24"/>
          <w:szCs w:val="24"/>
          <w:highlight w:val="none"/>
          <w14:textFill>
            <w14:solidFill>
              <w14:schemeClr w14:val="tx1"/>
            </w14:solidFill>
          </w14:textFill>
        </w:rPr>
        <w:t>合同价款。</w:t>
      </w:r>
    </w:p>
    <w:p w14:paraId="64483C48">
      <w:pPr>
        <w:spacing w:before="156" w:line="279" w:lineRule="auto"/>
        <w:ind w:left="13" w:right="108" w:firstLine="47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"2.3.5.3"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pacing w:val="-4"/>
          <w:sz w:val="24"/>
          <w:szCs w:val="24"/>
          <w:highlight w:val="none"/>
          <w14:textFill>
            <w14:solidFill>
              <w14:schemeClr w14:val="tx1"/>
            </w14:solidFill>
          </w14:textFill>
        </w:rPr>
        <w:t>2.3.5.3</w:t>
      </w:r>
      <w:r>
        <w:rPr>
          <w:rFonts w:hint="eastAsia" w:ascii="宋体" w:hAnsi="宋体" w:eastAsia="宋体" w:cs="宋体"/>
          <w:b/>
          <w:bCs/>
          <w:color w:val="000000" w:themeColor="text1"/>
          <w:spacing w:val="-4"/>
          <w:sz w:val="24"/>
          <w:szCs w:val="24"/>
          <w:highlight w:val="none"/>
          <w14:textFill>
            <w14:solidFill>
              <w14:schemeClr w14:val="tx1"/>
            </w14:solidFill>
          </w14:textFill>
        </w:rPr>
        <w:fldChar w:fldCharType="end"/>
      </w:r>
      <w:r>
        <w:rPr>
          <w:rFonts w:hint="eastAsia" w:ascii="宋体" w:hAnsi="宋体" w:eastAsia="宋体" w:cs="宋体"/>
          <w:b/>
          <w:bCs/>
          <w:color w:val="000000" w:themeColor="text1"/>
          <w:spacing w:val="22"/>
          <w:w w:val="10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由于招标工程量清单中措施项目缺项，承包人应将新增措施项目实施方案提</w:t>
      </w:r>
      <w:r>
        <w:rPr>
          <w:rFonts w:hint="eastAsia" w:ascii="宋体" w:hAnsi="宋体" w:eastAsia="宋体" w:cs="宋体"/>
          <w:color w:val="000000" w:themeColor="text1"/>
          <w:spacing w:val="-1"/>
          <w:sz w:val="24"/>
          <w:szCs w:val="24"/>
          <w:highlight w:val="none"/>
          <w14:textFill>
            <w14:solidFill>
              <w14:schemeClr w14:val="tx1"/>
            </w14:solidFill>
          </w14:textFill>
        </w:rPr>
        <w:t>交发包人批准后，按照本章第</w:t>
      </w:r>
      <w:r>
        <w:rPr>
          <w:rFonts w:hint="eastAsia" w:ascii="宋体" w:hAnsi="宋体" w:eastAsia="宋体" w:cs="宋体"/>
          <w:color w:val="000000" w:themeColor="text1"/>
          <w:spacing w:val="-36"/>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2.3.3.1 </w:t>
      </w:r>
      <w:r>
        <w:rPr>
          <w:rFonts w:hint="eastAsia" w:ascii="宋体" w:hAnsi="宋体" w:eastAsia="宋体" w:cs="宋体"/>
          <w:color w:val="000000" w:themeColor="text1"/>
          <w:spacing w:val="-1"/>
          <w:sz w:val="24"/>
          <w:szCs w:val="24"/>
          <w:highlight w:val="none"/>
          <w14:textFill>
            <w14:solidFill>
              <w14:schemeClr w14:val="tx1"/>
            </w14:solidFill>
          </w14:textFill>
        </w:rPr>
        <w:t>子目、第</w:t>
      </w:r>
      <w:r>
        <w:rPr>
          <w:rFonts w:hint="eastAsia" w:ascii="宋体" w:hAnsi="宋体" w:eastAsia="宋体" w:cs="宋体"/>
          <w:color w:val="000000" w:themeColor="text1"/>
          <w:spacing w:val="-55"/>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2.3.3.2 </w:t>
      </w:r>
      <w:r>
        <w:rPr>
          <w:rFonts w:hint="eastAsia" w:ascii="宋体" w:hAnsi="宋体" w:eastAsia="宋体" w:cs="宋体"/>
          <w:color w:val="000000" w:themeColor="text1"/>
          <w:spacing w:val="-1"/>
          <w:sz w:val="24"/>
          <w:szCs w:val="24"/>
          <w:highlight w:val="none"/>
          <w14:textFill>
            <w14:solidFill>
              <w14:schemeClr w14:val="tx1"/>
            </w14:solidFill>
          </w14:textFill>
        </w:rPr>
        <w:t>子目的规定调整合同价款。</w:t>
      </w:r>
    </w:p>
    <w:p w14:paraId="08FB5658">
      <w:pPr>
        <w:spacing w:before="154" w:line="219" w:lineRule="auto"/>
        <w:ind w:left="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2.3.6  </w:t>
      </w:r>
      <w:r>
        <w:rPr>
          <w:rFonts w:hint="eastAsia" w:ascii="宋体" w:hAnsi="宋体" w:eastAsia="宋体" w:cs="宋体"/>
          <w:color w:val="000000" w:themeColor="text1"/>
          <w:spacing w:val="-1"/>
          <w:sz w:val="24"/>
          <w:szCs w:val="24"/>
          <w:highlight w:val="none"/>
          <w14:textFill>
            <w14:solidFill>
              <w14:schemeClr w14:val="tx1"/>
            </w14:solidFill>
          </w14:textFill>
        </w:rPr>
        <w:t>物价变化</w:t>
      </w:r>
    </w:p>
    <w:p w14:paraId="7D525C3E">
      <w:pPr>
        <w:spacing w:before="156" w:line="315" w:lineRule="auto"/>
        <w:ind w:left="8" w:right="108" w:firstLine="47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"2.3.6.1"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pacing w:val="-3"/>
          <w:sz w:val="24"/>
          <w:szCs w:val="24"/>
          <w:highlight w:val="none"/>
          <w14:textFill>
            <w14:solidFill>
              <w14:schemeClr w14:val="tx1"/>
            </w14:solidFill>
          </w14:textFill>
        </w:rPr>
        <w:t>2.3.6.1</w:t>
      </w:r>
      <w:r>
        <w:rPr>
          <w:rFonts w:hint="eastAsia" w:ascii="宋体" w:hAnsi="宋体" w:eastAsia="宋体" w:cs="宋体"/>
          <w:b/>
          <w:bCs/>
          <w:color w:val="000000" w:themeColor="text1"/>
          <w:spacing w:val="-3"/>
          <w:sz w:val="24"/>
          <w:szCs w:val="24"/>
          <w:highlight w:val="none"/>
          <w14:textFill>
            <w14:solidFill>
              <w14:schemeClr w14:val="tx1"/>
            </w14:solidFill>
          </w14:textFill>
        </w:rPr>
        <w:fldChar w:fldCharType="end"/>
      </w: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合同履行期间，项目所在地工程造价管理机构发布的动态人工调整系数发生变化时，如果承包人投标报价中人工费（以下简称“</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中标人工费</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等于或超过施工当</w:t>
      </w:r>
      <w:r>
        <w:rPr>
          <w:rFonts w:hint="eastAsia" w:ascii="宋体" w:hAnsi="宋体" w:eastAsia="宋体" w:cs="宋体"/>
          <w:color w:val="000000" w:themeColor="text1"/>
          <w:spacing w:val="-2"/>
          <w:sz w:val="24"/>
          <w:szCs w:val="24"/>
          <w:highlight w:val="none"/>
          <w14:textFill>
            <w14:solidFill>
              <w14:schemeClr w14:val="tx1"/>
            </w14:solidFill>
          </w14:textFill>
        </w:rPr>
        <w:t>月经动态调整后的定额人工费，该清单项目中标人工费不予调整；如果中标人工费低于施工当月经动态调整后的定额人工费，该清单项目中标人工费可以调整，相关费用按有</w:t>
      </w:r>
      <w:r>
        <w:rPr>
          <w:rFonts w:hint="eastAsia" w:ascii="宋体" w:hAnsi="宋体" w:eastAsia="宋体" w:cs="宋体"/>
          <w:color w:val="000000" w:themeColor="text1"/>
          <w:spacing w:val="-1"/>
          <w:sz w:val="24"/>
          <w:szCs w:val="24"/>
          <w:highlight w:val="none"/>
          <w14:textFill>
            <w14:solidFill>
              <w14:schemeClr w14:val="tx1"/>
            </w14:solidFill>
          </w14:textFill>
        </w:rPr>
        <w:t>关规定进行相应调整。结算人工费调整公式为：</w:t>
      </w:r>
    </w:p>
    <w:p w14:paraId="6A69C7F8">
      <w:pPr>
        <w:spacing w:before="153" w:line="220" w:lineRule="auto"/>
        <w:ind w:left="494"/>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结算人工费＝中标人工费×F</w:t>
      </w:r>
      <w:r>
        <w:rPr>
          <w:rFonts w:hint="eastAsia" w:ascii="宋体" w:hAnsi="宋体" w:eastAsia="宋体" w:cs="宋体"/>
          <w:color w:val="000000" w:themeColor="text1"/>
          <w:spacing w:val="-1"/>
          <w:position w:val="-1"/>
          <w:sz w:val="15"/>
          <w:szCs w:val="15"/>
          <w:highlight w:val="none"/>
          <w14:textFill>
            <w14:solidFill>
              <w14:schemeClr w14:val="tx1"/>
            </w14:solidFill>
          </w14:textFill>
        </w:rPr>
        <w:t>1</w:t>
      </w:r>
    </w:p>
    <w:p w14:paraId="381BBD03">
      <w:pPr>
        <w:spacing w:before="152" w:line="219" w:lineRule="auto"/>
        <w:ind w:left="49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式中，F</w:t>
      </w:r>
      <w:r>
        <w:rPr>
          <w:rFonts w:hint="eastAsia" w:ascii="宋体" w:hAnsi="宋体" w:eastAsia="宋体" w:cs="宋体"/>
          <w:color w:val="000000" w:themeColor="text1"/>
          <w:spacing w:val="-1"/>
          <w:position w:val="-1"/>
          <w:sz w:val="15"/>
          <w:szCs w:val="15"/>
          <w:highlight w:val="none"/>
          <w14:textFill>
            <w14:solidFill>
              <w14:schemeClr w14:val="tx1"/>
            </w14:solidFill>
          </w14:textFill>
        </w:rPr>
        <w:t>1</w:t>
      </w:r>
      <w:r>
        <w:rPr>
          <w:rFonts w:hint="eastAsia" w:ascii="宋体" w:hAnsi="宋体" w:eastAsia="宋体" w:cs="宋体"/>
          <w:color w:val="000000" w:themeColor="text1"/>
          <w:spacing w:val="23"/>
          <w:w w:val="101"/>
          <w:position w:val="-1"/>
          <w:sz w:val="15"/>
          <w:szCs w:val="15"/>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为施工当月项目所在地工程造价管理机构发布的动态人工调整系数。</w:t>
      </w:r>
    </w:p>
    <w:p w14:paraId="4F9CF534">
      <w:pPr>
        <w:spacing w:before="119" w:line="324" w:lineRule="auto"/>
        <w:ind w:left="1" w:right="108" w:firstLine="48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pacing w:val="-1"/>
          <w:sz w:val="24"/>
          <w:szCs w:val="24"/>
          <w:highlight w:val="none"/>
          <w14:textFill>
            <w14:solidFill>
              <w14:schemeClr w14:val="tx1"/>
            </w14:solidFill>
          </w14:textFill>
        </w:rPr>
        <w:instrText xml:space="preserve"> HYPERLINK "2.3.6.2" </w:instrText>
      </w:r>
      <w:r>
        <w:rPr>
          <w:rFonts w:hint="eastAsia" w:ascii="宋体" w:hAnsi="宋体" w:eastAsia="宋体" w:cs="宋体"/>
          <w:b/>
          <w:bCs/>
          <w:color w:val="000000" w:themeColor="text1"/>
          <w:spacing w:val="-1"/>
          <w:sz w:val="24"/>
          <w:szCs w:val="24"/>
          <w:highlight w:val="none"/>
          <w14:textFill>
            <w14:solidFill>
              <w14:schemeClr w14:val="tx1"/>
            </w14:solidFill>
          </w14:textFill>
        </w:rPr>
        <w:fldChar w:fldCharType="separate"/>
      </w:r>
      <w:r>
        <w:rPr>
          <w:rFonts w:hint="eastAsia" w:ascii="宋体" w:hAnsi="宋体" w:eastAsia="宋体" w:cs="宋体"/>
          <w:b/>
          <w:bCs/>
          <w:color w:val="000000" w:themeColor="text1"/>
          <w:spacing w:val="-1"/>
          <w:sz w:val="24"/>
          <w:szCs w:val="24"/>
          <w:highlight w:val="none"/>
          <w14:textFill>
            <w14:solidFill>
              <w14:schemeClr w14:val="tx1"/>
            </w14:solidFill>
          </w14:textFill>
        </w:rPr>
        <w:t>2.3.6.2</w:t>
      </w:r>
      <w:r>
        <w:rPr>
          <w:rFonts w:hint="eastAsia" w:ascii="宋体" w:hAnsi="宋体" w:eastAsia="宋体" w:cs="宋体"/>
          <w:b/>
          <w:bCs/>
          <w:color w:val="000000" w:themeColor="text1"/>
          <w:spacing w:val="-1"/>
          <w:sz w:val="24"/>
          <w:szCs w:val="24"/>
          <w:highlight w:val="none"/>
          <w14:textFill>
            <w14:solidFill>
              <w14:schemeClr w14:val="tx1"/>
            </w14:solidFill>
          </w14:textFill>
        </w:rPr>
        <w:fldChar w:fldCharType="end"/>
      </w: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本招标项目约定，材料、工程设备</w:t>
      </w:r>
      <w:r>
        <w:rPr>
          <w:rFonts w:hint="eastAsia" w:ascii="宋体" w:hAnsi="宋体" w:eastAsia="宋体" w:cs="宋体"/>
          <w:color w:val="000000" w:themeColor="text1"/>
          <w:spacing w:val="-2"/>
          <w:sz w:val="24"/>
          <w:szCs w:val="24"/>
          <w:highlight w:val="none"/>
          <w14:textFill>
            <w14:solidFill>
              <w14:schemeClr w14:val="tx1"/>
            </w14:solidFill>
          </w14:textFill>
        </w:rPr>
        <w:t>单价涨跌风险幅度值</w:t>
      </w:r>
      <w:r>
        <w:rPr>
          <w:rFonts w:hint="eastAsia" w:ascii="宋体" w:hAnsi="宋体" w:eastAsia="宋体" w:cs="宋体"/>
          <w:color w:val="000000" w:themeColor="text1"/>
          <w:spacing w:val="-5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A 为</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5%   </w:t>
      </w:r>
      <w:r>
        <w:rPr>
          <w:rFonts w:hint="eastAsia" w:ascii="宋体" w:hAnsi="宋体" w:eastAsia="宋体" w:cs="宋体"/>
          <w:color w:val="000000" w:themeColor="text1"/>
          <w:spacing w:val="-2"/>
          <w:sz w:val="24"/>
          <w:szCs w:val="24"/>
          <w:highlight w:val="none"/>
          <w14:textFill>
            <w14:solidFill>
              <w14:schemeClr w14:val="tx1"/>
            </w14:solidFill>
          </w14:textFill>
        </w:rPr>
        <w:t>。合同履</w:t>
      </w:r>
      <w:r>
        <w:rPr>
          <w:rFonts w:hint="eastAsia" w:ascii="宋体" w:hAnsi="宋体" w:eastAsia="宋体" w:cs="宋体"/>
          <w:color w:val="000000" w:themeColor="text1"/>
          <w:spacing w:val="-1"/>
          <w:sz w:val="24"/>
          <w:szCs w:val="24"/>
          <w:highlight w:val="none"/>
          <w14:textFill>
            <w14:solidFill>
              <w14:schemeClr w14:val="tx1"/>
            </w14:solidFill>
          </w14:textFill>
        </w:rPr>
        <w:t>行期间，当《承包人提供主要材料和工程设备一览表》（</w:t>
      </w:r>
      <w:r>
        <w:rPr>
          <w:rFonts w:hint="eastAsia" w:ascii="宋体" w:hAnsi="宋体" w:eastAsia="宋体" w:cs="宋体"/>
          <w:color w:val="000000" w:themeColor="text1"/>
          <w:spacing w:val="-2"/>
          <w:sz w:val="24"/>
          <w:szCs w:val="24"/>
          <w:highlight w:val="none"/>
          <w14:textFill>
            <w14:solidFill>
              <w14:schemeClr w14:val="tx1"/>
            </w14:solidFill>
          </w14:textFill>
        </w:rPr>
        <w:t>详见招标工程量清单）中的材</w:t>
      </w:r>
      <w:r>
        <w:rPr>
          <w:rFonts w:hint="eastAsia" w:ascii="宋体" w:hAnsi="宋体" w:eastAsia="宋体" w:cs="宋体"/>
          <w:color w:val="000000" w:themeColor="text1"/>
          <w:spacing w:val="-3"/>
          <w:sz w:val="24"/>
          <w:szCs w:val="24"/>
          <w:highlight w:val="none"/>
          <w14:textFill>
            <w14:solidFill>
              <w14:schemeClr w14:val="tx1"/>
            </w14:solidFill>
          </w14:textFill>
        </w:rPr>
        <w:t>料、工程设备单价涨跌幅度等于或低于</w:t>
      </w:r>
      <w:r>
        <w:rPr>
          <w:rFonts w:hint="eastAsia" w:ascii="宋体" w:hAnsi="宋体" w:eastAsia="宋体" w:cs="宋体"/>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A 值时，该材料、工程设备单价不予调整；超过</w:t>
      </w:r>
      <w:r>
        <w:rPr>
          <w:rFonts w:hint="eastAsia" w:ascii="宋体" w:hAnsi="宋体" w:eastAsia="宋体" w:cs="宋体"/>
          <w:color w:val="000000" w:themeColor="text1"/>
          <w:sz w:val="24"/>
          <w:szCs w:val="24"/>
          <w:highlight w:val="none"/>
          <w14:textFill>
            <w14:solidFill>
              <w14:schemeClr w14:val="tx1"/>
            </w14:solidFill>
          </w14:textFill>
        </w:rPr>
        <w:t>A 值时，其超过部分可以调整。相关费用按有关规定进行相</w:t>
      </w:r>
      <w:r>
        <w:rPr>
          <w:rFonts w:hint="eastAsia" w:ascii="宋体" w:hAnsi="宋体" w:eastAsia="宋体" w:cs="宋体"/>
          <w:color w:val="000000" w:themeColor="text1"/>
          <w:spacing w:val="-1"/>
          <w:sz w:val="24"/>
          <w:szCs w:val="24"/>
          <w:highlight w:val="none"/>
          <w14:textFill>
            <w14:solidFill>
              <w14:schemeClr w14:val="tx1"/>
            </w14:solidFill>
          </w14:textFill>
        </w:rPr>
        <w:t>应调整。</w:t>
      </w:r>
    </w:p>
    <w:p w14:paraId="62EE16C1">
      <w:pPr>
        <w:spacing w:before="126" w:line="295" w:lineRule="auto"/>
        <w:ind w:left="11" w:right="108" w:firstLine="477"/>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a ．如果承包人投标报价中材料、工程设备单价（以下简称“ 中标单价 ”）低于基准日当月项目所在地工程造价管理机构发布的对应材料、工程设备单价（以下简称“基准单价 ”），该材料、工程设备的结算单价调整公式为：</w:t>
      </w:r>
    </w:p>
    <w:p w14:paraId="15C1572F">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a．涨价时，</w:t>
      </w:r>
      <w:r>
        <w:rPr>
          <w:rFonts w:hint="eastAsia" w:ascii="宋体" w:hAnsi="宋体" w:eastAsia="宋体" w:cs="宋体"/>
          <w:snapToGrid w:val="0"/>
          <w:color w:val="000000" w:themeColor="text1"/>
          <w:kern w:val="0"/>
          <w:position w:val="-30"/>
          <w:sz w:val="24"/>
          <w:szCs w:val="24"/>
          <w:highlight w:val="none"/>
          <w14:textFill>
            <w14:solidFill>
              <w14:schemeClr w14:val="tx1"/>
            </w14:solidFill>
          </w14:textFill>
        </w:rPr>
        <w:object>
          <v:shape id="_x0000_i1025" o:spt="75" type="#_x0000_t75" style="height:33.95pt;width:200.95pt;" o:ole="t" filled="f" o:preferrelative="t" stroked="f" coordsize="21600,21600">
            <v:path/>
            <v:fill on="f" focussize="0,0"/>
            <v:stroke on="f"/>
            <v:imagedata r:id="rId32" embosscolor="#FFFFFF" o:title=""/>
            <o:lock v:ext="edit" grouping="f" rotation="f" text="f" aspectratio="t"/>
            <w10:wrap type="none"/>
            <w10:anchorlock/>
          </v:shape>
          <o:OLEObject Type="Embed" ProgID="Equation.KSEE3" ShapeID="_x0000_i1025" DrawAspect="Content" ObjectID="_1468075725" r:id="rId31">
            <o:LockedField>false</o:LockedField>
          </o:OLEObject>
        </w:object>
      </w:r>
    </w:p>
    <w:p w14:paraId="5FEA2B94">
      <w:pPr>
        <w:wordWrap w:val="0"/>
        <w:adjustRightInd w:val="0"/>
        <w:spacing w:before="360" w:beforeLines="150" w:after="240" w:afterLines="100" w:line="440" w:lineRule="exact"/>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跌价时，</w:t>
      </w:r>
      <w:r>
        <w:rPr>
          <w:rFonts w:hint="eastAsia" w:ascii="宋体" w:hAnsi="宋体" w:eastAsia="宋体" w:cs="宋体"/>
          <w:snapToGrid w:val="0"/>
          <w:color w:val="000000" w:themeColor="text1"/>
          <w:kern w:val="0"/>
          <w:position w:val="-30"/>
          <w:sz w:val="24"/>
          <w:szCs w:val="24"/>
          <w:highlight w:val="none"/>
          <w14:textFill>
            <w14:solidFill>
              <w14:schemeClr w14:val="tx1"/>
            </w14:solidFill>
          </w14:textFill>
        </w:rPr>
        <w:object>
          <v:shape id="_x0000_i1026" o:spt="75" type="#_x0000_t75" style="height:33.95pt;width:198.95pt;" o:ole="t" filled="f" o:preferrelative="t" stroked="f" coordsize="21600,21600">
            <v:path/>
            <v:fill on="f" focussize="0,0"/>
            <v:stroke on="f"/>
            <v:imagedata r:id="rId34" embosscolor="#FFFFFF" o:title=""/>
            <o:lock v:ext="edit" grouping="f" rotation="f" text="f" aspectratio="t"/>
            <w10:wrap type="none"/>
            <w10:anchorlock/>
          </v:shape>
          <o:OLEObject Type="Embed" ProgID="Equation.KSEE3" ShapeID="_x0000_i1026" DrawAspect="Content" ObjectID="_1468075726" r:id="rId33">
            <o:LockedField>false</o:LockedField>
          </o:OLEObject>
        </w:object>
      </w:r>
    </w:p>
    <w:p w14:paraId="75BCCAF3">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b．涨价时，</w:t>
      </w:r>
      <w:r>
        <w:rPr>
          <w:rFonts w:hint="eastAsia" w:ascii="宋体" w:hAnsi="宋体" w:eastAsia="宋体" w:cs="宋体"/>
          <w:snapToGrid w:val="0"/>
          <w:color w:val="000000" w:themeColor="text1"/>
          <w:kern w:val="0"/>
          <w:position w:val="-30"/>
          <w:sz w:val="24"/>
          <w:szCs w:val="24"/>
          <w:highlight w:val="none"/>
          <w14:textFill>
            <w14:solidFill>
              <w14:schemeClr w14:val="tx1"/>
            </w14:solidFill>
          </w14:textFill>
        </w:rPr>
        <w:object>
          <v:shape id="_x0000_i1027" o:spt="75" type="#_x0000_t75" style="height:33.95pt;width:198.95pt;" o:ole="t" filled="f" o:preferrelative="t" stroked="f" coordsize="21600,21600">
            <v:path/>
            <v:fill on="f" focussize="0,0"/>
            <v:stroke on="f"/>
            <v:imagedata r:id="rId36" embosscolor="#FFFFFF" o:title=""/>
            <o:lock v:ext="edit" grouping="f" rotation="f" text="f" aspectratio="t"/>
            <w10:wrap type="none"/>
            <w10:anchorlock/>
          </v:shape>
          <o:OLEObject Type="Embed" ProgID="Equation.KSEE3" ShapeID="_x0000_i1027" DrawAspect="Content" ObjectID="_1468075727" r:id="rId35">
            <o:LockedField>false</o:LockedField>
          </o:OLEObject>
        </w:object>
      </w:r>
    </w:p>
    <w:p w14:paraId="416D8DFC">
      <w:pPr>
        <w:wordWrap w:val="0"/>
        <w:adjustRightInd w:val="0"/>
        <w:spacing w:before="360" w:beforeLines="150" w:after="240" w:afterLines="100" w:line="440" w:lineRule="exact"/>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跌价时，</w:t>
      </w:r>
      <w:r>
        <w:rPr>
          <w:rFonts w:hint="eastAsia" w:ascii="宋体" w:hAnsi="宋体" w:eastAsia="宋体" w:cs="宋体"/>
          <w:snapToGrid w:val="0"/>
          <w:color w:val="000000" w:themeColor="text1"/>
          <w:kern w:val="0"/>
          <w:position w:val="-30"/>
          <w:sz w:val="24"/>
          <w:szCs w:val="24"/>
          <w:highlight w:val="none"/>
          <w14:textFill>
            <w14:solidFill>
              <w14:schemeClr w14:val="tx1"/>
            </w14:solidFill>
          </w14:textFill>
        </w:rPr>
        <w:object>
          <v:shape id="_x0000_i1028" o:spt="75" type="#_x0000_t75" style="height:33.95pt;width:200.95pt;" o:ole="t" filled="f" o:preferrelative="t" stroked="f" coordsize="21600,21600">
            <v:path/>
            <v:fill on="f" focussize="0,0"/>
            <v:stroke on="f"/>
            <v:imagedata r:id="rId38" embosscolor="#FFFFFF" o:title=""/>
            <o:lock v:ext="edit" grouping="f" rotation="f" text="f" aspectratio="t"/>
            <w10:wrap type="none"/>
            <w10:anchorlock/>
          </v:shape>
          <o:OLEObject Type="Embed" ProgID="Equation.KSEE3" ShapeID="_x0000_i1028" DrawAspect="Content" ObjectID="_1468075728" r:id="rId37">
            <o:LockedField>false</o:LockedField>
          </o:OLEObject>
        </w:object>
      </w:r>
    </w:p>
    <w:p w14:paraId="4FFC8AE1">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c．涨价时，</w:t>
      </w:r>
      <w:r>
        <w:rPr>
          <w:rFonts w:hint="eastAsia" w:ascii="宋体" w:hAnsi="宋体" w:eastAsia="宋体" w:cs="宋体"/>
          <w:snapToGrid w:val="0"/>
          <w:color w:val="000000" w:themeColor="text1"/>
          <w:kern w:val="0"/>
          <w:position w:val="-30"/>
          <w:sz w:val="24"/>
          <w:szCs w:val="24"/>
          <w:highlight w:val="none"/>
          <w14:textFill>
            <w14:solidFill>
              <w14:schemeClr w14:val="tx1"/>
            </w14:solidFill>
          </w14:textFill>
        </w:rPr>
        <w:object>
          <v:shape id="_x0000_i1029" o:spt="75" type="#_x0000_t75" style="height:33.95pt;width:200.95pt;" o:ole="t" filled="f" o:preferrelative="t" stroked="f" coordsize="21600,21600">
            <v:path/>
            <v:fill on="f" focussize="0,0"/>
            <v:stroke on="f"/>
            <v:imagedata r:id="rId40" embosscolor="#FFFFFF" o:title=""/>
            <o:lock v:ext="edit" grouping="f" rotation="f" text="f" aspectratio="t"/>
            <w10:wrap type="none"/>
            <w10:anchorlock/>
          </v:shape>
          <o:OLEObject Type="Embed" ProgID="Equation.KSEE3" ShapeID="_x0000_i1029" DrawAspect="Content" ObjectID="_1468075729" r:id="rId39">
            <o:LockedField>false</o:LockedField>
          </o:OLEObject>
        </w:object>
      </w:r>
    </w:p>
    <w:p w14:paraId="4903428A">
      <w:pPr>
        <w:wordWrap w:val="0"/>
        <w:adjustRightInd w:val="0"/>
        <w:spacing w:before="360" w:beforeLines="150" w:after="240" w:afterLines="100" w:line="440" w:lineRule="exact"/>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跌价时，</w:t>
      </w:r>
      <w:r>
        <w:rPr>
          <w:rFonts w:hint="eastAsia" w:ascii="宋体" w:hAnsi="宋体" w:eastAsia="宋体" w:cs="宋体"/>
          <w:snapToGrid w:val="0"/>
          <w:color w:val="000000" w:themeColor="text1"/>
          <w:kern w:val="0"/>
          <w:position w:val="-30"/>
          <w:sz w:val="24"/>
          <w:szCs w:val="24"/>
          <w:highlight w:val="none"/>
          <w14:textFill>
            <w14:solidFill>
              <w14:schemeClr w14:val="tx1"/>
            </w14:solidFill>
          </w14:textFill>
        </w:rPr>
        <w:object>
          <v:shape id="_x0000_i1030" o:spt="75" type="#_x0000_t75" style="height:33.95pt;width:200.95pt;" o:ole="t" filled="f" o:preferrelative="t" stroked="f" coordsize="21600,21600">
            <v:path/>
            <v:fill on="f" focussize="0,0"/>
            <v:stroke on="f"/>
            <v:imagedata r:id="rId42" embosscolor="#FFFFFF" o:title=""/>
            <o:lock v:ext="edit" grouping="f" rotation="f" text="f" aspectratio="t"/>
            <w10:wrap type="none"/>
            <w10:anchorlock/>
          </v:shape>
          <o:OLEObject Type="Embed" ProgID="Equation.KSEE3" ShapeID="_x0000_i1030" DrawAspect="Content" ObjectID="_1468075730" r:id="rId41">
            <o:LockedField>false</o:LockedField>
          </o:OLEObject>
        </w:object>
      </w:r>
    </w:p>
    <w:p w14:paraId="40B2A737">
      <w:pPr>
        <w:spacing w:before="78"/>
        <w:ind w:left="330"/>
        <w:rPr>
          <w:rFonts w:hint="eastAsia" w:ascii="宋体" w:hAnsi="宋体" w:eastAsia="宋体" w:cs="宋体"/>
          <w:color w:val="000000" w:themeColor="text1"/>
          <w:sz w:val="24"/>
          <w:szCs w:val="24"/>
          <w:highlight w:val="none"/>
          <w14:textFill>
            <w14:solidFill>
              <w14:schemeClr w14:val="tx1"/>
            </w14:solidFill>
          </w14:textFill>
        </w:rPr>
      </w:pPr>
    </w:p>
    <w:p w14:paraId="78233624">
      <w:pPr>
        <w:spacing w:before="140" w:line="196" w:lineRule="auto"/>
        <w:ind w:left="3758"/>
        <w:rPr>
          <w:rFonts w:hint="eastAsia" w:ascii="宋体" w:hAnsi="宋体" w:eastAsia="宋体" w:cs="宋体"/>
          <w:color w:val="000000" w:themeColor="text1"/>
          <w:sz w:val="13"/>
          <w:szCs w:val="13"/>
          <w:highlight w:val="none"/>
          <w14:textFill>
            <w14:solidFill>
              <w14:schemeClr w14:val="tx1"/>
            </w14:solidFill>
          </w14:textFill>
        </w:rPr>
      </w:pPr>
      <w:r>
        <w:rPr>
          <w:rFonts w:hint="eastAsia" w:ascii="宋体" w:hAnsi="宋体" w:eastAsia="宋体" w:cs="宋体"/>
          <w:color w:val="000000" w:themeColor="text1"/>
          <w:spacing w:val="-2"/>
          <w:position w:val="1"/>
          <w:sz w:val="24"/>
          <w:szCs w:val="24"/>
          <w:highlight w:val="none"/>
          <w14:textFill>
            <w14:solidFill>
              <w14:schemeClr w14:val="tx1"/>
            </w14:solidFill>
          </w14:textFill>
        </w:rPr>
        <w:t>F</w:t>
      </w:r>
      <w:r>
        <w:rPr>
          <w:rFonts w:hint="eastAsia" w:ascii="宋体" w:hAnsi="宋体" w:eastAsia="宋体" w:cs="宋体"/>
          <w:color w:val="000000" w:themeColor="text1"/>
          <w:spacing w:val="-2"/>
          <w:position w:val="-4"/>
          <w:sz w:val="13"/>
          <w:szCs w:val="13"/>
          <w:highlight w:val="none"/>
          <w14:textFill>
            <w14:solidFill>
              <w14:schemeClr w14:val="tx1"/>
            </w14:solidFill>
          </w14:textFill>
        </w:rPr>
        <w:t>0</w:t>
      </w:r>
    </w:p>
    <w:p w14:paraId="0EFBDC2C">
      <w:pPr>
        <w:spacing w:before="78" w:line="330" w:lineRule="auto"/>
        <w:ind w:right="59" w:firstLine="507"/>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以上公式中，F</w:t>
      </w:r>
      <w:r>
        <w:rPr>
          <w:rFonts w:hint="eastAsia" w:ascii="宋体" w:hAnsi="宋体" w:eastAsia="宋体" w:cs="宋体"/>
          <w:color w:val="000000" w:themeColor="text1"/>
          <w:spacing w:val="-4"/>
          <w:position w:val="-1"/>
          <w:sz w:val="15"/>
          <w:szCs w:val="15"/>
          <w:highlight w:val="none"/>
          <w14:textFill>
            <w14:solidFill>
              <w14:schemeClr w14:val="tx1"/>
            </w14:solidFill>
          </w14:textFill>
        </w:rPr>
        <w:t>1</w:t>
      </w:r>
      <w:r>
        <w:rPr>
          <w:rFonts w:hint="eastAsia" w:ascii="宋体" w:hAnsi="宋体" w:eastAsia="宋体" w:cs="宋体"/>
          <w:color w:val="000000" w:themeColor="text1"/>
          <w:spacing w:val="26"/>
          <w:position w:val="-1"/>
          <w:sz w:val="15"/>
          <w:szCs w:val="15"/>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为中标单价；F</w:t>
      </w:r>
      <w:r>
        <w:rPr>
          <w:rFonts w:hint="eastAsia" w:ascii="宋体" w:hAnsi="宋体" w:eastAsia="宋体" w:cs="宋体"/>
          <w:color w:val="000000" w:themeColor="text1"/>
          <w:spacing w:val="-4"/>
          <w:position w:val="-1"/>
          <w:sz w:val="15"/>
          <w:szCs w:val="15"/>
          <w:highlight w:val="none"/>
          <w14:textFill>
            <w14:solidFill>
              <w14:schemeClr w14:val="tx1"/>
            </w14:solidFill>
          </w14:textFill>
        </w:rPr>
        <w:t>0</w:t>
      </w:r>
      <w:r>
        <w:rPr>
          <w:rFonts w:hint="eastAsia" w:ascii="宋体" w:hAnsi="宋体" w:eastAsia="宋体" w:cs="宋体"/>
          <w:color w:val="000000" w:themeColor="text1"/>
          <w:spacing w:val="14"/>
          <w:w w:val="101"/>
          <w:position w:val="-1"/>
          <w:sz w:val="15"/>
          <w:szCs w:val="15"/>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为基准单价；F</w:t>
      </w:r>
      <w:r>
        <w:rPr>
          <w:rFonts w:hint="eastAsia" w:ascii="宋体" w:hAnsi="宋体" w:eastAsia="宋体" w:cs="宋体"/>
          <w:color w:val="000000" w:themeColor="text1"/>
          <w:spacing w:val="-4"/>
          <w:position w:val="-1"/>
          <w:sz w:val="15"/>
          <w:szCs w:val="15"/>
          <w:highlight w:val="none"/>
          <w14:textFill>
            <w14:solidFill>
              <w14:schemeClr w14:val="tx1"/>
            </w14:solidFill>
          </w14:textFill>
        </w:rPr>
        <w:t>2</w:t>
      </w:r>
      <w:r>
        <w:rPr>
          <w:rFonts w:hint="eastAsia" w:ascii="宋体" w:hAnsi="宋体" w:eastAsia="宋体" w:cs="宋体"/>
          <w:color w:val="000000" w:themeColor="text1"/>
          <w:spacing w:val="12"/>
          <w:position w:val="-1"/>
          <w:sz w:val="15"/>
          <w:szCs w:val="15"/>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为施工当月项目所在地工程造价管</w:t>
      </w:r>
      <w:r>
        <w:rPr>
          <w:rFonts w:hint="eastAsia" w:ascii="宋体" w:hAnsi="宋体" w:eastAsia="宋体" w:cs="宋体"/>
          <w:color w:val="000000" w:themeColor="text1"/>
          <w:spacing w:val="-1"/>
          <w:sz w:val="24"/>
          <w:szCs w:val="24"/>
          <w:highlight w:val="none"/>
          <w14:textFill>
            <w14:solidFill>
              <w14:schemeClr w14:val="tx1"/>
            </w14:solidFill>
          </w14:textFill>
        </w:rPr>
        <w:t>理机构发布的材料、工程设备单价；A 为合同约定的材料</w:t>
      </w:r>
      <w:r>
        <w:rPr>
          <w:rFonts w:hint="eastAsia" w:ascii="宋体" w:hAnsi="宋体" w:eastAsia="宋体" w:cs="宋体"/>
          <w:color w:val="000000" w:themeColor="text1"/>
          <w:spacing w:val="-2"/>
          <w:sz w:val="24"/>
          <w:szCs w:val="24"/>
          <w:highlight w:val="none"/>
          <w14:textFill>
            <w14:solidFill>
              <w14:schemeClr w14:val="tx1"/>
            </w14:solidFill>
          </w14:textFill>
        </w:rPr>
        <w:t>、工程设备单价涨跌风险幅度</w:t>
      </w:r>
      <w:r>
        <w:rPr>
          <w:rFonts w:hint="eastAsia" w:ascii="宋体" w:hAnsi="宋体" w:eastAsia="宋体" w:cs="宋体"/>
          <w:color w:val="000000" w:themeColor="text1"/>
          <w:spacing w:val="-5"/>
          <w:sz w:val="24"/>
          <w:szCs w:val="24"/>
          <w:highlight w:val="none"/>
          <w14:textFill>
            <w14:solidFill>
              <w14:schemeClr w14:val="tx1"/>
            </w14:solidFill>
          </w14:textFill>
        </w:rPr>
        <w:t>值。</w:t>
      </w:r>
    </w:p>
    <w:p w14:paraId="6F9801F9">
      <w:pPr>
        <w:spacing w:before="33" w:line="299" w:lineRule="auto"/>
        <w:ind w:right="59" w:firstLine="47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"2.3.6.3"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pacing w:val="-3"/>
          <w:sz w:val="24"/>
          <w:szCs w:val="24"/>
          <w:highlight w:val="none"/>
          <w14:textFill>
            <w14:solidFill>
              <w14:schemeClr w14:val="tx1"/>
            </w14:solidFill>
          </w14:textFill>
        </w:rPr>
        <w:t>2.3.6.3</w:t>
      </w:r>
      <w:r>
        <w:rPr>
          <w:rFonts w:hint="eastAsia" w:ascii="宋体" w:hAnsi="宋体" w:eastAsia="宋体" w:cs="宋体"/>
          <w:b/>
          <w:bCs/>
          <w:color w:val="000000" w:themeColor="text1"/>
          <w:spacing w:val="-3"/>
          <w:sz w:val="24"/>
          <w:szCs w:val="24"/>
          <w:highlight w:val="none"/>
          <w14:textFill>
            <w14:solidFill>
              <w14:schemeClr w14:val="tx1"/>
            </w14:solidFill>
          </w14:textFill>
        </w:rPr>
        <w:fldChar w:fldCharType="end"/>
      </w: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合同履行期间，当《发包人提供材料和工程设备一览表》（详见招标工程量</w:t>
      </w:r>
      <w:r>
        <w:rPr>
          <w:rFonts w:hint="eastAsia" w:ascii="宋体" w:hAnsi="宋体" w:eastAsia="宋体" w:cs="宋体"/>
          <w:color w:val="000000" w:themeColor="text1"/>
          <w:spacing w:val="-2"/>
          <w:sz w:val="24"/>
          <w:szCs w:val="24"/>
          <w:highlight w:val="none"/>
          <w14:textFill>
            <w14:solidFill>
              <w14:schemeClr w14:val="tx1"/>
            </w14:solidFill>
          </w14:textFill>
        </w:rPr>
        <w:t>清单）中的材料、工程设备单价发生变化时，由发包人按照实际变化调整，并列入合同</w:t>
      </w:r>
      <w:r>
        <w:rPr>
          <w:rFonts w:hint="eastAsia" w:ascii="宋体" w:hAnsi="宋体" w:eastAsia="宋体" w:cs="宋体"/>
          <w:color w:val="000000" w:themeColor="text1"/>
          <w:spacing w:val="-4"/>
          <w:sz w:val="24"/>
          <w:szCs w:val="24"/>
          <w:highlight w:val="none"/>
          <w14:textFill>
            <w14:solidFill>
              <w14:schemeClr w14:val="tx1"/>
            </w14:solidFill>
          </w14:textFill>
        </w:rPr>
        <w:t>价款。</w:t>
      </w:r>
    </w:p>
    <w:p w14:paraId="6F47D427">
      <w:pPr>
        <w:spacing w:before="121" w:line="308" w:lineRule="auto"/>
        <w:ind w:firstLine="47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"2.3.6.4"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pacing w:val="-3"/>
          <w:sz w:val="24"/>
          <w:szCs w:val="24"/>
          <w:highlight w:val="none"/>
          <w14:textFill>
            <w14:solidFill>
              <w14:schemeClr w14:val="tx1"/>
            </w14:solidFill>
          </w14:textFill>
        </w:rPr>
        <w:t>2.3.6.4</w:t>
      </w:r>
      <w:r>
        <w:rPr>
          <w:rFonts w:hint="eastAsia" w:ascii="宋体" w:hAnsi="宋体" w:eastAsia="宋体" w:cs="宋体"/>
          <w:b/>
          <w:bCs/>
          <w:color w:val="000000" w:themeColor="text1"/>
          <w:spacing w:val="-3"/>
          <w:sz w:val="24"/>
          <w:szCs w:val="24"/>
          <w:highlight w:val="none"/>
          <w14:textFill>
            <w14:solidFill>
              <w14:schemeClr w14:val="tx1"/>
            </w14:solidFill>
          </w14:textFill>
        </w:rPr>
        <w:fldChar w:fldCharType="end"/>
      </w: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本招标项目约定，施工机具台班单价涨跌风险幅度值</w:t>
      </w:r>
      <w:r>
        <w:rPr>
          <w:rFonts w:hint="eastAsia" w:ascii="宋体" w:hAnsi="宋体" w:eastAsia="宋体" w:cs="宋体"/>
          <w:color w:val="000000" w:themeColor="text1"/>
          <w:spacing w:val="-5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B</w:t>
      </w:r>
      <w:r>
        <w:rPr>
          <w:rFonts w:hint="eastAsia" w:ascii="宋体" w:hAnsi="宋体" w:eastAsia="宋体" w:cs="宋体"/>
          <w:color w:val="000000" w:themeColor="text1"/>
          <w:spacing w:val="-4"/>
          <w:sz w:val="24"/>
          <w:szCs w:val="24"/>
          <w:highlight w:val="none"/>
          <w14:textFill>
            <w14:solidFill>
              <w14:schemeClr w14:val="tx1"/>
            </w14:solidFill>
          </w14:textFill>
        </w:rPr>
        <w:t xml:space="preserve"> 为</w:t>
      </w:r>
      <w:r>
        <w:rPr>
          <w:rFonts w:hint="eastAsia" w:ascii="宋体" w:hAnsi="宋体" w:eastAsia="宋体" w:cs="宋体"/>
          <w:color w:val="000000" w:themeColor="text1"/>
          <w:spacing w:val="1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10%  </w:t>
      </w:r>
      <w:r>
        <w:rPr>
          <w:rFonts w:hint="eastAsia" w:ascii="宋体" w:hAnsi="宋体" w:eastAsia="宋体" w:cs="宋体"/>
          <w:color w:val="000000" w:themeColor="text1"/>
          <w:spacing w:val="-4"/>
          <w:sz w:val="24"/>
          <w:szCs w:val="24"/>
          <w:highlight w:val="none"/>
          <w14:textFill>
            <w14:solidFill>
              <w14:schemeClr w14:val="tx1"/>
            </w14:solidFill>
          </w14:textFill>
        </w:rPr>
        <w:t>。合同履行</w:t>
      </w:r>
      <w:r>
        <w:rPr>
          <w:rFonts w:hint="eastAsia" w:ascii="宋体" w:hAnsi="宋体" w:eastAsia="宋体" w:cs="宋体"/>
          <w:color w:val="000000" w:themeColor="text1"/>
          <w:spacing w:val="-7"/>
          <w:sz w:val="24"/>
          <w:szCs w:val="24"/>
          <w:highlight w:val="none"/>
          <w14:textFill>
            <w14:solidFill>
              <w14:schemeClr w14:val="tx1"/>
            </w14:solidFill>
          </w14:textFill>
        </w:rPr>
        <w:t>期间，当施工机具台班单价涨跌幅度等于或低于</w:t>
      </w:r>
      <w:r>
        <w:rPr>
          <w:rFonts w:hint="eastAsia" w:ascii="宋体" w:hAnsi="宋体" w:eastAsia="宋体" w:cs="宋体"/>
          <w:color w:val="000000" w:themeColor="text1"/>
          <w:spacing w:val="-5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B 值时，该施工机具台班单价不予调</w:t>
      </w:r>
      <w:r>
        <w:rPr>
          <w:rFonts w:hint="eastAsia" w:ascii="宋体" w:hAnsi="宋体" w:eastAsia="宋体" w:cs="宋体"/>
          <w:color w:val="000000" w:themeColor="text1"/>
          <w:spacing w:val="-8"/>
          <w:sz w:val="24"/>
          <w:szCs w:val="24"/>
          <w:highlight w:val="none"/>
          <w14:textFill>
            <w14:solidFill>
              <w14:schemeClr w14:val="tx1"/>
            </w14:solidFill>
          </w14:textFill>
        </w:rPr>
        <w:t>整；</w:t>
      </w:r>
      <w:r>
        <w:rPr>
          <w:rFonts w:hint="eastAsia" w:ascii="宋体" w:hAnsi="宋体" w:eastAsia="宋体" w:cs="宋体"/>
          <w:color w:val="000000" w:themeColor="text1"/>
          <w:sz w:val="24"/>
          <w:szCs w:val="24"/>
          <w:highlight w:val="none"/>
          <w14:textFill>
            <w14:solidFill>
              <w14:schemeClr w14:val="tx1"/>
            </w14:solidFill>
          </w14:textFill>
        </w:rPr>
        <w:t>超过</w:t>
      </w:r>
      <w:r>
        <w:rPr>
          <w:rFonts w:hint="eastAsia" w:ascii="宋体" w:hAnsi="宋体" w:eastAsia="宋体" w:cs="宋体"/>
          <w:color w:val="000000" w:themeColor="text1"/>
          <w:spacing w:val="-56"/>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B 值时，其超过部分可以调整。相关费</w:t>
      </w:r>
      <w:r>
        <w:rPr>
          <w:rFonts w:hint="eastAsia" w:ascii="宋体" w:hAnsi="宋体" w:eastAsia="宋体" w:cs="宋体"/>
          <w:color w:val="000000" w:themeColor="text1"/>
          <w:spacing w:val="-1"/>
          <w:sz w:val="24"/>
          <w:szCs w:val="24"/>
          <w:highlight w:val="none"/>
          <w14:textFill>
            <w14:solidFill>
              <w14:schemeClr w14:val="tx1"/>
            </w14:solidFill>
          </w14:textFill>
        </w:rPr>
        <w:t>用按有关规定进行相应调整。</w:t>
      </w:r>
    </w:p>
    <w:p w14:paraId="120353C6">
      <w:pPr>
        <w:spacing w:before="153" w:line="278" w:lineRule="auto"/>
        <w:ind w:left="42" w:right="59" w:firstLine="4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a</w:t>
      </w:r>
      <w:r>
        <w:rPr>
          <w:rFonts w:hint="eastAsia" w:ascii="宋体" w:hAnsi="宋体" w:eastAsia="宋体" w:cs="宋体"/>
          <w:b/>
          <w:bCs/>
          <w:color w:val="000000" w:themeColor="text1"/>
          <w:spacing w:val="-2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．如果承包人投标报价中施工机具台班单价（以下简称“</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中标单价</w:t>
      </w:r>
      <w:r>
        <w:rPr>
          <w:rFonts w:hint="eastAsia" w:ascii="宋体" w:hAnsi="宋体" w:eastAsia="宋体" w:cs="宋体"/>
          <w:color w:val="000000" w:themeColor="text1"/>
          <w:spacing w:val="-8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）低于基准</w:t>
      </w:r>
      <w:r>
        <w:rPr>
          <w:rFonts w:hint="eastAsia" w:ascii="宋体" w:hAnsi="宋体" w:eastAsia="宋体" w:cs="宋体"/>
          <w:color w:val="000000" w:themeColor="text1"/>
          <w:spacing w:val="-3"/>
          <w:sz w:val="24"/>
          <w:szCs w:val="24"/>
          <w:highlight w:val="none"/>
          <w14:textFill>
            <w14:solidFill>
              <w14:schemeClr w14:val="tx1"/>
            </w14:solidFill>
          </w14:textFill>
        </w:rPr>
        <w:t>日当月项目所在地工程造价管理机构发布的对应施工机具台班单价（以下简称“基准单</w:t>
      </w:r>
      <w:r>
        <w:rPr>
          <w:rFonts w:hint="eastAsia" w:ascii="宋体" w:hAnsi="宋体" w:eastAsia="宋体" w:cs="宋体"/>
          <w:color w:val="000000" w:themeColor="text1"/>
          <w:spacing w:val="-2"/>
          <w:sz w:val="24"/>
          <w:szCs w:val="24"/>
          <w:highlight w:val="none"/>
          <w14:textFill>
            <w14:solidFill>
              <w14:schemeClr w14:val="tx1"/>
            </w14:solidFill>
          </w14:textFill>
        </w:rPr>
        <w:t>价</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”），该施工机具台班的结算单价调整公式为：</w:t>
      </w:r>
    </w:p>
    <w:p w14:paraId="0DF11097">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涨价时，</w:t>
      </w:r>
      <w:r>
        <w:rPr>
          <w:rFonts w:hint="eastAsia" w:ascii="宋体" w:hAnsi="宋体" w:eastAsia="宋体" w:cs="宋体"/>
          <w:snapToGrid w:val="0"/>
          <w:color w:val="000000" w:themeColor="text1"/>
          <w:kern w:val="0"/>
          <w:position w:val="-30"/>
          <w:sz w:val="24"/>
          <w:szCs w:val="24"/>
          <w:highlight w:val="none"/>
          <w14:textFill>
            <w14:solidFill>
              <w14:schemeClr w14:val="tx1"/>
            </w14:solidFill>
          </w14:textFill>
        </w:rPr>
        <w:object>
          <v:shape id="_x0000_i1031" o:spt="75" type="#_x0000_t75" style="height:33.95pt;width:200.95pt;" o:ole="t" filled="f" o:preferrelative="t" stroked="f" coordsize="21600,21600">
            <v:path/>
            <v:fill on="f" focussize="0,0"/>
            <v:stroke on="f"/>
            <v:imagedata r:id="rId44" embosscolor="#FFFFFF" o:title=""/>
            <o:lock v:ext="edit" grouping="f" rotation="f" text="f" aspectratio="t"/>
            <w10:wrap type="none"/>
            <w10:anchorlock/>
          </v:shape>
          <o:OLEObject Type="Embed" ProgID="Equation.KSEE3" ShapeID="_x0000_i1031" DrawAspect="Content" ObjectID="_1468075731" r:id="rId43">
            <o:LockedField>false</o:LockedField>
          </o:OLEObject>
        </w:object>
      </w:r>
    </w:p>
    <w:p w14:paraId="183065CE">
      <w:pPr>
        <w:wordWrap w:val="0"/>
        <w:adjustRightInd w:val="0"/>
        <w:spacing w:before="360" w:beforeLines="150" w:after="240" w:afterLines="100" w:line="440" w:lineRule="exact"/>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跌价时，</w:t>
      </w:r>
      <w:r>
        <w:rPr>
          <w:rFonts w:hint="eastAsia" w:ascii="宋体" w:hAnsi="宋体" w:eastAsia="宋体" w:cs="宋体"/>
          <w:snapToGrid w:val="0"/>
          <w:color w:val="000000" w:themeColor="text1"/>
          <w:kern w:val="0"/>
          <w:position w:val="-30"/>
          <w:sz w:val="24"/>
          <w:szCs w:val="24"/>
          <w:highlight w:val="none"/>
          <w14:textFill>
            <w14:solidFill>
              <w14:schemeClr w14:val="tx1"/>
            </w14:solidFill>
          </w14:textFill>
        </w:rPr>
        <w:object>
          <v:shape id="_x0000_i1032" o:spt="75" type="#_x0000_t75" style="height:33.95pt;width:198pt;" o:ole="t" filled="f" o:preferrelative="t" stroked="f" coordsize="21600,21600">
            <v:path/>
            <v:fill on="f" focussize="0,0"/>
            <v:stroke on="f"/>
            <v:imagedata r:id="rId46" embosscolor="#FFFFFF" o:title=""/>
            <o:lock v:ext="edit" grouping="f" rotation="f" text="f" aspectratio="t"/>
            <w10:wrap type="none"/>
            <w10:anchorlock/>
          </v:shape>
          <o:OLEObject Type="Embed" ProgID="Equation.KSEE3" ShapeID="_x0000_i1032" DrawAspect="Content" ObjectID="_1468075732" r:id="rId45">
            <o:LockedField>false</o:LockedField>
          </o:OLEObject>
        </w:object>
      </w:r>
    </w:p>
    <w:p w14:paraId="2B2919C1">
      <w:pPr>
        <w:wordWrap w:val="0"/>
        <w:adjustRightInd w:val="0"/>
        <w:snapToGrid w:val="0"/>
        <w:spacing w:line="440" w:lineRule="exact"/>
        <w:ind w:firstLine="482"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b</w:t>
      </w:r>
      <w:r>
        <w:rPr>
          <w:rFonts w:hint="eastAsia" w:ascii="宋体" w:hAnsi="宋体" w:eastAsia="宋体" w:cs="宋体"/>
          <w:snapToGrid w:val="0"/>
          <w:color w:val="000000" w:themeColor="text1"/>
          <w:kern w:val="0"/>
          <w:sz w:val="24"/>
          <w:szCs w:val="24"/>
          <w:highlight w:val="none"/>
          <w14:textFill>
            <w14:solidFill>
              <w14:schemeClr w14:val="tx1"/>
            </w14:solidFill>
          </w14:textFill>
        </w:rPr>
        <w:t>．如果中标单价高于基准单价，该施工机具台班的结算单价调整公式为：</w:t>
      </w:r>
    </w:p>
    <w:p w14:paraId="0B4D8697">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涨价时，</w:t>
      </w:r>
      <w:r>
        <w:rPr>
          <w:rFonts w:hint="eastAsia" w:ascii="宋体" w:hAnsi="宋体" w:eastAsia="宋体" w:cs="宋体"/>
          <w:snapToGrid w:val="0"/>
          <w:color w:val="000000" w:themeColor="text1"/>
          <w:kern w:val="0"/>
          <w:position w:val="-30"/>
          <w:sz w:val="24"/>
          <w:szCs w:val="24"/>
          <w:highlight w:val="none"/>
          <w14:textFill>
            <w14:solidFill>
              <w14:schemeClr w14:val="tx1"/>
            </w14:solidFill>
          </w14:textFill>
        </w:rPr>
        <w:object>
          <v:shape id="_x0000_i1033" o:spt="75" type="#_x0000_t75" style="height:33.95pt;width:198pt;" o:ole="t" filled="f" o:preferrelative="t" stroked="f" coordsize="21600,21600">
            <v:path/>
            <v:fill on="f" focussize="0,0"/>
            <v:stroke on="f"/>
            <v:imagedata r:id="rId48" embosscolor="#FFFFFF" o:title=""/>
            <o:lock v:ext="edit" grouping="f" rotation="f" text="f" aspectratio="t"/>
            <w10:wrap type="none"/>
            <w10:anchorlock/>
          </v:shape>
          <o:OLEObject Type="Embed" ProgID="Equation.KSEE3" ShapeID="_x0000_i1033" DrawAspect="Content" ObjectID="_1468075733" r:id="rId47">
            <o:LockedField>false</o:LockedField>
          </o:OLEObject>
        </w:object>
      </w:r>
    </w:p>
    <w:p w14:paraId="3F7BD139">
      <w:pPr>
        <w:wordWrap w:val="0"/>
        <w:adjustRightInd w:val="0"/>
        <w:spacing w:before="360" w:beforeLines="150" w:after="240" w:afterLines="100" w:line="440" w:lineRule="exact"/>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跌价时，</w:t>
      </w:r>
      <w:r>
        <w:rPr>
          <w:rFonts w:hint="eastAsia" w:ascii="宋体" w:hAnsi="宋体" w:eastAsia="宋体" w:cs="宋体"/>
          <w:snapToGrid w:val="0"/>
          <w:color w:val="000000" w:themeColor="text1"/>
          <w:kern w:val="0"/>
          <w:position w:val="-30"/>
          <w:sz w:val="24"/>
          <w:szCs w:val="24"/>
          <w:highlight w:val="none"/>
          <w14:textFill>
            <w14:solidFill>
              <w14:schemeClr w14:val="tx1"/>
            </w14:solidFill>
          </w14:textFill>
        </w:rPr>
        <w:object>
          <v:shape id="_x0000_i1034" o:spt="75" type="#_x0000_t75" style="height:33.95pt;width:200.95pt;" o:ole="t" filled="f" o:preferrelative="t" stroked="f" coordsize="21600,21600">
            <v:path/>
            <v:fill on="f" focussize="0,0"/>
            <v:stroke on="f"/>
            <v:imagedata r:id="rId50" embosscolor="#FFFFFF" o:title=""/>
            <o:lock v:ext="edit" grouping="f" rotation="f" text="f" aspectratio="t"/>
            <w10:wrap type="none"/>
            <w10:anchorlock/>
          </v:shape>
          <o:OLEObject Type="Embed" ProgID="Equation.KSEE3" ShapeID="_x0000_i1034" DrawAspect="Content" ObjectID="_1468075734" r:id="rId49">
            <o:LockedField>false</o:LockedField>
          </o:OLEObject>
        </w:object>
      </w:r>
    </w:p>
    <w:p w14:paraId="62112DBA">
      <w:pPr>
        <w:wordWrap w:val="0"/>
        <w:adjustRightInd w:val="0"/>
        <w:snapToGrid w:val="0"/>
        <w:spacing w:line="440" w:lineRule="exact"/>
        <w:ind w:firstLine="482"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c</w:t>
      </w:r>
      <w:r>
        <w:rPr>
          <w:rFonts w:hint="eastAsia" w:ascii="宋体" w:hAnsi="宋体" w:eastAsia="宋体" w:cs="宋体"/>
          <w:snapToGrid w:val="0"/>
          <w:color w:val="000000" w:themeColor="text1"/>
          <w:kern w:val="0"/>
          <w:sz w:val="24"/>
          <w:szCs w:val="24"/>
          <w:highlight w:val="none"/>
          <w14:textFill>
            <w14:solidFill>
              <w14:schemeClr w14:val="tx1"/>
            </w14:solidFill>
          </w14:textFill>
        </w:rPr>
        <w:t>．如果中标单价等于基准单价，该施工机具台班的结算单价调整公式为：</w:t>
      </w:r>
    </w:p>
    <w:p w14:paraId="68970ACC">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涨价时，</w:t>
      </w:r>
      <w:r>
        <w:rPr>
          <w:rFonts w:hint="eastAsia" w:ascii="宋体" w:hAnsi="宋体" w:eastAsia="宋体" w:cs="宋体"/>
          <w:snapToGrid w:val="0"/>
          <w:color w:val="000000" w:themeColor="text1"/>
          <w:kern w:val="0"/>
          <w:position w:val="-30"/>
          <w:sz w:val="24"/>
          <w:szCs w:val="24"/>
          <w:highlight w:val="none"/>
          <w14:textFill>
            <w14:solidFill>
              <w14:schemeClr w14:val="tx1"/>
            </w14:solidFill>
          </w14:textFill>
        </w:rPr>
        <w:object>
          <v:shape id="_x0000_i1035" o:spt="75" type="#_x0000_t75" style="height:33.95pt;width:200.95pt;" o:ole="t" filled="f" o:preferrelative="t" stroked="f" coordsize="21600,21600">
            <v:path/>
            <v:fill on="f" focussize="0,0"/>
            <v:stroke on="f"/>
            <v:imagedata r:id="rId52" embosscolor="#FFFFFF" o:title=""/>
            <o:lock v:ext="edit" grouping="f" rotation="f" text="f" aspectratio="t"/>
            <w10:wrap type="none"/>
            <w10:anchorlock/>
          </v:shape>
          <o:OLEObject Type="Embed" ProgID="Equation.KSEE3" ShapeID="_x0000_i1035" DrawAspect="Content" ObjectID="_1468075735" r:id="rId51">
            <o:LockedField>false</o:LockedField>
          </o:OLEObject>
        </w:object>
      </w:r>
    </w:p>
    <w:p w14:paraId="121158F2">
      <w:pPr>
        <w:spacing w:before="79" w:line="324" w:lineRule="auto"/>
        <w:ind w:left="11" w:right="65" w:firstLine="504"/>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跌价时，</w:t>
      </w:r>
      <w:r>
        <w:rPr>
          <w:rFonts w:hint="eastAsia" w:ascii="宋体" w:hAnsi="宋体" w:eastAsia="宋体" w:cs="宋体"/>
          <w:snapToGrid w:val="0"/>
          <w:color w:val="000000" w:themeColor="text1"/>
          <w:kern w:val="0"/>
          <w:position w:val="-30"/>
          <w:sz w:val="24"/>
          <w:szCs w:val="24"/>
          <w:highlight w:val="none"/>
          <w14:textFill>
            <w14:solidFill>
              <w14:schemeClr w14:val="tx1"/>
            </w14:solidFill>
          </w14:textFill>
        </w:rPr>
        <w:object>
          <v:shape id="_x0000_i1036" o:spt="75" type="#_x0000_t75" style="height:33.95pt;width:200.95pt;" o:ole="t" filled="f" o:preferrelative="t" stroked="f" coordsize="21600,21600">
            <v:path/>
            <v:fill on="f" focussize="0,0"/>
            <v:stroke on="f"/>
            <v:imagedata r:id="rId54" embosscolor="#FFFFFF" o:title=""/>
            <o:lock v:ext="edit" grouping="f" rotation="f" text="f" aspectratio="t"/>
            <w10:wrap type="none"/>
            <w10:anchorlock/>
          </v:shape>
          <o:OLEObject Type="Embed" ProgID="Equation.KSEE3" ShapeID="_x0000_i1036" DrawAspect="Content" ObjectID="_1468075736" r:id="rId53">
            <o:LockedField>false</o:LockedField>
          </o:OLEObject>
        </w:object>
      </w:r>
    </w:p>
    <w:p w14:paraId="1258EA6F">
      <w:pPr>
        <w:spacing w:before="79" w:line="324" w:lineRule="auto"/>
        <w:ind w:left="11" w:right="65" w:firstLine="50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以上公式中，F</w:t>
      </w:r>
      <w:r>
        <w:rPr>
          <w:rFonts w:hint="eastAsia" w:ascii="宋体" w:hAnsi="宋体" w:eastAsia="宋体" w:cs="宋体"/>
          <w:color w:val="000000" w:themeColor="text1"/>
          <w:spacing w:val="-4"/>
          <w:position w:val="-1"/>
          <w:sz w:val="15"/>
          <w:szCs w:val="15"/>
          <w:highlight w:val="none"/>
          <w14:textFill>
            <w14:solidFill>
              <w14:schemeClr w14:val="tx1"/>
            </w14:solidFill>
          </w14:textFill>
        </w:rPr>
        <w:t>1</w:t>
      </w:r>
      <w:r>
        <w:rPr>
          <w:rFonts w:hint="eastAsia" w:ascii="宋体" w:hAnsi="宋体" w:eastAsia="宋体" w:cs="宋体"/>
          <w:color w:val="000000" w:themeColor="text1"/>
          <w:spacing w:val="26"/>
          <w:position w:val="-1"/>
          <w:sz w:val="15"/>
          <w:szCs w:val="15"/>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为中标单价；F</w:t>
      </w:r>
      <w:r>
        <w:rPr>
          <w:rFonts w:hint="eastAsia" w:ascii="宋体" w:hAnsi="宋体" w:eastAsia="宋体" w:cs="宋体"/>
          <w:color w:val="000000" w:themeColor="text1"/>
          <w:spacing w:val="-4"/>
          <w:position w:val="-1"/>
          <w:sz w:val="15"/>
          <w:szCs w:val="15"/>
          <w:highlight w:val="none"/>
          <w14:textFill>
            <w14:solidFill>
              <w14:schemeClr w14:val="tx1"/>
            </w14:solidFill>
          </w14:textFill>
        </w:rPr>
        <w:t>0</w:t>
      </w:r>
      <w:r>
        <w:rPr>
          <w:rFonts w:hint="eastAsia" w:ascii="宋体" w:hAnsi="宋体" w:eastAsia="宋体" w:cs="宋体"/>
          <w:color w:val="000000" w:themeColor="text1"/>
          <w:spacing w:val="14"/>
          <w:w w:val="101"/>
          <w:position w:val="-1"/>
          <w:sz w:val="15"/>
          <w:szCs w:val="15"/>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为基准单价；F</w:t>
      </w:r>
      <w:r>
        <w:rPr>
          <w:rFonts w:hint="eastAsia" w:ascii="宋体" w:hAnsi="宋体" w:eastAsia="宋体" w:cs="宋体"/>
          <w:color w:val="000000" w:themeColor="text1"/>
          <w:spacing w:val="-4"/>
          <w:position w:val="-1"/>
          <w:sz w:val="15"/>
          <w:szCs w:val="15"/>
          <w:highlight w:val="none"/>
          <w14:textFill>
            <w14:solidFill>
              <w14:schemeClr w14:val="tx1"/>
            </w14:solidFill>
          </w14:textFill>
        </w:rPr>
        <w:t>2</w:t>
      </w:r>
      <w:r>
        <w:rPr>
          <w:rFonts w:hint="eastAsia" w:ascii="宋体" w:hAnsi="宋体" w:eastAsia="宋体" w:cs="宋体"/>
          <w:color w:val="000000" w:themeColor="text1"/>
          <w:spacing w:val="12"/>
          <w:position w:val="-1"/>
          <w:sz w:val="15"/>
          <w:szCs w:val="15"/>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为施工当月项目所在地工程造价管</w:t>
      </w:r>
      <w:r>
        <w:rPr>
          <w:rFonts w:hint="eastAsia" w:ascii="宋体" w:hAnsi="宋体" w:eastAsia="宋体" w:cs="宋体"/>
          <w:color w:val="000000" w:themeColor="text1"/>
          <w:spacing w:val="-1"/>
          <w:sz w:val="24"/>
          <w:szCs w:val="24"/>
          <w:highlight w:val="none"/>
          <w14:textFill>
            <w14:solidFill>
              <w14:schemeClr w14:val="tx1"/>
            </w14:solidFill>
          </w14:textFill>
        </w:rPr>
        <w:t>理机构发布的施工机具台班单价；B 为合同约定的施工机具台班单价</w:t>
      </w:r>
      <w:r>
        <w:rPr>
          <w:rFonts w:hint="eastAsia" w:ascii="宋体" w:hAnsi="宋体" w:eastAsia="宋体" w:cs="宋体"/>
          <w:color w:val="000000" w:themeColor="text1"/>
          <w:spacing w:val="-2"/>
          <w:sz w:val="24"/>
          <w:szCs w:val="24"/>
          <w:highlight w:val="none"/>
          <w14:textFill>
            <w14:solidFill>
              <w14:schemeClr w14:val="tx1"/>
            </w14:solidFill>
          </w14:textFill>
        </w:rPr>
        <w:t>涨跌风险幅度值。</w:t>
      </w:r>
    </w:p>
    <w:p w14:paraId="08F7A996">
      <w:pPr>
        <w:spacing w:before="39" w:line="219" w:lineRule="auto"/>
        <w:ind w:left="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2.3.7  </w:t>
      </w:r>
      <w:r>
        <w:rPr>
          <w:rFonts w:hint="eastAsia" w:ascii="宋体" w:hAnsi="宋体" w:eastAsia="宋体" w:cs="宋体"/>
          <w:color w:val="000000" w:themeColor="text1"/>
          <w:spacing w:val="-1"/>
          <w:sz w:val="24"/>
          <w:szCs w:val="24"/>
          <w:highlight w:val="none"/>
          <w14:textFill>
            <w14:solidFill>
              <w14:schemeClr w14:val="tx1"/>
            </w14:solidFill>
          </w14:textFill>
        </w:rPr>
        <w:t>暂估价和暂列金额</w:t>
      </w:r>
    </w:p>
    <w:p w14:paraId="55F5A879">
      <w:pPr>
        <w:spacing w:before="154" w:line="299" w:lineRule="auto"/>
        <w:ind w:left="7" w:right="57" w:firstLine="477"/>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"2.3.7.1"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pacing w:val="-2"/>
          <w:sz w:val="24"/>
          <w:szCs w:val="24"/>
          <w:highlight w:val="none"/>
          <w14:textFill>
            <w14:solidFill>
              <w14:schemeClr w14:val="tx1"/>
            </w14:solidFill>
          </w14:textFill>
        </w:rPr>
        <w:t>2.3.7.1</w:t>
      </w:r>
      <w:r>
        <w:rPr>
          <w:rFonts w:hint="eastAsia" w:ascii="宋体" w:hAnsi="宋体" w:eastAsia="宋体" w:cs="宋体"/>
          <w:b/>
          <w:bCs/>
          <w:color w:val="000000" w:themeColor="text1"/>
          <w:spacing w:val="-2"/>
          <w:sz w:val="24"/>
          <w:szCs w:val="24"/>
          <w:highlight w:val="none"/>
          <w14:textFill>
            <w14:solidFill>
              <w14:schemeClr w14:val="tx1"/>
            </w14:solidFill>
          </w14:textFill>
        </w:rPr>
        <w:fldChar w:fldCharType="end"/>
      </w: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 xml:space="preserve">暂估价项目按第一章第三节“投标人须知正文 ”第 </w:t>
      </w:r>
      <w:r>
        <w:rPr>
          <w:rFonts w:hint="eastAsia" w:ascii="宋体" w:hAnsi="宋体" w:eastAsia="宋体" w:cs="宋体"/>
          <w:b/>
          <w:bCs/>
          <w:snapToGrid w:val="0"/>
          <w:color w:val="000000" w:themeColor="text1"/>
          <w:kern w:val="0"/>
          <w:sz w:val="24"/>
          <w:szCs w:val="24"/>
          <w:highlight w:val="none"/>
          <w:lang w:eastAsia="zh-CN"/>
          <w14:textFill>
            <w14:solidFill>
              <w14:schemeClr w14:val="tx1"/>
            </w14:solidFill>
          </w14:textFill>
        </w:rPr>
        <w:t>8.5</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 xml:space="preserve"> 条的规定确定专业工程承包人（或材料供应商、工程设备供应商）后，将专业工程合同价款（或材料单价、工程设备单价）取代相应暂估价，并调整合同价款。</w:t>
      </w:r>
    </w:p>
    <w:p w14:paraId="75732179">
      <w:pPr>
        <w:spacing w:before="153" w:line="315" w:lineRule="auto"/>
        <w:ind w:left="8" w:right="2" w:firstLine="476"/>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"2.3.7.2"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pacing w:val="-8"/>
          <w:sz w:val="24"/>
          <w:szCs w:val="24"/>
          <w:highlight w:val="none"/>
          <w14:textFill>
            <w14:solidFill>
              <w14:schemeClr w14:val="tx1"/>
            </w14:solidFill>
          </w14:textFill>
        </w:rPr>
        <w:t>2.3.7.2</w:t>
      </w:r>
      <w:r>
        <w:rPr>
          <w:rFonts w:hint="eastAsia" w:ascii="宋体" w:hAnsi="宋体" w:eastAsia="宋体" w:cs="宋体"/>
          <w:b/>
          <w:bCs/>
          <w:color w:val="000000" w:themeColor="text1"/>
          <w:spacing w:val="-8"/>
          <w:sz w:val="24"/>
          <w:szCs w:val="24"/>
          <w:highlight w:val="none"/>
          <w14:textFill>
            <w14:solidFill>
              <w14:schemeClr w14:val="tx1"/>
            </w14:solidFill>
          </w14:textFill>
        </w:rPr>
        <w:fldChar w:fldCharType="end"/>
      </w:r>
      <w:r>
        <w:rPr>
          <w:rFonts w:hint="eastAsia" w:ascii="宋体" w:hAnsi="宋体" w:eastAsia="宋体" w:cs="宋体"/>
          <w:b/>
          <w:bCs/>
          <w:color w:val="000000" w:themeColor="text1"/>
          <w:spacing w:val="-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暂列金额由发包人掌握和使用。暂列金额项目若有发</w:t>
      </w:r>
      <w:r>
        <w:rPr>
          <w:rFonts w:hint="eastAsia" w:ascii="宋体" w:hAnsi="宋体" w:eastAsia="宋体" w:cs="宋体"/>
          <w:color w:val="000000" w:themeColor="text1"/>
          <w:spacing w:val="-9"/>
          <w:sz w:val="24"/>
          <w:szCs w:val="24"/>
          <w:highlight w:val="none"/>
          <w14:textFill>
            <w14:solidFill>
              <w14:schemeClr w14:val="tx1"/>
            </w14:solidFill>
          </w14:textFill>
        </w:rPr>
        <w:t>生，按第一章第三节“投</w:t>
      </w:r>
      <w:r>
        <w:rPr>
          <w:rFonts w:hint="eastAsia" w:ascii="宋体" w:hAnsi="宋体" w:eastAsia="宋体" w:cs="宋体"/>
          <w:color w:val="000000" w:themeColor="text1"/>
          <w:spacing w:val="-5"/>
          <w:sz w:val="24"/>
          <w:szCs w:val="24"/>
          <w:highlight w:val="none"/>
          <w14:textFill>
            <w14:solidFill>
              <w14:schemeClr w14:val="tx1"/>
            </w14:solidFill>
          </w14:textFill>
        </w:rPr>
        <w:t>标人须知正文</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”第</w:t>
      </w:r>
      <w:r>
        <w:rPr>
          <w:rFonts w:hint="eastAsia" w:ascii="宋体" w:hAnsi="宋体" w:eastAsia="宋体" w:cs="宋体"/>
          <w:color w:val="000000" w:themeColor="text1"/>
          <w:spacing w:val="-51"/>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5"/>
          <w:sz w:val="24"/>
          <w:szCs w:val="24"/>
          <w:highlight w:val="none"/>
          <w14:textFill>
            <w14:solidFill>
              <w14:schemeClr w14:val="tx1"/>
            </w14:solidFill>
          </w14:textFill>
        </w:rPr>
        <w:t xml:space="preserve">8.6 </w:t>
      </w:r>
      <w:r>
        <w:rPr>
          <w:rFonts w:hint="eastAsia" w:ascii="宋体" w:hAnsi="宋体" w:eastAsia="宋体" w:cs="宋体"/>
          <w:color w:val="000000" w:themeColor="text1"/>
          <w:spacing w:val="-5"/>
          <w:sz w:val="24"/>
          <w:szCs w:val="24"/>
          <w:highlight w:val="none"/>
          <w14:textFill>
            <w14:solidFill>
              <w14:schemeClr w14:val="tx1"/>
            </w14:solidFill>
          </w14:textFill>
        </w:rPr>
        <w:t>条的规定确定材料供应商（或工程设备供</w:t>
      </w:r>
      <w:r>
        <w:rPr>
          <w:rFonts w:hint="eastAsia" w:ascii="宋体" w:hAnsi="宋体" w:eastAsia="宋体" w:cs="宋体"/>
          <w:color w:val="000000" w:themeColor="text1"/>
          <w:spacing w:val="-6"/>
          <w:sz w:val="24"/>
          <w:szCs w:val="24"/>
          <w:highlight w:val="none"/>
          <w14:textFill>
            <w14:solidFill>
              <w14:schemeClr w14:val="tx1"/>
            </w14:solidFill>
          </w14:textFill>
        </w:rPr>
        <w:t>应商、服务供应商）后，</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材料（或工程设备、服务）的合同价款从暂列金额中支付。暂列金额扣除已发生的暂列</w:t>
      </w:r>
      <w:r>
        <w:rPr>
          <w:rFonts w:hint="eastAsia" w:ascii="宋体" w:hAnsi="宋体" w:eastAsia="宋体" w:cs="宋体"/>
          <w:color w:val="000000" w:themeColor="text1"/>
          <w:spacing w:val="1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金额项目合同价款、已发生的合同约定调整因素出现时的调整价款、已发生的索赔以及</w:t>
      </w:r>
      <w:r>
        <w:rPr>
          <w:rFonts w:hint="eastAsia" w:ascii="宋体" w:hAnsi="宋体" w:eastAsia="宋体" w:cs="宋体"/>
          <w:color w:val="000000" w:themeColor="text1"/>
          <w:spacing w:val="-1"/>
          <w:sz w:val="24"/>
          <w:szCs w:val="24"/>
          <w:highlight w:val="none"/>
          <w14:textFill>
            <w14:solidFill>
              <w14:schemeClr w14:val="tx1"/>
            </w14:solidFill>
          </w14:textFill>
        </w:rPr>
        <w:t>现场签证确认等的费用后，余额（若有）归发包人所有。</w:t>
      </w:r>
    </w:p>
    <w:p w14:paraId="1FFEB093">
      <w:pPr>
        <w:spacing w:before="153" w:line="315" w:lineRule="auto"/>
        <w:ind w:left="8" w:right="2" w:firstLine="476"/>
        <w:rPr>
          <w:rFonts w:hint="eastAsia" w:ascii="宋体" w:hAnsi="宋体" w:eastAsia="宋体" w:cs="宋体"/>
          <w:color w:val="000000" w:themeColor="text1"/>
          <w:spacing w:val="-8"/>
          <w:sz w:val="24"/>
          <w:szCs w:val="24"/>
          <w:highlight w:val="none"/>
          <w14:textFill>
            <w14:solidFill>
              <w14:schemeClr w14:val="tx1"/>
            </w14:solidFill>
          </w14:textFill>
        </w:rPr>
      </w:pPr>
      <w:r>
        <w:rPr>
          <w:rFonts w:hint="eastAsia" w:ascii="宋体" w:hAnsi="宋体" w:eastAsia="宋体" w:cs="宋体"/>
          <w:b/>
          <w:bCs/>
          <w:color w:val="000000" w:themeColor="text1"/>
          <w:spacing w:val="-8"/>
          <w:sz w:val="24"/>
          <w:szCs w:val="24"/>
          <w:highlight w:val="none"/>
          <w14:textFill>
            <w14:solidFill>
              <w14:schemeClr w14:val="tx1"/>
            </w14:solidFill>
          </w14:textFill>
        </w:rPr>
        <w:t>2.3.8</w:t>
      </w:r>
      <w:r>
        <w:rPr>
          <w:rFonts w:hint="eastAsia" w:ascii="宋体" w:hAnsi="宋体" w:eastAsia="宋体" w:cs="宋体"/>
          <w:color w:val="000000" w:themeColor="text1"/>
          <w:spacing w:val="-8"/>
          <w:sz w:val="24"/>
          <w:szCs w:val="24"/>
          <w:highlight w:val="none"/>
          <w14:textFill>
            <w14:solidFill>
              <w14:schemeClr w14:val="tx1"/>
            </w14:solidFill>
          </w14:textFill>
        </w:rPr>
        <w:t xml:space="preserve"> 预算包干费按照分部分项的人工费与施工机具费之和及投标费率计取。本招标项目的预算包干内容包括：施工雨水、污水的排除；因地形影响造成的场内料具二次运输；20 米高以下的工程用水加压措施；施工材料堆放场地的整理；机电安装后的补洞(槽)工料费；工程成品保护费；施工中的临时停水停电；基础埋深 2 米以内挖土方的塌方；日间照明施工增加费(不包括地下室和特殊工程)；完工清场后的垃圾外运；地上(地下)设施，建筑物的临时保护设施费和二次加工基地设施费；雨季施工增加费；己完工程及设备保护等。</w:t>
      </w:r>
    </w:p>
    <w:p w14:paraId="00D8F120">
      <w:pPr>
        <w:spacing w:before="153" w:line="315" w:lineRule="auto"/>
        <w:ind w:left="8" w:right="2" w:firstLine="476"/>
        <w:rPr>
          <w:rFonts w:hint="eastAsia" w:ascii="宋体" w:hAnsi="宋体" w:eastAsia="宋体" w:cs="宋体"/>
          <w:color w:val="000000" w:themeColor="text1"/>
          <w:spacing w:val="-8"/>
          <w:sz w:val="24"/>
          <w:szCs w:val="24"/>
          <w:highlight w:val="none"/>
          <w14:textFill>
            <w14:solidFill>
              <w14:schemeClr w14:val="tx1"/>
            </w14:solidFill>
          </w14:textFill>
        </w:rPr>
      </w:pPr>
      <w:r>
        <w:rPr>
          <w:rFonts w:hint="eastAsia" w:ascii="宋体" w:hAnsi="宋体" w:eastAsia="宋体" w:cs="宋体"/>
          <w:b/>
          <w:bCs/>
          <w:color w:val="000000" w:themeColor="text1"/>
          <w:spacing w:val="-8"/>
          <w:sz w:val="24"/>
          <w:szCs w:val="24"/>
          <w:highlight w:val="none"/>
          <w14:textFill>
            <w14:solidFill>
              <w14:schemeClr w14:val="tx1"/>
            </w14:solidFill>
          </w14:textFill>
        </w:rPr>
        <w:t>2.3.</w:t>
      </w:r>
      <w:r>
        <w:rPr>
          <w:rFonts w:hint="eastAsia" w:ascii="宋体" w:hAnsi="宋体" w:eastAsia="宋体" w:cs="宋体"/>
          <w:b/>
          <w:bCs/>
          <w:color w:val="000000" w:themeColor="text1"/>
          <w:spacing w:val="-8"/>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pacing w:val="-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其余事项（如不可抗力、索赔、现场签证等）的调整原则按照《建设工程工程量清单计价规范》（GB50500—2013）有关规定执行。</w:t>
      </w:r>
    </w:p>
    <w:p w14:paraId="0C5E03A8">
      <w:pPr>
        <w:spacing w:before="156" w:line="299" w:lineRule="auto"/>
        <w:ind w:left="12" w:right="65" w:firstLine="55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2.4  </w:t>
      </w:r>
      <w:r>
        <w:rPr>
          <w:rFonts w:hint="eastAsia" w:ascii="宋体" w:hAnsi="宋体" w:eastAsia="宋体" w:cs="宋体"/>
          <w:color w:val="000000" w:themeColor="text1"/>
          <w:sz w:val="24"/>
          <w:szCs w:val="24"/>
          <w:highlight w:val="none"/>
          <w14:textFill>
            <w14:solidFill>
              <w14:schemeClr w14:val="tx1"/>
            </w14:solidFill>
          </w14:textFill>
        </w:rPr>
        <w:t>凡将引起合同价款调增的事项，承包人必须于拟实施</w:t>
      </w:r>
      <w:r>
        <w:rPr>
          <w:rFonts w:hint="eastAsia" w:ascii="宋体" w:hAnsi="宋体" w:eastAsia="宋体" w:cs="宋体"/>
          <w:color w:val="000000" w:themeColor="text1"/>
          <w:spacing w:val="-3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14</w:t>
      </w:r>
      <w:r>
        <w:rPr>
          <w:rFonts w:hint="eastAsia" w:ascii="宋体" w:hAnsi="宋体" w:eastAsia="宋体" w:cs="宋体"/>
          <w:color w:val="000000" w:themeColor="text1"/>
          <w:spacing w:val="16"/>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天前，将详细的</w:t>
      </w:r>
      <w:r>
        <w:rPr>
          <w:rFonts w:hint="eastAsia" w:ascii="宋体" w:hAnsi="宋体" w:eastAsia="宋体" w:cs="宋体"/>
          <w:color w:val="000000" w:themeColor="text1"/>
          <w:spacing w:val="-1"/>
          <w:sz w:val="24"/>
          <w:szCs w:val="24"/>
          <w:highlight w:val="none"/>
          <w14:textFill>
            <w14:solidFill>
              <w14:schemeClr w14:val="tx1"/>
            </w14:solidFill>
          </w14:textFill>
        </w:rPr>
        <w:t>报价</w:t>
      </w:r>
      <w:r>
        <w:rPr>
          <w:rFonts w:hint="eastAsia" w:ascii="宋体" w:hAnsi="宋体" w:eastAsia="宋体" w:cs="宋体"/>
          <w:color w:val="000000" w:themeColor="text1"/>
          <w:spacing w:val="-2"/>
          <w:sz w:val="24"/>
          <w:szCs w:val="24"/>
          <w:highlight w:val="none"/>
          <w14:textFill>
            <w14:solidFill>
              <w14:schemeClr w14:val="tx1"/>
            </w14:solidFill>
          </w14:textFill>
        </w:rPr>
        <w:t>书（含拟实施项目名称、变更部位、理由、预计造价等）报监理单位审核和发包人批准后方可实施。</w:t>
      </w:r>
    </w:p>
    <w:p w14:paraId="7E55A3E2">
      <w:pPr>
        <w:spacing w:before="153" w:line="279" w:lineRule="auto"/>
        <w:ind w:left="9" w:right="102" w:firstLine="47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2.5 </w:t>
      </w:r>
      <w:r>
        <w:rPr>
          <w:rFonts w:hint="eastAsia" w:ascii="宋体" w:hAnsi="宋体" w:eastAsia="宋体" w:cs="宋体"/>
          <w:color w:val="000000" w:themeColor="text1"/>
          <w:spacing w:val="1"/>
          <w:sz w:val="24"/>
          <w:szCs w:val="24"/>
          <w:highlight w:val="none"/>
          <w14:textFill>
            <w14:solidFill>
              <w14:schemeClr w14:val="tx1"/>
            </w14:solidFill>
          </w14:textFill>
        </w:rPr>
        <w:t>承包人不得以不完全了解现场情况为理由，提出额外付</w:t>
      </w:r>
      <w:r>
        <w:rPr>
          <w:rFonts w:hint="eastAsia" w:ascii="宋体" w:hAnsi="宋体" w:eastAsia="宋体" w:cs="宋体"/>
          <w:color w:val="000000" w:themeColor="text1"/>
          <w:sz w:val="24"/>
          <w:szCs w:val="24"/>
          <w:highlight w:val="none"/>
          <w14:textFill>
            <w14:solidFill>
              <w14:schemeClr w14:val="tx1"/>
            </w14:solidFill>
          </w14:textFill>
        </w:rPr>
        <w:t xml:space="preserve">款或延长工期等要求。 </w:t>
      </w:r>
      <w:r>
        <w:rPr>
          <w:rFonts w:hint="eastAsia" w:ascii="宋体" w:hAnsi="宋体" w:eastAsia="宋体" w:cs="宋体"/>
          <w:color w:val="000000" w:themeColor="text1"/>
          <w:spacing w:val="-1"/>
          <w:sz w:val="24"/>
          <w:szCs w:val="24"/>
          <w:highlight w:val="none"/>
          <w14:textFill>
            <w14:solidFill>
              <w14:schemeClr w14:val="tx1"/>
            </w14:solidFill>
          </w14:textFill>
        </w:rPr>
        <w:t>对此类要求，发包人不作任何考虑及答复。</w:t>
      </w:r>
    </w:p>
    <w:p w14:paraId="50E281B0">
      <w:pPr>
        <w:spacing w:before="154" w:line="279" w:lineRule="auto"/>
        <w:ind w:left="10" w:right="63" w:firstLine="47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2.6 </w:t>
      </w:r>
      <w:r>
        <w:rPr>
          <w:rFonts w:hint="eastAsia" w:ascii="宋体" w:hAnsi="宋体" w:eastAsia="宋体" w:cs="宋体"/>
          <w:color w:val="000000" w:themeColor="text1"/>
          <w:spacing w:val="2"/>
          <w:sz w:val="24"/>
          <w:szCs w:val="24"/>
          <w:highlight w:val="none"/>
          <w14:textFill>
            <w14:solidFill>
              <w14:schemeClr w14:val="tx1"/>
            </w14:solidFill>
          </w14:textFill>
        </w:rPr>
        <w:t>承包人已标价工程量清单中漏报、错报或少报的清单项目</w:t>
      </w:r>
      <w:r>
        <w:rPr>
          <w:rFonts w:hint="eastAsia" w:ascii="宋体" w:hAnsi="宋体" w:eastAsia="宋体" w:cs="宋体"/>
          <w:color w:val="000000" w:themeColor="text1"/>
          <w:spacing w:val="1"/>
          <w:sz w:val="24"/>
          <w:szCs w:val="24"/>
          <w:highlight w:val="none"/>
          <w14:textFill>
            <w14:solidFill>
              <w14:schemeClr w14:val="tx1"/>
            </w14:solidFill>
          </w14:textFill>
        </w:rPr>
        <w:t>，其价格均视为已经</w:t>
      </w:r>
      <w:r>
        <w:rPr>
          <w:rFonts w:hint="eastAsia" w:ascii="宋体" w:hAnsi="宋体" w:eastAsia="宋体" w:cs="宋体"/>
          <w:color w:val="000000" w:themeColor="text1"/>
          <w:spacing w:val="-1"/>
          <w:sz w:val="24"/>
          <w:szCs w:val="24"/>
          <w:highlight w:val="none"/>
          <w14:textFill>
            <w14:solidFill>
              <w14:schemeClr w14:val="tx1"/>
            </w14:solidFill>
          </w14:textFill>
        </w:rPr>
        <w:t>包含在其它清单项目中，竣工结算时不得重新组价和调整。</w:t>
      </w:r>
    </w:p>
    <w:p w14:paraId="75BC7B06">
      <w:pPr>
        <w:spacing w:before="155" w:line="299" w:lineRule="auto"/>
        <w:ind w:left="12" w:right="65" w:firstLine="47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2.7  </w:t>
      </w:r>
      <w:r>
        <w:rPr>
          <w:rFonts w:hint="eastAsia" w:ascii="宋体" w:hAnsi="宋体" w:eastAsia="宋体" w:cs="宋体"/>
          <w:color w:val="000000" w:themeColor="text1"/>
          <w:sz w:val="24"/>
          <w:szCs w:val="24"/>
          <w:highlight w:val="none"/>
          <w14:textFill>
            <w14:solidFill>
              <w14:schemeClr w14:val="tx1"/>
            </w14:solidFill>
          </w14:textFill>
        </w:rPr>
        <w:t>项目完工后，发、承包双方和受其委托具备相应资质的工程造价咨询单位必须</w:t>
      </w:r>
      <w:r>
        <w:rPr>
          <w:rFonts w:hint="eastAsia" w:ascii="宋体" w:hAnsi="宋体" w:eastAsia="宋体" w:cs="宋体"/>
          <w:color w:val="000000" w:themeColor="text1"/>
          <w:spacing w:val="-1"/>
          <w:sz w:val="24"/>
          <w:szCs w:val="24"/>
          <w:highlight w:val="none"/>
          <w14:textFill>
            <w14:solidFill>
              <w14:schemeClr w14:val="tx1"/>
            </w14:solidFill>
          </w14:textFill>
        </w:rPr>
        <w:t>按照《建设工程工程量清单计价规范》（GB50500—2013）和国家、省、市的有关规定</w:t>
      </w:r>
      <w:r>
        <w:rPr>
          <w:rFonts w:hint="eastAsia" w:ascii="宋体" w:hAnsi="宋体" w:eastAsia="宋体" w:cs="宋体"/>
          <w:color w:val="000000" w:themeColor="text1"/>
          <w:spacing w:val="-2"/>
          <w:sz w:val="24"/>
          <w:szCs w:val="24"/>
          <w:highlight w:val="none"/>
          <w14:textFill>
            <w14:solidFill>
              <w14:schemeClr w14:val="tx1"/>
            </w14:solidFill>
          </w14:textFill>
        </w:rPr>
        <w:t>办理竣工结算。</w:t>
      </w:r>
    </w:p>
    <w:p w14:paraId="18501ACB">
      <w:pPr>
        <w:spacing w:before="152" w:line="319" w:lineRule="auto"/>
        <w:ind w:left="8" w:right="38" w:firstLine="55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2.8  </w:t>
      </w:r>
      <w:r>
        <w:rPr>
          <w:rFonts w:hint="eastAsia" w:ascii="宋体" w:hAnsi="宋体" w:eastAsia="宋体" w:cs="宋体"/>
          <w:color w:val="000000" w:themeColor="text1"/>
          <w:spacing w:val="-1"/>
          <w:sz w:val="24"/>
          <w:szCs w:val="24"/>
          <w:highlight w:val="none"/>
          <w14:textFill>
            <w14:solidFill>
              <w14:schemeClr w14:val="tx1"/>
            </w14:solidFill>
          </w14:textFill>
        </w:rPr>
        <w:t>承包人已标价工程量清单中没有的材料（或工程设备</w:t>
      </w:r>
      <w:r>
        <w:rPr>
          <w:rFonts w:hint="eastAsia" w:ascii="宋体" w:hAnsi="宋体" w:eastAsia="宋体" w:cs="宋体"/>
          <w:color w:val="000000" w:themeColor="text1"/>
          <w:spacing w:val="-18"/>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承包人在使</w:t>
      </w:r>
      <w:r>
        <w:rPr>
          <w:rFonts w:hint="eastAsia" w:ascii="宋体" w:hAnsi="宋体" w:eastAsia="宋体" w:cs="宋体"/>
          <w:color w:val="000000" w:themeColor="text1"/>
          <w:spacing w:val="-2"/>
          <w:sz w:val="24"/>
          <w:szCs w:val="24"/>
          <w:highlight w:val="none"/>
          <w14:textFill>
            <w14:solidFill>
              <w14:schemeClr w14:val="tx1"/>
            </w14:solidFill>
          </w14:textFill>
        </w:rPr>
        <w:t>用前必须</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将材料（或工程设备）样板、材料合格证明（或产品合格证书）、材料（或工程设备）检验报告提交给监理单位和发包人审核。发</w:t>
      </w:r>
      <w:r>
        <w:rPr>
          <w:rFonts w:hint="eastAsia" w:ascii="宋体" w:hAnsi="宋体" w:eastAsia="宋体" w:cs="宋体"/>
          <w:color w:val="000000" w:themeColor="text1"/>
          <w:spacing w:val="-2"/>
          <w:sz w:val="24"/>
          <w:szCs w:val="24"/>
          <w:highlight w:val="none"/>
          <w14:textFill>
            <w14:solidFill>
              <w14:schemeClr w14:val="tx1"/>
            </w14:solidFill>
          </w14:textFill>
        </w:rPr>
        <w:t>包人审定并确定价格后，承包人方可采购和</w:t>
      </w:r>
      <w:r>
        <w:rPr>
          <w:rFonts w:hint="eastAsia" w:ascii="宋体" w:hAnsi="宋体" w:eastAsia="宋体" w:cs="宋体"/>
          <w:color w:val="000000" w:themeColor="text1"/>
          <w:spacing w:val="-1"/>
          <w:sz w:val="24"/>
          <w:szCs w:val="24"/>
          <w:highlight w:val="none"/>
          <w14:textFill>
            <w14:solidFill>
              <w14:schemeClr w14:val="tx1"/>
            </w14:solidFill>
          </w14:textFill>
        </w:rPr>
        <w:t>使用。如果在交货验收和使用过程中发现货</w:t>
      </w:r>
      <w:r>
        <w:rPr>
          <w:rFonts w:hint="eastAsia" w:ascii="宋体" w:hAnsi="宋体" w:eastAsia="宋体" w:cs="宋体"/>
          <w:color w:val="000000" w:themeColor="text1"/>
          <w:spacing w:val="-2"/>
          <w:sz w:val="24"/>
          <w:szCs w:val="24"/>
          <w:highlight w:val="none"/>
          <w14:textFill>
            <w14:solidFill>
              <w14:schemeClr w14:val="tx1"/>
            </w14:solidFill>
          </w14:textFill>
        </w:rPr>
        <w:t>不对板，监理单位和发包人有权拒用，并要</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求承包人立即进行更换。更换后的材料（或</w:t>
      </w:r>
      <w:r>
        <w:rPr>
          <w:rFonts w:hint="eastAsia" w:ascii="宋体" w:hAnsi="宋体" w:eastAsia="宋体" w:cs="宋体"/>
          <w:color w:val="000000" w:themeColor="text1"/>
          <w:spacing w:val="-2"/>
          <w:sz w:val="24"/>
          <w:szCs w:val="24"/>
          <w:highlight w:val="none"/>
          <w14:textFill>
            <w14:solidFill>
              <w14:schemeClr w14:val="tx1"/>
            </w14:solidFill>
          </w14:textFill>
        </w:rPr>
        <w:t>工程设备）应再次进行检查和检验。由此增</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加的费用和（或）工期延误由承包人承担。</w:t>
      </w:r>
    </w:p>
    <w:p w14:paraId="32105AE6">
      <w:pPr>
        <w:spacing w:before="152" w:line="319" w:lineRule="auto"/>
        <w:ind w:left="8" w:right="38" w:firstLine="559"/>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2.9 </w:t>
      </w:r>
      <w:r>
        <w:rPr>
          <w:rFonts w:hint="eastAsia" w:ascii="宋体" w:hAnsi="宋体" w:eastAsia="宋体" w:cs="宋体"/>
          <w:color w:val="000000" w:themeColor="text1"/>
          <w:spacing w:val="-1"/>
          <w:sz w:val="24"/>
          <w:szCs w:val="24"/>
          <w:highlight w:val="none"/>
          <w14:textFill>
            <w14:solidFill>
              <w14:schemeClr w14:val="tx1"/>
            </w14:solidFill>
          </w14:textFill>
        </w:rPr>
        <w:t>承包人已标价工程量清单中没有的材料（或工程设备）结算价格确定原则：按施工当月项目所在地工程造价管理机构发布的信息价格；若当地信息价格缺项的，由承包人根据变更工程资料依次参考韶关、清远、佛山、东莞、肇庆、惠州、广州等广东省内地区信息价执行；若以上城市均没有信息价则按厂商信息价、</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造价通、</w:t>
      </w:r>
      <w:r>
        <w:rPr>
          <w:rFonts w:hint="eastAsia" w:ascii="宋体" w:hAnsi="宋体" w:eastAsia="宋体" w:cs="宋体"/>
          <w:color w:val="000000" w:themeColor="text1"/>
          <w:spacing w:val="-1"/>
          <w:sz w:val="24"/>
          <w:szCs w:val="24"/>
          <w:highlight w:val="none"/>
          <w14:textFill>
            <w14:solidFill>
              <w14:schemeClr w14:val="tx1"/>
            </w14:solidFill>
          </w14:textFill>
        </w:rPr>
        <w:t>电商平台价格（优先从京东、国美、苏宁等大型电商平台查询取其平均价）；若以上方式均无法确定材料价格 的，则采用厂商报价或市场询价等方式取得有合法依据的市场价格，报发包人确认。</w:t>
      </w:r>
    </w:p>
    <w:p w14:paraId="1C684DEC">
      <w:pPr>
        <w:pStyle w:val="25"/>
        <w:snapToGrid w:val="0"/>
        <w:spacing w:line="440" w:lineRule="exact"/>
        <w:ind w:firstLine="480"/>
        <w:jc w:val="both"/>
        <w:outlineLvl w:val="2"/>
        <w:rPr>
          <w:rStyle w:val="16"/>
          <w:rFonts w:hint="eastAsia" w:ascii="宋体" w:hAnsi="宋体" w:eastAsia="宋体" w:cs="宋体"/>
          <w:b/>
          <w:bCs/>
          <w:color w:val="000000" w:themeColor="text1"/>
          <w:sz w:val="24"/>
          <w:szCs w:val="24"/>
          <w:highlight w:val="none"/>
          <w14:textFill>
            <w14:solidFill>
              <w14:schemeClr w14:val="tx1"/>
            </w14:solidFill>
          </w14:textFill>
        </w:rPr>
      </w:pPr>
      <w:bookmarkStart w:id="176" w:name="_Toc19181"/>
      <w:bookmarkStart w:id="177" w:name="_Toc1816"/>
      <w:r>
        <w:rPr>
          <w:rStyle w:val="16"/>
          <w:rFonts w:hint="eastAsia" w:ascii="宋体" w:hAnsi="宋体" w:eastAsia="宋体" w:cs="宋体"/>
          <w:b/>
          <w:bCs/>
          <w:color w:val="000000" w:themeColor="text1"/>
          <w:sz w:val="24"/>
          <w:szCs w:val="24"/>
          <w:highlight w:val="none"/>
          <w14:textFill>
            <w14:solidFill>
              <w14:schemeClr w14:val="tx1"/>
            </w14:solidFill>
          </w14:textFill>
        </w:rPr>
        <w:t>3. 工程付款办法</w:t>
      </w:r>
      <w:bookmarkEnd w:id="176"/>
      <w:bookmarkEnd w:id="177"/>
    </w:p>
    <w:p w14:paraId="6E914D75">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0"/>
          <w:highlight w:val="none"/>
          <w:lang w:eastAsia="zh-CN"/>
          <w14:textFill>
            <w14:solidFill>
              <w14:schemeClr w14:val="tx1"/>
            </w14:solidFill>
          </w14:textFill>
        </w:rPr>
        <w:t>3.1</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 xml:space="preserve"> 本工程 </w:t>
      </w:r>
      <w:r>
        <w:rPr>
          <w:rFonts w:hint="eastAsia" w:ascii="宋体" w:hAnsi="宋体" w:eastAsia="宋体" w:cs="宋体"/>
          <w:snapToGrid w:val="0"/>
          <w:color w:val="000000" w:themeColor="text1"/>
          <w:kern w:val="0"/>
          <w:sz w:val="24"/>
          <w:szCs w:val="20"/>
          <w:highlight w:val="none"/>
          <w:u w:val="single"/>
          <w:lang w:eastAsia="zh-CN"/>
          <w14:textFill>
            <w14:solidFill>
              <w14:schemeClr w14:val="tx1"/>
            </w14:solidFill>
          </w14:textFill>
        </w:rPr>
        <w:t>支付</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 xml:space="preserve"> 施工预付款。</w:t>
      </w:r>
    </w:p>
    <w:p w14:paraId="41FC3736">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0"/>
          <w:highlight w:val="none"/>
          <w:lang w:eastAsia="zh-CN"/>
          <w14:textFill>
            <w14:solidFill>
              <w14:schemeClr w14:val="tx1"/>
            </w14:solidFill>
          </w14:textFill>
        </w:rPr>
        <w:t>3.2</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 xml:space="preserve"> 施工预付款必须专用于合同工程，并按以下原则支付和抵扣：</w:t>
      </w:r>
    </w:p>
    <w:p w14:paraId="6B1217F2">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0"/>
          <w:highlight w:val="none"/>
          <w:lang w:eastAsia="zh-CN"/>
          <w14:textFill>
            <w14:solidFill>
              <w14:schemeClr w14:val="tx1"/>
            </w14:solidFill>
          </w14:textFill>
        </w:rPr>
        <w:t>3.2.1</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 xml:space="preserve"> 施工预付款支付比例为：按施工合同价的</w:t>
      </w:r>
      <w:r>
        <w:rPr>
          <w:rFonts w:hint="eastAsia" w:ascii="宋体" w:hAnsi="宋体" w:eastAsia="宋体" w:cs="宋体"/>
          <w:snapToGrid w:val="0"/>
          <w:color w:val="000000" w:themeColor="text1"/>
          <w:kern w:val="0"/>
          <w:sz w:val="24"/>
          <w:szCs w:val="20"/>
          <w:highlight w:val="none"/>
          <w:u w:val="single"/>
          <w:lang w:eastAsia="zh-CN"/>
          <w14:textFill>
            <w14:solidFill>
              <w14:schemeClr w14:val="tx1"/>
            </w14:solidFill>
          </w14:textFill>
        </w:rPr>
        <w:t xml:space="preserve"> 30% </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支付。</w:t>
      </w:r>
    </w:p>
    <w:p w14:paraId="7C9E1FA5">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0"/>
          <w:highlight w:val="none"/>
          <w:lang w:eastAsia="zh-CN"/>
          <w14:textFill>
            <w14:solidFill>
              <w14:schemeClr w14:val="tx1"/>
            </w14:solidFill>
          </w14:textFill>
        </w:rPr>
        <w:t>3.2.2</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 xml:space="preserve"> 本招标项目 </w:t>
      </w:r>
      <w:r>
        <w:rPr>
          <w:rFonts w:hint="eastAsia" w:ascii="宋体" w:hAnsi="宋体" w:eastAsia="宋体" w:cs="宋体"/>
          <w:b/>
          <w:bCs/>
          <w:snapToGrid w:val="0"/>
          <w:color w:val="000000" w:themeColor="text1"/>
          <w:kern w:val="0"/>
          <w:sz w:val="24"/>
          <w:szCs w:val="20"/>
          <w:highlight w:val="none"/>
          <w:u w:val="single"/>
          <w:lang w:eastAsia="zh-CN"/>
          <w14:textFill>
            <w14:solidFill>
              <w14:schemeClr w14:val="tx1"/>
            </w14:solidFill>
          </w14:textFill>
        </w:rPr>
        <w:t>要求</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 xml:space="preserve"> 承包人提供与预付款等额的预付款保函。</w:t>
      </w:r>
    </w:p>
    <w:p w14:paraId="68943F4F">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0"/>
          <w:highlight w:val="none"/>
          <w:lang w:eastAsia="zh-CN"/>
          <w14:textFill>
            <w14:solidFill>
              <w14:schemeClr w14:val="tx1"/>
            </w14:solidFill>
          </w14:textFill>
        </w:rPr>
        <w:t>3.2.3</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 xml:space="preserve"> 承包人应在签订合同后，</w:t>
      </w:r>
      <w:r>
        <w:rPr>
          <w:rFonts w:hint="eastAsia" w:ascii="宋体" w:hAnsi="宋体" w:eastAsia="宋体" w:cs="宋体"/>
          <w:b/>
          <w:bCs/>
          <w:snapToGrid w:val="0"/>
          <w:color w:val="000000" w:themeColor="text1"/>
          <w:kern w:val="0"/>
          <w:sz w:val="24"/>
          <w:szCs w:val="20"/>
          <w:highlight w:val="none"/>
          <w:lang w:eastAsia="zh-CN"/>
          <w14:textFill>
            <w14:solidFill>
              <w14:schemeClr w14:val="tx1"/>
            </w14:solidFill>
          </w14:textFill>
        </w:rPr>
        <w:t>在提供符合要求的预付款保函或预付款保险</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及具备施工条件的前提下，向发包人提交预付款支付申请。发包人应对在收到支付申请的</w:t>
      </w:r>
      <w:r>
        <w:rPr>
          <w:rFonts w:hint="eastAsia" w:ascii="宋体" w:hAnsi="宋体" w:eastAsia="宋体" w:cs="宋体"/>
          <w:snapToGrid w:val="0"/>
          <w:color w:val="000000" w:themeColor="text1"/>
          <w:kern w:val="0"/>
          <w:sz w:val="24"/>
          <w:szCs w:val="20"/>
          <w:highlight w:val="none"/>
          <w:lang w:val="en-US" w:eastAsia="zh-CN"/>
          <w14:textFill>
            <w14:solidFill>
              <w14:schemeClr w14:val="tx1"/>
            </w14:solidFill>
          </w14:textFill>
        </w:rPr>
        <w:t>7</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天内进行核实后向承包人发出预付款支付证书，并在签发支付证书后的</w:t>
      </w:r>
      <w:r>
        <w:rPr>
          <w:rFonts w:hint="eastAsia" w:ascii="宋体" w:hAnsi="宋体" w:eastAsia="宋体" w:cs="宋体"/>
          <w:snapToGrid w:val="0"/>
          <w:color w:val="000000" w:themeColor="text1"/>
          <w:kern w:val="0"/>
          <w:sz w:val="24"/>
          <w:szCs w:val="20"/>
          <w:highlight w:val="none"/>
          <w:lang w:val="en-US" w:eastAsia="zh-CN"/>
          <w14:textFill>
            <w14:solidFill>
              <w14:schemeClr w14:val="tx1"/>
            </w14:solidFill>
          </w14:textFill>
        </w:rPr>
        <w:t>7</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天内向承包人支付预付款。凡未签订合同或不具备施工条件的工程，发包人不得预付工程款。</w:t>
      </w:r>
    </w:p>
    <w:p w14:paraId="3236D676">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0"/>
          <w:highlight w:val="none"/>
          <w:lang w:eastAsia="zh-CN"/>
          <w14:textFill>
            <w14:solidFill>
              <w14:schemeClr w14:val="tx1"/>
            </w14:solidFill>
          </w14:textFill>
        </w:rPr>
        <w:t>3.2.</w:t>
      </w:r>
      <w:r>
        <w:rPr>
          <w:rFonts w:hint="eastAsia" w:ascii="宋体" w:hAnsi="宋体" w:eastAsia="宋体" w:cs="宋体"/>
          <w:b/>
          <w:bCs/>
          <w:snapToGrid w:val="0"/>
          <w:color w:val="000000" w:themeColor="text1"/>
          <w:kern w:val="0"/>
          <w:sz w:val="24"/>
          <w:szCs w:val="20"/>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 xml:space="preserve"> 发包人没有按时支付预付款的，承包人可催告发包人支付；发包人在付款期满后的 7 天内仍未支付的，承包人可在付款期满后的第 8 天起暂停施工。发包人应向承包人支付应付款的利息（从付款期满后之日起计算，利率按同期银行贷款利率计算），并承担违约责任。</w:t>
      </w:r>
    </w:p>
    <w:p w14:paraId="4ED67E5A">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0"/>
          <w:highlight w:val="none"/>
          <w:lang w:val="en-US" w:eastAsia="zh-CN"/>
          <w14:textFill>
            <w14:solidFill>
              <w14:schemeClr w14:val="tx1"/>
            </w14:solidFill>
          </w14:textFill>
        </w:rPr>
        <w:t>3.2.5</w:t>
      </w:r>
      <w:r>
        <w:rPr>
          <w:rFonts w:hint="eastAsia" w:ascii="宋体" w:hAnsi="宋体" w:eastAsia="宋体" w:cs="宋体"/>
          <w:snapToGrid w:val="0"/>
          <w:color w:val="000000" w:themeColor="text1"/>
          <w:kern w:val="0"/>
          <w:sz w:val="24"/>
          <w:szCs w:val="20"/>
          <w:highlight w:val="none"/>
          <w:lang w:val="en-US" w:eastAsia="zh-CN"/>
          <w14:textFill>
            <w14:solidFill>
              <w14:schemeClr w14:val="tx1"/>
            </w14:solidFill>
          </w14:textFill>
        </w:rPr>
        <w:t xml:space="preserve"> 预付款应从每支付期应支付给承包人的工程进度款中扣回，直到扣回的金额达到合同约定的预付款金额为止。预付款扣回比例:第一笔进度款扣回 30%预付款，第二笔进度款扣回 30%预付款，第三笔进度款扣回 40%预付款。如进度款申请少于3次，则结算时需将未扣回部分的预付款全部扣回。</w:t>
      </w:r>
    </w:p>
    <w:p w14:paraId="5532E8BF">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0"/>
          <w:highlight w:val="none"/>
          <w:lang w:eastAsia="zh-CN"/>
          <w14:textFill>
            <w14:solidFill>
              <w14:schemeClr w14:val="tx1"/>
            </w14:solidFill>
          </w14:textFill>
        </w:rPr>
        <w:t>3.3</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 xml:space="preserve"> 施工过程中按月支付工程进度款：承包人每月按工程实际完成工程量（含变更及增加工程）申报，承包人必须将《已完成工程量报表》和《工程付款申请书》于当月26 日前报监理单位核实。经监理单位审核、发包人审定后的工程进度款（指已经按照合同约定，扣除该支付期内因承包人违约而应扣除的管理费），于申报次月支付。</w:t>
      </w:r>
    </w:p>
    <w:p w14:paraId="38CC6A3C">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0"/>
          <w:highlight w:val="none"/>
          <w:lang w:eastAsia="zh-CN"/>
          <w14:textFill>
            <w14:solidFill>
              <w14:schemeClr w14:val="tx1"/>
            </w14:solidFill>
          </w14:textFill>
        </w:rPr>
        <w:t>3.4</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 xml:space="preserve"> 每月的工程进度款按工程实际完成工程量的 </w:t>
      </w:r>
      <w:r>
        <w:rPr>
          <w:rFonts w:hint="eastAsia" w:ascii="宋体" w:hAnsi="宋体" w:eastAsia="宋体" w:cs="宋体"/>
          <w:snapToGrid w:val="0"/>
          <w:color w:val="000000" w:themeColor="text1"/>
          <w:kern w:val="0"/>
          <w:sz w:val="24"/>
          <w:szCs w:val="20"/>
          <w:highlight w:val="none"/>
          <w:lang w:val="en-US" w:eastAsia="zh-CN"/>
          <w14:textFill>
            <w14:solidFill>
              <w14:schemeClr w14:val="tx1"/>
            </w14:solidFill>
          </w14:textFill>
        </w:rPr>
        <w:t>7</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0% 申请支付，工程进度款中的作业工人工资款项由发包人单独足额拨付到承包人的工资专户。</w:t>
      </w:r>
    </w:p>
    <w:p w14:paraId="300A70FC">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0"/>
          <w:highlight w:val="none"/>
          <w:lang w:eastAsia="zh-CN"/>
          <w14:textFill>
            <w14:solidFill>
              <w14:schemeClr w14:val="tx1"/>
            </w14:solidFill>
          </w14:textFill>
        </w:rPr>
        <w:t>3.</w:t>
      </w:r>
      <w:r>
        <w:rPr>
          <w:rFonts w:hint="eastAsia" w:ascii="宋体" w:hAnsi="宋体" w:eastAsia="宋体" w:cs="宋体"/>
          <w:b/>
          <w:bCs/>
          <w:snapToGrid w:val="0"/>
          <w:color w:val="000000" w:themeColor="text1"/>
          <w:kern w:val="0"/>
          <w:sz w:val="24"/>
          <w:szCs w:val="20"/>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 xml:space="preserve"> 措施项目费中的“绿色施工安全防护措施费”拨付按照《广东省建设工程计价依据（2018）》执行，按照项目所在地的建设行政主管部门有关规定支付。发生一般事故及以上等级重大安全事故的，发包人可扣除承包人金额相当于所有“绿色施工安全防护措施费”的工程管理费。</w:t>
      </w:r>
    </w:p>
    <w:p w14:paraId="6B34D5EB">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0"/>
          <w:highlight w:val="none"/>
          <w:lang w:eastAsia="zh-CN"/>
          <w14:textFill>
            <w14:solidFill>
              <w14:schemeClr w14:val="tx1"/>
            </w14:solidFill>
          </w14:textFill>
        </w:rPr>
        <w:t>3.</w:t>
      </w:r>
      <w:r>
        <w:rPr>
          <w:rFonts w:hint="eastAsia" w:ascii="宋体" w:hAnsi="宋体" w:eastAsia="宋体" w:cs="宋体"/>
          <w:b/>
          <w:bCs/>
          <w:snapToGrid w:val="0"/>
          <w:color w:val="000000" w:themeColor="text1"/>
          <w:kern w:val="0"/>
          <w:sz w:val="24"/>
          <w:szCs w:val="20"/>
          <w:highlight w:val="none"/>
          <w:lang w:val="en-US" w:eastAsia="zh-CN"/>
          <w14:textFill>
            <w14:solidFill>
              <w14:schemeClr w14:val="tx1"/>
            </w14:solidFill>
          </w14:textFill>
        </w:rPr>
        <w:t>6</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 xml:space="preserve"> 变更工程造价必须经监理单位核实，并经发包人核定后方可支付。</w:t>
      </w:r>
    </w:p>
    <w:p w14:paraId="04F9EAE0">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000000" w:themeColor="text1"/>
          <w:kern w:val="0"/>
          <w:sz w:val="24"/>
          <w:szCs w:val="20"/>
          <w:highlight w:val="none"/>
          <w:lang w:val="en-US" w:eastAsia="zh-CN"/>
          <w14:textFill>
            <w14:solidFill>
              <w14:schemeClr w14:val="tx1"/>
            </w14:solidFill>
          </w14:textFill>
        </w:rPr>
      </w:pPr>
      <w:r>
        <w:rPr>
          <w:rFonts w:hint="eastAsia" w:ascii="宋体" w:hAnsi="宋体" w:eastAsia="宋体" w:cs="宋体"/>
          <w:b/>
          <w:bCs/>
          <w:snapToGrid w:val="0"/>
          <w:color w:val="000000" w:themeColor="text1"/>
          <w:kern w:val="0"/>
          <w:sz w:val="24"/>
          <w:szCs w:val="20"/>
          <w:highlight w:val="none"/>
          <w:lang w:eastAsia="zh-CN"/>
          <w14:textFill>
            <w14:solidFill>
              <w14:schemeClr w14:val="tx1"/>
            </w14:solidFill>
          </w14:textFill>
        </w:rPr>
        <w:t>3.</w:t>
      </w:r>
      <w:r>
        <w:rPr>
          <w:rFonts w:hint="eastAsia" w:ascii="宋体" w:hAnsi="宋体" w:eastAsia="宋体" w:cs="宋体"/>
          <w:b/>
          <w:bCs/>
          <w:snapToGrid w:val="0"/>
          <w:color w:val="000000" w:themeColor="text1"/>
          <w:kern w:val="0"/>
          <w:sz w:val="24"/>
          <w:szCs w:val="20"/>
          <w:highlight w:val="none"/>
          <w:lang w:val="en-US" w:eastAsia="zh-CN"/>
          <w14:textFill>
            <w14:solidFill>
              <w14:schemeClr w14:val="tx1"/>
            </w14:solidFill>
          </w14:textFill>
        </w:rPr>
        <w:t>7</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 xml:space="preserve"> 合同工程完工验收合格后14天内支付至合同价的</w:t>
      </w:r>
      <w:r>
        <w:rPr>
          <w:rFonts w:hint="eastAsia" w:ascii="宋体" w:hAnsi="宋体" w:eastAsia="宋体" w:cs="宋体"/>
          <w:snapToGrid w:val="0"/>
          <w:color w:val="000000" w:themeColor="text1"/>
          <w:kern w:val="0"/>
          <w:sz w:val="24"/>
          <w:szCs w:val="20"/>
          <w:highlight w:val="none"/>
          <w:lang w:val="en-US" w:eastAsia="zh-CN"/>
          <w14:textFill>
            <w14:solidFill>
              <w14:schemeClr w14:val="tx1"/>
            </w14:solidFill>
          </w14:textFill>
        </w:rPr>
        <w:t>80</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%，结算审核完成后，支付至</w:t>
      </w:r>
      <w:r>
        <w:rPr>
          <w:rFonts w:hint="eastAsia" w:ascii="宋体" w:hAnsi="宋体" w:eastAsia="宋体" w:cs="宋体"/>
          <w:snapToGrid w:val="0"/>
          <w:color w:val="000000" w:themeColor="text1"/>
          <w:kern w:val="0"/>
          <w:sz w:val="24"/>
          <w:szCs w:val="20"/>
          <w:highlight w:val="none"/>
          <w:lang w:val="en-US" w:eastAsia="zh-CN"/>
          <w14:textFill>
            <w14:solidFill>
              <w14:schemeClr w14:val="tx1"/>
            </w14:solidFill>
          </w14:textFill>
        </w:rPr>
        <w:t>审定总价</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的97%，剩余3%为</w:t>
      </w:r>
      <w:r>
        <w:rPr>
          <w:rFonts w:hint="eastAsia" w:ascii="宋体" w:hAnsi="宋体" w:eastAsia="宋体" w:cs="宋体"/>
          <w:snapToGrid w:val="0"/>
          <w:color w:val="000000" w:themeColor="text1"/>
          <w:kern w:val="0"/>
          <w:sz w:val="24"/>
          <w:szCs w:val="20"/>
          <w:highlight w:val="none"/>
          <w:lang w:val="en-US" w:eastAsia="zh-CN"/>
          <w14:textFill>
            <w14:solidFill>
              <w14:schemeClr w14:val="tx1"/>
            </w14:solidFill>
          </w14:textFill>
        </w:rPr>
        <w:t>工程</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质量保证金，</w:t>
      </w:r>
      <w:r>
        <w:rPr>
          <w:rFonts w:hint="eastAsia" w:ascii="宋体" w:hAnsi="宋体" w:eastAsia="宋体" w:cs="宋体"/>
          <w:snapToGrid w:val="0"/>
          <w:color w:val="000000" w:themeColor="text1"/>
          <w:kern w:val="0"/>
          <w:sz w:val="24"/>
          <w:szCs w:val="20"/>
          <w:highlight w:val="none"/>
          <w:lang w:val="en-US" w:eastAsia="zh-CN"/>
          <w14:textFill>
            <w14:solidFill>
              <w14:schemeClr w14:val="tx1"/>
            </w14:solidFill>
          </w14:textFill>
        </w:rPr>
        <w:t>根据《建设工程质量保证金管理办法》等有关规定，</w:t>
      </w:r>
    </w:p>
    <w:p w14:paraId="0820561A">
      <w:pPr>
        <w:widowControl w:val="0"/>
        <w:kinsoku/>
        <w:wordWrap w:val="0"/>
        <w:autoSpaceDE/>
        <w:autoSpaceDN/>
        <w:adjustRightInd w:val="0"/>
        <w:snapToGrid w:val="0"/>
        <w:spacing w:line="440" w:lineRule="exact"/>
        <w:jc w:val="both"/>
        <w:textAlignment w:val="auto"/>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0"/>
          <w:highlight w:val="none"/>
          <w:lang w:val="en-US" w:eastAsia="zh-CN"/>
          <w14:textFill>
            <w14:solidFill>
              <w14:schemeClr w14:val="tx1"/>
            </w14:solidFill>
          </w14:textFill>
        </w:rPr>
        <w:t>承包人可以银行保函或保险替代质量保证金，承包人提交了等额质量保证担保或质量保证保险的，一次性结清合同价格。</w:t>
      </w:r>
    </w:p>
    <w:p w14:paraId="79AB6B7A">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0"/>
          <w:highlight w:val="none"/>
          <w:lang w:eastAsia="zh-CN"/>
          <w14:textFill>
            <w14:solidFill>
              <w14:schemeClr w14:val="tx1"/>
            </w14:solidFill>
          </w14:textFill>
        </w:rPr>
        <w:t>3.</w:t>
      </w:r>
      <w:r>
        <w:rPr>
          <w:rFonts w:hint="eastAsia" w:ascii="宋体" w:hAnsi="宋体" w:eastAsia="宋体" w:cs="宋体"/>
          <w:b/>
          <w:bCs/>
          <w:snapToGrid w:val="0"/>
          <w:color w:val="000000" w:themeColor="text1"/>
          <w:kern w:val="0"/>
          <w:sz w:val="24"/>
          <w:szCs w:val="20"/>
          <w:highlight w:val="none"/>
          <w:lang w:val="en-US" w:eastAsia="zh-CN"/>
          <w14:textFill>
            <w14:solidFill>
              <w14:schemeClr w14:val="tx1"/>
            </w14:solidFill>
          </w14:textFill>
        </w:rPr>
        <w:t>8</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本招标项目缺陷责任期为</w:t>
      </w:r>
      <w:r>
        <w:rPr>
          <w:rFonts w:hint="eastAsia" w:ascii="宋体" w:hAnsi="宋体" w:eastAsia="宋体" w:cs="宋体"/>
          <w:snapToGrid w:val="0"/>
          <w:color w:val="000000" w:themeColor="text1"/>
          <w:kern w:val="0"/>
          <w:sz w:val="24"/>
          <w:szCs w:val="20"/>
          <w:highlight w:val="none"/>
          <w:u w:val="singl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 xml:space="preserve"> 年（自通过竣工验收之日起计）。缺陷责任期到期后，承包人向发包人申请退还质量保证。发包人收到退还申请后，于</w:t>
      </w:r>
      <w:r>
        <w:rPr>
          <w:rFonts w:hint="eastAsia" w:ascii="宋体" w:hAnsi="宋体" w:eastAsia="宋体" w:cs="宋体"/>
          <w:snapToGrid w:val="0"/>
          <w:color w:val="000000" w:themeColor="text1"/>
          <w:kern w:val="0"/>
          <w:sz w:val="24"/>
          <w:szCs w:val="20"/>
          <w:highlight w:val="none"/>
          <w:u w:val="single"/>
          <w:lang w:eastAsia="zh-CN"/>
          <w14:textFill>
            <w14:solidFill>
              <w14:schemeClr w14:val="tx1"/>
            </w14:solidFill>
          </w14:textFill>
        </w:rPr>
        <w:t>14</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天内会同承包人进行核实。经双方核实且均无异议后，发包人在核实之日起</w:t>
      </w:r>
      <w:r>
        <w:rPr>
          <w:rFonts w:hint="eastAsia" w:ascii="宋体" w:hAnsi="宋体" w:eastAsia="宋体" w:cs="宋体"/>
          <w:snapToGrid w:val="0"/>
          <w:color w:val="000000" w:themeColor="text1"/>
          <w:kern w:val="0"/>
          <w:sz w:val="24"/>
          <w:szCs w:val="20"/>
          <w:highlight w:val="none"/>
          <w:u w:val="single"/>
          <w:lang w:eastAsia="zh-CN"/>
          <w14:textFill>
            <w14:solidFill>
              <w14:schemeClr w14:val="tx1"/>
            </w14:solidFill>
          </w14:textFill>
        </w:rPr>
        <w:t xml:space="preserve"> 14 </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天内将应返保证金（或银行保函）退还承包人。</w:t>
      </w:r>
    </w:p>
    <w:p w14:paraId="5F97EA0E">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0"/>
          <w:highlight w:val="none"/>
          <w:lang w:eastAsia="zh-CN"/>
          <w14:textFill>
            <w14:solidFill>
              <w14:schemeClr w14:val="tx1"/>
            </w14:solidFill>
          </w14:textFill>
        </w:rPr>
        <w:t>3.9</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 xml:space="preserve"> 发包人每次支付工程款前，承包人均应提供有效的增值税专用发票。如果承包人无法提供符合要求的发票，由此造成的相应损失由承包人承担。</w:t>
      </w:r>
    </w:p>
    <w:p w14:paraId="5FDBA552">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0"/>
          <w:highlight w:val="none"/>
          <w:lang w:eastAsia="zh-CN"/>
          <w14:textFill>
            <w14:solidFill>
              <w14:schemeClr w14:val="tx1"/>
            </w14:solidFill>
          </w14:textFill>
        </w:rPr>
        <w:t>3.</w:t>
      </w:r>
      <w:r>
        <w:rPr>
          <w:rFonts w:hint="eastAsia" w:ascii="宋体" w:hAnsi="宋体" w:eastAsia="宋体" w:cs="宋体"/>
          <w:b/>
          <w:bCs/>
          <w:snapToGrid w:val="0"/>
          <w:color w:val="000000" w:themeColor="text1"/>
          <w:kern w:val="0"/>
          <w:sz w:val="24"/>
          <w:szCs w:val="20"/>
          <w:highlight w:val="none"/>
          <w:lang w:val="en-US" w:eastAsia="zh-CN"/>
          <w14:textFill>
            <w14:solidFill>
              <w14:schemeClr w14:val="tx1"/>
            </w14:solidFill>
          </w14:textFill>
        </w:rPr>
        <w:t>10</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暂列金额支付方式：</w:t>
      </w:r>
      <w:r>
        <w:rPr>
          <w:rFonts w:hint="eastAsia" w:ascii="宋体" w:hAnsi="宋体" w:eastAsia="宋体" w:cs="宋体"/>
          <w:snapToGrid w:val="0"/>
          <w:color w:val="000000" w:themeColor="text1"/>
          <w:kern w:val="0"/>
          <w:sz w:val="24"/>
          <w:szCs w:val="20"/>
          <w:highlight w:val="none"/>
          <w:u w:val="single"/>
          <w:lang w:val="en-US" w:eastAsia="zh-CN"/>
          <w14:textFill>
            <w14:solidFill>
              <w14:schemeClr w14:val="tx1"/>
            </w14:solidFill>
          </w14:textFill>
        </w:rPr>
        <w:t>承包人需根据发包人发布的《工程变更管理办法》和《工程签证管理办法》完善工程变更签证相关程序后，与每个月的工程进度款一并报送；若承包人原因未按上述办法在规定时间内完善工程变更签证相关程序的，当月工程进度款中的变更签证部分暂停拨付。在暂列金额的范围内，最终经发包人确认后支付至该部分实际完成工程量的（80％），其余部分待结算完成审核后支付至 97%，剩余 3%为工程质量保修金。</w:t>
      </w:r>
    </w:p>
    <w:p w14:paraId="4273771D">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000000" w:themeColor="text1"/>
          <w:kern w:val="0"/>
          <w:sz w:val="24"/>
          <w:szCs w:val="20"/>
          <w:highlight w:val="none"/>
          <w:u w:val="singl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0"/>
          <w:highlight w:val="none"/>
          <w:lang w:eastAsia="zh-CN"/>
          <w14:textFill>
            <w14:solidFill>
              <w14:schemeClr w14:val="tx1"/>
            </w14:solidFill>
          </w14:textFill>
        </w:rPr>
        <w:t>3.11</w:t>
      </w:r>
      <w:r>
        <w:rPr>
          <w:rFonts w:hint="eastAsia" w:ascii="宋体" w:hAnsi="宋体" w:eastAsia="宋体" w:cs="宋体"/>
          <w:snapToGrid w:val="0"/>
          <w:color w:val="000000" w:themeColor="text1"/>
          <w:kern w:val="0"/>
          <w:sz w:val="24"/>
          <w:szCs w:val="20"/>
          <w:highlight w:val="none"/>
          <w:lang w:eastAsia="zh-CN"/>
          <w14:textFill>
            <w14:solidFill>
              <w14:schemeClr w14:val="tx1"/>
            </w14:solidFill>
          </w14:textFill>
        </w:rPr>
        <w:t xml:space="preserve"> 材料暂估价、专业工程暂估价支付方式：</w:t>
      </w:r>
      <w:r>
        <w:rPr>
          <w:rFonts w:hint="eastAsia" w:ascii="宋体" w:hAnsi="宋体" w:eastAsia="宋体" w:cs="宋体"/>
          <w:snapToGrid w:val="0"/>
          <w:color w:val="000000" w:themeColor="text1"/>
          <w:kern w:val="0"/>
          <w:sz w:val="24"/>
          <w:szCs w:val="20"/>
          <w:highlight w:val="none"/>
          <w:u w:val="single"/>
          <w:lang w:eastAsia="zh-CN"/>
          <w14:textFill>
            <w14:solidFill>
              <w14:schemeClr w14:val="tx1"/>
            </w14:solidFill>
          </w14:textFill>
        </w:rPr>
        <w:t>材料暂估价、专业工程暂估价与每个月的工程进度款一并报送，但需要列明详细项目内容，该部分材料暂估价、专业工程暂估价按该部分实际完成工程量的50%支付，工程竣工验收合格后</w:t>
      </w:r>
      <w:r>
        <w:rPr>
          <w:rFonts w:hint="eastAsia" w:ascii="宋体" w:hAnsi="宋体" w:eastAsia="宋体" w:cs="宋体"/>
          <w:snapToGrid w:val="0"/>
          <w:color w:val="000000" w:themeColor="text1"/>
          <w:kern w:val="0"/>
          <w:sz w:val="24"/>
          <w:szCs w:val="20"/>
          <w:highlight w:val="none"/>
          <w:u w:val="single"/>
          <w:lang w:val="en-US" w:eastAsia="zh-CN"/>
          <w14:textFill>
            <w14:solidFill>
              <w14:schemeClr w14:val="tx1"/>
            </w14:solidFill>
          </w14:textFill>
        </w:rPr>
        <w:t>14天内</w:t>
      </w:r>
      <w:r>
        <w:rPr>
          <w:rFonts w:hint="eastAsia" w:ascii="宋体" w:hAnsi="宋体" w:eastAsia="宋体" w:cs="宋体"/>
          <w:snapToGrid w:val="0"/>
          <w:color w:val="000000" w:themeColor="text1"/>
          <w:kern w:val="0"/>
          <w:sz w:val="24"/>
          <w:szCs w:val="20"/>
          <w:highlight w:val="none"/>
          <w:u w:val="single"/>
          <w:lang w:eastAsia="zh-CN"/>
          <w14:textFill>
            <w14:solidFill>
              <w14:schemeClr w14:val="tx1"/>
            </w14:solidFill>
          </w14:textFill>
        </w:rPr>
        <w:t>支付至8</w:t>
      </w:r>
      <w:r>
        <w:rPr>
          <w:rFonts w:hint="eastAsia" w:ascii="宋体" w:hAnsi="宋体" w:eastAsia="宋体" w:cs="宋体"/>
          <w:snapToGrid w:val="0"/>
          <w:color w:val="000000" w:themeColor="text1"/>
          <w:kern w:val="0"/>
          <w:sz w:val="24"/>
          <w:szCs w:val="20"/>
          <w:highlight w:val="none"/>
          <w:u w:val="single"/>
          <w:lang w:val="en-US" w:eastAsia="zh-CN"/>
          <w14:textFill>
            <w14:solidFill>
              <w14:schemeClr w14:val="tx1"/>
            </w14:solidFill>
          </w14:textFill>
        </w:rPr>
        <w:t>0</w:t>
      </w:r>
      <w:r>
        <w:rPr>
          <w:rFonts w:hint="eastAsia" w:ascii="宋体" w:hAnsi="宋体" w:eastAsia="宋体" w:cs="宋体"/>
          <w:snapToGrid w:val="0"/>
          <w:color w:val="000000" w:themeColor="text1"/>
          <w:kern w:val="0"/>
          <w:sz w:val="24"/>
          <w:szCs w:val="20"/>
          <w:highlight w:val="none"/>
          <w:u w:val="single"/>
          <w:lang w:eastAsia="zh-CN"/>
          <w14:textFill>
            <w14:solidFill>
              <w14:schemeClr w14:val="tx1"/>
            </w14:solidFill>
          </w14:textFill>
        </w:rPr>
        <w:t>%，剩余部分结算完成后支付至审定造价的97%，剩余3%为工程质量保修金。</w:t>
      </w:r>
    </w:p>
    <w:p w14:paraId="3EA70F9A">
      <w:pPr>
        <w:pStyle w:val="2"/>
        <w:rPr>
          <w:rFonts w:hint="default"/>
          <w:color w:val="000000" w:themeColor="text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0"/>
          <w:highlight w:val="none"/>
          <w:u w:val="single"/>
          <w:lang w:val="en-US" w:eastAsia="zh-CN"/>
          <w14:textFill>
            <w14:solidFill>
              <w14:schemeClr w14:val="tx1"/>
            </w14:solidFill>
          </w14:textFill>
        </w:rPr>
        <w:t xml:space="preserve">    </w:t>
      </w:r>
      <w:r>
        <w:rPr>
          <w:rFonts w:hint="eastAsia" w:ascii="宋体" w:hAnsi="宋体" w:eastAsia="宋体" w:cs="宋体"/>
          <w:b/>
          <w:bCs/>
          <w:snapToGrid w:val="0"/>
          <w:color w:val="000000" w:themeColor="text1"/>
          <w:kern w:val="0"/>
          <w:sz w:val="24"/>
          <w:szCs w:val="20"/>
          <w:highlight w:val="none"/>
          <w:u w:val="single"/>
          <w:lang w:val="en-US" w:eastAsia="zh-CN"/>
          <w14:textFill>
            <w14:solidFill>
              <w14:schemeClr w14:val="tx1"/>
            </w14:solidFill>
          </w14:textFill>
        </w:rPr>
        <w:t xml:space="preserve">3.12 </w:t>
      </w:r>
      <w:r>
        <w:rPr>
          <w:rFonts w:hint="eastAsia" w:ascii="宋体" w:hAnsi="宋体" w:eastAsia="宋体" w:cs="宋体"/>
          <w:snapToGrid w:val="0"/>
          <w:color w:val="000000" w:themeColor="text1"/>
          <w:kern w:val="0"/>
          <w:sz w:val="24"/>
          <w:szCs w:val="20"/>
          <w:highlight w:val="none"/>
          <w:u w:val="single"/>
          <w:lang w:val="en-US" w:eastAsia="zh-CN"/>
          <w14:textFill>
            <w14:solidFill>
              <w14:schemeClr w14:val="tx1"/>
            </w14:solidFill>
          </w14:textFill>
        </w:rPr>
        <w:t>本项目涉及的所有资金支付时间均以财政局审批及拨款的时间为准。</w:t>
      </w:r>
    </w:p>
    <w:p w14:paraId="1B4A6494">
      <w:pPr>
        <w:spacing w:before="154" w:line="212" w:lineRule="auto"/>
        <w:ind w:left="486"/>
        <w:outlineLvl w:val="2"/>
        <w:rPr>
          <w:rFonts w:hint="eastAsia" w:ascii="宋体" w:hAnsi="宋体" w:eastAsia="宋体" w:cs="宋体"/>
          <w:b/>
          <w:bCs/>
          <w:color w:val="000000" w:themeColor="text1"/>
          <w:spacing w:val="-7"/>
          <w:sz w:val="24"/>
          <w:szCs w:val="24"/>
          <w:highlight w:val="none"/>
          <w14:textFill>
            <w14:solidFill>
              <w14:schemeClr w14:val="tx1"/>
            </w14:solidFill>
          </w14:textFill>
        </w:rPr>
      </w:pPr>
      <w:bookmarkStart w:id="178" w:name="_Toc17742"/>
      <w:r>
        <w:rPr>
          <w:rFonts w:hint="eastAsia" w:ascii="宋体" w:hAnsi="宋体" w:eastAsia="宋体" w:cs="宋体"/>
          <w:b/>
          <w:bCs/>
          <w:color w:val="000000" w:themeColor="text1"/>
          <w:spacing w:val="-7"/>
          <w:sz w:val="24"/>
          <w:szCs w:val="24"/>
          <w:highlight w:val="none"/>
          <w14:textFill>
            <w14:solidFill>
              <w14:schemeClr w14:val="tx1"/>
            </w14:solidFill>
          </w14:textFill>
        </w:rPr>
        <w:t>4</w:t>
      </w:r>
      <w:r>
        <w:rPr>
          <w:rFonts w:hint="eastAsia" w:ascii="宋体" w:hAnsi="宋体" w:eastAsia="宋体" w:cs="宋体"/>
          <w:b/>
          <w:bCs/>
          <w:color w:val="000000" w:themeColor="text1"/>
          <w:spacing w:val="-25"/>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14:textFill>
            <w14:solidFill>
              <w14:schemeClr w14:val="tx1"/>
            </w14:solidFill>
          </w14:textFill>
        </w:rPr>
        <w:t>．其他专用合同条款</w:t>
      </w:r>
      <w:bookmarkEnd w:id="178"/>
    </w:p>
    <w:p w14:paraId="51069F9A">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 xml:space="preserve">4.1 </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专业工程分包 </w:t>
      </w:r>
    </w:p>
    <w:p w14:paraId="71E5A23E">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合同范围内的工程未经发包人同意一律不得分包，一经发现，取消承包人的承包资格，由此引起的一切经济损失和法律责任由承包人自行承担。若有专业工程必须分包的，发包人不另行支付总包服务费；其分包合同由总包人与分包人双方签订，发包人不参与总包人与分包人之间的结算，该部分工程的造价仍按总包人与发包人签订的合同的有关条款进行结算。 </w:t>
      </w:r>
    </w:p>
    <w:p w14:paraId="0D298AFB">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4.2</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工人工资支付专用账户 </w:t>
      </w:r>
    </w:p>
    <w:p w14:paraId="2454931A">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4.2.1</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发、承包双方订立合同时，应就承包人设立工人工资支付专用账户（以下简称“工资专户”）、工程进度款中工人工资款的比例、工资款拨付的期限等事项作出明确约定。发包人按照合同约定，按月将工程款中的工资款项单独足额拨付到承包人的工资专户，并对承包人工人工资支付情况进行监督，及时协调解决工人工资发放中存在的问题。  </w:t>
      </w:r>
    </w:p>
    <w:p w14:paraId="3733DDD0">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4.2.2</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依据人力资源社会保障部等十部门印发的《工程建设领域农民工工资专用账户管理暂行办法》（人社部发〔2021〕53 号）文件规定，承包人中标后，须到银行设立工人工资支付专用账户，用于支付工人工资。发包人支付工程款时，将按工程款（不含工人工资）和工人工资两部分分开支付，工人工资支付至专用账户。承包人应建立劳动用工管理台账，并按月将工人工资支付明细表等资料报发包人备案。备案内容包括但不限于以下内容（以相关部门的要求为准）：（1）工资发放表、付款凭证（有总包单位项目负责人签名或盖章确认）；（2）施工许可证（或开工报告）、工程项目总承包、专业分包、劳务分包合同；（3）建设单位支付工程款凭证；（4）花名册及身份证复印件；（5）劳动合同：（6）委托书（写明委托代发工资情况）；（7）缴纳保证金的凭证；（8）总包企业或承包企业设立工资专用账户的凭证；（9）维权信息告示牌情况。 </w:t>
      </w:r>
    </w:p>
    <w:p w14:paraId="64D1C6EB">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按韶关市人力资源和社会保障局 韶关市住房和城乡建设管理局 韶关市交通运输局韶关市水务局 韶关市金融工作局 国家金融监督管理总局韶关监管分局关于印发《韶关市工程建设领域农民工工资保证金管理实施细则》的通知(韶人社规〔2023〕2 号) 及《韶关市工程建设领域农民工工资保证金管理实施细则》（韶法审〔2023〕19 号）规定执行。承包人在签订工程施工承包合同后一个月内必须办妥该事项，并将办妥回执交发包人。 </w:t>
      </w:r>
    </w:p>
    <w:p w14:paraId="6F4D0182">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如发生承包人拖欠民工工资并且向政府或发包人索要承包人拖欠工资的，发包人有权使用工人工资保证金或在剩余进度款范围内代承包人向民工支付工资，承包人对发包人垫付工资的人员范围和工资数额均不得提异议。发包人代支的工资除了从当期工程款内直接扣除外,承包人须按照发包人所垫付的民工工资 2 倍向发包人支付违约金。 </w:t>
      </w:r>
    </w:p>
    <w:p w14:paraId="4564E298">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4.2.3 承包人应在工资专户开立后 2 个工作日内，将开户银行及其账号、开户协议等资料提交给发包人。 </w:t>
      </w:r>
    </w:p>
    <w:p w14:paraId="0F3EA377">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（1）用人单位应当在建设项目动工前，在建设项目所在地商业银行设立工人工资支付专用账户。 </w:t>
      </w:r>
    </w:p>
    <w:p w14:paraId="776A9988">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（2）用人单位应当在用工之日起 15 日内为每一位工人办理个人银行账户。</w:t>
      </w:r>
    </w:p>
    <w:p w14:paraId="630E1A6B">
      <w:pPr>
        <w:adjustRightInd w:val="0"/>
        <w:snapToGrid w:val="0"/>
        <w:spacing w:line="440" w:lineRule="exact"/>
        <w:ind w:firstLine="480" w:firstLineChars="200"/>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（3）用人单位应当指定专人负责建设项目施工现场台账管理，真实、准确记录工人名册、劳务合同、劳动合同、工程进度、工时台账、劳务承包款和工人工资支付等信息， 并保存两年以上备查。 </w:t>
      </w:r>
    </w:p>
    <w:p w14:paraId="493CA8AC">
      <w:pPr>
        <w:adjustRightInd w:val="0"/>
        <w:snapToGrid w:val="0"/>
        <w:spacing w:line="440" w:lineRule="exact"/>
        <w:ind w:firstLine="480" w:firstLineChars="200"/>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（4）用人单位应当按照“及时支付，按实结算”的原则，在规定日期前通过银行工人 工资支付专用账户将工人工资直接支付到工人的个人银行账户，并按月将工人工资支付 明细表报施工总承包单位和建设单位备案。</w:t>
      </w:r>
    </w:p>
    <w:p w14:paraId="2E48CB02">
      <w:pPr>
        <w:adjustRightInd w:val="0"/>
        <w:snapToGrid w:val="0"/>
        <w:spacing w:line="440" w:lineRule="exact"/>
        <w:ind w:firstLine="480" w:firstLineChars="200"/>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 用人单位未建立、保存用工管理台账，或者伪造相关台账的，按照《广东省劳动保障监察条例》第五十条的规定，由人力资源社会保障部门责令改正，并可处以二千元以上二万元以下的人民币罚款。</w:t>
      </w:r>
    </w:p>
    <w:p w14:paraId="35366B38">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4.2.4</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施工总承包企业依法将专业工程分包的，应在分包合同中就分包人设立工资专户、工程进度款中工人工资款的比例、工资款拨付的期限等事项作出明确约定。总包人按照分包合同约定，按月将工程款中的工资款项单独足额拨付到分包人的工资专户，并对分包人工人工资支付情况进行监督，及时协调解决工人工资发放中存在的问题。 </w:t>
      </w:r>
    </w:p>
    <w:p w14:paraId="34B5D41B">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4.3</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诚信登记 </w:t>
      </w:r>
    </w:p>
    <w:p w14:paraId="6076B962">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根据资质管理规定，许可机关应当建立、健全建筑业企业信用档案管理制度，包括企业基本信息、资质、业绩、工程质量和安全、合同履约、社会投诉和违法行为等情况。 </w:t>
      </w:r>
    </w:p>
    <w:p w14:paraId="1254AFFF">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4.4</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工期进度 </w:t>
      </w:r>
    </w:p>
    <w:p w14:paraId="50B1FB1B">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4.4.1</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本招标项目施工标准工期为</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240</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个日历天，招标工期为</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240</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个日历天，承包人必须在招标工期内完成招标范围内的全部内容。 </w:t>
      </w:r>
    </w:p>
    <w:p w14:paraId="39378272">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4.4.2</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施工工期从承包人收到监理单位签发的开工令之日起计，至竣工验收合格之日止。 </w:t>
      </w:r>
    </w:p>
    <w:p w14:paraId="48D28B1B">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4.4.3</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工期奖罚 </w:t>
      </w:r>
    </w:p>
    <w:p w14:paraId="47FDFF9B">
      <w:pPr>
        <w:adjustRightInd w:val="0"/>
        <w:snapToGrid w:val="0"/>
        <w:spacing w:line="440" w:lineRule="exact"/>
        <w:ind w:firstLine="480" w:firstLineChars="200"/>
        <w:rPr>
          <w:rFonts w:hint="default" w:ascii="宋体" w:hAnsi="宋体" w:eastAsia="宋体" w:cs="宋体"/>
          <w:bCs/>
          <w:snapToGrid w:val="0"/>
          <w:color w:val="000000" w:themeColor="text1"/>
          <w:kern w:val="0"/>
          <w:sz w:val="24"/>
          <w:szCs w:val="24"/>
          <w:highlight w:val="none"/>
          <w:u w:val="single"/>
          <w:lang w:val="en-US"/>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□竣工验收合格交付使用每提前</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天竣工；奖</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w:t>
      </w:r>
    </w:p>
    <w:p w14:paraId="42EEE812">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元，奖励金额不超过合同价款的</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%（一般为 2%～5%）且不超过</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元。 </w:t>
      </w:r>
    </w:p>
    <w:p w14:paraId="6CA5795F">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□按施工合同期约定,因承包人原因每延误</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天竣工,罚</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元。 </w:t>
      </w:r>
    </w:p>
    <w:p w14:paraId="74F80B12">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□按施工合同期约定,因承包人原因延误工期</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天内不处罚， 自第壹天起每延误</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天竣工,罚元。处罚金额不超过合同价款的</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%（一般为 2%～5%）且不超过万元，累计延误工期达到</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天，报请建设行政主管部门作不良行为记录，非承包方原因或不可抗力造成延误的除外。 </w:t>
      </w:r>
    </w:p>
    <w:p w14:paraId="7091C392">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☑其它说明：（1）因承包人原因，工程没有按期竣工时，承包人须在逾期第壹天起每天按合同价的 1‰ 向发包人返纳逾期竣工违约金。</w:t>
      </w:r>
    </w:p>
    <w:p w14:paraId="3965E8AD">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2）承包人需提供各子项目的年度、季度、月、周施工计划报监理单位及发包人确认，在计划实施过程中，发包人及监理单位对承包人实际工期按周、月、季度进行检查、分析、评价，如与实际施工进度发生偏离的，由监理单位书面提醒承包人采取措施，如提醒后承包人未采取有效措施按施工计划按时完成的，每次按2000元缴纳违约金给发包人，在结算中一并扣除。</w:t>
      </w:r>
    </w:p>
    <w:p w14:paraId="2B12986D">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（3）承包人在进场后7天内提交施工进度计划，并注明主要施工节点时间，送监理单位及发包人审核后，作为工期考核的阶段性指标。</w:t>
      </w:r>
    </w:p>
    <w:p w14:paraId="28565A0C">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4.5</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项目管理机构 </w:t>
      </w:r>
    </w:p>
    <w:p w14:paraId="27CA87AC">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4.5.1</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承包人派驻的项目管理班子成员必须为其投标文件确定的人员，否则发包人有权终止合同。 </w:t>
      </w:r>
    </w:p>
    <w:p w14:paraId="155CBDD6">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4.5.2</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项目管理班子成员不得擅自变更。其中，项目经理若有《广东省住房和城乡建设厅关于建设工程项目招标中标后监督检查的办法》（粤建市〔2009〕8 号，以下简称“《办法》”）第九条所述除外情形之一确需变更的，承包人应填写《建设工程项目管理班子变更情况报告表》（《办法》附件 4）并附上相关证明资料，经发包人和建设行政主管部门审核同意方可变更，且更换后的项目经理应与承包人的投标文件所确定的原项目经理的主要条件一致；项目管理班子其他成员若有《办法》第九条所述除外情形之一确需变更的，承包人应填写《建设工程项目管理班子变更情况报告表》并附上相关证明资料，经发包人审核同意方可变更。 </w:t>
      </w:r>
    </w:p>
    <w:p w14:paraId="0AE1D1C1">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4.6</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现场管理 </w:t>
      </w:r>
    </w:p>
    <w:p w14:paraId="75752DF9">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4.6.1</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承包人在施工期间应严格遵守国家、广东省、韶关市有关绿色施工、文明施工、噪音扬尘、消防爆破、环境卫生、渣土清运、治安保卫等方面的规定，并建立相应规章制度和保障措施。否则由此造成的经济损失和法律责任，均由承包人承担。 </w:t>
      </w:r>
    </w:p>
    <w:p w14:paraId="63E3D6BC">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4.6.2</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承包人应按安全施工有关规定，采取严格、科学的安全防护措施，确保施工和人员（包括第三者）的安全，承担由于自身安全防护措施不力所造成的安全事故责任和发生的费用。 </w:t>
      </w:r>
    </w:p>
    <w:p w14:paraId="36093A8B">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4.6.3</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为保证施工现场的环境卫生，承包人在本招标项目施工过程中，所有的车辆必须按发包人规定的行车路线行驶。 </w:t>
      </w:r>
    </w:p>
    <w:p w14:paraId="18513EF9">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4.7</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监督实施 </w:t>
      </w:r>
    </w:p>
    <w:p w14:paraId="11B9958F">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承包人须服从发包人对工程质量、进度、成本的全方位监督，施工中的年度计划、季度计划、月度计划、施工方案等应报送监理单位审批和发包人备案。施工中的质量保措施等资料均应及时报送监理单位和发包人备案。 </w:t>
      </w:r>
    </w:p>
    <w:p w14:paraId="1E497966">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4.8</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主材的采购和使用 </w:t>
      </w:r>
    </w:p>
    <w:p w14:paraId="45CFC6FF">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招标人有权拒绝承包人提供的不合格或不符合绿色施工要求的材料，并要求承包人立即进行更换。承包人应按发包人确认后的主要材料的规格、颜色要求采购。如果变更规格或颜色，必须经发包人同意后，报有关审核部门重新核定单价后方可采购，并相应调整合同价款。主要材料必须先提供样板给发包人确定其规格、颜色、等级等，发包人同意后方可使用。 </w:t>
      </w:r>
    </w:p>
    <w:p w14:paraId="637CD192">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 xml:space="preserve">4.9 </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竣工资料移交 </w:t>
      </w:r>
    </w:p>
    <w:p w14:paraId="5E7CD976">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项目竣工验收时，承包人应向监理单位和发包人提供符合国家档案部门备案要求的，编制成册的竣工图及有关的技术档案资料（含声像档案）一式份。 </w:t>
      </w:r>
    </w:p>
    <w:p w14:paraId="4941230A">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4.10</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质量保证</w:t>
      </w:r>
    </w:p>
    <w:p w14:paraId="7C977E2F">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4.10.1</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本招标项目缺陷责任期为</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2</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年（自通过竣工验收之日起计），在此期间预留金额为结算价</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3%</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的质量保证。 </w:t>
      </w:r>
    </w:p>
    <w:p w14:paraId="7A2DA1C6">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4.10.2</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质量保证的形式包括质量保证金、质量保证担保、质量保证保险三种，由承包人自主选择。 </w:t>
      </w:r>
    </w:p>
    <w:p w14:paraId="5014A831">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（1）采用质量保证金形式的，在结清审定总造价时一次性扣留相应金额作为质量保证金。 </w:t>
      </w:r>
    </w:p>
    <w:p w14:paraId="0CE411C4">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2）采用质量保证担保或质量保证保险的，承包人应在竣工验收时向发包人提交有效的商业保函、银行保函或保险合同（或保险单）原件，商业保函、银行保函或保险合同（或保险单）的有效期不得短于缺陷责任期。 </w:t>
      </w:r>
    </w:p>
    <w:p w14:paraId="00FA11C0">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4.10.3</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缺陷责任期内，由承包人原因造成的缺陷，承包人应负责维修，并承担鉴定及维修费用。如果承包人不维修也不承担费用，发包人可按合同约定从质量保证中扣除，维修费用超出保证金额的，发包人可按合同约定向承包人进行索赔。承包人维修并承担相应费用后，不免除对工程的损失赔偿责任。 </w:t>
      </w:r>
    </w:p>
    <w:p w14:paraId="215343EA">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由他人原因造成的缺陷，发包人负责组织维修，承包人不承担费用，且发包人不得从质量保证中扣除费用。 </w:t>
      </w:r>
    </w:p>
    <w:p w14:paraId="7C6CD6D1">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4.10.4</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缺陷责任期内，承包人应认真履行合同约定的责任。缺陷责任期到期后，承包人向发包人申请退还质量保证，发包人应按照《建设工程质量保证金管理办法》有关规定将质量保证退还给承包人。  </w:t>
      </w:r>
    </w:p>
    <w:p w14:paraId="2102D96B">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4.11</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不良行为处理 </w:t>
      </w:r>
    </w:p>
    <w:p w14:paraId="043D6EC9">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承包人及其有关人员有下列行为之一的，发包人应及时向建设行政主管部门报告。除按照有关法律、法规进行处罚外，不良行为将计入企业及有关个人诚信档案，并在韶关市住房和城乡建设管理局网站（http://zgj.sg.gov.cn）公示。 </w:t>
      </w:r>
    </w:p>
    <w:p w14:paraId="67A4E90D">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（1）转包、违法分包或违反投标承诺分包工程的； </w:t>
      </w:r>
    </w:p>
    <w:p w14:paraId="01E2E653">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（2）非原参加投标中标的项目经理负责组织施工或在实施过程中擅自更换项目经理的、项目的其他主要管理人员与中标文件确定的人员不相符的；</w:t>
      </w:r>
    </w:p>
    <w:p w14:paraId="4FF9DCC5">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（3）投标文件确定的大型机械设备没有进入施工现场的； </w:t>
      </w:r>
    </w:p>
    <w:p w14:paraId="2C56F212">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（4）与建设单位、监理单位串通，签认虚假工程量或工程造价的； </w:t>
      </w:r>
    </w:p>
    <w:p w14:paraId="32D0DD6E">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（5）项目经理施工现场管理不到位的； </w:t>
      </w:r>
    </w:p>
    <w:p w14:paraId="01C481BC">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（6）项目经理在非本人资格证书注册单位从事工程项目施工管理的； </w:t>
      </w:r>
    </w:p>
    <w:p w14:paraId="6E3D80EF">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（7）项目经理同时承担超过一项工程项目的； </w:t>
      </w:r>
    </w:p>
    <w:p w14:paraId="7A86FACA">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（8）违反有关法律、法规、规章规定的其它行为。 </w:t>
      </w:r>
    </w:p>
    <w:p w14:paraId="2E401662">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 xml:space="preserve">4.12 </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信用评价条款内容 </w:t>
      </w:r>
    </w:p>
    <w:p w14:paraId="00CEB1A4">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由发包人决定是否对施工单位的履约情况进行信用评价。若进行信用评价，评价条款由发包人自拟，条款内容可参考人员到位情况、服务配合程度、服务成果质量、项目后期服务及信用评价结果的运用等。 </w:t>
      </w:r>
    </w:p>
    <w:p w14:paraId="77423482">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4.13</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危险性较大的分部分项工程安全管理约定 。对危险性较大的工程必须按《危险性较大的分部分项工程安全管理规定》（中华人民共和国住房和城乡建设部令第37号）的规定编制专项施工方案。同时，从承包人必须按照《危险性较大的分部分项工程安全管理规定》的规定和经审批的专项施工方案履行安全职责，严格执行国家、地方政府有关施工安全管理方面的法律、法规及规章制度，同时严格执行发包人制订的本项目安全生产管理方面的规章制度、安全检查程序及施工安全管理要求，以及监理人有关安全工作的指令。 </w:t>
      </w:r>
    </w:p>
    <w:p w14:paraId="29E4D296">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承包人应根据《危险性较大的分部分项工程安全管理规定》（住房城乡建设部令第 37 号）、《住房城乡建设部办公厅关于实施&lt;危险性较大的分部分项工程安全管理规定&gt;有关问题的通知》（建办质〔2018〕31 号）、《广东省住房和城乡建设厅关于房屋市政工程危险性较大的分部分项工程安全管理的实施细则的通知》(粤建规范〔2019〕2 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 </w:t>
      </w:r>
    </w:p>
    <w:p w14:paraId="54C50EB9">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4.14</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承包人在工程实施过程中，按照国家、省、市的相关规定制定相关的专项安全施工方案（如高支模、基坑支护、沉井等），编制专项施工方案报监理人、发包人审批后方可开展专项工程的施工。 </w:t>
      </w:r>
    </w:p>
    <w:p w14:paraId="155F342F">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4.15</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承包人须按照《韶关市建筑垃圾管理条例》（2021 年 5 月 1 日起施行），将弃土运至发包人指定的场所，否则发包人有权要求承包人无条件将弃土从违约弃土点运至发包人指定的场所并扣除违约金人民币</w:t>
      </w:r>
      <w:r>
        <w:rPr>
          <w:rFonts w:hint="eastAsia" w:ascii="宋体" w:hAnsi="宋体" w:eastAsia="宋体" w:cs="宋体"/>
          <w:color w:val="000000" w:themeColor="text1"/>
          <w:kern w:val="2"/>
          <w:sz w:val="24"/>
          <w:szCs w:val="24"/>
          <w:highlight w:val="none"/>
          <w:u w:val="single"/>
          <w:shd w:val="clear" w:color="auto" w:fill="FFFFFF"/>
          <w:lang w:val="en-US" w:eastAsia="zh-CN" w:bidi="ar-SA"/>
          <w14:textFill>
            <w14:solidFill>
              <w14:schemeClr w14:val="tx1"/>
            </w14:solidFill>
          </w14:textFill>
        </w:rPr>
        <w:t xml:space="preserve"> 壹 </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万元/次。承包人对建筑垃圾须按《韶关市建筑垃圾管理条例》（2021 年 5 月 1 日起施行）的相关规定进行排放和运输，投标人在投标报价时综合考虑在报价内。承包人应在施工现场建立洗车槽和临时排水系统等确保外运车辆（土方运输车辆应符合韶关市相关规定）不带泥上路，投标人在投标报价时综合考虑在报价内，发包人不另行支付该部分费用）。建设单位、施工单位应当在施工工地出入口显著位置公示建筑垃圾处理方案主要信息，包括建设工程垃圾种类、产生量、外运处置去向等信息及各相关单位名称、联系人及联系电话等。 </w:t>
      </w:r>
    </w:p>
    <w:p w14:paraId="30E88A48">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 xml:space="preserve">4.16 </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工程竣工验收后 15 日内，承包人应按市城建档案馆的要求（质量、数量），将编制成册的施工档案资料（含声像档案和电子档案）提供给发包人、市城建档案馆、市住建管理局、管养单位及监理单位，并承担档案涉及的所有费用（制作标准和相关要求按市城建档案馆的有关规定执行）。承包人提交符合城建档案馆要求的竣工资料经发包人确认签收后，即可办理工程结算手续。 </w:t>
      </w:r>
    </w:p>
    <w:p w14:paraId="234A348F">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4.17</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承包人应做好周边设施（含军用光缆、燃气、供电、供水、排水、排污、人行道、路灯、治安监控、交通电警等）的成品保护并及时与周边设施的权属单位协调解决，如因承包人原因导致上述设施发生损坏，承包人无条件按发包人规定的期限内修复，涉及成品保护费、索赔等一切费用全部由承包人自行解决。 </w:t>
      </w:r>
    </w:p>
    <w:p w14:paraId="3EA232A4">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4.18</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承包人中标后必须按规定及时缴交工人工资保证金、环保噪声排污费等。 </w:t>
      </w:r>
    </w:p>
    <w:p w14:paraId="232F19CC">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4.19</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工程质量保修期按《中华人民共和国建筑法》、《建设工程质量管理条例》等相关规定实施。 </w:t>
      </w:r>
    </w:p>
    <w:p w14:paraId="794DBDF2">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4.20</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如项目实施过程中发生了工程变更及工程签证，承包人需根据发包人发布的《工程变更管理办法》和《工程签证管理办法》完善工程变更签证相关程序。 </w:t>
      </w:r>
    </w:p>
    <w:p w14:paraId="0657C355">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4.21</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承包人需按相关规定要求，设置本工程符合相关要求的永久性标牌及规划公示牌，投标人在投标报价时综合考虑在报价内，发包人不另行支付该部分费用。 </w:t>
      </w:r>
    </w:p>
    <w:p w14:paraId="1605F613">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4.22</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承包人应在项目所在地住建管理部门办理诚信登记，发包人将严格按住建管理部门诚信登记管理办法对承包人履约情况进行考核。 </w:t>
      </w:r>
    </w:p>
    <w:p w14:paraId="7F42F4AA">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4.23</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承包人应按韶关市住房和城乡建设管理局、韶关市人力资源和社会保障局等职能部门对用工实名制的相关规定,落实工人及相关软硬件设施要求。</w:t>
      </w:r>
    </w:p>
    <w:p w14:paraId="6E4D0758">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4.24</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质量违约</w:t>
      </w:r>
    </w:p>
    <w:p w14:paraId="3501D770">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4.24.1</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材料违约处理：若发现材料不符合国家标准或发包人在技术规范中规定的标准， </w:t>
      </w:r>
    </w:p>
    <w:p w14:paraId="3A33DEBF">
      <w:pPr>
        <w:adjustRightInd w:val="0"/>
        <w:snapToGrid w:val="0"/>
        <w:spacing w:line="440" w:lineRule="exact"/>
        <w:ind w:left="0" w:leftChars="0" w:firstLine="0" w:firstLineChars="0"/>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视为承包人违约，按现行《建设工程质量管理条例》处理。 </w:t>
      </w:r>
    </w:p>
    <w:p w14:paraId="172C2EAF">
      <w:pPr>
        <w:adjustRightInd w:val="0"/>
        <w:snapToGrid w:val="0"/>
        <w:spacing w:line="440" w:lineRule="exact"/>
        <w:ind w:firstLine="482" w:firstLineChars="200"/>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4.24.1.1</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成品采购项目在采购前，承包人必须先行书面征求监理人、发包人的同意并 </w:t>
      </w:r>
    </w:p>
    <w:p w14:paraId="0FE498C6">
      <w:pPr>
        <w:adjustRightInd w:val="0"/>
        <w:snapToGrid w:val="0"/>
        <w:spacing w:line="440" w:lineRule="exact"/>
        <w:ind w:left="0" w:leftChars="0" w:firstLine="0" w:firstLineChars="0"/>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一起看样定版后方能实施。未经监理人、发包人同意擅自先行采购和实施的，否则因不符 </w:t>
      </w:r>
    </w:p>
    <w:p w14:paraId="78BCD3A2">
      <w:pPr>
        <w:adjustRightInd w:val="0"/>
        <w:snapToGrid w:val="0"/>
        <w:spacing w:line="440" w:lineRule="exact"/>
        <w:ind w:left="0" w:leftChars="0" w:firstLine="0" w:firstLineChars="0"/>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合设计要求返工造成的费用由承包人承担。</w:t>
      </w:r>
    </w:p>
    <w:p w14:paraId="77B79619">
      <w:pPr>
        <w:adjustRightInd w:val="0"/>
        <w:snapToGrid w:val="0"/>
        <w:spacing w:line="440" w:lineRule="exact"/>
        <w:ind w:firstLine="482" w:firstLineChars="200"/>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4.24.2</w:t>
      </w:r>
      <w:r>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工程质量违约： </w:t>
      </w:r>
    </w:p>
    <w:p w14:paraId="433283B4">
      <w:pPr>
        <w:adjustRightInd w:val="0"/>
        <w:snapToGrid w:val="0"/>
        <w:spacing w:line="440" w:lineRule="exact"/>
        <w:ind w:firstLine="482" w:firstLineChars="200"/>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4.24.2.1</w:t>
      </w:r>
      <w:r>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 在施工过程中经监理单位日常巡查或抽检发现未达到合格标准，责令承包人进 </w:t>
      </w:r>
    </w:p>
    <w:p w14:paraId="12C6716D">
      <w:pPr>
        <w:adjustRightInd w:val="0"/>
        <w:snapToGrid w:val="0"/>
        <w:spacing w:line="440" w:lineRule="exact"/>
        <w:ind w:left="0" w:leftChars="0" w:firstLine="0" w:firstLineChars="0"/>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行整改，如未按规定时间进行整改或整改不到位的，每次按 5000 元缴纳违约金给发包人，在进度款或结算款中一并扣除。 </w:t>
      </w:r>
    </w:p>
    <w:p w14:paraId="57557580">
      <w:pPr>
        <w:adjustRightInd w:val="0"/>
        <w:snapToGrid w:val="0"/>
        <w:spacing w:line="440" w:lineRule="exact"/>
        <w:ind w:firstLine="482" w:firstLineChars="200"/>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4.24.2.2</w:t>
      </w:r>
      <w:r>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 工程质量标准须达到国家验收合格标准。如未达到合格标准，除无偿返工至合 </w:t>
      </w:r>
    </w:p>
    <w:p w14:paraId="2A82A30B">
      <w:pPr>
        <w:adjustRightInd w:val="0"/>
        <w:snapToGrid w:val="0"/>
        <w:spacing w:line="440" w:lineRule="exact"/>
        <w:ind w:left="0" w:leftChars="0" w:firstLine="0" w:firstLineChars="0"/>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格外，还要按合同价款的 1%向招标人支付质量违约金，工期不予顺延。 </w:t>
      </w:r>
    </w:p>
    <w:p w14:paraId="44A72C4F">
      <w:pPr>
        <w:adjustRightInd w:val="0"/>
        <w:snapToGrid w:val="0"/>
        <w:spacing w:line="440" w:lineRule="exact"/>
        <w:ind w:firstLine="482" w:firstLineChars="200"/>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4.25</w:t>
      </w:r>
      <w:r>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 重大责任事故违约 </w:t>
      </w:r>
    </w:p>
    <w:p w14:paraId="7EC71D90">
      <w:pPr>
        <w:adjustRightInd w:val="0"/>
        <w:snapToGrid w:val="0"/>
        <w:spacing w:line="440" w:lineRule="exact"/>
        <w:ind w:firstLine="482" w:firstLineChars="200"/>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4.25.1</w:t>
      </w:r>
      <w:r>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 承包人因违反国家安全质量法规及合同有关条款约定,出现火灾、坍塌、人员重 </w:t>
      </w:r>
    </w:p>
    <w:p w14:paraId="3E6F36F7">
      <w:pPr>
        <w:adjustRightInd w:val="0"/>
        <w:snapToGrid w:val="0"/>
        <w:spacing w:line="440" w:lineRule="exact"/>
        <w:ind w:left="0" w:leftChars="0" w:firstLine="0" w:firstLineChars="0"/>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伤、死亡等重大责任事故,则承包人应承担全部损失,并按相关法规接受行政处罚；如造成发 </w:t>
      </w:r>
    </w:p>
    <w:p w14:paraId="105736B3">
      <w:pPr>
        <w:adjustRightInd w:val="0"/>
        <w:snapToGrid w:val="0"/>
        <w:spacing w:line="440" w:lineRule="exact"/>
        <w:ind w:left="0" w:leftChars="0" w:firstLine="0" w:firstLineChars="0"/>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包人及对第三人利益的损害,该等损害赔偿责任均由承包人承担。 </w:t>
      </w:r>
    </w:p>
    <w:p w14:paraId="5C6E18CD">
      <w:pPr>
        <w:adjustRightInd w:val="0"/>
        <w:snapToGrid w:val="0"/>
        <w:spacing w:line="440" w:lineRule="exact"/>
        <w:ind w:firstLine="482" w:firstLineChars="200"/>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4.26</w:t>
      </w:r>
      <w:r>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 用工违约 </w:t>
      </w:r>
    </w:p>
    <w:p w14:paraId="244A2040">
      <w:pPr>
        <w:adjustRightInd w:val="0"/>
        <w:snapToGrid w:val="0"/>
        <w:spacing w:line="440" w:lineRule="exact"/>
        <w:ind w:firstLine="482" w:firstLineChars="200"/>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4.26.1</w:t>
      </w:r>
      <w:r>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 在合同履行期间，如经查实承包人拖欠或克扣农民工或劳务工工资，导致劳资纠纷或发生危及公共安全或正常社会秩序的事件的，按承包人违约处理，承包人应按拖欠或克 </w:t>
      </w:r>
    </w:p>
    <w:p w14:paraId="6B19D6EE">
      <w:pPr>
        <w:adjustRightInd w:val="0"/>
        <w:snapToGrid w:val="0"/>
        <w:spacing w:line="440" w:lineRule="exact"/>
        <w:ind w:left="0" w:leftChars="0" w:firstLine="0" w:firstLineChars="0"/>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扣农民工工资总金额 2 倍的标准向发包人缴纳惩罚性违约金。 </w:t>
      </w:r>
    </w:p>
    <w:p w14:paraId="7980D17E">
      <w:pPr>
        <w:adjustRightInd w:val="0"/>
        <w:snapToGrid w:val="0"/>
        <w:spacing w:line="440" w:lineRule="exact"/>
        <w:ind w:firstLine="482" w:firstLineChars="200"/>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4.27</w:t>
      </w:r>
      <w:r>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 安全文明施工违约 </w:t>
      </w:r>
    </w:p>
    <w:p w14:paraId="58B06849">
      <w:pPr>
        <w:adjustRightInd w:val="0"/>
        <w:snapToGrid w:val="0"/>
        <w:spacing w:line="440" w:lineRule="exact"/>
        <w:ind w:firstLine="482" w:firstLineChars="200"/>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4.27.1</w:t>
      </w:r>
      <w:r>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 如承包人违反国家、广东省、发包人及合同关于安全文明施工的规定，但尚未造 </w:t>
      </w:r>
    </w:p>
    <w:p w14:paraId="0E250BDA">
      <w:pPr>
        <w:adjustRightInd w:val="0"/>
        <w:snapToGrid w:val="0"/>
        <w:spacing w:line="440" w:lineRule="exact"/>
        <w:ind w:left="0" w:leftChars="0" w:firstLine="0" w:firstLineChars="0"/>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成安全责任事故，承包人应及时改正行为并赔偿相关方的损失，如未及时整改,针对每一违约 </w:t>
      </w:r>
    </w:p>
    <w:p w14:paraId="4F637481">
      <w:pPr>
        <w:adjustRightInd w:val="0"/>
        <w:snapToGrid w:val="0"/>
        <w:spacing w:line="440" w:lineRule="exact"/>
        <w:ind w:left="0" w:leftChars="0" w:firstLine="0" w:firstLineChars="0"/>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行为每持续一天应缴纳违约金 1000.00 元。</w:t>
      </w:r>
    </w:p>
    <w:p w14:paraId="5152D740">
      <w:pPr>
        <w:adjustRightInd w:val="0"/>
        <w:snapToGrid w:val="0"/>
        <w:spacing w:line="440" w:lineRule="exact"/>
        <w:ind w:firstLine="482" w:firstLineChars="200"/>
        <w:rPr>
          <w:rFonts w:hint="default"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27</w:t>
      </w:r>
      <w:r>
        <w:rPr>
          <w:rFonts w:hint="default"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.2</w:t>
      </w:r>
      <w:r>
        <w:rPr>
          <w:rFonts w:hint="default"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 承包人必须接受发包人及监理单位组织的安全、文明施工的检查，检查中的不合 </w:t>
      </w:r>
    </w:p>
    <w:p w14:paraId="48A3EC33">
      <w:pPr>
        <w:adjustRightInd w:val="0"/>
        <w:snapToGrid w:val="0"/>
        <w:spacing w:line="440" w:lineRule="exact"/>
        <w:ind w:firstLine="480" w:firstLineChars="200"/>
        <w:rPr>
          <w:rFonts w:hint="default"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格项目、安全隐患必须在规定的时间内整改完成，否则每拖延一天处以 2000.00 元人民币违约金，直至整改合格。 </w:t>
      </w:r>
    </w:p>
    <w:p w14:paraId="1D39E82F">
      <w:pPr>
        <w:adjustRightInd w:val="0"/>
        <w:snapToGrid w:val="0"/>
        <w:spacing w:line="440" w:lineRule="exact"/>
        <w:ind w:firstLine="482" w:firstLineChars="200"/>
        <w:rPr>
          <w:rFonts w:hint="default"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28</w:t>
      </w:r>
      <w:r>
        <w:rPr>
          <w:rFonts w:hint="default"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 其他违约 </w:t>
      </w:r>
    </w:p>
    <w:p w14:paraId="338BE054">
      <w:pPr>
        <w:adjustRightInd w:val="0"/>
        <w:snapToGrid w:val="0"/>
        <w:spacing w:line="440" w:lineRule="exact"/>
        <w:ind w:firstLine="482" w:firstLineChars="200"/>
        <w:rPr>
          <w:rFonts w:hint="default"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28</w:t>
      </w:r>
      <w:r>
        <w:rPr>
          <w:rFonts w:hint="default"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.1</w:t>
      </w:r>
      <w:r>
        <w:rPr>
          <w:rFonts w:hint="default"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 承包人安排在施工场地的主要管理人员（主要指项目经理、项目技术负责人和专 </w:t>
      </w:r>
    </w:p>
    <w:p w14:paraId="3987CEFB">
      <w:pPr>
        <w:adjustRightInd w:val="0"/>
        <w:snapToGrid w:val="0"/>
        <w:spacing w:line="440" w:lineRule="exact"/>
        <w:ind w:firstLine="480" w:firstLineChars="200"/>
        <w:rPr>
          <w:rFonts w:hint="default"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职安全生产管理人员）应与承包人投标文件承诺的名单一致，并保持相对稳定。未经总监理工程师批准，上述人员不应无故不到位或被替换。若确实无法到位或需替换，需经总监理工 </w:t>
      </w:r>
    </w:p>
    <w:p w14:paraId="7093E00C">
      <w:pPr>
        <w:adjustRightInd w:val="0"/>
        <w:snapToGrid w:val="0"/>
        <w:spacing w:line="440" w:lineRule="exact"/>
        <w:rPr>
          <w:rFonts w:hint="default"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程师审核并报发包人批准后，承包人可安排同等资历的人员替换。 </w:t>
      </w:r>
    </w:p>
    <w:p w14:paraId="06E8294D">
      <w:pPr>
        <w:adjustRightInd w:val="0"/>
        <w:snapToGrid w:val="0"/>
        <w:spacing w:line="440" w:lineRule="exact"/>
        <w:ind w:firstLine="482" w:firstLineChars="200"/>
        <w:rPr>
          <w:rFonts w:hint="default"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28</w:t>
      </w:r>
      <w:r>
        <w:rPr>
          <w:rFonts w:hint="default"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.2</w:t>
      </w:r>
      <w:r>
        <w:rPr>
          <w:rFonts w:hint="default"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 中标人施工资料必须与形象进度同步。 </w:t>
      </w:r>
    </w:p>
    <w:p w14:paraId="0E435855">
      <w:pPr>
        <w:adjustRightInd w:val="0"/>
        <w:snapToGrid w:val="0"/>
        <w:spacing w:line="440" w:lineRule="exact"/>
        <w:ind w:firstLine="482" w:firstLineChars="200"/>
        <w:rPr>
          <w:rFonts w:hint="default"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28</w:t>
      </w:r>
      <w:r>
        <w:rPr>
          <w:rFonts w:hint="default"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.3</w:t>
      </w:r>
      <w:r>
        <w:rPr>
          <w:rFonts w:hint="default"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 xml:space="preserve"> 承包人没有正当合理的理由中途退场，可扣除承包人已递交的所有履约风险保证 </w:t>
      </w:r>
    </w:p>
    <w:p w14:paraId="7B1DB3D2">
      <w:pPr>
        <w:adjustRightInd w:val="0"/>
        <w:snapToGrid w:val="0"/>
        <w:spacing w:line="440" w:lineRule="exact"/>
        <w:rPr>
          <w:rFonts w:hint="default" w:ascii="宋体" w:hAnsi="宋体" w:eastAsia="宋体" w:cs="宋体"/>
          <w:bCs/>
          <w:snapToGrid w:val="0"/>
          <w:color w:val="000000" w:themeColor="text1"/>
          <w:kern w:val="0"/>
          <w:sz w:val="24"/>
          <w:szCs w:val="24"/>
          <w:highlight w:val="none"/>
          <w:lang w:val="en-US" w:eastAsia="zh-CN" w:bidi="ar-SA"/>
          <w14:textFill>
            <w14:solidFill>
              <w14:schemeClr w14:val="tx1"/>
            </w14:solidFill>
          </w14:textFill>
        </w:rPr>
      </w:pPr>
      <w:r>
        <w:rPr>
          <w:rFonts w:hint="default" w:ascii="宋体" w:hAnsi="宋体" w:eastAsia="宋体" w:cs="宋体"/>
          <w:b w:val="0"/>
          <w:bCs/>
          <w:snapToGrid w:val="0"/>
          <w:color w:val="000000" w:themeColor="text1"/>
          <w:kern w:val="0"/>
          <w:sz w:val="24"/>
          <w:szCs w:val="24"/>
          <w:highlight w:val="none"/>
          <w:lang w:val="en-US" w:eastAsia="zh-CN"/>
          <w14:textFill>
            <w14:solidFill>
              <w14:schemeClr w14:val="tx1"/>
            </w14:solidFill>
          </w14:textFill>
        </w:rPr>
        <w:t>金。承包人因上述违约行为而须缴纳的违约金在工程进度款中或结算时一并扣除。</w:t>
      </w:r>
    </w:p>
    <w:p w14:paraId="22A28A70">
      <w:pPr>
        <w:adjustRightInd w:val="0"/>
        <w:snapToGrid w:val="0"/>
        <w:spacing w:line="440" w:lineRule="exact"/>
        <w:ind w:firstLine="482" w:firstLineChars="200"/>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5.其他合同条款由招标人与中标人自行协商约定</w:t>
      </w:r>
    </w:p>
    <w:p w14:paraId="075A053B">
      <w:pPr>
        <w:pStyle w:val="11"/>
        <w:rPr>
          <w:rFonts w:hint="eastAsia" w:ascii="宋体" w:hAnsi="宋体" w:eastAsia="宋体" w:cs="宋体"/>
          <w:color w:val="000000" w:themeColor="text1"/>
          <w:sz w:val="24"/>
          <w:szCs w:val="24"/>
          <w:highlight w:val="none"/>
          <w:lang w:eastAsia="zh-CN"/>
          <w14:textFill>
            <w14:solidFill>
              <w14:schemeClr w14:val="tx1"/>
            </w14:solidFill>
          </w14:textFill>
        </w:rPr>
      </w:pPr>
    </w:p>
    <w:p w14:paraId="068A40A8">
      <w:pPr>
        <w:pStyle w:val="11"/>
        <w:rPr>
          <w:rFonts w:hint="eastAsia" w:ascii="宋体" w:hAnsi="宋体" w:eastAsia="宋体" w:cs="宋体"/>
          <w:color w:val="000000" w:themeColor="text1"/>
          <w:sz w:val="24"/>
          <w:szCs w:val="24"/>
          <w:highlight w:val="none"/>
          <w:lang w:eastAsia="zh-CN"/>
          <w14:textFill>
            <w14:solidFill>
              <w14:schemeClr w14:val="tx1"/>
            </w14:solidFill>
          </w14:textFill>
        </w:rPr>
      </w:pPr>
    </w:p>
    <w:p w14:paraId="37335483">
      <w:pPr>
        <w:pStyle w:val="11"/>
        <w:rPr>
          <w:rFonts w:hint="eastAsia" w:ascii="宋体" w:hAnsi="宋体" w:eastAsia="宋体" w:cs="宋体"/>
          <w:color w:val="000000" w:themeColor="text1"/>
          <w:sz w:val="24"/>
          <w:szCs w:val="24"/>
          <w:highlight w:val="none"/>
          <w:lang w:eastAsia="zh-CN"/>
          <w14:textFill>
            <w14:solidFill>
              <w14:schemeClr w14:val="tx1"/>
            </w14:solidFill>
          </w14:textFill>
        </w:rPr>
      </w:pPr>
    </w:p>
    <w:p w14:paraId="6D7E65C3">
      <w:pPr>
        <w:pStyle w:val="11"/>
        <w:rPr>
          <w:rFonts w:hint="eastAsia" w:ascii="宋体" w:hAnsi="宋体" w:eastAsia="宋体" w:cs="宋体"/>
          <w:color w:val="000000" w:themeColor="text1"/>
          <w:sz w:val="24"/>
          <w:szCs w:val="24"/>
          <w:highlight w:val="none"/>
          <w:lang w:eastAsia="zh-CN"/>
          <w14:textFill>
            <w14:solidFill>
              <w14:schemeClr w14:val="tx1"/>
            </w14:solidFill>
          </w14:textFill>
        </w:rPr>
      </w:pPr>
    </w:p>
    <w:p w14:paraId="17AEC35A">
      <w:pPr>
        <w:pStyle w:val="11"/>
        <w:rPr>
          <w:rFonts w:hint="eastAsia" w:ascii="宋体" w:hAnsi="宋体" w:eastAsia="宋体" w:cs="宋体"/>
          <w:color w:val="000000" w:themeColor="text1"/>
          <w:sz w:val="24"/>
          <w:szCs w:val="24"/>
          <w:highlight w:val="none"/>
          <w:lang w:eastAsia="zh-CN"/>
          <w14:textFill>
            <w14:solidFill>
              <w14:schemeClr w14:val="tx1"/>
            </w14:solidFill>
          </w14:textFill>
        </w:rPr>
      </w:pPr>
    </w:p>
    <w:p w14:paraId="05FFE0E6">
      <w:pPr>
        <w:spacing w:before="78" w:line="219" w:lineRule="auto"/>
        <w:outlineLvl w:val="9"/>
        <w:rPr>
          <w:rFonts w:hint="eastAsia" w:ascii="宋体" w:hAnsi="宋体" w:eastAsia="宋体" w:cs="宋体"/>
          <w:b/>
          <w:bCs/>
          <w:color w:val="000000" w:themeColor="text1"/>
          <w:spacing w:val="-3"/>
          <w:sz w:val="24"/>
          <w:szCs w:val="24"/>
          <w:highlight w:val="none"/>
          <w14:textFill>
            <w14:solidFill>
              <w14:schemeClr w14:val="tx1"/>
            </w14:solidFill>
          </w14:textFill>
        </w:rPr>
      </w:pPr>
    </w:p>
    <w:p w14:paraId="1FB61AD9">
      <w:pPr>
        <w:spacing w:before="78" w:line="219" w:lineRule="auto"/>
        <w:outlineLvl w:val="9"/>
        <w:rPr>
          <w:rFonts w:hint="eastAsia" w:ascii="宋体" w:hAnsi="宋体" w:eastAsia="宋体" w:cs="宋体"/>
          <w:b/>
          <w:bCs/>
          <w:color w:val="000000" w:themeColor="text1"/>
          <w:spacing w:val="-3"/>
          <w:sz w:val="24"/>
          <w:szCs w:val="24"/>
          <w:highlight w:val="none"/>
          <w14:textFill>
            <w14:solidFill>
              <w14:schemeClr w14:val="tx1"/>
            </w14:solidFill>
          </w14:textFill>
        </w:rPr>
      </w:pPr>
    </w:p>
    <w:p w14:paraId="4BCEC95D">
      <w:pPr>
        <w:outlineLvl w:val="9"/>
        <w:rPr>
          <w:rFonts w:hint="eastAsia" w:ascii="宋体" w:hAnsi="宋体" w:eastAsia="宋体" w:cs="宋体"/>
          <w:b/>
          <w:bCs/>
          <w:color w:val="000000" w:themeColor="text1"/>
          <w:spacing w:val="-3"/>
          <w:sz w:val="24"/>
          <w:szCs w:val="24"/>
          <w:highlight w:val="none"/>
          <w14:textFill>
            <w14:solidFill>
              <w14:schemeClr w14:val="tx1"/>
            </w14:solidFill>
          </w14:textFill>
        </w:rPr>
      </w:pPr>
    </w:p>
    <w:p w14:paraId="76EB4980">
      <w:pPr>
        <w:rPr>
          <w:rFonts w:hint="eastAsia" w:ascii="宋体" w:hAnsi="宋体" w:eastAsia="宋体" w:cs="宋体"/>
          <w:b/>
          <w:bCs/>
          <w:color w:val="000000" w:themeColor="text1"/>
          <w:spacing w:val="-3"/>
          <w:sz w:val="24"/>
          <w:szCs w:val="24"/>
          <w:highlight w:val="none"/>
          <w14:textFill>
            <w14:solidFill>
              <w14:schemeClr w14:val="tx1"/>
            </w14:solidFill>
          </w14:textFill>
        </w:rPr>
      </w:pPr>
    </w:p>
    <w:p w14:paraId="76E3D22A">
      <w:pPr>
        <w:rPr>
          <w:rFonts w:hint="eastAsia" w:ascii="宋体" w:hAnsi="宋体" w:eastAsia="宋体" w:cs="宋体"/>
          <w:b/>
          <w:bCs/>
          <w:color w:val="000000" w:themeColor="text1"/>
          <w:spacing w:val="-3"/>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br w:type="page"/>
      </w:r>
    </w:p>
    <w:p w14:paraId="592C9070">
      <w:pPr>
        <w:spacing w:before="78" w:line="219" w:lineRule="auto"/>
        <w:ind w:left="3273"/>
        <w:outlineLvl w:val="0"/>
        <w:rPr>
          <w:rFonts w:hint="eastAsia" w:ascii="宋体" w:hAnsi="宋体" w:eastAsia="宋体" w:cs="宋体"/>
          <w:color w:val="000000" w:themeColor="text1"/>
          <w:highlight w:val="none"/>
          <w14:textFill>
            <w14:solidFill>
              <w14:schemeClr w14:val="tx1"/>
            </w14:solidFill>
          </w14:textFill>
        </w:rPr>
      </w:pPr>
      <w:bookmarkStart w:id="179" w:name="_Toc26138"/>
      <w:r>
        <w:rPr>
          <w:rFonts w:hint="eastAsia" w:ascii="宋体" w:hAnsi="宋体" w:eastAsia="宋体" w:cs="宋体"/>
          <w:b/>
          <w:bCs/>
          <w:color w:val="000000" w:themeColor="text1"/>
          <w:spacing w:val="-3"/>
          <w:sz w:val="24"/>
          <w:szCs w:val="24"/>
          <w:highlight w:val="none"/>
          <w14:textFill>
            <w14:solidFill>
              <w14:schemeClr w14:val="tx1"/>
            </w14:solidFill>
          </w14:textFill>
        </w:rPr>
        <w:t>第四章</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14:textFill>
            <w14:solidFill>
              <w14:schemeClr w14:val="tx1"/>
            </w14:solidFill>
          </w14:textFill>
        </w:rPr>
        <w:t>技术要求</w:t>
      </w:r>
      <w:bookmarkEnd w:id="179"/>
    </w:p>
    <w:p w14:paraId="3E6A87FB">
      <w:pPr>
        <w:pStyle w:val="5"/>
        <w:spacing w:line="257" w:lineRule="auto"/>
        <w:rPr>
          <w:rFonts w:hint="eastAsia" w:ascii="宋体" w:hAnsi="宋体" w:eastAsia="宋体" w:cs="宋体"/>
          <w:color w:val="000000" w:themeColor="text1"/>
          <w:highlight w:val="none"/>
          <w14:textFill>
            <w14:solidFill>
              <w14:schemeClr w14:val="tx1"/>
            </w14:solidFill>
          </w14:textFill>
        </w:rPr>
      </w:pPr>
    </w:p>
    <w:p w14:paraId="39F1228B">
      <w:pPr>
        <w:spacing w:before="78" w:line="221" w:lineRule="auto"/>
        <w:ind w:left="125"/>
        <w:outlineLvl w:val="2"/>
        <w:rPr>
          <w:rFonts w:hint="eastAsia" w:ascii="宋体" w:hAnsi="宋体" w:eastAsia="宋体" w:cs="宋体"/>
          <w:color w:val="000000" w:themeColor="text1"/>
          <w:sz w:val="24"/>
          <w:szCs w:val="24"/>
          <w:highlight w:val="none"/>
          <w14:textFill>
            <w14:solidFill>
              <w14:schemeClr w14:val="tx1"/>
            </w14:solidFill>
          </w14:textFill>
        </w:rPr>
      </w:pPr>
      <w:bookmarkStart w:id="180" w:name="_Toc6424"/>
      <w:bookmarkStart w:id="181" w:name="_Toc10155"/>
      <w:r>
        <w:rPr>
          <w:rFonts w:hint="eastAsia" w:ascii="宋体" w:hAnsi="宋体" w:eastAsia="宋体" w:cs="宋体"/>
          <w:b/>
          <w:bCs/>
          <w:color w:val="000000" w:themeColor="text1"/>
          <w:spacing w:val="-6"/>
          <w:sz w:val="24"/>
          <w:szCs w:val="24"/>
          <w:highlight w:val="none"/>
          <w14:textFill>
            <w14:solidFill>
              <w14:schemeClr w14:val="tx1"/>
            </w14:solidFill>
          </w14:textFill>
        </w:rPr>
        <w:t>1</w:t>
      </w:r>
      <w:r>
        <w:rPr>
          <w:rFonts w:hint="eastAsia" w:ascii="宋体" w:hAnsi="宋体" w:eastAsia="宋体" w:cs="宋体"/>
          <w:b/>
          <w:bCs/>
          <w:color w:val="000000" w:themeColor="text1"/>
          <w:spacing w:val="-23"/>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14:textFill>
            <w14:solidFill>
              <w14:schemeClr w14:val="tx1"/>
            </w14:solidFill>
          </w14:textFill>
        </w:rPr>
        <w:t>．</w:t>
      </w:r>
      <w:r>
        <w:rPr>
          <w:rFonts w:hint="eastAsia" w:ascii="宋体" w:hAnsi="宋体" w:eastAsia="宋体" w:cs="宋体"/>
          <w:b/>
          <w:bCs/>
          <w:color w:val="000000" w:themeColor="text1"/>
          <w:spacing w:val="-1"/>
          <w:sz w:val="24"/>
          <w:szCs w:val="24"/>
          <w:highlight w:val="none"/>
          <w14:textFill>
            <w14:solidFill>
              <w14:schemeClr w14:val="tx1"/>
            </w14:solidFill>
          </w14:textFill>
        </w:rPr>
        <w:t>房屋建筑工程建设项目</w:t>
      </w:r>
      <w:bookmarkEnd w:id="180"/>
      <w:bookmarkEnd w:id="181"/>
    </w:p>
    <w:p w14:paraId="0CE4FE26">
      <w:pPr>
        <w:spacing w:before="152" w:line="220" w:lineRule="auto"/>
        <w:ind w:left="1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房屋建筑工程建设项目必须执行的现行技术规范，包括且不限于：</w:t>
      </w:r>
    </w:p>
    <w:p w14:paraId="2E913A2A">
      <w:pPr>
        <w:spacing w:before="155" w:line="220" w:lineRule="auto"/>
        <w:ind w:left="1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（1）《建筑工程施工质量验收统一标准》；</w:t>
      </w:r>
    </w:p>
    <w:p w14:paraId="21289F3F">
      <w:pPr>
        <w:spacing w:before="153" w:line="220" w:lineRule="auto"/>
        <w:ind w:left="1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（2）《建筑地基基础工程施工质量验收规范》；</w:t>
      </w:r>
    </w:p>
    <w:p w14:paraId="21379855">
      <w:pPr>
        <w:spacing w:before="153" w:line="220" w:lineRule="auto"/>
        <w:ind w:left="1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（3）《砌体工程施工质量验收规范》；</w:t>
      </w:r>
    </w:p>
    <w:p w14:paraId="191C91D8">
      <w:pPr>
        <w:spacing w:before="155" w:line="220" w:lineRule="auto"/>
        <w:ind w:left="1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（4）《混凝土结构工程施工质量验收规范》；</w:t>
      </w:r>
    </w:p>
    <w:p w14:paraId="3087379D">
      <w:pPr>
        <w:spacing w:before="153" w:line="220" w:lineRule="auto"/>
        <w:ind w:left="1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（5）《屋面工程质量验收规范》；</w:t>
      </w:r>
    </w:p>
    <w:p w14:paraId="3B431104">
      <w:pPr>
        <w:spacing w:before="153" w:line="220" w:lineRule="auto"/>
        <w:ind w:left="1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（6）《地下防水工程质量验收规范》；</w:t>
      </w:r>
    </w:p>
    <w:p w14:paraId="47AE272D">
      <w:pPr>
        <w:spacing w:before="156" w:line="220" w:lineRule="auto"/>
        <w:ind w:left="1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（7）《建筑地面工程施工质量验收规范》；</w:t>
      </w:r>
    </w:p>
    <w:p w14:paraId="76A79CB0">
      <w:pPr>
        <w:spacing w:before="153" w:line="220" w:lineRule="auto"/>
        <w:ind w:left="1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（8）《建筑装饰装修工程施工质量验收规范》；</w:t>
      </w:r>
    </w:p>
    <w:p w14:paraId="7E836C74">
      <w:pPr>
        <w:spacing w:before="153" w:line="219" w:lineRule="auto"/>
        <w:ind w:left="1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（9）《建筑给排水及采暖工程施工质量验收规范》；</w:t>
      </w:r>
    </w:p>
    <w:p w14:paraId="27101421">
      <w:pPr>
        <w:spacing w:before="153" w:line="219" w:lineRule="auto"/>
        <w:ind w:left="130"/>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（10）《建筑电气工程施工质量验收规范》；</w:t>
      </w:r>
    </w:p>
    <w:p w14:paraId="64136A99">
      <w:pPr>
        <w:spacing w:before="153" w:line="219" w:lineRule="auto"/>
        <w:ind w:left="130"/>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（11）《住建部绿色建筑评价标准》；</w:t>
      </w:r>
    </w:p>
    <w:p w14:paraId="394AE18E">
      <w:pPr>
        <w:spacing w:before="153" w:line="219" w:lineRule="auto"/>
        <w:ind w:left="130"/>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（12）《建筑节能与可再生能源利用通用规范》（GB55015-2021）；</w:t>
      </w:r>
    </w:p>
    <w:p w14:paraId="5F96829D">
      <w:pPr>
        <w:spacing w:before="153" w:line="219" w:lineRule="auto"/>
        <w:ind w:left="130"/>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（13）《建筑环境通用规范》；</w:t>
      </w:r>
    </w:p>
    <w:p w14:paraId="0198E858">
      <w:pPr>
        <w:spacing w:before="153" w:line="219" w:lineRule="auto"/>
        <w:ind w:left="130"/>
        <w:rPr>
          <w:rFonts w:hint="eastAsia" w:ascii="宋体" w:hAnsi="宋体" w:eastAsia="宋体" w:cs="宋体"/>
          <w:color w:val="000000" w:themeColor="text1"/>
          <w:spacing w:val="-1"/>
          <w:sz w:val="24"/>
          <w:szCs w:val="24"/>
          <w:highlight w:val="none"/>
          <w14:textFill>
            <w14:solidFill>
              <w14:schemeClr w14:val="tx1"/>
            </w14:solidFill>
          </w14:textFill>
        </w:rPr>
      </w:pPr>
      <w:bookmarkStart w:id="182" w:name="_Toc12084"/>
      <w:bookmarkStart w:id="183" w:name="_Toc16294"/>
      <w:r>
        <w:rPr>
          <w:rFonts w:hint="eastAsia" w:ascii="宋体" w:hAnsi="宋体" w:eastAsia="宋体" w:cs="宋体"/>
          <w:color w:val="000000" w:themeColor="text1"/>
          <w:spacing w:val="-1"/>
          <w:sz w:val="24"/>
          <w:szCs w:val="24"/>
          <w:highlight w:val="none"/>
          <w14:textFill>
            <w14:solidFill>
              <w14:schemeClr w14:val="tx1"/>
            </w14:solidFill>
          </w14:textFill>
        </w:rPr>
        <w:t>（14）《建筑与市政工程无障碍通用规范》 GB 55019-2021；</w:t>
      </w:r>
      <w:bookmarkEnd w:id="182"/>
      <w:bookmarkEnd w:id="183"/>
    </w:p>
    <w:p w14:paraId="208415E7">
      <w:pPr>
        <w:spacing w:before="153" w:line="219" w:lineRule="auto"/>
        <w:ind w:left="130"/>
        <w:rPr>
          <w:rFonts w:hint="eastAsia" w:ascii="宋体" w:hAnsi="宋体" w:eastAsia="宋体" w:cs="宋体"/>
          <w:color w:val="000000" w:themeColor="text1"/>
          <w:spacing w:val="-1"/>
          <w:sz w:val="24"/>
          <w:szCs w:val="24"/>
          <w:highlight w:val="none"/>
          <w14:textFill>
            <w14:solidFill>
              <w14:schemeClr w14:val="tx1"/>
            </w14:solidFill>
          </w14:textFill>
        </w:rPr>
      </w:pPr>
      <w:bookmarkStart w:id="184" w:name="_Toc1177"/>
      <w:bookmarkStart w:id="185" w:name="_Toc15158"/>
      <w:r>
        <w:rPr>
          <w:rFonts w:hint="eastAsia" w:ascii="宋体" w:hAnsi="宋体" w:eastAsia="宋体" w:cs="宋体"/>
          <w:color w:val="000000" w:themeColor="text1"/>
          <w:spacing w:val="-1"/>
          <w:sz w:val="24"/>
          <w:szCs w:val="24"/>
          <w:highlight w:val="none"/>
          <w14:textFill>
            <w14:solidFill>
              <w14:schemeClr w14:val="tx1"/>
            </w14:solidFill>
          </w14:textFill>
        </w:rPr>
        <w:t>（15）《建筑防火通用规范》GB 55037-2022;</w:t>
      </w:r>
      <w:bookmarkEnd w:id="184"/>
      <w:bookmarkEnd w:id="185"/>
    </w:p>
    <w:p w14:paraId="3CAEBDB1">
      <w:pPr>
        <w:spacing w:before="153" w:line="219" w:lineRule="auto"/>
        <w:ind w:left="130"/>
        <w:rPr>
          <w:rFonts w:hint="eastAsia" w:ascii="宋体" w:hAnsi="宋体" w:eastAsia="宋体" w:cs="宋体"/>
          <w:color w:val="000000" w:themeColor="text1"/>
          <w:spacing w:val="-1"/>
          <w:sz w:val="24"/>
          <w:szCs w:val="24"/>
          <w:highlight w:val="none"/>
          <w14:textFill>
            <w14:solidFill>
              <w14:schemeClr w14:val="tx1"/>
            </w14:solidFill>
          </w14:textFill>
        </w:rPr>
      </w:pPr>
      <w:bookmarkStart w:id="186" w:name="_Toc24233"/>
      <w:bookmarkStart w:id="187" w:name="_Toc2461"/>
      <w:r>
        <w:rPr>
          <w:rFonts w:hint="eastAsia" w:ascii="宋体" w:hAnsi="宋体" w:eastAsia="宋体" w:cs="宋体"/>
          <w:color w:val="000000" w:themeColor="text1"/>
          <w:spacing w:val="-1"/>
          <w:sz w:val="24"/>
          <w:szCs w:val="24"/>
          <w:highlight w:val="none"/>
          <w14:textFill>
            <w14:solidFill>
              <w14:schemeClr w14:val="tx1"/>
            </w14:solidFill>
          </w14:textFill>
        </w:rPr>
        <w:t>（16）《建筑与市政工程抗震通用规范》GB55002-2001;</w:t>
      </w:r>
      <w:bookmarkEnd w:id="186"/>
      <w:bookmarkEnd w:id="187"/>
    </w:p>
    <w:p w14:paraId="685DD796">
      <w:pPr>
        <w:spacing w:before="153" w:line="219" w:lineRule="auto"/>
        <w:ind w:left="130"/>
        <w:rPr>
          <w:rFonts w:hint="eastAsia" w:ascii="宋体" w:hAnsi="宋体" w:eastAsia="宋体" w:cs="宋体"/>
          <w:color w:val="000000" w:themeColor="text1"/>
          <w:spacing w:val="-1"/>
          <w:sz w:val="24"/>
          <w:szCs w:val="24"/>
          <w:highlight w:val="none"/>
          <w14:textFill>
            <w14:solidFill>
              <w14:schemeClr w14:val="tx1"/>
            </w14:solidFill>
          </w14:textFill>
        </w:rPr>
      </w:pPr>
      <w:bookmarkStart w:id="188" w:name="_Toc8109"/>
      <w:bookmarkStart w:id="189" w:name="_Toc5777"/>
      <w:r>
        <w:rPr>
          <w:rFonts w:hint="eastAsia" w:ascii="宋体" w:hAnsi="宋体" w:eastAsia="宋体" w:cs="宋体"/>
          <w:color w:val="000000" w:themeColor="text1"/>
          <w:spacing w:val="-1"/>
          <w:sz w:val="24"/>
          <w:szCs w:val="24"/>
          <w:highlight w:val="none"/>
          <w14:textFill>
            <w14:solidFill>
              <w14:schemeClr w14:val="tx1"/>
            </w14:solidFill>
          </w14:textFill>
        </w:rPr>
        <w:t>（17）《建筑与市政地基基础通用规范》GB55003-2001;</w:t>
      </w:r>
      <w:bookmarkEnd w:id="188"/>
      <w:bookmarkEnd w:id="189"/>
    </w:p>
    <w:p w14:paraId="00DBFC09">
      <w:pPr>
        <w:spacing w:before="153" w:line="219" w:lineRule="auto"/>
        <w:ind w:left="130"/>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（18）《广东省住房和城乡建设厅绿色施工导则》；</w:t>
      </w:r>
    </w:p>
    <w:p w14:paraId="5D7737AC">
      <w:pPr>
        <w:spacing w:before="153" w:line="219" w:lineRule="auto"/>
        <w:ind w:left="130"/>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（19）《广东省建筑工程绿色施工评价标准》；</w:t>
      </w:r>
    </w:p>
    <w:p w14:paraId="5CD8C62F">
      <w:pPr>
        <w:spacing w:before="153" w:line="219" w:lineRule="auto"/>
        <w:ind w:left="130"/>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（20）《广东省建筑节能与绿色建筑工程施工质量验收规范》</w:t>
      </w:r>
    </w:p>
    <w:p w14:paraId="067E85AF">
      <w:pPr>
        <w:spacing w:before="153" w:line="219" w:lineRule="auto"/>
        <w:ind w:left="1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（21）其他现行国家、广东省关于房建工程的施工及验收规范、定额</w:t>
      </w:r>
      <w:r>
        <w:rPr>
          <w:rFonts w:hint="eastAsia" w:ascii="宋体" w:hAnsi="宋体" w:eastAsia="宋体" w:cs="宋体"/>
          <w:color w:val="000000" w:themeColor="text1"/>
          <w:spacing w:val="-6"/>
          <w:sz w:val="24"/>
          <w:szCs w:val="24"/>
          <w:highlight w:val="none"/>
          <w14:textFill>
            <w14:solidFill>
              <w14:schemeClr w14:val="tx1"/>
            </w14:solidFill>
          </w14:textFill>
        </w:rPr>
        <w:t>、规程、标准。</w:t>
      </w:r>
    </w:p>
    <w:p w14:paraId="36B34C1F">
      <w:pPr>
        <w:pStyle w:val="5"/>
        <w:spacing w:line="257" w:lineRule="auto"/>
        <w:rPr>
          <w:rFonts w:hint="eastAsia" w:ascii="宋体" w:hAnsi="宋体" w:eastAsia="宋体" w:cs="宋体"/>
          <w:color w:val="000000" w:themeColor="text1"/>
          <w:highlight w:val="none"/>
          <w14:textFill>
            <w14:solidFill>
              <w14:schemeClr w14:val="tx1"/>
            </w14:solidFill>
          </w14:textFill>
        </w:rPr>
      </w:pPr>
    </w:p>
    <w:p w14:paraId="75E00F81">
      <w:pPr>
        <w:spacing w:before="78" w:line="220" w:lineRule="auto"/>
        <w:ind w:left="115"/>
        <w:outlineLvl w:val="2"/>
        <w:rPr>
          <w:rFonts w:hint="eastAsia" w:ascii="宋体" w:hAnsi="宋体" w:eastAsia="宋体" w:cs="宋体"/>
          <w:color w:val="000000" w:themeColor="text1"/>
          <w:sz w:val="24"/>
          <w:szCs w:val="24"/>
          <w:highlight w:val="none"/>
          <w14:textFill>
            <w14:solidFill>
              <w14:schemeClr w14:val="tx1"/>
            </w14:solidFill>
          </w14:textFill>
        </w:rPr>
      </w:pPr>
      <w:bookmarkStart w:id="190" w:name="_Toc12394"/>
      <w:bookmarkStart w:id="191" w:name="_Toc15652"/>
      <w:r>
        <w:rPr>
          <w:rFonts w:hint="eastAsia" w:ascii="宋体" w:hAnsi="宋体" w:eastAsia="宋体" w:cs="宋体"/>
          <w:b/>
          <w:bCs/>
          <w:color w:val="000000" w:themeColor="text1"/>
          <w:spacing w:val="-5"/>
          <w:sz w:val="24"/>
          <w:szCs w:val="24"/>
          <w:highlight w:val="none"/>
          <w14:textFill>
            <w14:solidFill>
              <w14:schemeClr w14:val="tx1"/>
            </w14:solidFill>
          </w14:textFill>
        </w:rPr>
        <w:t>2</w:t>
      </w:r>
      <w:r>
        <w:rPr>
          <w:rFonts w:hint="eastAsia" w:ascii="宋体" w:hAnsi="宋体" w:eastAsia="宋体" w:cs="宋体"/>
          <w:b/>
          <w:bCs/>
          <w:color w:val="000000" w:themeColor="text1"/>
          <w:spacing w:val="-18"/>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5"/>
          <w:sz w:val="24"/>
          <w:szCs w:val="24"/>
          <w:highlight w:val="none"/>
          <w14:textFill>
            <w14:solidFill>
              <w14:schemeClr w14:val="tx1"/>
            </w14:solidFill>
          </w14:textFill>
        </w:rPr>
        <w:t>．市政基础设施工程建设项目</w:t>
      </w:r>
      <w:bookmarkEnd w:id="190"/>
      <w:bookmarkEnd w:id="191"/>
    </w:p>
    <w:p w14:paraId="1DE67B68">
      <w:pPr>
        <w:spacing w:before="154" w:line="220" w:lineRule="auto"/>
        <w:ind w:left="1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市政基础设施工程建设项目必须执行的现行技术规范，包括且不限于：</w:t>
      </w:r>
    </w:p>
    <w:p w14:paraId="7EF67537">
      <w:pPr>
        <w:spacing w:before="155" w:line="220" w:lineRule="auto"/>
        <w:ind w:left="1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（1）《公路路基施工技术规范》；</w:t>
      </w:r>
    </w:p>
    <w:p w14:paraId="0FD09BDA">
      <w:pPr>
        <w:spacing w:before="153" w:line="220" w:lineRule="auto"/>
        <w:ind w:left="1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（2）《市政道路工程质量检验评定标准》；</w:t>
      </w:r>
    </w:p>
    <w:p w14:paraId="5E4C6C0A">
      <w:pPr>
        <w:spacing w:before="154" w:line="220" w:lineRule="auto"/>
        <w:ind w:left="1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（3）《市政排水管渠工程质量检验评定标准》；</w:t>
      </w:r>
    </w:p>
    <w:p w14:paraId="5FFAA5AA">
      <w:pPr>
        <w:keepNext w:val="0"/>
        <w:keepLines w:val="0"/>
        <w:pageBreakBefore w:val="0"/>
        <w:widowControl w:val="0"/>
        <w:kinsoku w:val="0"/>
        <w:wordWrap/>
        <w:overflowPunct/>
        <w:topLinePunct w:val="0"/>
        <w:autoSpaceDE w:val="0"/>
        <w:autoSpaceDN w:val="0"/>
        <w:bidi w:val="0"/>
        <w:adjustRightInd w:val="0"/>
        <w:snapToGrid w:val="0"/>
        <w:spacing w:before="155" w:line="220" w:lineRule="auto"/>
        <w:ind w:left="130"/>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（4）《给水排水管道工程施工及验收规范》；</w:t>
      </w:r>
    </w:p>
    <w:p w14:paraId="5C80DC30">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216" w:leftChars="103"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（5）《城市道路路基工程施工及验收规范》；</w:t>
      </w:r>
    </w:p>
    <w:p w14:paraId="3DE05869">
      <w:pPr>
        <w:keepNext w:val="0"/>
        <w:keepLines w:val="0"/>
        <w:pageBreakBefore w:val="0"/>
        <w:widowControl w:val="0"/>
        <w:kinsoku w:val="0"/>
        <w:wordWrap/>
        <w:overflowPunct/>
        <w:topLinePunct w:val="0"/>
        <w:autoSpaceDE w:val="0"/>
        <w:autoSpaceDN w:val="0"/>
        <w:bidi w:val="0"/>
        <w:adjustRightInd w:val="0"/>
        <w:snapToGrid w:val="0"/>
        <w:spacing w:before="155" w:line="220" w:lineRule="auto"/>
        <w:ind w:left="216" w:leftChars="103"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（6）《水泥砼路面施工及验收规范》；</w:t>
      </w:r>
    </w:p>
    <w:p w14:paraId="2D0FA851">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（7）《公路水泥砼路面施工技术规范》；</w:t>
      </w:r>
    </w:p>
    <w:p w14:paraId="3DDEEDA6">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（8）《埋地硬聚氯乙烯排水管道工程技术规程》；</w:t>
      </w:r>
    </w:p>
    <w:p w14:paraId="0C40551B">
      <w:pPr>
        <w:keepNext w:val="0"/>
        <w:keepLines w:val="0"/>
        <w:pageBreakBefore w:val="0"/>
        <w:widowControl w:val="0"/>
        <w:kinsoku w:val="0"/>
        <w:wordWrap/>
        <w:overflowPunct/>
        <w:topLinePunct w:val="0"/>
        <w:autoSpaceDE w:val="0"/>
        <w:autoSpaceDN w:val="0"/>
        <w:bidi w:val="0"/>
        <w:adjustRightInd w:val="0"/>
        <w:snapToGrid w:val="0"/>
        <w:spacing w:before="122" w:line="219" w:lineRule="auto"/>
        <w:ind w:left="216" w:leftChars="103"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（9）《沥青路面施工及验收规范》；</w:t>
      </w:r>
    </w:p>
    <w:p w14:paraId="051F222E">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（10）《广东省市政工程施工质量技术资料统一用表》。</w:t>
      </w:r>
    </w:p>
    <w:p w14:paraId="71A0E2DE">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bookmarkStart w:id="192" w:name="_Toc8494"/>
      <w:bookmarkStart w:id="193" w:name="_Toc30781"/>
      <w:r>
        <w:rPr>
          <w:rFonts w:hint="eastAsia" w:ascii="宋体" w:hAnsi="宋体" w:eastAsia="宋体" w:cs="宋体"/>
          <w:color w:val="000000" w:themeColor="text1"/>
          <w:spacing w:val="-2"/>
          <w:sz w:val="24"/>
          <w:szCs w:val="24"/>
          <w:highlight w:val="none"/>
          <w14:textFill>
            <w14:solidFill>
              <w14:schemeClr w14:val="tx1"/>
            </w14:solidFill>
          </w14:textFill>
        </w:rPr>
        <w:t>（11）《建筑与市政工程无障碍通用规范》 GB 55019-2021；</w:t>
      </w:r>
      <w:bookmarkEnd w:id="192"/>
      <w:bookmarkEnd w:id="193"/>
    </w:p>
    <w:p w14:paraId="0BB30486">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bookmarkStart w:id="194" w:name="_Toc17383"/>
      <w:bookmarkStart w:id="195" w:name="_Toc31143"/>
      <w:r>
        <w:rPr>
          <w:rFonts w:hint="eastAsia" w:ascii="宋体" w:hAnsi="宋体" w:eastAsia="宋体" w:cs="宋体"/>
          <w:color w:val="000000" w:themeColor="text1"/>
          <w:spacing w:val="-2"/>
          <w:sz w:val="24"/>
          <w:szCs w:val="24"/>
          <w:highlight w:val="none"/>
          <w14:textFill>
            <w14:solidFill>
              <w14:schemeClr w14:val="tx1"/>
            </w14:solidFill>
          </w14:textFill>
        </w:rPr>
        <w:t>（12）《建筑防火通用规范》GB 55037-2022;</w:t>
      </w:r>
      <w:bookmarkEnd w:id="194"/>
      <w:bookmarkEnd w:id="195"/>
    </w:p>
    <w:p w14:paraId="3167F8CD">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bookmarkStart w:id="196" w:name="_Toc954"/>
      <w:bookmarkStart w:id="197" w:name="_Toc32476"/>
      <w:r>
        <w:rPr>
          <w:rFonts w:hint="eastAsia" w:ascii="宋体" w:hAnsi="宋体" w:eastAsia="宋体" w:cs="宋体"/>
          <w:color w:val="000000" w:themeColor="text1"/>
          <w:spacing w:val="-2"/>
          <w:sz w:val="24"/>
          <w:szCs w:val="24"/>
          <w:highlight w:val="none"/>
          <w14:textFill>
            <w14:solidFill>
              <w14:schemeClr w14:val="tx1"/>
            </w14:solidFill>
          </w14:textFill>
        </w:rPr>
        <w:t>（13）《建筑与市政工程抗震通用规范》GB55002-2001;</w:t>
      </w:r>
      <w:bookmarkEnd w:id="196"/>
      <w:bookmarkEnd w:id="197"/>
    </w:p>
    <w:p w14:paraId="7E7E1132">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bookmarkStart w:id="198" w:name="_Toc7185"/>
      <w:bookmarkStart w:id="199" w:name="_Toc27898"/>
      <w:r>
        <w:rPr>
          <w:rFonts w:hint="eastAsia" w:ascii="宋体" w:hAnsi="宋体" w:eastAsia="宋体" w:cs="宋体"/>
          <w:color w:val="000000" w:themeColor="text1"/>
          <w:spacing w:val="-2"/>
          <w:sz w:val="24"/>
          <w:szCs w:val="24"/>
          <w:highlight w:val="none"/>
          <w14:textFill>
            <w14:solidFill>
              <w14:schemeClr w14:val="tx1"/>
            </w14:solidFill>
          </w14:textFill>
        </w:rPr>
        <w:t>（14）《建筑与市政地基基础通用规范》GB55003-2001;</w:t>
      </w:r>
      <w:bookmarkEnd w:id="198"/>
      <w:bookmarkEnd w:id="199"/>
    </w:p>
    <w:p w14:paraId="598E0BAE">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bookmarkStart w:id="200" w:name="_Toc29669"/>
      <w:bookmarkStart w:id="201" w:name="_Toc17281"/>
      <w:r>
        <w:rPr>
          <w:rFonts w:hint="eastAsia" w:ascii="宋体" w:hAnsi="宋体" w:eastAsia="宋体" w:cs="宋体"/>
          <w:color w:val="000000" w:themeColor="text1"/>
          <w:spacing w:val="-2"/>
          <w:sz w:val="24"/>
          <w:szCs w:val="24"/>
          <w:highlight w:val="none"/>
          <w14:textFill>
            <w14:solidFill>
              <w14:schemeClr w14:val="tx1"/>
            </w14:solidFill>
          </w14:textFill>
        </w:rPr>
        <w:t>（15）《城市道路照明设计标准》（CJJ45-2015）；</w:t>
      </w:r>
      <w:bookmarkEnd w:id="200"/>
      <w:bookmarkEnd w:id="201"/>
    </w:p>
    <w:p w14:paraId="17AD9E79">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bookmarkStart w:id="202" w:name="_Toc9161"/>
      <w:bookmarkStart w:id="203" w:name="_Toc31812"/>
      <w:r>
        <w:rPr>
          <w:rFonts w:hint="eastAsia" w:ascii="宋体" w:hAnsi="宋体" w:eastAsia="宋体" w:cs="宋体"/>
          <w:color w:val="000000" w:themeColor="text1"/>
          <w:spacing w:val="-2"/>
          <w:sz w:val="24"/>
          <w:szCs w:val="24"/>
          <w:highlight w:val="none"/>
          <w14:textFill>
            <w14:solidFill>
              <w14:schemeClr w14:val="tx1"/>
            </w14:solidFill>
          </w14:textFill>
        </w:rPr>
        <w:t>（16）《低压配电设计规范》（GB50054-2011）；</w:t>
      </w:r>
      <w:bookmarkEnd w:id="202"/>
      <w:bookmarkEnd w:id="203"/>
    </w:p>
    <w:p w14:paraId="39AD9BAB">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bookmarkStart w:id="204" w:name="_Toc18255"/>
      <w:bookmarkStart w:id="205" w:name="_Toc6405"/>
      <w:r>
        <w:rPr>
          <w:rFonts w:hint="eastAsia" w:ascii="宋体" w:hAnsi="宋体" w:eastAsia="宋体" w:cs="宋体"/>
          <w:color w:val="000000" w:themeColor="text1"/>
          <w:spacing w:val="-2"/>
          <w:sz w:val="24"/>
          <w:szCs w:val="24"/>
          <w:highlight w:val="none"/>
          <w14:textFill>
            <w14:solidFill>
              <w14:schemeClr w14:val="tx1"/>
            </w14:solidFill>
          </w14:textFill>
        </w:rPr>
        <w:t>（17）《城市道路照明工程施工及验收规程》（CJJ89-2012）；</w:t>
      </w:r>
      <w:bookmarkEnd w:id="204"/>
      <w:bookmarkEnd w:id="205"/>
    </w:p>
    <w:p w14:paraId="5C08A858">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（18）《LED 道路照明工程技术规范》（DB44/T 1898-2016）；</w:t>
      </w:r>
    </w:p>
    <w:p w14:paraId="2E0247A6">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（19）《灯具第 1 部分：一般要求与试验》（GB7000.1-2015）；</w:t>
      </w:r>
    </w:p>
    <w:p w14:paraId="304A14BA">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（20）《电缆工程电缆设计标准》（GB50217-2018）；</w:t>
      </w:r>
    </w:p>
    <w:p w14:paraId="2781CAEA">
      <w:pPr>
        <w:keepNext w:val="0"/>
        <w:keepLines w:val="0"/>
        <w:pageBreakBefore w:val="0"/>
        <w:widowControl w:val="0"/>
        <w:kinsoku w:val="0"/>
        <w:wordWrap/>
        <w:overflowPunct/>
        <w:topLinePunct w:val="0"/>
        <w:autoSpaceDE w:val="0"/>
        <w:autoSpaceDN w:val="0"/>
        <w:bidi w:val="0"/>
        <w:adjustRightInd w:val="0"/>
        <w:snapToGrid w:val="0"/>
        <w:spacing w:before="146" w:line="220" w:lineRule="auto"/>
        <w:ind w:left="216" w:leftChars="103"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（21）其他现行国家、广东省关于市政工程的技术及验收规范、定额、规程、标准。</w:t>
      </w:r>
    </w:p>
    <w:p w14:paraId="4A2CCAE5">
      <w:pPr>
        <w:pStyle w:val="5"/>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hint="eastAsia" w:ascii="宋体" w:hAnsi="宋体" w:eastAsia="宋体" w:cs="宋体"/>
          <w:color w:val="000000" w:themeColor="text1"/>
          <w:highlight w:val="none"/>
          <w14:textFill>
            <w14:solidFill>
              <w14:schemeClr w14:val="tx1"/>
            </w14:solidFill>
          </w14:textFill>
        </w:rPr>
      </w:pPr>
    </w:p>
    <w:p w14:paraId="4C853389">
      <w:pPr>
        <w:pStyle w:val="5"/>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hint="eastAsia" w:ascii="宋体" w:hAnsi="宋体" w:eastAsia="宋体" w:cs="宋体"/>
          <w:color w:val="000000" w:themeColor="text1"/>
          <w:highlight w:val="none"/>
          <w14:textFill>
            <w14:solidFill>
              <w14:schemeClr w14:val="tx1"/>
            </w14:solidFill>
          </w14:textFill>
        </w:rPr>
      </w:pPr>
    </w:p>
    <w:p w14:paraId="75A42B65">
      <w:pPr>
        <w:keepNext w:val="0"/>
        <w:keepLines w:val="0"/>
        <w:pageBreakBefore w:val="0"/>
        <w:widowControl w:val="0"/>
        <w:kinsoku w:val="0"/>
        <w:wordWrap/>
        <w:overflowPunct/>
        <w:topLinePunct w:val="0"/>
        <w:autoSpaceDE w:val="0"/>
        <w:autoSpaceDN w:val="0"/>
        <w:bidi w:val="0"/>
        <w:adjustRightInd w:val="0"/>
        <w:snapToGrid w:val="0"/>
        <w:spacing w:before="78" w:line="222" w:lineRule="auto"/>
        <w:ind w:left="556"/>
        <w:textAlignment w:val="baseline"/>
        <w:outlineLvl w:val="2"/>
        <w:rPr>
          <w:rFonts w:hint="eastAsia" w:ascii="宋体" w:hAnsi="宋体" w:eastAsia="宋体" w:cs="宋体"/>
          <w:color w:val="000000" w:themeColor="text1"/>
          <w:sz w:val="24"/>
          <w:szCs w:val="24"/>
          <w:highlight w:val="none"/>
          <w14:textFill>
            <w14:solidFill>
              <w14:schemeClr w14:val="tx1"/>
            </w14:solidFill>
          </w14:textFill>
        </w:rPr>
      </w:pPr>
      <w:bookmarkStart w:id="206" w:name="_Toc9200"/>
      <w:bookmarkStart w:id="207" w:name="_Toc18496"/>
      <w:r>
        <w:rPr>
          <w:rFonts w:hint="eastAsia" w:ascii="宋体" w:hAnsi="宋体" w:eastAsia="宋体" w:cs="宋体"/>
          <w:b/>
          <w:bCs/>
          <w:color w:val="000000" w:themeColor="text1"/>
          <w:spacing w:val="-8"/>
          <w:sz w:val="24"/>
          <w:szCs w:val="24"/>
          <w:highlight w:val="none"/>
          <w14:textFill>
            <w14:solidFill>
              <w14:schemeClr w14:val="tx1"/>
            </w14:solidFill>
          </w14:textFill>
        </w:rPr>
        <w:t>3</w:t>
      </w:r>
      <w:r>
        <w:rPr>
          <w:rFonts w:hint="eastAsia" w:ascii="宋体" w:hAnsi="宋体" w:eastAsia="宋体" w:cs="宋体"/>
          <w:b/>
          <w:bCs/>
          <w:color w:val="000000" w:themeColor="text1"/>
          <w:spacing w:val="-25"/>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14:textFill>
            <w14:solidFill>
              <w14:schemeClr w14:val="tx1"/>
            </w14:solidFill>
          </w14:textFill>
        </w:rPr>
        <w:t>．备查要求</w:t>
      </w:r>
      <w:bookmarkEnd w:id="206"/>
      <w:bookmarkEnd w:id="207"/>
    </w:p>
    <w:p w14:paraId="65F7495C">
      <w:pPr>
        <w:keepNext w:val="0"/>
        <w:keepLines w:val="0"/>
        <w:pageBreakBefore w:val="0"/>
        <w:widowControl w:val="0"/>
        <w:kinsoku w:val="0"/>
        <w:wordWrap/>
        <w:overflowPunct/>
        <w:topLinePunct w:val="0"/>
        <w:autoSpaceDE w:val="0"/>
        <w:autoSpaceDN w:val="0"/>
        <w:bidi w:val="0"/>
        <w:adjustRightInd w:val="0"/>
        <w:snapToGrid w:val="0"/>
        <w:spacing w:before="155" w:line="324" w:lineRule="auto"/>
        <w:ind w:right="81" w:firstLine="561"/>
        <w:jc w:val="both"/>
        <w:textAlignment w:val="baseline"/>
        <w:rPr>
          <w:rFonts w:hint="eastAsia"/>
          <w:color w:val="000000" w:themeColor="text1"/>
          <w:highlight w:val="none"/>
          <w14:textFill>
            <w14:solidFill>
              <w14:schemeClr w14:val="tx1"/>
            </w14:solidFill>
          </w14:textFill>
        </w:rPr>
        <w:sectPr>
          <w:footerReference r:id="rId14"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000000" w:themeColor="text1"/>
          <w:spacing w:val="3"/>
          <w:sz w:val="24"/>
          <w:szCs w:val="24"/>
          <w:highlight w:val="none"/>
          <w14:textFill>
            <w14:solidFill>
              <w14:schemeClr w14:val="tx1"/>
            </w14:solidFill>
          </w14:textFill>
        </w:rPr>
        <w:t>承包人必须在施工现场准备至少一套上述规范，发包人和监理单位可</w:t>
      </w:r>
      <w:r>
        <w:rPr>
          <w:rFonts w:hint="eastAsia" w:ascii="宋体" w:hAnsi="宋体" w:eastAsia="宋体" w:cs="宋体"/>
          <w:color w:val="000000" w:themeColor="text1"/>
          <w:spacing w:val="2"/>
          <w:sz w:val="24"/>
          <w:szCs w:val="24"/>
          <w:highlight w:val="none"/>
          <w14:textFill>
            <w14:solidFill>
              <w14:schemeClr w14:val="tx1"/>
            </w14:solidFill>
          </w14:textFill>
        </w:rPr>
        <w:t>随时检查承</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包人的上述规范，并监督承包人按规范要求执行。</w:t>
      </w:r>
    </w:p>
    <w:p w14:paraId="4E917614">
      <w:pPr>
        <w:spacing w:before="78" w:line="219"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bookmarkStart w:id="208" w:name="bookmark100"/>
      <w:bookmarkEnd w:id="208"/>
      <w:bookmarkStart w:id="209" w:name="bookmark146"/>
      <w:bookmarkEnd w:id="209"/>
      <w:bookmarkStart w:id="210" w:name="_Toc23370"/>
      <w:r>
        <w:rPr>
          <w:rFonts w:hint="eastAsia" w:ascii="宋体" w:hAnsi="宋体" w:eastAsia="宋体" w:cs="宋体"/>
          <w:b/>
          <w:bCs/>
          <w:color w:val="000000" w:themeColor="text1"/>
          <w:spacing w:val="-5"/>
          <w:sz w:val="24"/>
          <w:szCs w:val="24"/>
          <w:highlight w:val="none"/>
          <w14:textFill>
            <w14:solidFill>
              <w14:schemeClr w14:val="tx1"/>
            </w14:solidFill>
          </w14:textFill>
        </w:rPr>
        <w:t>第五章</w:t>
      </w:r>
      <w:r>
        <w:rPr>
          <w:rFonts w:hint="eastAsia" w:ascii="宋体" w:hAnsi="宋体" w:eastAsia="宋体" w:cs="宋体"/>
          <w:color w:val="000000" w:themeColor="text1"/>
          <w:spacing w:val="33"/>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5"/>
          <w:sz w:val="24"/>
          <w:szCs w:val="24"/>
          <w:highlight w:val="none"/>
          <w14:textFill>
            <w14:solidFill>
              <w14:schemeClr w14:val="tx1"/>
            </w14:solidFill>
          </w14:textFill>
        </w:rPr>
        <w:t>图纸和招标工程量清单</w:t>
      </w:r>
      <w:bookmarkEnd w:id="210"/>
    </w:p>
    <w:p w14:paraId="5FC74284">
      <w:pPr>
        <w:pStyle w:val="5"/>
        <w:spacing w:line="283" w:lineRule="auto"/>
        <w:rPr>
          <w:rFonts w:hint="eastAsia" w:ascii="宋体" w:hAnsi="宋体" w:eastAsia="宋体" w:cs="宋体"/>
          <w:color w:val="000000" w:themeColor="text1"/>
          <w:highlight w:val="none"/>
          <w14:textFill>
            <w14:solidFill>
              <w14:schemeClr w14:val="tx1"/>
            </w14:solidFill>
          </w14:textFill>
        </w:rPr>
      </w:pPr>
    </w:p>
    <w:p w14:paraId="4531523B">
      <w:pPr>
        <w:pStyle w:val="5"/>
        <w:spacing w:line="284" w:lineRule="auto"/>
        <w:rPr>
          <w:rFonts w:hint="eastAsia" w:ascii="宋体" w:hAnsi="宋体" w:eastAsia="宋体" w:cs="宋体"/>
          <w:color w:val="000000" w:themeColor="text1"/>
          <w:highlight w:val="none"/>
          <w14:textFill>
            <w14:solidFill>
              <w14:schemeClr w14:val="tx1"/>
            </w14:solidFill>
          </w14:textFill>
        </w:rPr>
      </w:pPr>
    </w:p>
    <w:p w14:paraId="57E54AE6">
      <w:pPr>
        <w:spacing w:before="78" w:line="219" w:lineRule="auto"/>
        <w:ind w:left="106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□有，另附复印件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有，自行网上下载(浏览)           □无</w:t>
      </w:r>
    </w:p>
    <w:p w14:paraId="78499731">
      <w:pPr>
        <w:pStyle w:val="5"/>
        <w:spacing w:line="265" w:lineRule="auto"/>
        <w:rPr>
          <w:rFonts w:hint="eastAsia" w:ascii="宋体" w:hAnsi="宋体" w:eastAsia="宋体" w:cs="宋体"/>
          <w:color w:val="000000" w:themeColor="text1"/>
          <w:highlight w:val="none"/>
          <w14:textFill>
            <w14:solidFill>
              <w14:schemeClr w14:val="tx1"/>
            </w14:solidFill>
          </w14:textFill>
        </w:rPr>
      </w:pPr>
    </w:p>
    <w:p w14:paraId="660835A9">
      <w:pPr>
        <w:spacing w:before="151" w:line="222" w:lineRule="auto"/>
        <w:ind w:left="715"/>
        <w:outlineLvl w:val="2"/>
        <w:rPr>
          <w:rFonts w:hint="eastAsia" w:ascii="宋体" w:hAnsi="宋体" w:eastAsia="宋体" w:cs="宋体"/>
          <w:color w:val="000000" w:themeColor="text1"/>
          <w:sz w:val="24"/>
          <w:szCs w:val="24"/>
          <w:highlight w:val="none"/>
          <w14:textFill>
            <w14:solidFill>
              <w14:schemeClr w14:val="tx1"/>
            </w14:solidFill>
          </w14:textFill>
        </w:rPr>
      </w:pPr>
      <w:bookmarkStart w:id="211" w:name="_Toc30394"/>
      <w:bookmarkStart w:id="212" w:name="_Toc24446"/>
      <w:r>
        <w:rPr>
          <w:rFonts w:hint="eastAsia" w:ascii="宋体" w:hAnsi="宋体" w:eastAsia="宋体" w:cs="宋体"/>
          <w:b/>
          <w:bCs/>
          <w:color w:val="000000" w:themeColor="text1"/>
          <w:spacing w:val="-14"/>
          <w:sz w:val="24"/>
          <w:szCs w:val="24"/>
          <w:highlight w:val="none"/>
          <w14:textFill>
            <w14:solidFill>
              <w14:schemeClr w14:val="tx1"/>
            </w14:solidFill>
          </w14:textFill>
        </w:rPr>
        <w:t>1</w:t>
      </w:r>
      <w:r>
        <w:rPr>
          <w:rFonts w:hint="eastAsia" w:ascii="宋体" w:hAnsi="宋体" w:eastAsia="宋体" w:cs="宋体"/>
          <w:b/>
          <w:bCs/>
          <w:color w:val="000000" w:themeColor="text1"/>
          <w:spacing w:val="-27"/>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14"/>
          <w:sz w:val="24"/>
          <w:szCs w:val="24"/>
          <w:highlight w:val="none"/>
          <w14:textFill>
            <w14:solidFill>
              <w14:schemeClr w14:val="tx1"/>
            </w14:solidFill>
          </w14:textFill>
        </w:rPr>
        <w:t>．图纸</w:t>
      </w:r>
      <w:bookmarkEnd w:id="211"/>
      <w:bookmarkEnd w:id="212"/>
    </w:p>
    <w:p w14:paraId="00652F97">
      <w:pPr>
        <w:spacing w:before="150" w:line="330" w:lineRule="auto"/>
        <w:ind w:left="230"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本招标文件随文另附施工图（电子文件）一套。</w:t>
      </w:r>
    </w:p>
    <w:p w14:paraId="48EB0DBD">
      <w:pPr>
        <w:pStyle w:val="5"/>
        <w:spacing w:line="253" w:lineRule="auto"/>
        <w:rPr>
          <w:rFonts w:hint="eastAsia" w:ascii="宋体" w:hAnsi="宋体" w:eastAsia="宋体" w:cs="宋体"/>
          <w:color w:val="000000" w:themeColor="text1"/>
          <w:highlight w:val="none"/>
          <w14:textFill>
            <w14:solidFill>
              <w14:schemeClr w14:val="tx1"/>
            </w14:solidFill>
          </w14:textFill>
        </w:rPr>
      </w:pPr>
    </w:p>
    <w:p w14:paraId="7191C978">
      <w:pPr>
        <w:spacing w:before="79" w:line="221" w:lineRule="auto"/>
        <w:ind w:left="705"/>
        <w:outlineLvl w:val="2"/>
        <w:rPr>
          <w:rFonts w:hint="eastAsia" w:ascii="宋体" w:hAnsi="宋体" w:eastAsia="宋体" w:cs="宋体"/>
          <w:color w:val="000000" w:themeColor="text1"/>
          <w:sz w:val="24"/>
          <w:szCs w:val="24"/>
          <w:highlight w:val="none"/>
          <w14:textFill>
            <w14:solidFill>
              <w14:schemeClr w14:val="tx1"/>
            </w14:solidFill>
          </w14:textFill>
        </w:rPr>
      </w:pPr>
      <w:bookmarkStart w:id="213" w:name="_Toc9064"/>
      <w:bookmarkStart w:id="214" w:name="_Toc14897"/>
      <w:r>
        <w:rPr>
          <w:rFonts w:hint="eastAsia" w:ascii="宋体" w:hAnsi="宋体" w:eastAsia="宋体" w:cs="宋体"/>
          <w:b/>
          <w:bCs/>
          <w:color w:val="000000" w:themeColor="text1"/>
          <w:spacing w:val="-6"/>
          <w:sz w:val="24"/>
          <w:szCs w:val="24"/>
          <w:highlight w:val="none"/>
          <w14:textFill>
            <w14:solidFill>
              <w14:schemeClr w14:val="tx1"/>
            </w14:solidFill>
          </w14:textFill>
        </w:rPr>
        <w:t>2</w:t>
      </w:r>
      <w:r>
        <w:rPr>
          <w:rFonts w:hint="eastAsia" w:ascii="宋体" w:hAnsi="宋体" w:eastAsia="宋体" w:cs="宋体"/>
          <w:b/>
          <w:bCs/>
          <w:color w:val="000000" w:themeColor="text1"/>
          <w:spacing w:val="-26"/>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14:textFill>
            <w14:solidFill>
              <w14:schemeClr w14:val="tx1"/>
            </w14:solidFill>
          </w14:textFill>
        </w:rPr>
        <w:t>．招标工程量清单</w:t>
      </w:r>
      <w:bookmarkEnd w:id="213"/>
      <w:bookmarkEnd w:id="214"/>
    </w:p>
    <w:p w14:paraId="6A47FAFD">
      <w:pPr>
        <w:spacing w:before="117" w:line="312" w:lineRule="auto"/>
        <w:ind w:left="231" w:firstLine="47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 xml:space="preserve">2.1  </w:t>
      </w:r>
      <w:r>
        <w:rPr>
          <w:rFonts w:hint="eastAsia" w:ascii="宋体" w:hAnsi="宋体" w:eastAsia="宋体" w:cs="宋体"/>
          <w:color w:val="000000" w:themeColor="text1"/>
          <w:spacing w:val="-3"/>
          <w:sz w:val="24"/>
          <w:szCs w:val="24"/>
          <w:highlight w:val="none"/>
          <w14:textFill>
            <w14:solidFill>
              <w14:schemeClr w14:val="tx1"/>
            </w14:solidFill>
          </w14:textFill>
        </w:rPr>
        <w:t>本招标文件随文另附</w:t>
      </w:r>
      <w:bookmarkStart w:id="215" w:name="OLE_LINK33"/>
      <w:r>
        <w:rPr>
          <w:rFonts w:hint="eastAsia" w:ascii="宋体" w:hAnsi="宋体" w:eastAsia="宋体" w:cs="宋体"/>
          <w:color w:val="000000" w:themeColor="text1"/>
          <w:spacing w:val="-3"/>
          <w:sz w:val="24"/>
          <w:szCs w:val="24"/>
          <w:highlight w:val="none"/>
          <w:u w:val="single"/>
          <w14:textFill>
            <w14:solidFill>
              <w14:schemeClr w14:val="tx1"/>
            </w14:solidFill>
          </w14:textFill>
        </w:rPr>
        <w:t>招标工程量清单  EXCEL 版</w:t>
      </w:r>
      <w:bookmarkEnd w:id="215"/>
      <w:r>
        <w:rPr>
          <w:rFonts w:hint="eastAsia" w:ascii="宋体" w:hAnsi="宋体" w:eastAsia="宋体" w:cs="宋体"/>
          <w:color w:val="000000" w:themeColor="text1"/>
          <w:spacing w:val="37"/>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电子文件一套。</w:t>
      </w:r>
    </w:p>
    <w:p w14:paraId="076FE901">
      <w:pPr>
        <w:spacing w:before="78" w:line="219" w:lineRule="auto"/>
        <w:ind w:left="478" w:firstLine="239" w:firstLineChars="100"/>
        <w:rPr>
          <w:rFonts w:hint="eastAsia" w:ascii="宋体" w:hAnsi="宋体" w:eastAsia="宋体" w:cs="宋体"/>
          <w:color w:val="000000" w:themeColor="text1"/>
          <w:sz w:val="24"/>
          <w:szCs w:val="24"/>
          <w:highlight w:val="none"/>
          <w14:textFill>
            <w14:solidFill>
              <w14:schemeClr w14:val="tx1"/>
            </w14:solidFill>
          </w14:textFill>
        </w:rPr>
      </w:pPr>
      <w:bookmarkStart w:id="216" w:name="bookmark147"/>
      <w:bookmarkEnd w:id="216"/>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2.2  </w:t>
      </w:r>
      <w:r>
        <w:rPr>
          <w:rFonts w:hint="eastAsia" w:ascii="宋体" w:hAnsi="宋体" w:eastAsia="宋体" w:cs="宋体"/>
          <w:color w:val="000000" w:themeColor="text1"/>
          <w:spacing w:val="-1"/>
          <w:sz w:val="24"/>
          <w:szCs w:val="24"/>
          <w:highlight w:val="none"/>
          <w14:textFill>
            <w14:solidFill>
              <w14:schemeClr w14:val="tx1"/>
            </w14:solidFill>
          </w14:textFill>
        </w:rPr>
        <w:t>本工程按照以下依据编制</w:t>
      </w:r>
      <w:r>
        <w:rPr>
          <w:rFonts w:hint="eastAsia" w:ascii="宋体" w:hAnsi="宋体" w:eastAsia="宋体" w:cs="宋体"/>
          <w:color w:val="000000" w:themeColor="text1"/>
          <w:spacing w:val="-1"/>
          <w:sz w:val="24"/>
          <w:szCs w:val="24"/>
          <w:highlight w:val="none"/>
          <w:u w:val="single"/>
          <w14:textFill>
            <w14:solidFill>
              <w14:schemeClr w14:val="tx1"/>
            </w14:solidFill>
          </w14:textFill>
        </w:rPr>
        <w:t>招标工程量清单</w:t>
      </w:r>
      <w:r>
        <w:rPr>
          <w:rFonts w:hint="eastAsia" w:ascii="宋体" w:hAnsi="宋体" w:eastAsia="宋体" w:cs="宋体"/>
          <w:color w:val="000000" w:themeColor="text1"/>
          <w:spacing w:val="-1"/>
          <w:sz w:val="24"/>
          <w:szCs w:val="24"/>
          <w:highlight w:val="none"/>
          <w14:textFill>
            <w14:solidFill>
              <w14:schemeClr w14:val="tx1"/>
            </w14:solidFill>
          </w14:textFill>
        </w:rPr>
        <w:t>：</w:t>
      </w:r>
    </w:p>
    <w:p w14:paraId="678730BC">
      <w:pPr>
        <w:spacing w:before="123" w:line="219" w:lineRule="auto"/>
        <w:ind w:left="49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（1）《建设工程工程量清单计价规范》（GB50500—2013</w:t>
      </w:r>
      <w:r>
        <w:rPr>
          <w:rFonts w:hint="eastAsia" w:ascii="宋体" w:hAnsi="宋体" w:eastAsia="宋体" w:cs="宋体"/>
          <w:color w:val="000000" w:themeColor="text1"/>
          <w:spacing w:val="4"/>
          <w:sz w:val="24"/>
          <w:szCs w:val="24"/>
          <w:highlight w:val="none"/>
          <w14:textFill>
            <w14:solidFill>
              <w14:schemeClr w14:val="tx1"/>
            </w14:solidFill>
          </w14:textFill>
        </w:rPr>
        <w:t>）；</w:t>
      </w:r>
    </w:p>
    <w:p w14:paraId="53E00F35">
      <w:pPr>
        <w:spacing w:before="115" w:line="299" w:lineRule="auto"/>
        <w:ind w:firstLine="493"/>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（2）投标人应对招标人提供的工程量清单进行认真细致的复核。这种复核包括对</w:t>
      </w:r>
      <w:r>
        <w:rPr>
          <w:rFonts w:hint="eastAsia" w:ascii="宋体" w:hAnsi="宋体" w:eastAsia="宋体" w:cs="宋体"/>
          <w:color w:val="000000" w:themeColor="text1"/>
          <w:spacing w:val="1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招标人提供的工程量清单中的子目编码、子目名称、子</w:t>
      </w:r>
      <w:r>
        <w:rPr>
          <w:rFonts w:hint="eastAsia" w:ascii="宋体" w:hAnsi="宋体" w:eastAsia="宋体" w:cs="宋体"/>
          <w:color w:val="000000" w:themeColor="text1"/>
          <w:spacing w:val="-2"/>
          <w:sz w:val="24"/>
          <w:szCs w:val="24"/>
          <w:highlight w:val="none"/>
          <w14:textFill>
            <w14:solidFill>
              <w14:schemeClr w14:val="tx1"/>
            </w14:solidFill>
          </w14:textFill>
        </w:rPr>
        <w:t>目特征描述、计量单位、工程量</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的准确性以及可能存在的任何书写、打印错误进行检查</w:t>
      </w:r>
      <w:r>
        <w:rPr>
          <w:rFonts w:hint="eastAsia" w:ascii="宋体" w:hAnsi="宋体" w:eastAsia="宋体" w:cs="宋体"/>
          <w:color w:val="000000" w:themeColor="text1"/>
          <w:spacing w:val="-2"/>
          <w:sz w:val="24"/>
          <w:szCs w:val="24"/>
          <w:highlight w:val="none"/>
          <w14:textFill>
            <w14:solidFill>
              <w14:schemeClr w14:val="tx1"/>
            </w14:solidFill>
          </w14:textFill>
        </w:rPr>
        <w:t>和复核，特别是对“分部分项工</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程量清单与计价表”中每个工作子目的工程量进</w:t>
      </w:r>
      <w:r>
        <w:rPr>
          <w:rFonts w:hint="eastAsia" w:ascii="宋体" w:hAnsi="宋体" w:eastAsia="宋体" w:cs="宋体"/>
          <w:color w:val="000000" w:themeColor="text1"/>
          <w:spacing w:val="-2"/>
          <w:sz w:val="24"/>
          <w:szCs w:val="24"/>
          <w:highlight w:val="none"/>
          <w14:textFill>
            <w14:solidFill>
              <w14:schemeClr w14:val="tx1"/>
            </w14:solidFill>
          </w14:textFill>
        </w:rPr>
        <w:t>行重新计算和校核。如果投标人经过检</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查和复核以后认为招标人提供的工程量清单存在</w:t>
      </w:r>
      <w:r>
        <w:rPr>
          <w:rFonts w:hint="eastAsia" w:ascii="宋体" w:hAnsi="宋体" w:eastAsia="宋体" w:cs="宋体"/>
          <w:color w:val="000000" w:themeColor="text1"/>
          <w:spacing w:val="-2"/>
          <w:sz w:val="24"/>
          <w:szCs w:val="24"/>
          <w:highlight w:val="none"/>
          <w14:textFill>
            <w14:solidFill>
              <w14:schemeClr w14:val="tx1"/>
            </w14:solidFill>
          </w14:textFill>
        </w:rPr>
        <w:t>差异，则投标人应将此类差异的详细情</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况连同按“投标须知</w:t>
      </w:r>
      <w:r>
        <w:rPr>
          <w:rFonts w:hint="eastAsia" w:ascii="宋体" w:hAnsi="宋体" w:eastAsia="宋体" w:cs="宋体"/>
          <w:color w:val="000000" w:themeColor="text1"/>
          <w:spacing w:val="-8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”规定提交的要求招标人澄清的其他</w:t>
      </w:r>
      <w:r>
        <w:rPr>
          <w:rFonts w:hint="eastAsia" w:ascii="宋体" w:hAnsi="宋体" w:eastAsia="宋体" w:cs="宋体"/>
          <w:color w:val="000000" w:themeColor="text1"/>
          <w:spacing w:val="-9"/>
          <w:sz w:val="24"/>
          <w:szCs w:val="24"/>
          <w:highlight w:val="none"/>
          <w14:textFill>
            <w14:solidFill>
              <w14:schemeClr w14:val="tx1"/>
            </w14:solidFill>
          </w14:textFill>
        </w:rPr>
        <w:t>问题一起提交给招标人，招标人</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将根据实际情况决定是否颁发</w:t>
      </w:r>
      <w:r>
        <w:rPr>
          <w:rFonts w:hint="eastAsia" w:ascii="宋体" w:hAnsi="宋体" w:eastAsia="宋体" w:cs="宋体"/>
          <w:color w:val="000000" w:themeColor="text1"/>
          <w:spacing w:val="-2"/>
          <w:sz w:val="24"/>
          <w:szCs w:val="24"/>
          <w:highlight w:val="none"/>
          <w:u w:val="single"/>
          <w14:textFill>
            <w14:solidFill>
              <w14:schemeClr w14:val="tx1"/>
            </w14:solidFill>
          </w14:textFill>
        </w:rPr>
        <w:t>工程量清单</w:t>
      </w: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8"/>
          <w:sz w:val="24"/>
          <w:szCs w:val="24"/>
          <w:highlight w:val="none"/>
          <w14:textFill>
            <w14:solidFill>
              <w14:schemeClr w14:val="tx1"/>
            </w14:solidFill>
          </w14:textFill>
        </w:rPr>
        <w:t>招标控制价的</w:t>
      </w:r>
      <w:r>
        <w:rPr>
          <w:rFonts w:hint="eastAsia" w:ascii="宋体" w:hAnsi="宋体" w:eastAsia="宋体" w:cs="宋体"/>
          <w:color w:val="000000" w:themeColor="text1"/>
          <w:spacing w:val="-2"/>
          <w:sz w:val="24"/>
          <w:szCs w:val="24"/>
          <w:highlight w:val="none"/>
          <w14:textFill>
            <w14:solidFill>
              <w14:schemeClr w14:val="tx1"/>
            </w14:solidFill>
          </w14:textFill>
        </w:rPr>
        <w:t>补充和(或)修改文件。</w:t>
      </w:r>
    </w:p>
    <w:p w14:paraId="3E496F3B">
      <w:pPr>
        <w:spacing w:before="79" w:line="263" w:lineRule="auto"/>
        <w:ind w:left="2" w:right="2" w:firstLine="48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（3）本招标工程量清单措施项目中的</w:t>
      </w:r>
      <w:r>
        <w:rPr>
          <w:rFonts w:hint="eastAsia" w:ascii="宋体" w:hAnsi="宋体" w:eastAsia="宋体" w:cs="宋体"/>
          <w:b/>
          <w:bCs/>
          <w:color w:val="000000" w:themeColor="text1"/>
          <w:spacing w:val="-6"/>
          <w:sz w:val="24"/>
          <w:szCs w:val="24"/>
          <w:highlight w:val="none"/>
          <w14:textFill>
            <w14:solidFill>
              <w14:schemeClr w14:val="tx1"/>
            </w14:solidFill>
          </w14:textFill>
        </w:rPr>
        <w:t>暂列金额、暂估 价</w:t>
      </w:r>
      <w:r>
        <w:rPr>
          <w:rFonts w:hint="eastAsia" w:ascii="宋体" w:hAnsi="宋体" w:eastAsia="宋体" w:cs="宋体"/>
          <w:color w:val="000000" w:themeColor="text1"/>
          <w:spacing w:val="-2"/>
          <w:sz w:val="24"/>
          <w:szCs w:val="24"/>
          <w:highlight w:val="none"/>
          <w14:textFill>
            <w14:solidFill>
              <w14:schemeClr w14:val="tx1"/>
            </w14:solidFill>
          </w14:textFill>
        </w:rPr>
        <w:t>不得作为竞争性费用，投标报价必须按本招标工程量清</w:t>
      </w:r>
      <w:r>
        <w:rPr>
          <w:rFonts w:hint="eastAsia" w:ascii="宋体" w:hAnsi="宋体" w:eastAsia="宋体" w:cs="宋体"/>
          <w:color w:val="000000" w:themeColor="text1"/>
          <w:spacing w:val="-3"/>
          <w:sz w:val="24"/>
          <w:szCs w:val="24"/>
          <w:highlight w:val="none"/>
          <w14:textFill>
            <w14:solidFill>
              <w14:schemeClr w14:val="tx1"/>
            </w14:solidFill>
          </w14:textFill>
        </w:rPr>
        <w:t>单规定</w:t>
      </w:r>
      <w:r>
        <w:rPr>
          <w:rFonts w:hint="eastAsia" w:ascii="宋体" w:hAnsi="宋体" w:eastAsia="宋体" w:cs="宋体"/>
          <w:color w:val="000000" w:themeColor="text1"/>
          <w:spacing w:val="-2"/>
          <w:sz w:val="24"/>
          <w:szCs w:val="24"/>
          <w:highlight w:val="none"/>
          <w14:textFill>
            <w14:solidFill>
              <w14:schemeClr w14:val="tx1"/>
            </w14:solidFill>
          </w14:textFill>
        </w:rPr>
        <w:t>的金额填</w:t>
      </w:r>
      <w:r>
        <w:rPr>
          <w:rFonts w:hint="eastAsia" w:ascii="宋体" w:hAnsi="宋体" w:eastAsia="宋体" w:cs="宋体"/>
          <w:color w:val="000000" w:themeColor="text1"/>
          <w:spacing w:val="-3"/>
          <w:sz w:val="24"/>
          <w:szCs w:val="24"/>
          <w:highlight w:val="none"/>
          <w14:textFill>
            <w14:solidFill>
              <w14:schemeClr w14:val="tx1"/>
            </w14:solidFill>
          </w14:textFill>
        </w:rPr>
        <w:t>报。</w:t>
      </w:r>
    </w:p>
    <w:p w14:paraId="24C45CC5">
      <w:pPr>
        <w:spacing w:before="118" w:line="265" w:lineRule="auto"/>
        <w:ind w:left="7" w:right="4" w:firstLine="48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（4）投标报价使用的表格格式须按照 GB50500-2013《建设工程工程量清单计价规</w:t>
      </w:r>
      <w:r>
        <w:rPr>
          <w:rFonts w:hint="eastAsia" w:ascii="宋体" w:hAnsi="宋体" w:eastAsia="宋体" w:cs="宋体"/>
          <w:color w:val="000000" w:themeColor="text1"/>
          <w:spacing w:val="1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范》。</w:t>
      </w:r>
    </w:p>
    <w:p w14:paraId="5D89ED6B">
      <w:pPr>
        <w:spacing w:before="107" w:line="286" w:lineRule="auto"/>
        <w:ind w:right="4" w:firstLine="4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（5）《广东省建设工程计价依据（2018）》。具体包括：《广东省房屋建筑与装</w:t>
      </w:r>
      <w:r>
        <w:rPr>
          <w:rFonts w:hint="eastAsia" w:ascii="宋体" w:hAnsi="宋体" w:eastAsia="宋体" w:cs="宋体"/>
          <w:color w:val="000000" w:themeColor="text1"/>
          <w:spacing w:val="1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饰工程综合定额（2018）》《广东省市政工程综合定额</w:t>
      </w:r>
      <w:r>
        <w:rPr>
          <w:rFonts w:hint="eastAsia" w:ascii="宋体" w:hAnsi="宋体" w:eastAsia="宋体" w:cs="宋体"/>
          <w:color w:val="000000" w:themeColor="text1"/>
          <w:spacing w:val="-2"/>
          <w:sz w:val="24"/>
          <w:szCs w:val="24"/>
          <w:highlight w:val="none"/>
          <w14:textFill>
            <w14:solidFill>
              <w14:schemeClr w14:val="tx1"/>
            </w14:solidFill>
          </w14:textFill>
        </w:rPr>
        <w:t>（2018）》《广东省通用安装工</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程综合定额（2018）》《广东省园林绿化工程综合定额</w:t>
      </w:r>
      <w:r>
        <w:rPr>
          <w:rFonts w:hint="eastAsia" w:ascii="宋体" w:hAnsi="宋体" w:eastAsia="宋体" w:cs="宋体"/>
          <w:color w:val="000000" w:themeColor="text1"/>
          <w:spacing w:val="-2"/>
          <w:sz w:val="24"/>
          <w:szCs w:val="24"/>
          <w:highlight w:val="none"/>
          <w14:textFill>
            <w14:solidFill>
              <w14:schemeClr w14:val="tx1"/>
            </w14:solidFill>
          </w14:textFill>
        </w:rPr>
        <w:t>（2018）》《广东省建设工程施</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工机具台班费用编制规则（2018）》等；</w:t>
      </w:r>
    </w:p>
    <w:p w14:paraId="4B3D583F">
      <w:pPr>
        <w:spacing w:before="146" w:line="221" w:lineRule="auto"/>
        <w:ind w:left="49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（6）施工图及相关资料；</w:t>
      </w:r>
    </w:p>
    <w:p w14:paraId="2C855D25">
      <w:pPr>
        <w:spacing w:before="153" w:line="220" w:lineRule="auto"/>
        <w:ind w:left="49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（7）招标文件；</w:t>
      </w:r>
    </w:p>
    <w:p w14:paraId="7D4A78D6">
      <w:pPr>
        <w:spacing w:before="155" w:line="220" w:lineRule="auto"/>
        <w:ind w:left="49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（8）施工现场情况、地勘水文资料、工程特点及常规施工方案；</w:t>
      </w:r>
    </w:p>
    <w:p w14:paraId="617E9DDC">
      <w:pPr>
        <w:spacing w:before="153" w:line="219" w:lineRule="auto"/>
        <w:ind w:left="49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（9）与建设工程有关的标准、规范、技术资料、材料设备信息价或市场价格等</w:t>
      </w:r>
      <w:r>
        <w:rPr>
          <w:rFonts w:hint="eastAsia" w:ascii="宋体" w:hAnsi="宋体" w:eastAsia="宋体" w:cs="宋体"/>
          <w:color w:val="000000" w:themeColor="text1"/>
          <w:spacing w:val="-2"/>
          <w:sz w:val="24"/>
          <w:szCs w:val="24"/>
          <w:highlight w:val="none"/>
          <w14:textFill>
            <w14:solidFill>
              <w14:schemeClr w14:val="tx1"/>
            </w14:solidFill>
          </w14:textFill>
        </w:rPr>
        <w:t>。</w:t>
      </w:r>
    </w:p>
    <w:p w14:paraId="5B75EA09">
      <w:pPr>
        <w:spacing w:line="219" w:lineRule="auto"/>
        <w:rPr>
          <w:rFonts w:hint="eastAsia" w:ascii="宋体" w:hAnsi="宋体" w:eastAsia="宋体" w:cs="宋体"/>
          <w:color w:val="000000" w:themeColor="text1"/>
          <w:sz w:val="24"/>
          <w:szCs w:val="24"/>
          <w:highlight w:val="none"/>
          <w14:textFill>
            <w14:solidFill>
              <w14:schemeClr w14:val="tx1"/>
            </w14:solidFill>
          </w14:textFill>
        </w:rPr>
        <w:sectPr>
          <w:footerReference r:id="rId15"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6C94DD83">
      <w:pPr>
        <w:pStyle w:val="5"/>
        <w:spacing w:line="304" w:lineRule="auto"/>
        <w:rPr>
          <w:rFonts w:hint="eastAsia" w:ascii="宋体" w:hAnsi="宋体" w:eastAsia="宋体" w:cs="宋体"/>
          <w:color w:val="000000" w:themeColor="text1"/>
          <w:highlight w:val="none"/>
          <w14:textFill>
            <w14:solidFill>
              <w14:schemeClr w14:val="tx1"/>
            </w14:solidFill>
          </w14:textFill>
        </w:rPr>
      </w:pPr>
    </w:p>
    <w:p w14:paraId="0C8B4CB9">
      <w:pPr>
        <w:spacing w:before="78" w:line="219" w:lineRule="auto"/>
        <w:ind w:left="3357"/>
        <w:outlineLvl w:val="0"/>
        <w:rPr>
          <w:rFonts w:hint="eastAsia" w:ascii="宋体" w:hAnsi="宋体" w:eastAsia="宋体" w:cs="宋体"/>
          <w:color w:val="000000" w:themeColor="text1"/>
          <w:sz w:val="24"/>
          <w:szCs w:val="24"/>
          <w:highlight w:val="none"/>
          <w14:textFill>
            <w14:solidFill>
              <w14:schemeClr w14:val="tx1"/>
            </w14:solidFill>
          </w14:textFill>
        </w:rPr>
      </w:pPr>
      <w:bookmarkStart w:id="217" w:name="_Toc13354"/>
      <w:r>
        <w:rPr>
          <w:rFonts w:hint="eastAsia" w:ascii="宋体" w:hAnsi="宋体" w:eastAsia="宋体" w:cs="宋体"/>
          <w:b/>
          <w:bCs/>
          <w:color w:val="000000" w:themeColor="text1"/>
          <w:spacing w:val="-3"/>
          <w:sz w:val="24"/>
          <w:szCs w:val="24"/>
          <w:highlight w:val="none"/>
          <w14:textFill>
            <w14:solidFill>
              <w14:schemeClr w14:val="tx1"/>
            </w14:solidFill>
          </w14:textFill>
        </w:rPr>
        <w:t>第六章</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14:textFill>
            <w14:solidFill>
              <w14:schemeClr w14:val="tx1"/>
            </w14:solidFill>
          </w14:textFill>
        </w:rPr>
        <w:t>投标文件格式</w:t>
      </w:r>
      <w:bookmarkEnd w:id="217"/>
    </w:p>
    <w:p w14:paraId="5B1AE375">
      <w:pPr>
        <w:pStyle w:val="5"/>
        <w:spacing w:line="302" w:lineRule="auto"/>
        <w:jc w:val="right"/>
        <w:rPr>
          <w:rFonts w:hint="eastAsia" w:ascii="宋体" w:hAnsi="宋体" w:eastAsia="宋体" w:cs="宋体"/>
          <w:color w:val="000000" w:themeColor="text1"/>
          <w:highlight w:val="none"/>
          <w14:textFill>
            <w14:solidFill>
              <w14:schemeClr w14:val="tx1"/>
            </w14:solidFill>
          </w14:textFill>
        </w:rPr>
      </w:pPr>
    </w:p>
    <w:p w14:paraId="732FF561">
      <w:pPr>
        <w:spacing w:before="78" w:line="220" w:lineRule="auto"/>
        <w:outlineLvl w:val="2"/>
        <w:rPr>
          <w:rFonts w:hint="eastAsia" w:ascii="宋体" w:hAnsi="宋体" w:eastAsia="宋体" w:cs="宋体"/>
          <w:color w:val="000000" w:themeColor="text1"/>
          <w:sz w:val="24"/>
          <w:szCs w:val="24"/>
          <w:highlight w:val="none"/>
          <w14:textFill>
            <w14:solidFill>
              <w14:schemeClr w14:val="tx1"/>
            </w14:solidFill>
          </w14:textFill>
        </w:rPr>
      </w:pPr>
      <w:bookmarkStart w:id="218" w:name="_Toc10257"/>
      <w:r>
        <w:rPr>
          <w:rFonts w:hint="eastAsia" w:ascii="宋体" w:hAnsi="宋体" w:eastAsia="宋体" w:cs="宋体"/>
          <w:b/>
          <w:bCs/>
          <w:color w:val="000000" w:themeColor="text1"/>
          <w:spacing w:val="-4"/>
          <w:sz w:val="24"/>
          <w:szCs w:val="24"/>
          <w:highlight w:val="none"/>
          <w14:textFill>
            <w14:solidFill>
              <w14:schemeClr w14:val="tx1"/>
            </w14:solidFill>
          </w14:textFill>
        </w:rPr>
        <w:t>格式一</w:t>
      </w:r>
      <w:r>
        <w:rPr>
          <w:rFonts w:hint="eastAsia" w:ascii="宋体" w:hAnsi="宋体" w:eastAsia="宋体" w:cs="宋体"/>
          <w:color w:val="000000" w:themeColor="text1"/>
          <w:spacing w:val="-4"/>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14:textFill>
            <w14:solidFill>
              <w14:schemeClr w14:val="tx1"/>
            </w14:solidFill>
          </w14:textFill>
        </w:rPr>
        <w:t>封面</w:t>
      </w:r>
      <w:bookmarkEnd w:id="218"/>
    </w:p>
    <w:p w14:paraId="3D936F71">
      <w:pPr>
        <w:pStyle w:val="5"/>
        <w:spacing w:line="258" w:lineRule="auto"/>
        <w:rPr>
          <w:rFonts w:hint="eastAsia" w:ascii="宋体" w:hAnsi="宋体" w:eastAsia="宋体" w:cs="宋体"/>
          <w:color w:val="000000" w:themeColor="text1"/>
          <w:highlight w:val="none"/>
          <w14:textFill>
            <w14:solidFill>
              <w14:schemeClr w14:val="tx1"/>
            </w14:solidFill>
          </w14:textFill>
        </w:rPr>
      </w:pPr>
    </w:p>
    <w:p w14:paraId="068AB70E">
      <w:pPr>
        <w:pStyle w:val="5"/>
        <w:spacing w:line="259" w:lineRule="auto"/>
        <w:rPr>
          <w:rFonts w:hint="eastAsia" w:ascii="宋体" w:hAnsi="宋体" w:eastAsia="宋体" w:cs="宋体"/>
          <w:color w:val="000000" w:themeColor="text1"/>
          <w:highlight w:val="none"/>
          <w14:textFill>
            <w14:solidFill>
              <w14:schemeClr w14:val="tx1"/>
            </w14:solidFill>
          </w14:textFill>
        </w:rPr>
      </w:pPr>
    </w:p>
    <w:p w14:paraId="0DE0F809">
      <w:pPr>
        <w:pStyle w:val="5"/>
        <w:spacing w:line="259" w:lineRule="auto"/>
        <w:rPr>
          <w:rFonts w:hint="eastAsia" w:ascii="宋体" w:hAnsi="宋体" w:eastAsia="宋体" w:cs="宋体"/>
          <w:color w:val="000000" w:themeColor="text1"/>
          <w:highlight w:val="none"/>
          <w14:textFill>
            <w14:solidFill>
              <w14:schemeClr w14:val="tx1"/>
            </w14:solidFill>
          </w14:textFill>
        </w:rPr>
      </w:pPr>
    </w:p>
    <w:p w14:paraId="5ED9FBF6">
      <w:pPr>
        <w:spacing w:before="153" w:line="225" w:lineRule="auto"/>
        <w:ind w:left="-1" w:leftChars="0" w:firstLine="0" w:firstLineChars="0"/>
        <w:jc w:val="center"/>
        <w:rPr>
          <w:rFonts w:hint="eastAsia" w:ascii="宋体" w:hAnsi="宋体" w:eastAsia="宋体" w:cs="宋体"/>
          <w:color w:val="000000" w:themeColor="text1"/>
          <w:sz w:val="47"/>
          <w:szCs w:val="47"/>
          <w:highlight w:val="none"/>
          <w14:textFill>
            <w14:solidFill>
              <w14:schemeClr w14:val="tx1"/>
            </w14:solidFill>
          </w14:textFill>
        </w:rPr>
      </w:pPr>
      <w:r>
        <w:rPr>
          <w:rFonts w:hint="eastAsia" w:ascii="宋体" w:hAnsi="宋体" w:eastAsia="宋体" w:cs="宋体"/>
          <w:b/>
          <w:bCs/>
          <w:color w:val="000000" w:themeColor="text1"/>
          <w:spacing w:val="8"/>
          <w:sz w:val="47"/>
          <w:szCs w:val="47"/>
          <w:highlight w:val="none"/>
          <w14:textFill>
            <w14:solidFill>
              <w14:schemeClr w14:val="tx1"/>
            </w14:solidFill>
          </w14:textFill>
        </w:rPr>
        <w:t>（项目名称</w:t>
      </w:r>
      <w:r>
        <w:rPr>
          <w:rFonts w:hint="eastAsia" w:ascii="宋体" w:hAnsi="宋体" w:eastAsia="宋体" w:cs="宋体"/>
          <w:b/>
          <w:bCs/>
          <w:color w:val="000000" w:themeColor="text1"/>
          <w:spacing w:val="-32"/>
          <w:sz w:val="47"/>
          <w:szCs w:val="47"/>
          <w:highlight w:val="none"/>
          <w14:textFill>
            <w14:solidFill>
              <w14:schemeClr w14:val="tx1"/>
            </w14:solidFill>
          </w14:textFill>
        </w:rPr>
        <w:t>）</w:t>
      </w:r>
      <w:r>
        <w:rPr>
          <w:rFonts w:hint="eastAsia" w:ascii="宋体" w:hAnsi="宋体" w:eastAsia="宋体" w:cs="宋体"/>
          <w:b/>
          <w:bCs/>
          <w:color w:val="000000" w:themeColor="text1"/>
          <w:spacing w:val="8"/>
          <w:sz w:val="47"/>
          <w:szCs w:val="47"/>
          <w:highlight w:val="none"/>
          <w14:textFill>
            <w14:solidFill>
              <w14:schemeClr w14:val="tx1"/>
            </w14:solidFill>
          </w14:textFill>
        </w:rPr>
        <w:t>施工招标</w:t>
      </w:r>
    </w:p>
    <w:p w14:paraId="6DEABEF4">
      <w:pPr>
        <w:pStyle w:val="5"/>
        <w:spacing w:line="247" w:lineRule="auto"/>
        <w:rPr>
          <w:rFonts w:hint="eastAsia" w:ascii="宋体" w:hAnsi="宋体" w:eastAsia="宋体" w:cs="宋体"/>
          <w:color w:val="000000" w:themeColor="text1"/>
          <w:highlight w:val="none"/>
          <w14:textFill>
            <w14:solidFill>
              <w14:schemeClr w14:val="tx1"/>
            </w14:solidFill>
          </w14:textFill>
        </w:rPr>
      </w:pPr>
    </w:p>
    <w:p w14:paraId="5EF5EDE9">
      <w:pPr>
        <w:pStyle w:val="5"/>
        <w:spacing w:line="247" w:lineRule="auto"/>
        <w:rPr>
          <w:rFonts w:hint="eastAsia" w:ascii="宋体" w:hAnsi="宋体" w:eastAsia="宋体" w:cs="宋体"/>
          <w:color w:val="000000" w:themeColor="text1"/>
          <w:highlight w:val="none"/>
          <w14:textFill>
            <w14:solidFill>
              <w14:schemeClr w14:val="tx1"/>
            </w14:solidFill>
          </w14:textFill>
        </w:rPr>
      </w:pPr>
    </w:p>
    <w:p w14:paraId="34AB878A">
      <w:pPr>
        <w:pStyle w:val="5"/>
        <w:spacing w:line="247" w:lineRule="auto"/>
        <w:rPr>
          <w:rFonts w:hint="eastAsia" w:ascii="宋体" w:hAnsi="宋体" w:eastAsia="宋体" w:cs="宋体"/>
          <w:color w:val="000000" w:themeColor="text1"/>
          <w:highlight w:val="none"/>
          <w14:textFill>
            <w14:solidFill>
              <w14:schemeClr w14:val="tx1"/>
            </w14:solidFill>
          </w14:textFill>
        </w:rPr>
      </w:pPr>
    </w:p>
    <w:p w14:paraId="15E641E6">
      <w:pPr>
        <w:pStyle w:val="5"/>
        <w:spacing w:line="247" w:lineRule="auto"/>
        <w:rPr>
          <w:rFonts w:hint="eastAsia" w:ascii="宋体" w:hAnsi="宋体" w:eastAsia="宋体" w:cs="宋体"/>
          <w:color w:val="000000" w:themeColor="text1"/>
          <w:highlight w:val="none"/>
          <w14:textFill>
            <w14:solidFill>
              <w14:schemeClr w14:val="tx1"/>
            </w14:solidFill>
          </w14:textFill>
        </w:rPr>
      </w:pPr>
    </w:p>
    <w:p w14:paraId="3098056B">
      <w:pPr>
        <w:pStyle w:val="5"/>
        <w:spacing w:line="248" w:lineRule="auto"/>
        <w:rPr>
          <w:rFonts w:hint="eastAsia" w:ascii="宋体" w:hAnsi="宋体" w:eastAsia="宋体" w:cs="宋体"/>
          <w:color w:val="000000" w:themeColor="text1"/>
          <w:highlight w:val="none"/>
          <w14:textFill>
            <w14:solidFill>
              <w14:schemeClr w14:val="tx1"/>
            </w14:solidFill>
          </w14:textFill>
        </w:rPr>
      </w:pPr>
    </w:p>
    <w:p w14:paraId="4ECB4A2E">
      <w:pPr>
        <w:spacing w:before="231" w:line="223" w:lineRule="auto"/>
        <w:jc w:val="center"/>
        <w:rPr>
          <w:rFonts w:hint="eastAsia" w:ascii="宋体" w:hAnsi="宋体" w:eastAsia="宋体" w:cs="宋体"/>
          <w:color w:val="000000" w:themeColor="text1"/>
          <w:sz w:val="71"/>
          <w:szCs w:val="71"/>
          <w:highlight w:val="none"/>
          <w14:textFill>
            <w14:solidFill>
              <w14:schemeClr w14:val="tx1"/>
            </w14:solidFill>
          </w14:textFill>
        </w:rPr>
      </w:pPr>
      <w:r>
        <w:rPr>
          <w:rFonts w:hint="eastAsia" w:ascii="宋体" w:hAnsi="宋体" w:eastAsia="宋体" w:cs="宋体"/>
          <w:b/>
          <w:bCs/>
          <w:color w:val="000000" w:themeColor="text1"/>
          <w:spacing w:val="-26"/>
          <w:sz w:val="71"/>
          <w:szCs w:val="71"/>
          <w:highlight w:val="none"/>
          <w14:textFill>
            <w14:solidFill>
              <w14:schemeClr w14:val="tx1"/>
            </w14:solidFill>
          </w14:textFill>
        </w:rPr>
        <w:t>投</w:t>
      </w:r>
      <w:r>
        <w:rPr>
          <w:rFonts w:hint="eastAsia" w:ascii="宋体" w:hAnsi="宋体" w:eastAsia="宋体" w:cs="宋体"/>
          <w:color w:val="000000" w:themeColor="text1"/>
          <w:spacing w:val="22"/>
          <w:sz w:val="71"/>
          <w:szCs w:val="71"/>
          <w:highlight w:val="none"/>
          <w14:textFill>
            <w14:solidFill>
              <w14:schemeClr w14:val="tx1"/>
            </w14:solidFill>
          </w14:textFill>
        </w:rPr>
        <w:t xml:space="preserve">  </w:t>
      </w:r>
      <w:r>
        <w:rPr>
          <w:rFonts w:hint="eastAsia" w:ascii="宋体" w:hAnsi="宋体" w:eastAsia="宋体" w:cs="宋体"/>
          <w:b/>
          <w:bCs/>
          <w:color w:val="000000" w:themeColor="text1"/>
          <w:spacing w:val="-26"/>
          <w:sz w:val="71"/>
          <w:szCs w:val="71"/>
          <w:highlight w:val="none"/>
          <w14:textFill>
            <w14:solidFill>
              <w14:schemeClr w14:val="tx1"/>
            </w14:solidFill>
          </w14:textFill>
        </w:rPr>
        <w:t>标</w:t>
      </w:r>
      <w:r>
        <w:rPr>
          <w:rFonts w:hint="eastAsia" w:ascii="宋体" w:hAnsi="宋体" w:eastAsia="宋体" w:cs="宋体"/>
          <w:color w:val="000000" w:themeColor="text1"/>
          <w:spacing w:val="23"/>
          <w:sz w:val="71"/>
          <w:szCs w:val="71"/>
          <w:highlight w:val="none"/>
          <w14:textFill>
            <w14:solidFill>
              <w14:schemeClr w14:val="tx1"/>
            </w14:solidFill>
          </w14:textFill>
        </w:rPr>
        <w:t xml:space="preserve">  </w:t>
      </w:r>
      <w:r>
        <w:rPr>
          <w:rFonts w:hint="eastAsia" w:ascii="宋体" w:hAnsi="宋体" w:eastAsia="宋体" w:cs="宋体"/>
          <w:b/>
          <w:bCs/>
          <w:color w:val="000000" w:themeColor="text1"/>
          <w:spacing w:val="-26"/>
          <w:sz w:val="71"/>
          <w:szCs w:val="71"/>
          <w:highlight w:val="none"/>
          <w14:textFill>
            <w14:solidFill>
              <w14:schemeClr w14:val="tx1"/>
            </w14:solidFill>
          </w14:textFill>
        </w:rPr>
        <w:t>文</w:t>
      </w:r>
      <w:r>
        <w:rPr>
          <w:rFonts w:hint="eastAsia" w:ascii="宋体" w:hAnsi="宋体" w:eastAsia="宋体" w:cs="宋体"/>
          <w:color w:val="000000" w:themeColor="text1"/>
          <w:spacing w:val="19"/>
          <w:sz w:val="71"/>
          <w:szCs w:val="71"/>
          <w:highlight w:val="none"/>
          <w14:textFill>
            <w14:solidFill>
              <w14:schemeClr w14:val="tx1"/>
            </w14:solidFill>
          </w14:textFill>
        </w:rPr>
        <w:t xml:space="preserve">  </w:t>
      </w:r>
      <w:r>
        <w:rPr>
          <w:rFonts w:hint="eastAsia" w:ascii="宋体" w:hAnsi="宋体" w:eastAsia="宋体" w:cs="宋体"/>
          <w:b/>
          <w:bCs/>
          <w:color w:val="000000" w:themeColor="text1"/>
          <w:spacing w:val="-26"/>
          <w:sz w:val="71"/>
          <w:szCs w:val="71"/>
          <w:highlight w:val="none"/>
          <w14:textFill>
            <w14:solidFill>
              <w14:schemeClr w14:val="tx1"/>
            </w14:solidFill>
          </w14:textFill>
        </w:rPr>
        <w:t>件</w:t>
      </w:r>
    </w:p>
    <w:p w14:paraId="23F78714">
      <w:pPr>
        <w:pStyle w:val="5"/>
        <w:spacing w:line="293" w:lineRule="auto"/>
        <w:rPr>
          <w:rFonts w:hint="eastAsia" w:ascii="宋体" w:hAnsi="宋体" w:eastAsia="宋体" w:cs="宋体"/>
          <w:color w:val="000000" w:themeColor="text1"/>
          <w:highlight w:val="none"/>
          <w14:textFill>
            <w14:solidFill>
              <w14:schemeClr w14:val="tx1"/>
            </w14:solidFill>
          </w14:textFill>
        </w:rPr>
      </w:pPr>
    </w:p>
    <w:p w14:paraId="0CD43441">
      <w:pPr>
        <w:pStyle w:val="5"/>
        <w:spacing w:line="293" w:lineRule="auto"/>
        <w:rPr>
          <w:rFonts w:hint="eastAsia" w:ascii="宋体" w:hAnsi="宋体" w:eastAsia="宋体" w:cs="宋体"/>
          <w:color w:val="000000" w:themeColor="text1"/>
          <w:highlight w:val="none"/>
          <w14:textFill>
            <w14:solidFill>
              <w14:schemeClr w14:val="tx1"/>
            </w14:solidFill>
          </w14:textFill>
        </w:rPr>
      </w:pPr>
    </w:p>
    <w:p w14:paraId="48210BB7">
      <w:pPr>
        <w:spacing w:before="152" w:line="223" w:lineRule="auto"/>
        <w:jc w:val="center"/>
        <w:rPr>
          <w:rFonts w:hint="eastAsia" w:ascii="宋体" w:hAnsi="宋体" w:eastAsia="宋体" w:cs="宋体"/>
          <w:b/>
          <w:bCs/>
          <w:color w:val="000000" w:themeColor="text1"/>
          <w:spacing w:val="2"/>
          <w:sz w:val="47"/>
          <w:szCs w:val="47"/>
          <w:highlight w:val="none"/>
          <w14:textFill>
            <w14:solidFill>
              <w14:schemeClr w14:val="tx1"/>
            </w14:solidFill>
          </w14:textFill>
        </w:rPr>
      </w:pPr>
      <w:bookmarkStart w:id="219" w:name="bookmark105"/>
      <w:bookmarkEnd w:id="219"/>
      <w:r>
        <w:rPr>
          <w:rFonts w:hint="eastAsia" w:ascii="宋体" w:hAnsi="宋体" w:eastAsia="宋体" w:cs="宋体"/>
          <w:b/>
          <w:bCs/>
          <w:color w:val="000000" w:themeColor="text1"/>
          <w:spacing w:val="2"/>
          <w:sz w:val="47"/>
          <w:szCs w:val="47"/>
          <w:highlight w:val="none"/>
          <w14:textFill>
            <w14:solidFill>
              <w14:schemeClr w14:val="tx1"/>
            </w14:solidFill>
          </w14:textFill>
        </w:rPr>
        <w:t>（商务标书／经济标书／施工组织设计）</w:t>
      </w:r>
    </w:p>
    <w:p w14:paraId="33EFFA4B">
      <w:pPr>
        <w:bidi w:val="0"/>
        <w:rPr>
          <w:rFonts w:hint="eastAsia"/>
          <w:color w:val="000000" w:themeColor="text1"/>
          <w:highlight w:val="none"/>
          <w14:textFill>
            <w14:solidFill>
              <w14:schemeClr w14:val="tx1"/>
            </w14:solidFill>
          </w14:textFill>
        </w:rPr>
      </w:pPr>
    </w:p>
    <w:p w14:paraId="71694CDA">
      <w:pPr>
        <w:bidi w:val="0"/>
        <w:rPr>
          <w:rFonts w:hint="eastAsia"/>
          <w:color w:val="000000" w:themeColor="text1"/>
          <w:highlight w:val="none"/>
          <w14:textFill>
            <w14:solidFill>
              <w14:schemeClr w14:val="tx1"/>
            </w14:solidFill>
          </w14:textFill>
        </w:rPr>
      </w:pPr>
    </w:p>
    <w:p w14:paraId="7C6BCB43">
      <w:pPr>
        <w:bidi w:val="0"/>
        <w:rPr>
          <w:rFonts w:hint="eastAsia"/>
          <w:color w:val="000000" w:themeColor="text1"/>
          <w:highlight w:val="none"/>
          <w14:textFill>
            <w14:solidFill>
              <w14:schemeClr w14:val="tx1"/>
            </w14:solidFill>
          </w14:textFill>
        </w:rPr>
      </w:pPr>
    </w:p>
    <w:p w14:paraId="10E86CD1">
      <w:pPr>
        <w:bidi w:val="0"/>
        <w:rPr>
          <w:rFonts w:hint="eastAsia"/>
          <w:color w:val="000000" w:themeColor="text1"/>
          <w:highlight w:val="none"/>
          <w14:textFill>
            <w14:solidFill>
              <w14:schemeClr w14:val="tx1"/>
            </w14:solidFill>
          </w14:textFill>
        </w:rPr>
      </w:pPr>
    </w:p>
    <w:p w14:paraId="7AB4BF47">
      <w:pPr>
        <w:bidi w:val="0"/>
        <w:rPr>
          <w:rFonts w:hint="eastAsia"/>
          <w:color w:val="000000" w:themeColor="text1"/>
          <w:highlight w:val="none"/>
          <w14:textFill>
            <w14:solidFill>
              <w14:schemeClr w14:val="tx1"/>
            </w14:solidFill>
          </w14:textFill>
        </w:rPr>
      </w:pPr>
    </w:p>
    <w:p w14:paraId="306BB099">
      <w:pPr>
        <w:bidi w:val="0"/>
        <w:rPr>
          <w:rFonts w:hint="eastAsia"/>
          <w:color w:val="000000" w:themeColor="text1"/>
          <w:highlight w:val="none"/>
          <w14:textFill>
            <w14:solidFill>
              <w14:schemeClr w14:val="tx1"/>
            </w14:solidFill>
          </w14:textFill>
        </w:rPr>
      </w:pPr>
    </w:p>
    <w:p w14:paraId="17C1C6BE">
      <w:pPr>
        <w:bidi w:val="0"/>
        <w:rPr>
          <w:rFonts w:hint="eastAsia"/>
          <w:color w:val="000000" w:themeColor="text1"/>
          <w:highlight w:val="none"/>
          <w14:textFill>
            <w14:solidFill>
              <w14:schemeClr w14:val="tx1"/>
            </w14:solidFill>
          </w14:textFill>
        </w:rPr>
      </w:pPr>
    </w:p>
    <w:p w14:paraId="313F4F70">
      <w:pPr>
        <w:bidi w:val="0"/>
        <w:rPr>
          <w:rFonts w:hint="eastAsia"/>
          <w:color w:val="000000" w:themeColor="text1"/>
          <w:highlight w:val="none"/>
          <w14:textFill>
            <w14:solidFill>
              <w14:schemeClr w14:val="tx1"/>
            </w14:solidFill>
          </w14:textFill>
        </w:rPr>
      </w:pPr>
    </w:p>
    <w:p w14:paraId="2D1F340C">
      <w:pPr>
        <w:pStyle w:val="35"/>
        <w:widowControl w:val="0"/>
        <w:wordWrap w:val="0"/>
        <w:adjustRightInd w:val="0"/>
        <w:snapToGrid w:val="0"/>
        <w:spacing w:line="360" w:lineRule="auto"/>
        <w:ind w:firstLine="0"/>
        <w:jc w:val="center"/>
        <w:rPr>
          <w:rFonts w:hint="eastAsia" w:ascii="宋体" w:hAnsi="宋体" w:eastAsia="宋体" w:cs="宋体"/>
          <w:bCs/>
          <w:snapToGrid w:val="0"/>
          <w:color w:val="000000" w:themeColor="text1"/>
          <w:sz w:val="32"/>
          <w:highlight w:val="none"/>
          <w14:textFill>
            <w14:solidFill>
              <w14:schemeClr w14:val="tx1"/>
            </w14:solidFill>
          </w14:textFill>
        </w:rPr>
      </w:pPr>
      <w:r>
        <w:rPr>
          <w:rFonts w:hint="eastAsia" w:ascii="宋体" w:hAnsi="宋体" w:eastAsia="宋体" w:cs="宋体"/>
          <w:bCs/>
          <w:snapToGrid w:val="0"/>
          <w:color w:val="000000" w:themeColor="text1"/>
          <w:sz w:val="32"/>
          <w:highlight w:val="none"/>
          <w14:textFill>
            <w14:solidFill>
              <w14:schemeClr w14:val="tx1"/>
            </w14:solidFill>
          </w14:textFill>
        </w:rPr>
        <w:t>投标人：</w:t>
      </w:r>
      <w:r>
        <w:rPr>
          <w:rFonts w:hint="eastAsia" w:ascii="宋体" w:hAnsi="宋体" w:eastAsia="宋体" w:cs="宋体"/>
          <w:bCs/>
          <w:snapToGrid w:val="0"/>
          <w:color w:val="000000" w:themeColor="text1"/>
          <w:sz w:val="32"/>
          <w:highlight w:val="none"/>
          <w:u w:val="single"/>
          <w14:textFill>
            <w14:solidFill>
              <w14:schemeClr w14:val="tx1"/>
            </w14:solidFill>
          </w14:textFill>
        </w:rPr>
        <w:t xml:space="preserve">                                    </w:t>
      </w:r>
      <w:r>
        <w:rPr>
          <w:rFonts w:hint="eastAsia" w:ascii="宋体" w:hAnsi="宋体" w:eastAsia="宋体" w:cs="宋体"/>
          <w:bCs/>
          <w:snapToGrid w:val="0"/>
          <w:color w:val="000000" w:themeColor="text1"/>
          <w:sz w:val="32"/>
          <w:highlight w:val="none"/>
          <w14:textFill>
            <w14:solidFill>
              <w14:schemeClr w14:val="tx1"/>
            </w14:solidFill>
          </w14:textFill>
        </w:rPr>
        <w:t>（盖单位章）</w:t>
      </w:r>
    </w:p>
    <w:p w14:paraId="711C8DA7">
      <w:pPr>
        <w:pStyle w:val="35"/>
        <w:widowControl w:val="0"/>
        <w:wordWrap w:val="0"/>
        <w:adjustRightInd w:val="0"/>
        <w:snapToGrid w:val="0"/>
        <w:spacing w:line="360" w:lineRule="auto"/>
        <w:ind w:firstLine="0"/>
        <w:jc w:val="center"/>
        <w:rPr>
          <w:rFonts w:hint="eastAsia" w:ascii="宋体" w:hAnsi="宋体" w:eastAsia="宋体" w:cs="宋体"/>
          <w:bCs/>
          <w:snapToGrid w:val="0"/>
          <w:color w:val="000000" w:themeColor="text1"/>
          <w:sz w:val="32"/>
          <w:highlight w:val="none"/>
          <w14:textFill>
            <w14:solidFill>
              <w14:schemeClr w14:val="tx1"/>
            </w14:solidFill>
          </w14:textFill>
        </w:rPr>
      </w:pPr>
    </w:p>
    <w:p w14:paraId="3752A510">
      <w:pPr>
        <w:pStyle w:val="35"/>
        <w:widowControl w:val="0"/>
        <w:wordWrap w:val="0"/>
        <w:adjustRightInd w:val="0"/>
        <w:snapToGrid w:val="0"/>
        <w:spacing w:line="360" w:lineRule="auto"/>
        <w:ind w:firstLine="0"/>
        <w:jc w:val="center"/>
        <w:rPr>
          <w:rFonts w:hint="eastAsia" w:ascii="宋体" w:hAnsi="宋体" w:eastAsia="宋体" w:cs="宋体"/>
          <w:bCs/>
          <w:snapToGrid w:val="0"/>
          <w:color w:val="000000" w:themeColor="text1"/>
          <w:sz w:val="32"/>
          <w:highlight w:val="none"/>
          <w14:textFill>
            <w14:solidFill>
              <w14:schemeClr w14:val="tx1"/>
            </w14:solidFill>
          </w14:textFill>
        </w:rPr>
      </w:pPr>
    </w:p>
    <w:p w14:paraId="7191B422">
      <w:pPr>
        <w:pStyle w:val="35"/>
        <w:widowControl w:val="0"/>
        <w:wordWrap w:val="0"/>
        <w:adjustRightInd w:val="0"/>
        <w:snapToGrid w:val="0"/>
        <w:spacing w:line="360" w:lineRule="auto"/>
        <w:ind w:firstLine="0"/>
        <w:jc w:val="center"/>
        <w:rPr>
          <w:rFonts w:hint="eastAsia" w:ascii="宋体" w:hAnsi="宋体" w:eastAsia="宋体" w:cs="宋体"/>
          <w:bCs/>
          <w:snapToGrid w:val="0"/>
          <w:color w:val="000000" w:themeColor="text1"/>
          <w:sz w:val="32"/>
          <w:highlight w:val="none"/>
          <w14:textFill>
            <w14:solidFill>
              <w14:schemeClr w14:val="tx1"/>
            </w14:solidFill>
          </w14:textFill>
        </w:rPr>
      </w:pPr>
      <w:r>
        <w:rPr>
          <w:rFonts w:hint="eastAsia" w:ascii="宋体" w:hAnsi="宋体" w:eastAsia="宋体" w:cs="宋体"/>
          <w:bCs/>
          <w:snapToGrid w:val="0"/>
          <w:color w:val="000000" w:themeColor="text1"/>
          <w:sz w:val="32"/>
          <w:highlight w:val="none"/>
          <w14:textFill>
            <w14:solidFill>
              <w14:schemeClr w14:val="tx1"/>
            </w14:solidFill>
          </w14:textFill>
        </w:rPr>
        <w:t>法定代表人或其委托代理人：</w:t>
      </w:r>
      <w:r>
        <w:rPr>
          <w:rFonts w:hint="eastAsia" w:ascii="宋体" w:hAnsi="宋体" w:eastAsia="宋体" w:cs="宋体"/>
          <w:bCs/>
          <w:snapToGrid w:val="0"/>
          <w:color w:val="000000" w:themeColor="text1"/>
          <w:sz w:val="32"/>
          <w:highlight w:val="none"/>
          <w:u w:val="single"/>
          <w14:textFill>
            <w14:solidFill>
              <w14:schemeClr w14:val="tx1"/>
            </w14:solidFill>
          </w14:textFill>
        </w:rPr>
        <w:t xml:space="preserve">                 </w:t>
      </w:r>
      <w:r>
        <w:rPr>
          <w:rFonts w:hint="eastAsia" w:ascii="宋体" w:hAnsi="宋体" w:eastAsia="宋体" w:cs="宋体"/>
          <w:bCs/>
          <w:snapToGrid w:val="0"/>
          <w:color w:val="000000" w:themeColor="text1"/>
          <w:sz w:val="32"/>
          <w:highlight w:val="none"/>
          <w14:textFill>
            <w14:solidFill>
              <w14:schemeClr w14:val="tx1"/>
            </w14:solidFill>
          </w14:textFill>
        </w:rPr>
        <w:t>（签字或盖章）</w:t>
      </w:r>
    </w:p>
    <w:p w14:paraId="76469CE6">
      <w:pPr>
        <w:pStyle w:val="35"/>
        <w:widowControl w:val="0"/>
        <w:wordWrap w:val="0"/>
        <w:adjustRightInd w:val="0"/>
        <w:snapToGrid w:val="0"/>
        <w:spacing w:line="360" w:lineRule="auto"/>
        <w:ind w:firstLine="0"/>
        <w:jc w:val="center"/>
        <w:rPr>
          <w:rFonts w:hint="eastAsia" w:ascii="宋体" w:hAnsi="宋体" w:eastAsia="宋体" w:cs="宋体"/>
          <w:bCs/>
          <w:snapToGrid w:val="0"/>
          <w:color w:val="000000" w:themeColor="text1"/>
          <w:sz w:val="32"/>
          <w:highlight w:val="none"/>
          <w14:textFill>
            <w14:solidFill>
              <w14:schemeClr w14:val="tx1"/>
            </w14:solidFill>
          </w14:textFill>
        </w:rPr>
      </w:pPr>
    </w:p>
    <w:p w14:paraId="06FBE36F">
      <w:pPr>
        <w:pStyle w:val="35"/>
        <w:widowControl w:val="0"/>
        <w:wordWrap w:val="0"/>
        <w:adjustRightInd w:val="0"/>
        <w:snapToGrid w:val="0"/>
        <w:spacing w:line="360" w:lineRule="auto"/>
        <w:ind w:firstLine="0"/>
        <w:jc w:val="center"/>
        <w:rPr>
          <w:rFonts w:hint="eastAsia" w:ascii="宋体" w:hAnsi="宋体" w:eastAsia="宋体" w:cs="宋体"/>
          <w:bCs/>
          <w:snapToGrid w:val="0"/>
          <w:color w:val="000000" w:themeColor="text1"/>
          <w:sz w:val="32"/>
          <w:highlight w:val="none"/>
          <w:u w:val="single"/>
          <w14:textFill>
            <w14:solidFill>
              <w14:schemeClr w14:val="tx1"/>
            </w14:solidFill>
          </w14:textFill>
        </w:rPr>
      </w:pPr>
    </w:p>
    <w:p w14:paraId="6C1EC974">
      <w:pPr>
        <w:pStyle w:val="35"/>
        <w:widowControl w:val="0"/>
        <w:wordWrap w:val="0"/>
        <w:adjustRightInd w:val="0"/>
        <w:snapToGrid w:val="0"/>
        <w:spacing w:line="360" w:lineRule="auto"/>
        <w:ind w:firstLine="0"/>
        <w:jc w:val="center"/>
        <w:rPr>
          <w:rFonts w:hint="eastAsia" w:ascii="宋体" w:hAnsi="宋体" w:eastAsia="宋体" w:cs="宋体"/>
          <w:b/>
          <w:snapToGrid w:val="0"/>
          <w:color w:val="000000" w:themeColor="text1"/>
          <w:highlight w:val="none"/>
          <w14:textFill>
            <w14:solidFill>
              <w14:schemeClr w14:val="tx1"/>
            </w14:solidFill>
          </w14:textFill>
        </w:rPr>
      </w:pPr>
      <w:r>
        <w:rPr>
          <w:rFonts w:hint="eastAsia" w:ascii="宋体" w:hAnsi="宋体" w:eastAsia="宋体" w:cs="宋体"/>
          <w:bCs/>
          <w:snapToGrid w:val="0"/>
          <w:color w:val="000000" w:themeColor="text1"/>
          <w:sz w:val="32"/>
          <w:highlight w:val="none"/>
          <w:u w:val="single"/>
          <w14:textFill>
            <w14:solidFill>
              <w14:schemeClr w14:val="tx1"/>
            </w14:solidFill>
          </w14:textFill>
        </w:rPr>
        <w:t xml:space="preserve">         </w:t>
      </w:r>
      <w:r>
        <w:rPr>
          <w:rFonts w:hint="eastAsia" w:ascii="宋体" w:hAnsi="宋体" w:eastAsia="宋体" w:cs="宋体"/>
          <w:bCs/>
          <w:snapToGrid w:val="0"/>
          <w:color w:val="000000" w:themeColor="text1"/>
          <w:sz w:val="32"/>
          <w:highlight w:val="none"/>
          <w14:textFill>
            <w14:solidFill>
              <w14:schemeClr w14:val="tx1"/>
            </w14:solidFill>
          </w14:textFill>
        </w:rPr>
        <w:t>年</w:t>
      </w:r>
      <w:r>
        <w:rPr>
          <w:rFonts w:hint="eastAsia" w:ascii="宋体" w:hAnsi="宋体" w:eastAsia="宋体" w:cs="宋体"/>
          <w:bCs/>
          <w:snapToGrid w:val="0"/>
          <w:color w:val="000000" w:themeColor="text1"/>
          <w:sz w:val="32"/>
          <w:highlight w:val="none"/>
          <w:u w:val="single"/>
          <w14:textFill>
            <w14:solidFill>
              <w14:schemeClr w14:val="tx1"/>
            </w14:solidFill>
          </w14:textFill>
        </w:rPr>
        <w:t xml:space="preserve">      </w:t>
      </w:r>
      <w:r>
        <w:rPr>
          <w:rFonts w:hint="eastAsia" w:ascii="宋体" w:hAnsi="宋体" w:eastAsia="宋体" w:cs="宋体"/>
          <w:bCs/>
          <w:snapToGrid w:val="0"/>
          <w:color w:val="000000" w:themeColor="text1"/>
          <w:sz w:val="32"/>
          <w:highlight w:val="none"/>
          <w14:textFill>
            <w14:solidFill>
              <w14:schemeClr w14:val="tx1"/>
            </w14:solidFill>
          </w14:textFill>
        </w:rPr>
        <w:t>月</w:t>
      </w:r>
      <w:r>
        <w:rPr>
          <w:rFonts w:hint="eastAsia" w:ascii="宋体" w:hAnsi="宋体" w:eastAsia="宋体" w:cs="宋体"/>
          <w:bCs/>
          <w:snapToGrid w:val="0"/>
          <w:color w:val="000000" w:themeColor="text1"/>
          <w:sz w:val="32"/>
          <w:highlight w:val="none"/>
          <w:u w:val="single"/>
          <w14:textFill>
            <w14:solidFill>
              <w14:schemeClr w14:val="tx1"/>
            </w14:solidFill>
          </w14:textFill>
        </w:rPr>
        <w:t xml:space="preserve">      </w:t>
      </w:r>
      <w:r>
        <w:rPr>
          <w:rFonts w:hint="eastAsia" w:ascii="宋体" w:hAnsi="宋体" w:eastAsia="宋体" w:cs="宋体"/>
          <w:bCs/>
          <w:snapToGrid w:val="0"/>
          <w:color w:val="000000" w:themeColor="text1"/>
          <w:sz w:val="32"/>
          <w:highlight w:val="none"/>
          <w14:textFill>
            <w14:solidFill>
              <w14:schemeClr w14:val="tx1"/>
            </w14:solidFill>
          </w14:textFill>
        </w:rPr>
        <w:t>日</w:t>
      </w:r>
    </w:p>
    <w:p w14:paraId="22D60B74">
      <w:pPr>
        <w:bidi w:val="0"/>
        <w:rPr>
          <w:rFonts w:hint="eastAsia"/>
          <w:color w:val="000000" w:themeColor="text1"/>
          <w:highlight w:val="none"/>
          <w14:textFill>
            <w14:solidFill>
              <w14:schemeClr w14:val="tx1"/>
            </w14:solidFill>
          </w14:textFill>
        </w:rPr>
      </w:pPr>
    </w:p>
    <w:p w14:paraId="75ADAE4C">
      <w:pPr>
        <w:outlineLvl w:val="9"/>
        <w:rPr>
          <w:rFonts w:hint="eastAsia"/>
          <w:color w:val="000000" w:themeColor="text1"/>
          <w:highlight w:val="none"/>
          <w14:textFill>
            <w14:solidFill>
              <w14:schemeClr w14:val="tx1"/>
            </w14:solidFill>
          </w14:textFill>
        </w:rPr>
      </w:pPr>
    </w:p>
    <w:p w14:paraId="739A9B68">
      <w:pPr>
        <w:spacing w:line="223" w:lineRule="auto"/>
        <w:rPr>
          <w:rFonts w:hint="eastAsia" w:ascii="宋体" w:hAnsi="宋体" w:eastAsia="宋体" w:cs="宋体"/>
          <w:color w:val="000000" w:themeColor="text1"/>
          <w:sz w:val="47"/>
          <w:szCs w:val="47"/>
          <w:highlight w:val="none"/>
          <w14:textFill>
            <w14:solidFill>
              <w14:schemeClr w14:val="tx1"/>
            </w14:solidFill>
          </w14:textFill>
        </w:rPr>
        <w:sectPr>
          <w:footerReference r:id="rId16"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39C38B38">
      <w:pPr>
        <w:spacing w:before="78" w:line="220" w:lineRule="auto"/>
        <w:outlineLvl w:val="2"/>
        <w:rPr>
          <w:rFonts w:hint="eastAsia" w:ascii="宋体" w:hAnsi="宋体" w:eastAsia="宋体" w:cs="宋体"/>
          <w:b/>
          <w:bCs/>
          <w:color w:val="000000" w:themeColor="text1"/>
          <w:spacing w:val="-4"/>
          <w:sz w:val="24"/>
          <w:szCs w:val="24"/>
          <w:highlight w:val="none"/>
          <w14:textFill>
            <w14:solidFill>
              <w14:schemeClr w14:val="tx1"/>
            </w14:solidFill>
          </w14:textFill>
        </w:rPr>
      </w:pPr>
      <w:bookmarkStart w:id="220" w:name="_Toc23059"/>
      <w:r>
        <w:rPr>
          <w:rFonts w:hint="eastAsia" w:ascii="宋体" w:hAnsi="宋体" w:eastAsia="宋体" w:cs="宋体"/>
          <w:b/>
          <w:bCs/>
          <w:color w:val="000000" w:themeColor="text1"/>
          <w:spacing w:val="-4"/>
          <w:sz w:val="24"/>
          <w:szCs w:val="24"/>
          <w:highlight w:val="none"/>
          <w14:textFill>
            <w14:solidFill>
              <w14:schemeClr w14:val="tx1"/>
            </w14:solidFill>
          </w14:textFill>
        </w:rPr>
        <w:t>格式二 投标函</w:t>
      </w:r>
      <w:bookmarkEnd w:id="220"/>
    </w:p>
    <w:p w14:paraId="392E4C63">
      <w:pPr>
        <w:pStyle w:val="5"/>
        <w:spacing w:line="261" w:lineRule="auto"/>
        <w:rPr>
          <w:rFonts w:hint="eastAsia" w:ascii="宋体" w:hAnsi="宋体" w:eastAsia="宋体" w:cs="宋体"/>
          <w:color w:val="000000" w:themeColor="text1"/>
          <w:highlight w:val="none"/>
          <w14:textFill>
            <w14:solidFill>
              <w14:schemeClr w14:val="tx1"/>
            </w14:solidFill>
          </w14:textFill>
        </w:rPr>
      </w:pPr>
    </w:p>
    <w:p w14:paraId="2E98BF1A">
      <w:pPr>
        <w:spacing w:before="97" w:line="221" w:lineRule="auto"/>
        <w:ind w:left="3799"/>
        <w:outlineLvl w:val="9"/>
        <w:rPr>
          <w:rFonts w:hint="eastAsia" w:ascii="宋体" w:hAnsi="宋体" w:eastAsia="宋体" w:cs="宋体"/>
          <w:color w:val="000000" w:themeColor="text1"/>
          <w:sz w:val="30"/>
          <w:szCs w:val="30"/>
          <w:highlight w:val="none"/>
          <w14:textFill>
            <w14:solidFill>
              <w14:schemeClr w14:val="tx1"/>
            </w14:solidFill>
          </w14:textFill>
        </w:rPr>
      </w:pPr>
      <w:bookmarkStart w:id="221" w:name="bookmark148"/>
      <w:bookmarkEnd w:id="221"/>
      <w:bookmarkStart w:id="222" w:name="_Toc317"/>
      <w:bookmarkStart w:id="223" w:name="_Toc27397"/>
      <w:bookmarkStart w:id="224" w:name="_Toc297"/>
      <w:r>
        <w:rPr>
          <w:rFonts w:hint="eastAsia" w:ascii="宋体" w:hAnsi="宋体" w:eastAsia="宋体" w:cs="宋体"/>
          <w:b/>
          <w:bCs/>
          <w:color w:val="000000" w:themeColor="text1"/>
          <w:spacing w:val="-13"/>
          <w:sz w:val="30"/>
          <w:szCs w:val="30"/>
          <w:highlight w:val="none"/>
          <w14:textFill>
            <w14:solidFill>
              <w14:schemeClr w14:val="tx1"/>
            </w14:solidFill>
          </w14:textFill>
        </w:rPr>
        <w:t>投</w:t>
      </w:r>
      <w:r>
        <w:rPr>
          <w:rFonts w:hint="eastAsia" w:ascii="宋体" w:hAnsi="宋体" w:eastAsia="宋体" w:cs="宋体"/>
          <w:color w:val="000000" w:themeColor="text1"/>
          <w:spacing w:val="6"/>
          <w:sz w:val="30"/>
          <w:szCs w:val="30"/>
          <w:highlight w:val="none"/>
          <w14:textFill>
            <w14:solidFill>
              <w14:schemeClr w14:val="tx1"/>
            </w14:solidFill>
          </w14:textFill>
        </w:rPr>
        <w:t xml:space="preserve">  </w:t>
      </w:r>
      <w:r>
        <w:rPr>
          <w:rFonts w:hint="eastAsia" w:ascii="宋体" w:hAnsi="宋体" w:eastAsia="宋体" w:cs="宋体"/>
          <w:b/>
          <w:bCs/>
          <w:color w:val="000000" w:themeColor="text1"/>
          <w:spacing w:val="-13"/>
          <w:sz w:val="30"/>
          <w:szCs w:val="30"/>
          <w:highlight w:val="none"/>
          <w14:textFill>
            <w14:solidFill>
              <w14:schemeClr w14:val="tx1"/>
            </w14:solidFill>
          </w14:textFill>
        </w:rPr>
        <w:t>标</w:t>
      </w:r>
      <w:r>
        <w:rPr>
          <w:rFonts w:hint="eastAsia" w:ascii="宋体" w:hAnsi="宋体" w:eastAsia="宋体" w:cs="宋体"/>
          <w:color w:val="000000" w:themeColor="text1"/>
          <w:spacing w:val="17"/>
          <w:sz w:val="30"/>
          <w:szCs w:val="30"/>
          <w:highlight w:val="none"/>
          <w14:textFill>
            <w14:solidFill>
              <w14:schemeClr w14:val="tx1"/>
            </w14:solidFill>
          </w14:textFill>
        </w:rPr>
        <w:t xml:space="preserve">  </w:t>
      </w:r>
      <w:r>
        <w:rPr>
          <w:rFonts w:hint="eastAsia" w:ascii="宋体" w:hAnsi="宋体" w:eastAsia="宋体" w:cs="宋体"/>
          <w:b/>
          <w:bCs/>
          <w:color w:val="000000" w:themeColor="text1"/>
          <w:spacing w:val="-13"/>
          <w:sz w:val="30"/>
          <w:szCs w:val="30"/>
          <w:highlight w:val="none"/>
          <w14:textFill>
            <w14:solidFill>
              <w14:schemeClr w14:val="tx1"/>
            </w14:solidFill>
          </w14:textFill>
        </w:rPr>
        <w:t>函</w:t>
      </w:r>
      <w:bookmarkEnd w:id="222"/>
      <w:bookmarkEnd w:id="223"/>
      <w:bookmarkEnd w:id="224"/>
    </w:p>
    <w:p w14:paraId="58F05F57">
      <w:pPr>
        <w:pStyle w:val="5"/>
        <w:spacing w:line="249" w:lineRule="auto"/>
        <w:rPr>
          <w:rFonts w:hint="eastAsia" w:ascii="宋体" w:hAnsi="宋体" w:eastAsia="宋体" w:cs="宋体"/>
          <w:color w:val="000000" w:themeColor="text1"/>
          <w:highlight w:val="none"/>
          <w14:textFill>
            <w14:solidFill>
              <w14:schemeClr w14:val="tx1"/>
            </w14:solidFill>
          </w14:textFill>
        </w:rPr>
      </w:pPr>
    </w:p>
    <w:p w14:paraId="08B6DA1F">
      <w:pPr>
        <w:pStyle w:val="5"/>
        <w:spacing w:line="250" w:lineRule="auto"/>
        <w:rPr>
          <w:rFonts w:hint="eastAsia" w:ascii="宋体" w:hAnsi="宋体" w:eastAsia="宋体" w:cs="宋体"/>
          <w:color w:val="000000" w:themeColor="text1"/>
          <w:highlight w:val="none"/>
          <w14:textFill>
            <w14:solidFill>
              <w14:schemeClr w14:val="tx1"/>
            </w14:solidFill>
          </w14:textFill>
        </w:rPr>
      </w:pPr>
    </w:p>
    <w:p w14:paraId="1E3DA538">
      <w:pPr>
        <w:pStyle w:val="5"/>
        <w:spacing w:line="250" w:lineRule="auto"/>
        <w:rPr>
          <w:rFonts w:hint="eastAsia" w:ascii="宋体" w:hAnsi="宋体" w:eastAsia="宋体" w:cs="宋体"/>
          <w:color w:val="000000" w:themeColor="text1"/>
          <w:highlight w:val="none"/>
          <w14:textFill>
            <w14:solidFill>
              <w14:schemeClr w14:val="tx1"/>
            </w14:solidFill>
          </w14:textFill>
        </w:rPr>
      </w:pPr>
    </w:p>
    <w:p w14:paraId="448E62A4">
      <w:pPr>
        <w:spacing w:before="78" w:line="221" w:lineRule="auto"/>
        <w:ind w:left="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致</w:t>
      </w:r>
      <w:r>
        <w:rPr>
          <w:rFonts w:hint="eastAsia" w:ascii="宋体" w:hAnsi="宋体" w:eastAsia="宋体" w:cs="宋体"/>
          <w:color w:val="000000" w:themeColor="text1"/>
          <w:spacing w:val="-30"/>
          <w:sz w:val="24"/>
          <w:szCs w:val="24"/>
          <w:highlight w:val="none"/>
          <w14:textFill>
            <w14:solidFill>
              <w14:schemeClr w14:val="tx1"/>
            </w14:solidFill>
          </w14:textFill>
        </w:rPr>
        <w:t>：</w:t>
      </w:r>
      <w:r>
        <w:rPr>
          <w:rFonts w:hint="eastAsia" w:ascii="宋体" w:hAnsi="宋体" w:eastAsia="宋体" w:cs="宋体"/>
          <w:color w:val="000000" w:themeColor="text1"/>
          <w:spacing w:val="-3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30"/>
          <w:sz w:val="24"/>
          <w:szCs w:val="24"/>
          <w:highlight w:val="none"/>
          <w14:textFill>
            <w14:solidFill>
              <w14:schemeClr w14:val="tx1"/>
            </w14:solidFill>
          </w14:textFill>
        </w:rPr>
        <w:t>（</w:t>
      </w:r>
      <w:r>
        <w:rPr>
          <w:rFonts w:hint="eastAsia" w:ascii="宋体" w:hAnsi="宋体" w:eastAsia="宋体" w:cs="宋体"/>
          <w:color w:val="000000" w:themeColor="text1"/>
          <w:spacing w:val="7"/>
          <w:sz w:val="24"/>
          <w:szCs w:val="24"/>
          <w:highlight w:val="none"/>
          <w14:textFill>
            <w14:solidFill>
              <w14:schemeClr w14:val="tx1"/>
            </w14:solidFill>
          </w14:textFill>
        </w:rPr>
        <w:t>招标人名称）</w:t>
      </w:r>
    </w:p>
    <w:p w14:paraId="342E60C5">
      <w:pPr>
        <w:pStyle w:val="5"/>
        <w:spacing w:before="156" w:line="328" w:lineRule="auto"/>
        <w:ind w:left="9" w:right="142" w:firstLine="589"/>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我方考察现场并充分研究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pacing w:val="-12"/>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以下简称“本项目</w:t>
      </w:r>
      <w:r>
        <w:rPr>
          <w:rFonts w:hint="eastAsia" w:ascii="宋体" w:hAnsi="宋体" w:eastAsia="宋体" w:cs="宋体"/>
          <w:color w:val="000000" w:themeColor="text1"/>
          <w:spacing w:val="-85"/>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”）施工招标文件</w:t>
      </w:r>
      <w:r>
        <w:rPr>
          <w:rFonts w:hint="eastAsia" w:ascii="宋体" w:hAnsi="宋体" w:eastAsia="宋体" w:cs="宋体"/>
          <w:color w:val="000000" w:themeColor="text1"/>
          <w:spacing w:val="-2"/>
          <w:sz w:val="24"/>
          <w:szCs w:val="24"/>
          <w:highlight w:val="none"/>
          <w14:textFill>
            <w14:solidFill>
              <w14:schemeClr w14:val="tx1"/>
            </w14:solidFill>
          </w14:textFill>
        </w:rPr>
        <w:t>所有内容后，结合自身资质、能力和特点，愿意接受招标文件的全部内容和条件，兹以</w:t>
      </w:r>
      <w:r>
        <w:rPr>
          <w:rFonts w:hint="eastAsia" w:ascii="宋体" w:hAnsi="宋体" w:eastAsia="宋体" w:cs="宋体"/>
          <w:color w:val="000000" w:themeColor="text1"/>
          <w:spacing w:val="-5"/>
          <w:sz w:val="24"/>
          <w:szCs w:val="24"/>
          <w:highlight w:val="none"/>
          <w14:textFill>
            <w14:solidFill>
              <w14:schemeClr w14:val="tx1"/>
            </w14:solidFill>
          </w14:textFill>
        </w:rPr>
        <w:t>人民币（大写</w:t>
      </w: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w:t>
      </w:r>
      <w:r>
        <w:rPr>
          <w:rFonts w:hint="eastAsia" w:ascii="宋体" w:hAnsi="宋体" w:eastAsia="宋体" w:cs="宋体"/>
          <w:color w:val="000000" w:themeColor="text1"/>
          <w:spacing w:val="-6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3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w:t>
      </w:r>
      <w:r>
        <w:rPr>
          <w:rFonts w:hint="eastAsia" w:ascii="宋体" w:hAnsi="宋体" w:eastAsia="宋体" w:cs="宋体"/>
          <w:color w:val="000000" w:themeColor="text1"/>
          <w:spacing w:val="4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的投标总价竞投本项目施工。</w:t>
      </w:r>
    </w:p>
    <w:p w14:paraId="19F6B28C">
      <w:pPr>
        <w:spacing w:before="39" w:line="323" w:lineRule="auto"/>
        <w:ind w:right="142" w:firstLine="57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在我方的上述投标总价中，包括：绿色施工安全防护措施费¥</w:t>
      </w:r>
      <w:r>
        <w:rPr>
          <w:rFonts w:hint="eastAsia" w:ascii="宋体" w:hAnsi="宋体" w:eastAsia="宋体" w:cs="宋体"/>
          <w:color w:val="000000" w:themeColor="text1"/>
          <w:spacing w:val="-3"/>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u w:val="none"/>
          <w:lang w:eastAsia="zh-CN"/>
          <w14:textFill>
            <w14:solidFill>
              <w14:schemeClr w14:val="tx1"/>
            </w14:solidFill>
          </w14:textFill>
        </w:rPr>
        <w:t>；暂列金额</w:t>
      </w:r>
      <w:r>
        <w:rPr>
          <w:rFonts w:hint="eastAsia" w:ascii="宋体" w:hAnsi="宋体" w:eastAsia="宋体" w:cs="宋体"/>
          <w:color w:val="000000" w:themeColor="text1"/>
          <w:spacing w:val="-2"/>
          <w:sz w:val="24"/>
          <w:szCs w:val="24"/>
          <w:highlight w:val="none"/>
          <w:u w:val="none"/>
          <w14:textFill>
            <w14:solidFill>
              <w14:schemeClr w14:val="tx1"/>
            </w14:solidFill>
          </w14:textFill>
        </w:rPr>
        <w:t>¥</w:t>
      </w:r>
      <w:r>
        <w:rPr>
          <w:rFonts w:hint="eastAsia" w:ascii="宋体" w:hAnsi="宋体" w:eastAsia="宋体" w:cs="宋体"/>
          <w:color w:val="000000" w:themeColor="text1"/>
          <w:spacing w:val="-3"/>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u w:val="none"/>
          <w:lang w:eastAsia="zh-CN"/>
          <w14:textFill>
            <w14:solidFill>
              <w14:schemeClr w14:val="tx1"/>
            </w14:solidFill>
          </w14:textFill>
        </w:rPr>
        <w:t>；暂估价</w:t>
      </w: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w:t>
      </w:r>
    </w:p>
    <w:p w14:paraId="725455D2">
      <w:pPr>
        <w:spacing w:before="38" w:line="280" w:lineRule="auto"/>
        <w:ind w:left="13" w:right="142" w:firstLine="56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  如果我方中标，我方保证按照合同约定的开工日期开始本项目的施工</w:t>
      </w:r>
      <w:r>
        <w:rPr>
          <w:rFonts w:hint="eastAsia" w:ascii="宋体" w:hAnsi="宋体" w:eastAsia="宋体" w:cs="宋体"/>
          <w:color w:val="000000" w:themeColor="text1"/>
          <w:sz w:val="24"/>
          <w:szCs w:val="24"/>
          <w:highlight w:val="none"/>
          <w14:textFill>
            <w14:solidFill>
              <w14:schemeClr w14:val="tx1"/>
            </w14:solidFill>
          </w14:textFill>
        </w:rPr>
        <w:t>，</w:t>
      </w:r>
      <w:bookmarkStart w:id="225" w:name="OLE_LINK34"/>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bookmarkEnd w:id="225"/>
      <w:r>
        <w:rPr>
          <w:rFonts w:hint="eastAsia" w:ascii="宋体" w:hAnsi="宋体" w:eastAsia="宋体" w:cs="宋体"/>
          <w:color w:val="000000" w:themeColor="text1"/>
          <w:sz w:val="24"/>
          <w:szCs w:val="24"/>
          <w:highlight w:val="none"/>
          <w14:textFill>
            <w14:solidFill>
              <w14:schemeClr w14:val="tx1"/>
            </w14:solidFill>
          </w14:textFill>
        </w:rPr>
        <w:t xml:space="preserve">个日历 </w:t>
      </w:r>
      <w:r>
        <w:rPr>
          <w:rFonts w:hint="eastAsia" w:ascii="宋体" w:hAnsi="宋体" w:eastAsia="宋体" w:cs="宋体"/>
          <w:color w:val="000000" w:themeColor="text1"/>
          <w:spacing w:val="-1"/>
          <w:sz w:val="24"/>
          <w:szCs w:val="24"/>
          <w:highlight w:val="none"/>
          <w14:textFill>
            <w14:solidFill>
              <w14:schemeClr w14:val="tx1"/>
            </w14:solidFill>
          </w14:textFill>
        </w:rPr>
        <w:t>天内竣工，并确保工程质量达到</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标准和维修其中的任何缺陷。</w:t>
      </w:r>
    </w:p>
    <w:p w14:paraId="10E8DA76">
      <w:pPr>
        <w:spacing w:before="152" w:line="279" w:lineRule="auto"/>
        <w:ind w:left="11" w:right="142" w:firstLine="5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  本投标函在你方接收我方递交的投标文件之日起、到招标</w:t>
      </w:r>
      <w:r>
        <w:rPr>
          <w:rFonts w:hint="eastAsia" w:ascii="宋体" w:hAnsi="宋体" w:eastAsia="宋体" w:cs="宋体"/>
          <w:color w:val="000000" w:themeColor="text1"/>
          <w:sz w:val="24"/>
          <w:szCs w:val="24"/>
          <w:highlight w:val="none"/>
          <w14:textFill>
            <w14:solidFill>
              <w14:schemeClr w14:val="tx1"/>
            </w14:solidFill>
          </w14:textFill>
        </w:rPr>
        <w:t xml:space="preserve">文件规定的投标有效 </w:t>
      </w:r>
      <w:r>
        <w:rPr>
          <w:rFonts w:hint="eastAsia" w:ascii="宋体" w:hAnsi="宋体" w:eastAsia="宋体" w:cs="宋体"/>
          <w:color w:val="000000" w:themeColor="text1"/>
          <w:spacing w:val="-1"/>
          <w:sz w:val="24"/>
          <w:szCs w:val="24"/>
          <w:highlight w:val="none"/>
          <w14:textFill>
            <w14:solidFill>
              <w14:schemeClr w14:val="tx1"/>
            </w14:solidFill>
          </w14:textFill>
        </w:rPr>
        <w:t>期期满前对我方具有约束力。我方随时准备接受你方发出的中标通知书。</w:t>
      </w:r>
    </w:p>
    <w:p w14:paraId="36F81C92">
      <w:pPr>
        <w:spacing w:before="156" w:line="279" w:lineRule="auto"/>
        <w:ind w:left="11" w:right="61" w:firstLine="56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．我方在此声明，我方不存在本项目招标</w:t>
      </w:r>
      <w:r>
        <w:rPr>
          <w:rFonts w:hint="eastAsia" w:ascii="宋体" w:hAnsi="宋体" w:eastAsia="宋体" w:cs="宋体"/>
          <w:color w:val="000000" w:themeColor="text1"/>
          <w:spacing w:val="-1"/>
          <w:sz w:val="24"/>
          <w:szCs w:val="24"/>
          <w:highlight w:val="none"/>
          <w14:textFill>
            <w14:solidFill>
              <w14:schemeClr w14:val="tx1"/>
            </w14:solidFill>
          </w14:textFill>
        </w:rPr>
        <w:t>文件第一章第三节第</w:t>
      </w:r>
      <w:r>
        <w:rPr>
          <w:rFonts w:hint="eastAsia" w:ascii="宋体" w:hAnsi="宋体" w:eastAsia="宋体" w:cs="宋体"/>
          <w:color w:val="000000" w:themeColor="text1"/>
          <w:spacing w:val="-55"/>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1"/>
          <w:sz w:val="24"/>
          <w:szCs w:val="24"/>
          <w:highlight w:val="none"/>
          <w14:textFill>
            <w14:solidFill>
              <w14:schemeClr w14:val="tx1"/>
            </w14:solidFill>
          </w14:textFill>
        </w:rPr>
        <w:t>2.4</w:t>
      </w:r>
      <w:r>
        <w:rPr>
          <w:rFonts w:hint="eastAsia" w:ascii="宋体" w:hAnsi="宋体" w:eastAsia="宋体" w:cs="宋体"/>
          <w:b/>
          <w:bCs/>
          <w:color w:val="000000" w:themeColor="text1"/>
          <w:spacing w:val="16"/>
          <w:w w:val="10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条“禁止投标</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条款</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”所列出的任何一种情形，并愿意承担因我</w:t>
      </w:r>
      <w:r>
        <w:rPr>
          <w:rFonts w:hint="eastAsia" w:ascii="宋体" w:hAnsi="宋体" w:eastAsia="宋体" w:cs="宋体"/>
          <w:color w:val="000000" w:themeColor="text1"/>
          <w:spacing w:val="-7"/>
          <w:sz w:val="24"/>
          <w:szCs w:val="24"/>
          <w:highlight w:val="none"/>
          <w14:textFill>
            <w14:solidFill>
              <w14:schemeClr w14:val="tx1"/>
            </w14:solidFill>
          </w14:textFill>
        </w:rPr>
        <w:t>方就此弄虚作假所引起的一切法律后果。</w:t>
      </w:r>
    </w:p>
    <w:p w14:paraId="765DA048">
      <w:pPr>
        <w:spacing w:before="153" w:line="280" w:lineRule="auto"/>
        <w:ind w:left="9" w:right="142" w:firstLine="5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5</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．我方在此承诺，所递交投标文件的全部内容均为真实、有效、准确的，并愿意</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承担因我方就此弄虚作假所引起的一切法律后果，同时理解和同意有可能被要求提供更</w:t>
      </w:r>
    </w:p>
    <w:p w14:paraId="0E71490A">
      <w:pPr>
        <w:spacing w:before="153" w:line="221" w:lineRule="auto"/>
        <w:ind w:left="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多的资料。</w:t>
      </w:r>
    </w:p>
    <w:p w14:paraId="0954415E">
      <w:pPr>
        <w:spacing w:before="153" w:line="326" w:lineRule="auto"/>
        <w:ind w:left="13" w:firstLine="5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6.  我方理解你方不一定要接纳收到的最低投标总价或任何投标总价的投标人中标，</w:t>
      </w:r>
      <w:r>
        <w:rPr>
          <w:rFonts w:hint="eastAsia" w:ascii="宋体" w:hAnsi="宋体" w:eastAsia="宋体" w:cs="宋体"/>
          <w:color w:val="000000" w:themeColor="text1"/>
          <w:spacing w:val="1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也不要求你方解释我方是否中标的原因。</w:t>
      </w:r>
    </w:p>
    <w:p w14:paraId="665C13C8">
      <w:pPr>
        <w:pStyle w:val="5"/>
        <w:spacing w:line="276" w:lineRule="auto"/>
        <w:rPr>
          <w:rFonts w:hint="eastAsia" w:ascii="宋体" w:hAnsi="宋体" w:eastAsia="宋体" w:cs="宋体"/>
          <w:color w:val="000000" w:themeColor="text1"/>
          <w:highlight w:val="none"/>
          <w14:textFill>
            <w14:solidFill>
              <w14:schemeClr w14:val="tx1"/>
            </w14:solidFill>
          </w14:textFill>
        </w:rPr>
      </w:pPr>
    </w:p>
    <w:p w14:paraId="6A293A0C">
      <w:pPr>
        <w:pStyle w:val="5"/>
        <w:spacing w:line="277" w:lineRule="auto"/>
        <w:rPr>
          <w:rFonts w:hint="eastAsia" w:ascii="宋体" w:hAnsi="宋体" w:eastAsia="宋体" w:cs="宋体"/>
          <w:color w:val="000000" w:themeColor="text1"/>
          <w:highlight w:val="none"/>
          <w14:textFill>
            <w14:solidFill>
              <w14:schemeClr w14:val="tx1"/>
            </w14:solidFill>
          </w14:textFill>
        </w:rPr>
      </w:pPr>
    </w:p>
    <w:p w14:paraId="1338C97A">
      <w:pPr>
        <w:pStyle w:val="5"/>
        <w:spacing w:line="277" w:lineRule="auto"/>
        <w:rPr>
          <w:rFonts w:hint="eastAsia" w:ascii="宋体" w:hAnsi="宋体" w:eastAsia="宋体" w:cs="宋体"/>
          <w:color w:val="000000" w:themeColor="text1"/>
          <w:highlight w:val="none"/>
          <w14:textFill>
            <w14:solidFill>
              <w14:schemeClr w14:val="tx1"/>
            </w14:solidFill>
          </w14:textFill>
        </w:rPr>
      </w:pPr>
    </w:p>
    <w:p w14:paraId="6D644921">
      <w:pPr>
        <w:spacing w:before="79" w:line="219" w:lineRule="auto"/>
        <w:ind w:firstLine="5856" w:firstLineChars="24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投标人</w:t>
      </w:r>
      <w:r>
        <w:rPr>
          <w:rFonts w:hint="eastAsia" w:ascii="宋体" w:hAnsi="宋体" w:eastAsia="宋体" w:cs="宋体"/>
          <w:color w:val="000000" w:themeColor="text1"/>
          <w:spacing w:val="-15"/>
          <w:sz w:val="24"/>
          <w:szCs w:val="24"/>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盖单位章）</w:t>
      </w:r>
    </w:p>
    <w:p w14:paraId="53B9F8FC">
      <w:pPr>
        <w:pStyle w:val="5"/>
        <w:spacing w:line="256" w:lineRule="auto"/>
        <w:jc w:val="right"/>
        <w:rPr>
          <w:rFonts w:hint="eastAsia" w:ascii="宋体" w:hAnsi="宋体" w:eastAsia="宋体" w:cs="宋体"/>
          <w:color w:val="000000" w:themeColor="text1"/>
          <w:highlight w:val="none"/>
          <w14:textFill>
            <w14:solidFill>
              <w14:schemeClr w14:val="tx1"/>
            </w14:solidFill>
          </w14:textFill>
        </w:rPr>
      </w:pPr>
    </w:p>
    <w:p w14:paraId="1FE5B2A2">
      <w:pPr>
        <w:pStyle w:val="5"/>
        <w:spacing w:line="256" w:lineRule="auto"/>
        <w:jc w:val="right"/>
        <w:rPr>
          <w:rFonts w:hint="eastAsia" w:ascii="宋体" w:hAnsi="宋体" w:eastAsia="宋体" w:cs="宋体"/>
          <w:color w:val="000000" w:themeColor="text1"/>
          <w:highlight w:val="none"/>
          <w14:textFill>
            <w14:solidFill>
              <w14:schemeClr w14:val="tx1"/>
            </w14:solidFill>
          </w14:textFill>
        </w:rPr>
      </w:pPr>
    </w:p>
    <w:p w14:paraId="70C6C00B">
      <w:pPr>
        <w:spacing w:before="78" w:line="219" w:lineRule="auto"/>
        <w:ind w:left="3922"/>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15"/>
          <w:sz w:val="24"/>
          <w:szCs w:val="24"/>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签字或盖章）</w:t>
      </w:r>
    </w:p>
    <w:p w14:paraId="37331156">
      <w:pPr>
        <w:pStyle w:val="5"/>
        <w:spacing w:line="257" w:lineRule="auto"/>
        <w:rPr>
          <w:rFonts w:hint="eastAsia" w:ascii="宋体" w:hAnsi="宋体" w:eastAsia="宋体" w:cs="宋体"/>
          <w:color w:val="000000" w:themeColor="text1"/>
          <w:highlight w:val="none"/>
          <w14:textFill>
            <w14:solidFill>
              <w14:schemeClr w14:val="tx1"/>
            </w14:solidFill>
          </w14:textFill>
        </w:rPr>
      </w:pPr>
    </w:p>
    <w:p w14:paraId="3063FEBF">
      <w:pPr>
        <w:pStyle w:val="5"/>
        <w:spacing w:line="257" w:lineRule="auto"/>
        <w:rPr>
          <w:rFonts w:hint="eastAsia" w:ascii="宋体" w:hAnsi="宋体" w:eastAsia="宋体" w:cs="宋体"/>
          <w:color w:val="000000" w:themeColor="text1"/>
          <w:highlight w:val="none"/>
          <w14:textFill>
            <w14:solidFill>
              <w14:schemeClr w14:val="tx1"/>
            </w14:solidFill>
          </w14:textFill>
        </w:rPr>
      </w:pPr>
    </w:p>
    <w:p w14:paraId="27512AB8">
      <w:pPr>
        <w:spacing w:before="79" w:line="220" w:lineRule="auto"/>
        <w:ind w:left="697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日</w:t>
      </w:r>
    </w:p>
    <w:p w14:paraId="30CAFEDD">
      <w:pPr>
        <w:spacing w:line="220" w:lineRule="auto"/>
        <w:rPr>
          <w:rFonts w:hint="eastAsia" w:ascii="宋体" w:hAnsi="宋体" w:eastAsia="宋体" w:cs="宋体"/>
          <w:color w:val="000000" w:themeColor="text1"/>
          <w:sz w:val="24"/>
          <w:szCs w:val="24"/>
          <w:highlight w:val="none"/>
          <w14:textFill>
            <w14:solidFill>
              <w14:schemeClr w14:val="tx1"/>
            </w14:solidFill>
          </w14:textFill>
        </w:rPr>
        <w:sectPr>
          <w:footerReference r:id="rId17"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205EF889">
      <w:pPr>
        <w:spacing w:before="78" w:line="220" w:lineRule="auto"/>
        <w:outlineLvl w:val="2"/>
        <w:rPr>
          <w:rFonts w:hint="eastAsia" w:ascii="宋体" w:hAnsi="宋体" w:eastAsia="宋体" w:cs="宋体"/>
          <w:b/>
          <w:bCs/>
          <w:color w:val="000000" w:themeColor="text1"/>
          <w:spacing w:val="-4"/>
          <w:sz w:val="24"/>
          <w:szCs w:val="24"/>
          <w:highlight w:val="none"/>
          <w14:textFill>
            <w14:solidFill>
              <w14:schemeClr w14:val="tx1"/>
            </w14:solidFill>
          </w14:textFill>
        </w:rPr>
      </w:pPr>
      <w:bookmarkStart w:id="226" w:name="_Toc16728"/>
      <w:r>
        <w:rPr>
          <w:rFonts w:hint="eastAsia" w:ascii="宋体" w:hAnsi="宋体" w:eastAsia="宋体" w:cs="宋体"/>
          <w:b/>
          <w:bCs/>
          <w:color w:val="000000" w:themeColor="text1"/>
          <w:spacing w:val="-4"/>
          <w:sz w:val="24"/>
          <w:szCs w:val="24"/>
          <w:highlight w:val="none"/>
          <w14:textFill>
            <w14:solidFill>
              <w14:schemeClr w14:val="tx1"/>
            </w14:solidFill>
          </w14:textFill>
        </w:rPr>
        <w:t>格式三 各项承诺一览表</w:t>
      </w:r>
      <w:bookmarkEnd w:id="226"/>
    </w:p>
    <w:p w14:paraId="51E0204F">
      <w:pPr>
        <w:pStyle w:val="5"/>
        <w:spacing w:line="254" w:lineRule="auto"/>
        <w:rPr>
          <w:rFonts w:hint="eastAsia" w:ascii="宋体" w:hAnsi="宋体" w:eastAsia="宋体" w:cs="宋体"/>
          <w:color w:val="000000" w:themeColor="text1"/>
          <w:highlight w:val="none"/>
          <w14:textFill>
            <w14:solidFill>
              <w14:schemeClr w14:val="tx1"/>
            </w14:solidFill>
          </w14:textFill>
        </w:rPr>
      </w:pPr>
    </w:p>
    <w:p w14:paraId="34B1A1A4">
      <w:pPr>
        <w:spacing w:before="98" w:line="220" w:lineRule="auto"/>
        <w:ind w:left="3581"/>
        <w:outlineLvl w:val="9"/>
        <w:rPr>
          <w:rFonts w:hint="eastAsia" w:ascii="宋体" w:hAnsi="宋体" w:eastAsia="宋体" w:cs="宋体"/>
          <w:color w:val="000000" w:themeColor="text1"/>
          <w:sz w:val="30"/>
          <w:szCs w:val="30"/>
          <w:highlight w:val="none"/>
          <w14:textFill>
            <w14:solidFill>
              <w14:schemeClr w14:val="tx1"/>
            </w14:solidFill>
          </w14:textFill>
        </w:rPr>
      </w:pPr>
      <w:bookmarkStart w:id="227" w:name="bookmark149"/>
      <w:bookmarkEnd w:id="227"/>
      <w:bookmarkStart w:id="228" w:name="_Toc4767"/>
      <w:bookmarkStart w:id="229" w:name="_Toc10326"/>
      <w:bookmarkStart w:id="230" w:name="_Toc2936"/>
      <w:r>
        <w:rPr>
          <w:rFonts w:hint="eastAsia" w:ascii="宋体" w:hAnsi="宋体" w:eastAsia="宋体" w:cs="宋体"/>
          <w:b/>
          <w:bCs/>
          <w:color w:val="000000" w:themeColor="text1"/>
          <w:spacing w:val="-5"/>
          <w:sz w:val="30"/>
          <w:szCs w:val="30"/>
          <w:highlight w:val="none"/>
          <w14:textFill>
            <w14:solidFill>
              <w14:schemeClr w14:val="tx1"/>
            </w14:solidFill>
          </w14:textFill>
        </w:rPr>
        <w:t>各项承诺一览表</w:t>
      </w:r>
      <w:bookmarkEnd w:id="228"/>
      <w:bookmarkEnd w:id="229"/>
      <w:bookmarkEnd w:id="230"/>
    </w:p>
    <w:p w14:paraId="5C63A27F">
      <w:pPr>
        <w:spacing w:before="6"/>
        <w:rPr>
          <w:rFonts w:hint="eastAsia" w:ascii="宋体" w:hAnsi="宋体" w:eastAsia="宋体" w:cs="宋体"/>
          <w:color w:val="000000" w:themeColor="text1"/>
          <w:highlight w:val="none"/>
          <w14:textFill>
            <w14:solidFill>
              <w14:schemeClr w14:val="tx1"/>
            </w14:solidFill>
          </w14:textFill>
        </w:rPr>
      </w:pPr>
    </w:p>
    <w:tbl>
      <w:tblPr>
        <w:tblStyle w:val="12"/>
        <w:tblW w:w="98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675"/>
        <w:gridCol w:w="3107"/>
        <w:gridCol w:w="4272"/>
      </w:tblGrid>
      <w:tr w14:paraId="5204A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754B582C">
            <w:pPr>
              <w:keepNext w:val="0"/>
              <w:keepLines w:val="0"/>
              <w:pageBreakBefore w:val="0"/>
              <w:widowControl/>
              <w:kinsoku w:val="0"/>
              <w:wordWrap/>
              <w:overflowPunct/>
              <w:topLinePunct w:val="0"/>
              <w:autoSpaceDE w:val="0"/>
              <w:autoSpaceDN w:val="0"/>
              <w:bidi w:val="0"/>
              <w:adjustRightInd w:val="0"/>
              <w:snapToGrid w:val="0"/>
              <w:spacing w:before="209" w:line="288" w:lineRule="auto"/>
              <w:ind w:left="126"/>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序号</w:t>
            </w:r>
          </w:p>
        </w:tc>
        <w:tc>
          <w:tcPr>
            <w:tcW w:w="1675" w:type="dxa"/>
            <w:vAlign w:val="top"/>
          </w:tcPr>
          <w:p w14:paraId="1CCE799E">
            <w:pPr>
              <w:keepNext w:val="0"/>
              <w:keepLines w:val="0"/>
              <w:pageBreakBefore w:val="0"/>
              <w:widowControl/>
              <w:kinsoku w:val="0"/>
              <w:wordWrap/>
              <w:overflowPunct/>
              <w:topLinePunct w:val="0"/>
              <w:autoSpaceDE w:val="0"/>
              <w:autoSpaceDN w:val="0"/>
              <w:bidi w:val="0"/>
              <w:adjustRightInd w:val="0"/>
              <w:snapToGrid w:val="0"/>
              <w:spacing w:before="208" w:line="288" w:lineRule="auto"/>
              <w:ind w:left="31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承诺事项</w:t>
            </w:r>
          </w:p>
        </w:tc>
        <w:tc>
          <w:tcPr>
            <w:tcW w:w="3107" w:type="dxa"/>
            <w:vAlign w:val="top"/>
          </w:tcPr>
          <w:p w14:paraId="4EBB8A6D">
            <w:pPr>
              <w:keepNext w:val="0"/>
              <w:keepLines w:val="0"/>
              <w:pageBreakBefore w:val="0"/>
              <w:widowControl/>
              <w:kinsoku w:val="0"/>
              <w:wordWrap/>
              <w:overflowPunct/>
              <w:topLinePunct w:val="0"/>
              <w:autoSpaceDE w:val="0"/>
              <w:autoSpaceDN w:val="0"/>
              <w:bidi w:val="0"/>
              <w:adjustRightInd w:val="0"/>
              <w:snapToGrid w:val="0"/>
              <w:spacing w:before="209" w:line="288" w:lineRule="auto"/>
              <w:ind w:left="987"/>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承诺内容</w:t>
            </w:r>
          </w:p>
        </w:tc>
        <w:tc>
          <w:tcPr>
            <w:tcW w:w="4272" w:type="dxa"/>
            <w:vAlign w:val="top"/>
          </w:tcPr>
          <w:p w14:paraId="31A27193">
            <w:pPr>
              <w:keepNext w:val="0"/>
              <w:keepLines w:val="0"/>
              <w:pageBreakBefore w:val="0"/>
              <w:widowControl/>
              <w:kinsoku w:val="0"/>
              <w:wordWrap/>
              <w:overflowPunct/>
              <w:topLinePunct w:val="0"/>
              <w:autoSpaceDE w:val="0"/>
              <w:autoSpaceDN w:val="0"/>
              <w:bidi w:val="0"/>
              <w:adjustRightInd w:val="0"/>
              <w:snapToGrid w:val="0"/>
              <w:spacing w:before="209" w:line="288" w:lineRule="auto"/>
              <w:ind w:left="1537"/>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违约承诺</w:t>
            </w:r>
          </w:p>
        </w:tc>
      </w:tr>
      <w:tr w14:paraId="2A006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624702D0">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0704BA13">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7E655357">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48261D65">
            <w:pPr>
              <w:keepNext w:val="0"/>
              <w:keepLines w:val="0"/>
              <w:pageBreakBefore w:val="0"/>
              <w:widowControl/>
              <w:kinsoku w:val="0"/>
              <w:wordWrap/>
              <w:overflowPunct/>
              <w:topLinePunct w:val="0"/>
              <w:autoSpaceDE w:val="0"/>
              <w:autoSpaceDN w:val="0"/>
              <w:bidi w:val="0"/>
              <w:adjustRightInd w:val="0"/>
              <w:snapToGrid w:val="0"/>
              <w:spacing w:before="58" w:line="288" w:lineRule="auto"/>
              <w:ind w:left="328"/>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675" w:type="dxa"/>
            <w:vAlign w:val="top"/>
          </w:tcPr>
          <w:p w14:paraId="4B04411B">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3B54C4E4">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01CAE980">
            <w:pPr>
              <w:keepNext w:val="0"/>
              <w:keepLines w:val="0"/>
              <w:pageBreakBefore w:val="0"/>
              <w:widowControl/>
              <w:kinsoku w:val="0"/>
              <w:wordWrap/>
              <w:overflowPunct/>
              <w:topLinePunct w:val="0"/>
              <w:autoSpaceDE w:val="0"/>
              <w:autoSpaceDN w:val="0"/>
              <w:bidi w:val="0"/>
              <w:adjustRightInd w:val="0"/>
              <w:snapToGrid w:val="0"/>
              <w:spacing w:before="65" w:line="288" w:lineRule="auto"/>
              <w:ind w:left="57" w:right="50" w:firstLine="135"/>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自愿接受招标</w:t>
            </w:r>
            <w:r>
              <w:rPr>
                <w:rFonts w:hint="eastAsia" w:ascii="宋体" w:hAnsi="宋体" w:eastAsia="宋体" w:cs="宋体"/>
                <w:color w:val="000000" w:themeColor="text1"/>
                <w:spacing w:val="8"/>
                <w:sz w:val="24"/>
                <w:szCs w:val="24"/>
                <w:highlight w:val="none"/>
                <w14:textFill>
                  <w14:solidFill>
                    <w14:schemeClr w14:val="tx1"/>
                  </w14:solidFill>
                </w14:textFill>
              </w:rPr>
              <w:t>文件条款的承诺</w:t>
            </w:r>
          </w:p>
        </w:tc>
        <w:tc>
          <w:tcPr>
            <w:tcW w:w="3107" w:type="dxa"/>
            <w:vAlign w:val="top"/>
          </w:tcPr>
          <w:p w14:paraId="2CDC7B50">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41955F4E">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1"/>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5"/>
                <w:sz w:val="24"/>
                <w:szCs w:val="24"/>
                <w:highlight w:val="none"/>
                <w14:textFill>
                  <w14:solidFill>
                    <w14:schemeClr w14:val="tx1"/>
                  </w14:solidFill>
                </w14:textFill>
              </w:rPr>
              <w:t>我方自愿接受招标文件的</w:t>
            </w:r>
            <w:r>
              <w:rPr>
                <w:rFonts w:hint="eastAsia" w:ascii="宋体" w:hAnsi="宋体" w:eastAsia="宋体" w:cs="宋体"/>
                <w:color w:val="000000" w:themeColor="text1"/>
                <w:spacing w:val="7"/>
                <w:sz w:val="24"/>
                <w:szCs w:val="24"/>
                <w:highlight w:val="none"/>
                <w14:textFill>
                  <w14:solidFill>
                    <w14:schemeClr w14:val="tx1"/>
                  </w14:solidFill>
                </w14:textFill>
              </w:rPr>
              <w:t>所有条款，所递交的投标文件已</w:t>
            </w:r>
            <w:r>
              <w:rPr>
                <w:rFonts w:hint="eastAsia" w:ascii="宋体" w:hAnsi="宋体" w:eastAsia="宋体" w:cs="宋体"/>
                <w:color w:val="000000" w:themeColor="text1"/>
                <w:spacing w:val="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3"/>
                <w:sz w:val="24"/>
                <w:szCs w:val="24"/>
                <w:highlight w:val="none"/>
                <w14:textFill>
                  <w14:solidFill>
                    <w14:schemeClr w14:val="tx1"/>
                  </w14:solidFill>
                </w14:textFill>
              </w:rPr>
              <w:t>经充分响应招标文件的实质性</w:t>
            </w:r>
            <w:r>
              <w:rPr>
                <w:rFonts w:hint="eastAsia" w:ascii="宋体" w:hAnsi="宋体" w:eastAsia="宋体" w:cs="宋体"/>
                <w:color w:val="000000" w:themeColor="text1"/>
                <w:spacing w:val="3"/>
                <w:sz w:val="24"/>
                <w:szCs w:val="24"/>
                <w:highlight w:val="none"/>
                <w14:textFill>
                  <w14:solidFill>
                    <w14:schemeClr w14:val="tx1"/>
                  </w14:solidFill>
                </w14:textFill>
              </w:rPr>
              <w:t>要求。</w:t>
            </w:r>
          </w:p>
        </w:tc>
        <w:tc>
          <w:tcPr>
            <w:tcW w:w="4272" w:type="dxa"/>
            <w:vAlign w:val="top"/>
          </w:tcPr>
          <w:p w14:paraId="31B3DB23">
            <w:pPr>
              <w:keepNext w:val="0"/>
              <w:keepLines w:val="0"/>
              <w:pageBreakBefore w:val="0"/>
              <w:widowControl/>
              <w:kinsoku w:val="0"/>
              <w:wordWrap/>
              <w:overflowPunct/>
              <w:topLinePunct w:val="0"/>
              <w:autoSpaceDE w:val="0"/>
              <w:autoSpaceDN w:val="0"/>
              <w:bidi w:val="0"/>
              <w:adjustRightInd w:val="0"/>
              <w:snapToGrid w:val="0"/>
              <w:spacing w:before="122" w:line="288" w:lineRule="auto"/>
              <w:ind w:left="14" w:right="4" w:firstLine="42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如果我方的投标文件未响应、违反、偏</w:t>
            </w:r>
            <w:r>
              <w:rPr>
                <w:rFonts w:hint="eastAsia" w:ascii="宋体" w:hAnsi="宋体" w:eastAsia="宋体" w:cs="宋体"/>
                <w:color w:val="000000" w:themeColor="text1"/>
                <w:spacing w:val="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离招标文件的实质性要求，我方接受招标人或其授权的招标代理机构或其组建的评标委</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员会依据招标文件作出的相应处理，包括否</w:t>
            </w:r>
            <w:r>
              <w:rPr>
                <w:rFonts w:hint="eastAsia" w:ascii="宋体" w:hAnsi="宋体" w:eastAsia="宋体" w:cs="宋体"/>
                <w:color w:val="000000" w:themeColor="text1"/>
                <w:spacing w:val="4"/>
                <w:sz w:val="24"/>
                <w:szCs w:val="24"/>
                <w:highlight w:val="none"/>
                <w14:textFill>
                  <w14:solidFill>
                    <w14:schemeClr w14:val="tx1"/>
                  </w14:solidFill>
                </w14:textFill>
              </w:rPr>
              <w:t>决投标。</w:t>
            </w:r>
          </w:p>
        </w:tc>
      </w:tr>
      <w:tr w14:paraId="10B0D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42314E10">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6E27A7B7">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79B8A91D">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26A60F84">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2F577063">
            <w:pPr>
              <w:keepNext w:val="0"/>
              <w:keepLines w:val="0"/>
              <w:pageBreakBefore w:val="0"/>
              <w:widowControl/>
              <w:kinsoku w:val="0"/>
              <w:wordWrap/>
              <w:overflowPunct/>
              <w:topLinePunct w:val="0"/>
              <w:autoSpaceDE w:val="0"/>
              <w:autoSpaceDN w:val="0"/>
              <w:bidi w:val="0"/>
              <w:adjustRightInd w:val="0"/>
              <w:snapToGrid w:val="0"/>
              <w:spacing w:before="58" w:line="288" w:lineRule="auto"/>
              <w:ind w:left="308"/>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675" w:type="dxa"/>
            <w:vAlign w:val="top"/>
          </w:tcPr>
          <w:p w14:paraId="62B6B5F2">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5A755D8F">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64DE9E5F">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796EA612">
            <w:pPr>
              <w:keepNext w:val="0"/>
              <w:keepLines w:val="0"/>
              <w:pageBreakBefore w:val="0"/>
              <w:widowControl/>
              <w:kinsoku w:val="0"/>
              <w:wordWrap/>
              <w:overflowPunct/>
              <w:topLinePunct w:val="0"/>
              <w:autoSpaceDE w:val="0"/>
              <w:autoSpaceDN w:val="0"/>
              <w:bidi w:val="0"/>
              <w:adjustRightInd w:val="0"/>
              <w:snapToGrid w:val="0"/>
              <w:spacing w:before="65" w:line="288" w:lineRule="auto"/>
              <w:ind w:left="262" w:right="261" w:firstLine="3"/>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无禁止投标</w:t>
            </w:r>
            <w:r>
              <w:rPr>
                <w:rFonts w:hint="eastAsia" w:ascii="宋体" w:hAnsi="宋体" w:eastAsia="宋体" w:cs="宋体"/>
                <w:color w:val="000000" w:themeColor="text1"/>
                <w:spacing w:val="8"/>
                <w:sz w:val="24"/>
                <w:szCs w:val="24"/>
                <w:highlight w:val="none"/>
                <w14:textFill>
                  <w14:solidFill>
                    <w14:schemeClr w14:val="tx1"/>
                  </w14:solidFill>
                </w14:textFill>
              </w:rPr>
              <w:t>情形的承诺</w:t>
            </w:r>
          </w:p>
        </w:tc>
        <w:tc>
          <w:tcPr>
            <w:tcW w:w="3107" w:type="dxa"/>
            <w:vAlign w:val="top"/>
          </w:tcPr>
          <w:p w14:paraId="6DBD4A30">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168E3A76">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37C38C6C">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5"/>
                <w:sz w:val="24"/>
                <w:szCs w:val="24"/>
                <w:highlight w:val="none"/>
                <w14:textFill>
                  <w14:solidFill>
                    <w14:schemeClr w14:val="tx1"/>
                  </w14:solidFill>
                </w14:textFill>
              </w:rPr>
              <w:t>我方不存在招标文件第一</w:t>
            </w:r>
            <w:r>
              <w:rPr>
                <w:rFonts w:hint="eastAsia" w:ascii="宋体" w:hAnsi="宋体" w:eastAsia="宋体" w:cs="宋体"/>
                <w:color w:val="000000" w:themeColor="text1"/>
                <w:spacing w:val="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章第三节第</w:t>
            </w:r>
            <w:r>
              <w:rPr>
                <w:rFonts w:hint="eastAsia" w:ascii="宋体" w:hAnsi="宋体" w:eastAsia="宋体" w:cs="宋体"/>
                <w:color w:val="000000" w:themeColor="text1"/>
                <w:spacing w:val="-35"/>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14:textFill>
                  <w14:solidFill>
                    <w14:schemeClr w14:val="tx1"/>
                  </w14:solidFill>
                </w14:textFill>
              </w:rPr>
              <w:t>2.4</w:t>
            </w:r>
            <w:r>
              <w:rPr>
                <w:rFonts w:hint="eastAsia" w:ascii="宋体" w:hAnsi="宋体" w:eastAsia="宋体" w:cs="宋体"/>
                <w:b/>
                <w:bCs/>
                <w:color w:val="000000" w:themeColor="text1"/>
                <w:spacing w:val="1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条“禁止投标条</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款</w:t>
            </w:r>
            <w:r>
              <w:rPr>
                <w:rFonts w:hint="eastAsia" w:ascii="宋体" w:hAnsi="宋体" w:eastAsia="宋体" w:cs="宋体"/>
                <w:color w:val="000000" w:themeColor="text1"/>
                <w:spacing w:val="-7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”规定的任何一种情形。</w:t>
            </w:r>
          </w:p>
        </w:tc>
        <w:tc>
          <w:tcPr>
            <w:tcW w:w="4272" w:type="dxa"/>
            <w:vAlign w:val="top"/>
          </w:tcPr>
          <w:p w14:paraId="5C557624">
            <w:pPr>
              <w:keepNext w:val="0"/>
              <w:keepLines w:val="0"/>
              <w:pageBreakBefore w:val="0"/>
              <w:widowControl/>
              <w:kinsoku w:val="0"/>
              <w:wordWrap/>
              <w:overflowPunct/>
              <w:topLinePunct w:val="0"/>
              <w:autoSpaceDE w:val="0"/>
              <w:autoSpaceDN w:val="0"/>
              <w:bidi w:val="0"/>
              <w:adjustRightInd w:val="0"/>
              <w:snapToGrid w:val="0"/>
              <w:spacing w:before="122" w:line="288" w:lineRule="auto"/>
              <w:ind w:left="9" w:firstLine="421"/>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如果我方有招标文件第一章第三节第</w:t>
            </w:r>
            <w:r>
              <w:rPr>
                <w:rFonts w:hint="eastAsia" w:ascii="宋体" w:hAnsi="宋体" w:eastAsia="宋体" w:cs="宋体"/>
                <w:color w:val="000000" w:themeColor="text1"/>
                <w:spacing w:val="-27"/>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4 </w:t>
            </w:r>
            <w:r>
              <w:rPr>
                <w:rFonts w:hint="eastAsia" w:ascii="宋体" w:hAnsi="宋体" w:eastAsia="宋体" w:cs="宋体"/>
                <w:color w:val="000000" w:themeColor="text1"/>
                <w:spacing w:val="1"/>
                <w:sz w:val="24"/>
                <w:szCs w:val="24"/>
                <w:highlight w:val="none"/>
                <w14:textFill>
                  <w14:solidFill>
                    <w14:schemeClr w14:val="tx1"/>
                  </w14:solidFill>
                </w14:textFill>
              </w:rPr>
              <w:t>条“禁止投标条款</w:t>
            </w:r>
            <w:r>
              <w:rPr>
                <w:rFonts w:hint="eastAsia" w:ascii="宋体" w:hAnsi="宋体" w:eastAsia="宋体" w:cs="宋体"/>
                <w:color w:val="000000" w:themeColor="text1"/>
                <w:spacing w:val="-6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”规定的任何一种情形，</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我方接受招标人或其授权的招标代理机构或</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其组建的评标委员会依据招标文件作出的相</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应处理以及有关监督部门作出的行政处罚，</w:t>
            </w:r>
            <w:r>
              <w:rPr>
                <w:rFonts w:hint="eastAsia" w:ascii="宋体" w:hAnsi="宋体" w:eastAsia="宋体" w:cs="宋体"/>
                <w:color w:val="000000" w:themeColor="text1"/>
                <w:spacing w:val="1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并承担由此引起的一切法律后果。</w:t>
            </w:r>
          </w:p>
        </w:tc>
      </w:tr>
      <w:tr w14:paraId="6BAE3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6E3674A0">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376B39D7">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0F206A34">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73A8B57A">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6D41129A">
            <w:pPr>
              <w:keepNext w:val="0"/>
              <w:keepLines w:val="0"/>
              <w:pageBreakBefore w:val="0"/>
              <w:widowControl/>
              <w:kinsoku w:val="0"/>
              <w:wordWrap/>
              <w:overflowPunct/>
              <w:topLinePunct w:val="0"/>
              <w:autoSpaceDE w:val="0"/>
              <w:autoSpaceDN w:val="0"/>
              <w:bidi w:val="0"/>
              <w:adjustRightInd w:val="0"/>
              <w:snapToGrid w:val="0"/>
              <w:spacing w:before="57" w:line="288" w:lineRule="auto"/>
              <w:ind w:left="312"/>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675" w:type="dxa"/>
            <w:vAlign w:val="top"/>
          </w:tcPr>
          <w:p w14:paraId="7F4230D8">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3D94EE8A">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7EDF57FD">
            <w:pPr>
              <w:keepNext w:val="0"/>
              <w:keepLines w:val="0"/>
              <w:pageBreakBefore w:val="0"/>
              <w:widowControl/>
              <w:kinsoku w:val="0"/>
              <w:wordWrap/>
              <w:overflowPunct/>
              <w:topLinePunct w:val="0"/>
              <w:autoSpaceDE w:val="0"/>
              <w:autoSpaceDN w:val="0"/>
              <w:bidi w:val="0"/>
              <w:adjustRightInd w:val="0"/>
              <w:snapToGrid w:val="0"/>
              <w:spacing w:before="65" w:line="288" w:lineRule="auto"/>
              <w:ind w:left="193"/>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自觉抵制围标</w:t>
            </w:r>
          </w:p>
          <w:p w14:paraId="7350A53C">
            <w:pPr>
              <w:keepNext w:val="0"/>
              <w:keepLines w:val="0"/>
              <w:pageBreakBefore w:val="0"/>
              <w:widowControl/>
              <w:kinsoku w:val="0"/>
              <w:wordWrap/>
              <w:overflowPunct/>
              <w:topLinePunct w:val="0"/>
              <w:autoSpaceDE w:val="0"/>
              <w:autoSpaceDN w:val="0"/>
              <w:bidi w:val="0"/>
              <w:adjustRightInd w:val="0"/>
              <w:snapToGrid w:val="0"/>
              <w:spacing w:before="131" w:line="288" w:lineRule="auto"/>
              <w:ind w:left="283"/>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串标和弄虚</w:t>
            </w:r>
          </w:p>
          <w:p w14:paraId="18E84040">
            <w:pPr>
              <w:keepNext w:val="0"/>
              <w:keepLines w:val="0"/>
              <w:pageBreakBefore w:val="0"/>
              <w:widowControl/>
              <w:kinsoku w:val="0"/>
              <w:wordWrap/>
              <w:overflowPunct/>
              <w:topLinePunct w:val="0"/>
              <w:autoSpaceDE w:val="0"/>
              <w:autoSpaceDN w:val="0"/>
              <w:bidi w:val="0"/>
              <w:adjustRightInd w:val="0"/>
              <w:snapToGrid w:val="0"/>
              <w:spacing w:before="133" w:line="288" w:lineRule="auto"/>
              <w:ind w:left="56"/>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作假行为的承诺</w:t>
            </w:r>
          </w:p>
        </w:tc>
        <w:tc>
          <w:tcPr>
            <w:tcW w:w="3107" w:type="dxa"/>
            <w:vAlign w:val="top"/>
          </w:tcPr>
          <w:p w14:paraId="62CF0363">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3960F528">
            <w:pPr>
              <w:keepNext w:val="0"/>
              <w:keepLines w:val="0"/>
              <w:pageBreakBefore w:val="0"/>
              <w:widowControl/>
              <w:kinsoku w:val="0"/>
              <w:wordWrap/>
              <w:overflowPunct/>
              <w:topLinePunct w:val="0"/>
              <w:autoSpaceDE w:val="0"/>
              <w:autoSpaceDN w:val="0"/>
              <w:bidi w:val="0"/>
              <w:adjustRightInd w:val="0"/>
              <w:snapToGrid w:val="0"/>
              <w:spacing w:before="65" w:line="288" w:lineRule="auto"/>
              <w:ind w:left="11" w:right="2" w:firstLine="42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我方合法正当、诚实守信地</w:t>
            </w:r>
            <w:r>
              <w:rPr>
                <w:rFonts w:hint="eastAsia" w:ascii="宋体" w:hAnsi="宋体" w:eastAsia="宋体" w:cs="宋体"/>
                <w:color w:val="000000" w:themeColor="text1"/>
                <w:spacing w:val="7"/>
                <w:sz w:val="24"/>
                <w:szCs w:val="24"/>
                <w:highlight w:val="none"/>
                <w14:textFill>
                  <w14:solidFill>
                    <w14:schemeClr w14:val="tx1"/>
                  </w14:solidFill>
                </w14:textFill>
              </w:rPr>
              <w:t>参与投标，不组织、不参加围标串标违法行为，不通过弄虚作假</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行为骗取中标。</w:t>
            </w:r>
          </w:p>
        </w:tc>
        <w:tc>
          <w:tcPr>
            <w:tcW w:w="4272" w:type="dxa"/>
            <w:vAlign w:val="top"/>
          </w:tcPr>
          <w:p w14:paraId="0A090EF8">
            <w:pPr>
              <w:keepNext w:val="0"/>
              <w:keepLines w:val="0"/>
              <w:pageBreakBefore w:val="0"/>
              <w:widowControl/>
              <w:kinsoku w:val="0"/>
              <w:wordWrap/>
              <w:overflowPunct/>
              <w:topLinePunct w:val="0"/>
              <w:autoSpaceDE w:val="0"/>
              <w:autoSpaceDN w:val="0"/>
              <w:bidi w:val="0"/>
              <w:adjustRightInd w:val="0"/>
              <w:snapToGrid w:val="0"/>
              <w:spacing w:before="129" w:line="288" w:lineRule="auto"/>
              <w:ind w:left="13" w:right="4" w:firstLine="422"/>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w:t>
            </w:r>
            <w:r>
              <w:rPr>
                <w:rFonts w:hint="eastAsia" w:ascii="宋体" w:hAnsi="宋体" w:eastAsia="宋体" w:cs="宋体"/>
                <w:color w:val="000000" w:themeColor="text1"/>
                <w:spacing w:val="7"/>
                <w:sz w:val="24"/>
                <w:szCs w:val="24"/>
                <w:highlight w:val="none"/>
                <w14:textFill>
                  <w14:solidFill>
                    <w14:schemeClr w14:val="tx1"/>
                  </w14:solidFill>
                </w14:textFill>
              </w:rPr>
              <w:t>引起的一切法律后果。</w:t>
            </w:r>
          </w:p>
        </w:tc>
      </w:tr>
      <w:tr w14:paraId="6CBF9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7A4F8128">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1CEA1CDD">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61092EDD">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23F9A499">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22F4FCBD">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39F3D356">
            <w:pPr>
              <w:keepNext w:val="0"/>
              <w:keepLines w:val="0"/>
              <w:pageBreakBefore w:val="0"/>
              <w:widowControl/>
              <w:kinsoku w:val="0"/>
              <w:wordWrap/>
              <w:overflowPunct/>
              <w:topLinePunct w:val="0"/>
              <w:autoSpaceDE w:val="0"/>
              <w:autoSpaceDN w:val="0"/>
              <w:bidi w:val="0"/>
              <w:adjustRightInd w:val="0"/>
              <w:snapToGrid w:val="0"/>
              <w:spacing w:before="58" w:line="288" w:lineRule="auto"/>
              <w:ind w:left="307"/>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w:t>
            </w:r>
          </w:p>
        </w:tc>
        <w:tc>
          <w:tcPr>
            <w:tcW w:w="1675" w:type="dxa"/>
            <w:vAlign w:val="top"/>
          </w:tcPr>
          <w:p w14:paraId="3D790D2C">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4333104B">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3E3A066D">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5B057E1D">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5F8AABEC">
            <w:pPr>
              <w:keepNext w:val="0"/>
              <w:keepLines w:val="0"/>
              <w:pageBreakBefore w:val="0"/>
              <w:widowControl/>
              <w:kinsoku w:val="0"/>
              <w:wordWrap/>
              <w:overflowPunct/>
              <w:topLinePunct w:val="0"/>
              <w:autoSpaceDE w:val="0"/>
              <w:autoSpaceDN w:val="0"/>
              <w:bidi w:val="0"/>
              <w:adjustRightInd w:val="0"/>
              <w:snapToGrid w:val="0"/>
              <w:spacing w:before="65" w:line="288" w:lineRule="auto"/>
              <w:ind w:left="369" w:right="367" w:firstLine="4"/>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项目经理</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任职承诺</w:t>
            </w:r>
          </w:p>
        </w:tc>
        <w:tc>
          <w:tcPr>
            <w:tcW w:w="3107" w:type="dxa"/>
            <w:vAlign w:val="top"/>
          </w:tcPr>
          <w:p w14:paraId="3D586645">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25D7FCEF">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1EFE29D7">
            <w:pPr>
              <w:keepNext w:val="0"/>
              <w:keepLines w:val="0"/>
              <w:pageBreakBefore w:val="0"/>
              <w:widowControl/>
              <w:kinsoku w:val="0"/>
              <w:wordWrap/>
              <w:overflowPunct/>
              <w:topLinePunct w:val="0"/>
              <w:autoSpaceDE w:val="0"/>
              <w:autoSpaceDN w:val="0"/>
              <w:bidi w:val="0"/>
              <w:adjustRightInd w:val="0"/>
              <w:snapToGrid w:val="0"/>
              <w:spacing w:before="65" w:line="288" w:lineRule="auto"/>
              <w:ind w:left="9" w:right="2" w:firstLine="422"/>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sz w:val="24"/>
                <w:szCs w:val="24"/>
                <w:highlight w:val="none"/>
                <w14:textFill>
                  <w14:solidFill>
                    <w14:schemeClr w14:val="tx1"/>
                  </w14:solidFill>
                </w14:textFill>
              </w:rPr>
              <w:t>我方拟派项</w:t>
            </w:r>
            <w:r>
              <w:rPr>
                <w:rFonts w:hint="eastAsia" w:ascii="宋体" w:hAnsi="宋体" w:eastAsia="宋体" w:cs="宋体"/>
                <w:color w:val="000000" w:themeColor="text1"/>
                <w:spacing w:val="-2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sz w:val="24"/>
                <w:szCs w:val="24"/>
                <w:highlight w:val="none"/>
                <w14:textFill>
                  <w14:solidFill>
                    <w14:schemeClr w14:val="tx1"/>
                  </w14:solidFill>
                </w14:textFill>
              </w:rPr>
              <w:t>目经理现阶段</w:t>
            </w:r>
            <w:r>
              <w:rPr>
                <w:rFonts w:hint="eastAsia" w:ascii="宋体" w:hAnsi="宋体" w:eastAsia="宋体" w:cs="宋体"/>
                <w:color w:val="000000" w:themeColor="text1"/>
                <w:spacing w:val="7"/>
                <w:sz w:val="24"/>
                <w:szCs w:val="24"/>
                <w:highlight w:val="none"/>
                <w14:textFill>
                  <w14:solidFill>
                    <w14:schemeClr w14:val="tx1"/>
                  </w14:solidFill>
                </w14:textFill>
              </w:rPr>
              <w:t>没有担任任何在施（包括已中标</w:t>
            </w:r>
            <w:r>
              <w:rPr>
                <w:rFonts w:hint="eastAsia" w:ascii="宋体" w:hAnsi="宋体" w:eastAsia="宋体" w:cs="宋体"/>
                <w:color w:val="000000" w:themeColor="text1"/>
                <w:spacing w:val="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未开工、已开工未竣工）建设工</w:t>
            </w:r>
            <w:r>
              <w:rPr>
                <w:rFonts w:hint="eastAsia" w:ascii="宋体" w:hAnsi="宋体" w:eastAsia="宋体" w:cs="宋体"/>
                <w:color w:val="000000" w:themeColor="text1"/>
                <w:spacing w:val="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程项目的项目经理。</w:t>
            </w:r>
          </w:p>
        </w:tc>
        <w:tc>
          <w:tcPr>
            <w:tcW w:w="4272" w:type="dxa"/>
            <w:vAlign w:val="top"/>
          </w:tcPr>
          <w:p w14:paraId="4A8515D9">
            <w:pPr>
              <w:keepNext w:val="0"/>
              <w:keepLines w:val="0"/>
              <w:pageBreakBefore w:val="0"/>
              <w:widowControl/>
              <w:kinsoku w:val="0"/>
              <w:wordWrap/>
              <w:overflowPunct/>
              <w:topLinePunct w:val="0"/>
              <w:autoSpaceDE w:val="0"/>
              <w:autoSpaceDN w:val="0"/>
              <w:bidi w:val="0"/>
              <w:adjustRightInd w:val="0"/>
              <w:snapToGrid w:val="0"/>
              <w:spacing w:before="128" w:line="288" w:lineRule="auto"/>
              <w:ind w:left="11" w:firstLine="417"/>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如果我方拟派项目经理在本项目招标投</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标活动期间有担任其他任何在施（包括已中</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标未开工、已开工未竣工）建设工程项目的</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项目经理，我方接受招标人或其授权的招标</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代理机构或其组建的评标委员会依据招标文件作出的相应处理以及有关监督部门作出的</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行政处罚，并承担由此引起的一切法律后果。</w:t>
            </w:r>
          </w:p>
        </w:tc>
      </w:tr>
      <w:tr w14:paraId="5F5F5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4B8686B0">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1908E572">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1B9DDA4A">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4"/>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675" w:type="dxa"/>
            <w:vAlign w:val="top"/>
          </w:tcPr>
          <w:p w14:paraId="344F0B95">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7FA4425B">
            <w:pPr>
              <w:keepNext w:val="0"/>
              <w:keepLines w:val="0"/>
              <w:pageBreakBefore w:val="0"/>
              <w:widowControl/>
              <w:kinsoku w:val="0"/>
              <w:wordWrap/>
              <w:overflowPunct/>
              <w:topLinePunct w:val="0"/>
              <w:autoSpaceDE w:val="0"/>
              <w:autoSpaceDN w:val="0"/>
              <w:bidi w:val="0"/>
              <w:adjustRightInd w:val="0"/>
              <w:snapToGrid w:val="0"/>
              <w:spacing w:before="65" w:line="288" w:lineRule="auto"/>
              <w:ind w:left="267" w:right="261" w:firstLine="105"/>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投标文件</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真实性承诺</w:t>
            </w:r>
          </w:p>
        </w:tc>
        <w:tc>
          <w:tcPr>
            <w:tcW w:w="3107" w:type="dxa"/>
            <w:vAlign w:val="top"/>
          </w:tcPr>
          <w:p w14:paraId="24313CA0">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080F2869">
            <w:pPr>
              <w:keepNext w:val="0"/>
              <w:keepLines w:val="0"/>
              <w:pageBreakBefore w:val="0"/>
              <w:widowControl/>
              <w:kinsoku w:val="0"/>
              <w:wordWrap/>
              <w:overflowPunct/>
              <w:topLinePunct w:val="0"/>
              <w:autoSpaceDE w:val="0"/>
              <w:autoSpaceDN w:val="0"/>
              <w:bidi w:val="0"/>
              <w:adjustRightInd w:val="0"/>
              <w:snapToGrid w:val="0"/>
              <w:spacing w:before="65" w:line="288" w:lineRule="auto"/>
              <w:ind w:left="12" w:firstLine="409"/>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0"/>
                <w:sz w:val="24"/>
                <w:szCs w:val="24"/>
                <w:highlight w:val="none"/>
                <w14:textFill>
                  <w14:solidFill>
                    <w14:schemeClr w14:val="tx1"/>
                  </w14:solidFill>
                </w14:textFill>
              </w:rPr>
              <w:t>我方所递交投标文件的全</w:t>
            </w:r>
            <w:r>
              <w:rPr>
                <w:rFonts w:hint="eastAsia" w:ascii="宋体" w:hAnsi="宋体" w:eastAsia="宋体" w:cs="宋体"/>
                <w:color w:val="000000" w:themeColor="text1"/>
                <w:spacing w:val="-7"/>
                <w:sz w:val="24"/>
                <w:szCs w:val="24"/>
                <w:highlight w:val="none"/>
                <w14:textFill>
                  <w14:solidFill>
                    <w14:schemeClr w14:val="tx1"/>
                  </w14:solidFill>
                </w14:textFill>
              </w:rPr>
              <w:t>部内容均为真实、有效、准确的。</w:t>
            </w:r>
          </w:p>
        </w:tc>
        <w:tc>
          <w:tcPr>
            <w:tcW w:w="4272" w:type="dxa"/>
            <w:vAlign w:val="top"/>
          </w:tcPr>
          <w:p w14:paraId="117F7D2E">
            <w:pPr>
              <w:keepNext w:val="0"/>
              <w:keepLines w:val="0"/>
              <w:pageBreakBefore w:val="0"/>
              <w:widowControl/>
              <w:kinsoku w:val="0"/>
              <w:wordWrap/>
              <w:overflowPunct/>
              <w:topLinePunct w:val="0"/>
              <w:autoSpaceDE w:val="0"/>
              <w:autoSpaceDN w:val="0"/>
              <w:bidi w:val="0"/>
              <w:adjustRightInd w:val="0"/>
              <w:snapToGrid w:val="0"/>
              <w:spacing w:before="127" w:line="288" w:lineRule="auto"/>
              <w:ind w:left="11" w:firstLine="417"/>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如果我方递交的投标文件任何内容不真实或无效或不准确，我方接受招标人或其授权的招标代理机构或其组建的评标委员会依</w:t>
            </w:r>
            <w:r>
              <w:rPr>
                <w:rFonts w:hint="eastAsia" w:ascii="宋体" w:hAnsi="宋体" w:eastAsia="宋体" w:cs="宋体"/>
                <w:color w:val="000000" w:themeColor="text1"/>
                <w:sz w:val="24"/>
                <w:szCs w:val="24"/>
                <w:highlight w:val="none"/>
                <w14:textFill>
                  <w14:solidFill>
                    <w14:schemeClr w14:val="tx1"/>
                  </w14:solidFill>
                </w14:textFill>
              </w:rPr>
              <w:t>据招标文件作出的相应处理，包括否决投标。</w:t>
            </w:r>
          </w:p>
        </w:tc>
      </w:tr>
      <w:tr w14:paraId="02577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4" w:hRule="atLeast"/>
        </w:trPr>
        <w:tc>
          <w:tcPr>
            <w:tcW w:w="764" w:type="dxa"/>
            <w:vAlign w:val="top"/>
          </w:tcPr>
          <w:p w14:paraId="1D05557E">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04389DF3">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429208A6">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3"/>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p w14:paraId="6B3A9885">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drawing>
                <wp:anchor distT="0" distB="0" distL="114300" distR="114300" simplePos="0" relativeHeight="251664384" behindDoc="1" locked="0" layoutInCell="0" allowOverlap="1">
                  <wp:simplePos x="0" y="0"/>
                  <wp:positionH relativeFrom="page">
                    <wp:posOffset>3902075</wp:posOffset>
                  </wp:positionH>
                  <wp:positionV relativeFrom="page">
                    <wp:posOffset>2252345</wp:posOffset>
                  </wp:positionV>
                  <wp:extent cx="6350" cy="241300"/>
                  <wp:effectExtent l="0" t="0" r="0" b="0"/>
                  <wp:wrapNone/>
                  <wp:docPr id="16" name="IM 120"/>
                  <wp:cNvGraphicFramePr/>
                  <a:graphic xmlns:a="http://schemas.openxmlformats.org/drawingml/2006/main">
                    <a:graphicData uri="http://schemas.openxmlformats.org/drawingml/2006/picture">
                      <pic:pic xmlns:pic="http://schemas.openxmlformats.org/drawingml/2006/picture">
                        <pic:nvPicPr>
                          <pic:cNvPr id="16" name="IM 120"/>
                          <pic:cNvPicPr/>
                        </pic:nvPicPr>
                        <pic:blipFill>
                          <a:blip r:embed="rId55"/>
                          <a:stretch>
                            <a:fillRect/>
                          </a:stretch>
                        </pic:blipFill>
                        <pic:spPr>
                          <a:xfrm>
                            <a:off x="0" y="0"/>
                            <a:ext cx="6350" cy="241300"/>
                          </a:xfrm>
                          <a:prstGeom prst="rect">
                            <a:avLst/>
                          </a:prstGeom>
                          <a:noFill/>
                          <a:ln>
                            <a:noFill/>
                          </a:ln>
                        </pic:spPr>
                      </pic:pic>
                    </a:graphicData>
                  </a:graphic>
                </wp:anchor>
              </w:drawing>
            </w:r>
          </w:p>
        </w:tc>
        <w:tc>
          <w:tcPr>
            <w:tcW w:w="1675" w:type="dxa"/>
            <w:vAlign w:val="top"/>
          </w:tcPr>
          <w:p w14:paraId="56C54F51">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4D2FADD0">
            <w:pPr>
              <w:keepNext w:val="0"/>
              <w:keepLines w:val="0"/>
              <w:pageBreakBefore w:val="0"/>
              <w:widowControl/>
              <w:kinsoku w:val="0"/>
              <w:wordWrap/>
              <w:overflowPunct/>
              <w:topLinePunct w:val="0"/>
              <w:autoSpaceDE w:val="0"/>
              <w:autoSpaceDN w:val="0"/>
              <w:bidi w:val="0"/>
              <w:adjustRightInd w:val="0"/>
              <w:snapToGrid w:val="0"/>
              <w:spacing w:before="65" w:line="288" w:lineRule="auto"/>
              <w:ind w:left="372"/>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投标文件</w:t>
            </w:r>
          </w:p>
          <w:p w14:paraId="0E95F9BE">
            <w:pPr>
              <w:keepNext w:val="0"/>
              <w:keepLines w:val="0"/>
              <w:pageBreakBefore w:val="0"/>
              <w:widowControl/>
              <w:kinsoku w:val="0"/>
              <w:wordWrap/>
              <w:overflowPunct/>
              <w:topLinePunct w:val="0"/>
              <w:autoSpaceDE w:val="0"/>
              <w:autoSpaceDN w:val="0"/>
              <w:bidi w:val="0"/>
              <w:adjustRightInd w:val="0"/>
              <w:snapToGrid w:val="0"/>
              <w:spacing w:before="132" w:line="288" w:lineRule="auto"/>
              <w:ind w:left="158"/>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信息公开承诺</w:t>
            </w:r>
          </w:p>
        </w:tc>
        <w:tc>
          <w:tcPr>
            <w:tcW w:w="3107" w:type="dxa"/>
            <w:vAlign w:val="top"/>
          </w:tcPr>
          <w:p w14:paraId="0DF7EDDD">
            <w:pPr>
              <w:keepNext w:val="0"/>
              <w:keepLines w:val="0"/>
              <w:pageBreakBefore w:val="0"/>
              <w:widowControl/>
              <w:kinsoku w:val="0"/>
              <w:wordWrap/>
              <w:overflowPunct/>
              <w:topLinePunct w:val="0"/>
              <w:autoSpaceDE w:val="0"/>
              <w:autoSpaceDN w:val="0"/>
              <w:bidi w:val="0"/>
              <w:adjustRightInd w:val="0"/>
              <w:snapToGrid w:val="0"/>
              <w:spacing w:before="130" w:line="288" w:lineRule="auto"/>
              <w:ind w:left="10" w:right="2" w:firstLine="42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我方提供完整的文件。如果</w:t>
            </w:r>
            <w:r>
              <w:rPr>
                <w:rFonts w:hint="eastAsia" w:ascii="宋体" w:hAnsi="宋体" w:eastAsia="宋体" w:cs="宋体"/>
                <w:color w:val="000000" w:themeColor="text1"/>
                <w:spacing w:val="7"/>
                <w:sz w:val="24"/>
                <w:szCs w:val="24"/>
                <w:highlight w:val="none"/>
                <w14:textFill>
                  <w14:solidFill>
                    <w14:schemeClr w14:val="tx1"/>
                  </w14:solidFill>
                </w14:textFill>
              </w:rPr>
              <w:t>我方成为本项目中标候选人，我</w:t>
            </w:r>
            <w:r>
              <w:rPr>
                <w:rFonts w:hint="eastAsia" w:ascii="宋体" w:hAnsi="宋体" w:eastAsia="宋体" w:cs="宋体"/>
                <w:color w:val="000000" w:themeColor="text1"/>
                <w:spacing w:val="23"/>
                <w:sz w:val="24"/>
                <w:szCs w:val="24"/>
                <w:highlight w:val="none"/>
                <w14:textFill>
                  <w14:solidFill>
                    <w14:schemeClr w14:val="tx1"/>
                  </w14:solidFill>
                </w14:textFill>
              </w:rPr>
              <w:t>方同意并授权招标人在评标结果公示期内公开我方商务标书</w:t>
            </w:r>
            <w:r>
              <w:rPr>
                <w:rFonts w:hint="eastAsia" w:ascii="宋体" w:hAnsi="宋体" w:eastAsia="宋体" w:cs="宋体"/>
                <w:color w:val="000000" w:themeColor="text1"/>
                <w:spacing w:val="3"/>
                <w:sz w:val="24"/>
                <w:szCs w:val="24"/>
                <w:highlight w:val="none"/>
                <w14:textFill>
                  <w14:solidFill>
                    <w14:schemeClr w14:val="tx1"/>
                  </w14:solidFill>
                </w14:textFill>
              </w:rPr>
              <w:t>的全部内容。</w:t>
            </w:r>
          </w:p>
        </w:tc>
        <w:tc>
          <w:tcPr>
            <w:tcW w:w="4272" w:type="dxa"/>
            <w:vAlign w:val="top"/>
          </w:tcPr>
          <w:p w14:paraId="1164999A">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19050</wp:posOffset>
                      </wp:positionV>
                      <wp:extent cx="2698750" cy="1539875"/>
                      <wp:effectExtent l="3175" t="5715" r="3175" b="16510"/>
                      <wp:wrapNone/>
                      <wp:docPr id="23" name="直接连接符 23"/>
                      <wp:cNvGraphicFramePr/>
                      <a:graphic xmlns:a="http://schemas.openxmlformats.org/drawingml/2006/main">
                        <a:graphicData uri="http://schemas.microsoft.com/office/word/2010/wordprocessingShape">
                          <wps:wsp>
                            <wps:cNvCnPr/>
                            <wps:spPr>
                              <a:xfrm flipV="1">
                                <a:off x="4209415" y="1651000"/>
                                <a:ext cx="2698750" cy="153987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05pt;margin-top:1.5pt;height:121.25pt;width:212.5pt;z-index:251662336;mso-width-relative:page;mso-height-relative:page;" filled="f" stroked="t" coordsize="21600,21600" o:gfxdata="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qIdPdQAAAAHAQAADwAAAAAAAAABACAAAAAiAAAAZHJzL2Rvd25y&#10;ZXYueG1sUEsBAhQAFAAAAAgAh07iQNS38qICAgAA0AMAAA4AAAAAAAAAAQAgAAAAIwEAAGRycy9l&#10;Mm9Eb2MueG1sUEsFBgAAAAAGAAYAWQEAAJcFAAAAAA==&#10;">
                      <v:fill on="f" focussize="0,0"/>
                      <v:stroke weight="1pt" color="#4874CB [3204]" miterlimit="8" joinstyle="miter"/>
                      <v:imagedata o:title=""/>
                      <o:lock v:ext="edit" aspectratio="f"/>
                    </v:line>
                  </w:pict>
                </mc:Fallback>
              </mc:AlternateContent>
            </w:r>
          </w:p>
          <w:p w14:paraId="6D48F5C3">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695D5933">
            <w:pPr>
              <w:keepNext w:val="0"/>
              <w:keepLines w:val="0"/>
              <w:pageBreakBefore w:val="0"/>
              <w:widowControl/>
              <w:kinsoku w:val="0"/>
              <w:wordWrap/>
              <w:overflowPunct/>
              <w:topLinePunct w:val="0"/>
              <w:autoSpaceDE w:val="0"/>
              <w:autoSpaceDN w:val="0"/>
              <w:bidi w:val="0"/>
              <w:adjustRightInd w:val="0"/>
              <w:snapToGrid w:val="0"/>
              <w:spacing w:before="58" w:line="288" w:lineRule="auto"/>
              <w:ind w:left="1979"/>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31DB0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764" w:type="dxa"/>
            <w:vAlign w:val="top"/>
          </w:tcPr>
          <w:p w14:paraId="5CB186C8">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011B0EBD">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3FE2F4A5">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6D1ACCD4">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320F0521">
            <w:pPr>
              <w:keepNext w:val="0"/>
              <w:keepLines w:val="0"/>
              <w:pageBreakBefore w:val="0"/>
              <w:widowControl/>
              <w:kinsoku w:val="0"/>
              <w:wordWrap/>
              <w:overflowPunct/>
              <w:topLinePunct w:val="0"/>
              <w:autoSpaceDE w:val="0"/>
              <w:autoSpaceDN w:val="0"/>
              <w:bidi w:val="0"/>
              <w:adjustRightInd w:val="0"/>
              <w:snapToGrid w:val="0"/>
              <w:spacing w:before="57" w:line="288" w:lineRule="auto"/>
              <w:ind w:left="312"/>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675" w:type="dxa"/>
            <w:vAlign w:val="top"/>
          </w:tcPr>
          <w:p w14:paraId="694A2EF7">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70A1B5B8">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3F5D254F">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5782E3F0">
            <w:pPr>
              <w:keepNext w:val="0"/>
              <w:keepLines w:val="0"/>
              <w:pageBreakBefore w:val="0"/>
              <w:widowControl/>
              <w:kinsoku w:val="0"/>
              <w:wordWrap/>
              <w:overflowPunct/>
              <w:topLinePunct w:val="0"/>
              <w:autoSpaceDE w:val="0"/>
              <w:autoSpaceDN w:val="0"/>
              <w:bidi w:val="0"/>
              <w:adjustRightInd w:val="0"/>
              <w:snapToGrid w:val="0"/>
              <w:spacing w:before="65" w:line="288" w:lineRule="auto"/>
              <w:ind w:left="281" w:right="158" w:hanging="123"/>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对不正常报价</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的确认承诺</w:t>
            </w:r>
          </w:p>
        </w:tc>
        <w:tc>
          <w:tcPr>
            <w:tcW w:w="3107" w:type="dxa"/>
            <w:vAlign w:val="top"/>
          </w:tcPr>
          <w:p w14:paraId="6D8BDFB8">
            <w:pPr>
              <w:keepNext w:val="0"/>
              <w:keepLines w:val="0"/>
              <w:pageBreakBefore w:val="0"/>
              <w:widowControl/>
              <w:kinsoku w:val="0"/>
              <w:wordWrap/>
              <w:overflowPunct/>
              <w:topLinePunct w:val="0"/>
              <w:autoSpaceDE w:val="0"/>
              <w:autoSpaceDN w:val="0"/>
              <w:bidi w:val="0"/>
              <w:adjustRightInd w:val="0"/>
              <w:snapToGrid w:val="0"/>
              <w:spacing w:before="121" w:line="288" w:lineRule="auto"/>
              <w:ind w:left="10" w:right="2" w:firstLine="423"/>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如果我方中标，我方接受招</w:t>
            </w:r>
            <w:r>
              <w:rPr>
                <w:rFonts w:hint="eastAsia" w:ascii="宋体" w:hAnsi="宋体" w:eastAsia="宋体" w:cs="宋体"/>
                <w:color w:val="000000" w:themeColor="text1"/>
                <w:spacing w:val="23"/>
                <w:sz w:val="24"/>
                <w:szCs w:val="24"/>
                <w:highlight w:val="none"/>
                <w14:textFill>
                  <w14:solidFill>
                    <w14:schemeClr w14:val="tx1"/>
                  </w14:solidFill>
                </w14:textFill>
              </w:rPr>
              <w:t>标人在合同订立期间依据招标文件有关条款约定对我方已标价工程量清单中不正常报价的</w:t>
            </w:r>
            <w:r>
              <w:rPr>
                <w:rFonts w:hint="eastAsia" w:ascii="宋体" w:hAnsi="宋体" w:eastAsia="宋体" w:cs="宋体"/>
                <w:color w:val="000000" w:themeColor="text1"/>
                <w:spacing w:val="7"/>
                <w:sz w:val="24"/>
                <w:szCs w:val="24"/>
                <w:highlight w:val="none"/>
                <w14:textFill>
                  <w14:solidFill>
                    <w14:schemeClr w14:val="tx1"/>
                  </w14:solidFill>
                </w14:textFill>
              </w:rPr>
              <w:t>修正或认定，并按要求签署《不</w:t>
            </w:r>
            <w:r>
              <w:rPr>
                <w:rFonts w:hint="eastAsia" w:ascii="宋体" w:hAnsi="宋体" w:eastAsia="宋体" w:cs="宋体"/>
                <w:color w:val="000000" w:themeColor="text1"/>
                <w:spacing w:val="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正常报价清单》加以确认。</w:t>
            </w:r>
          </w:p>
        </w:tc>
        <w:tc>
          <w:tcPr>
            <w:tcW w:w="4272" w:type="dxa"/>
            <w:vAlign w:val="top"/>
          </w:tcPr>
          <w:p w14:paraId="55874C84">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26035</wp:posOffset>
                      </wp:positionV>
                      <wp:extent cx="2706370" cy="1920875"/>
                      <wp:effectExtent l="3810" t="5080" r="13970" b="17145"/>
                      <wp:wrapNone/>
                      <wp:docPr id="24" name="直接连接符 24"/>
                      <wp:cNvGraphicFramePr/>
                      <a:graphic xmlns:a="http://schemas.openxmlformats.org/drawingml/2006/main">
                        <a:graphicData uri="http://schemas.microsoft.com/office/word/2010/wordprocessingShape">
                          <wps:wsp>
                            <wps:cNvCnPr/>
                            <wps:spPr>
                              <a:xfrm flipV="1">
                                <a:off x="4217670" y="3238500"/>
                                <a:ext cx="2706370" cy="192087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6pt;margin-top:2.05pt;height:151.25pt;width:213.1pt;z-index:251663360;mso-width-relative:page;mso-height-relative:page;" filled="f" stroked="t" coordsize="21600,21600" o:gfxdata="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HjHtdIAAAAHAQAADwAAAAAAAAABACAAAAAiAAAAZHJzL2Rvd25y&#10;ZXYueG1sUEsBAhQAFAAAAAgAh07iQBDx3nQEAgAA0AMAAA4AAAAAAAAAAQAgAAAAIQEAAGRycy9l&#10;Mm9Eb2MueG1sUEsFBgAAAAAGAAYAWQEAAJcFAAAAAA==&#10;">
                      <v:fill on="f" focussize="0,0"/>
                      <v:stroke weight="1pt" color="#4874CB [3204]" miterlimit="8" joinstyle="miter"/>
                      <v:imagedata o:title=""/>
                      <o:lock v:ext="edit" aspectratio="f"/>
                    </v:line>
                  </w:pict>
                </mc:Fallback>
              </mc:AlternateContent>
            </w:r>
          </w:p>
          <w:p w14:paraId="7ACFEB24">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69C2BA43">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1303911B">
            <w:pPr>
              <w:keepNext w:val="0"/>
              <w:keepLines w:val="0"/>
              <w:pageBreakBefore w:val="0"/>
              <w:widowControl/>
              <w:kinsoku w:val="0"/>
              <w:wordWrap/>
              <w:overflowPunct/>
              <w:topLinePunct w:val="0"/>
              <w:autoSpaceDE w:val="0"/>
              <w:autoSpaceDN w:val="0"/>
              <w:bidi w:val="0"/>
              <w:adjustRightInd w:val="0"/>
              <w:snapToGrid w:val="0"/>
              <w:spacing w:before="57" w:line="288" w:lineRule="auto"/>
              <w:ind w:left="1979"/>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2D63E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6DD189C5">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49A4CFA9">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46337DC9">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7C876BD4">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7"/>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675" w:type="dxa"/>
            <w:vAlign w:val="top"/>
          </w:tcPr>
          <w:p w14:paraId="19CE2384">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360E6AE4">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01E67844">
            <w:pPr>
              <w:keepNext w:val="0"/>
              <w:keepLines w:val="0"/>
              <w:pageBreakBefore w:val="0"/>
              <w:widowControl/>
              <w:kinsoku w:val="0"/>
              <w:wordWrap/>
              <w:overflowPunct/>
              <w:topLinePunct w:val="0"/>
              <w:autoSpaceDE w:val="0"/>
              <w:autoSpaceDN w:val="0"/>
              <w:bidi w:val="0"/>
              <w:adjustRightInd w:val="0"/>
              <w:snapToGrid w:val="0"/>
              <w:spacing w:before="65" w:line="288" w:lineRule="auto"/>
              <w:ind w:left="264" w:right="158" w:hanging="104"/>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按时提交履约</w:t>
            </w:r>
            <w:r>
              <w:rPr>
                <w:rFonts w:hint="eastAsia" w:ascii="宋体" w:hAnsi="宋体" w:eastAsia="宋体" w:cs="宋体"/>
                <w:color w:val="000000" w:themeColor="text1"/>
                <w:spacing w:val="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保证的承诺</w:t>
            </w:r>
          </w:p>
        </w:tc>
        <w:tc>
          <w:tcPr>
            <w:tcW w:w="3107" w:type="dxa"/>
            <w:vAlign w:val="top"/>
          </w:tcPr>
          <w:p w14:paraId="29A0D195">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00CA932B">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2"/>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如果我方中标，我方保证在</w:t>
            </w:r>
            <w:r>
              <w:rPr>
                <w:rFonts w:hint="eastAsia" w:ascii="宋体" w:hAnsi="宋体" w:eastAsia="宋体" w:cs="宋体"/>
                <w:color w:val="000000" w:themeColor="text1"/>
                <w:spacing w:val="23"/>
                <w:sz w:val="24"/>
                <w:szCs w:val="24"/>
                <w:highlight w:val="none"/>
                <w14:textFill>
                  <w14:solidFill>
                    <w14:schemeClr w14:val="tx1"/>
                  </w14:solidFill>
                </w14:textFill>
              </w:rPr>
              <w:t>招标文件规定的时限内全额提</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交履约保证。</w:t>
            </w:r>
          </w:p>
        </w:tc>
        <w:tc>
          <w:tcPr>
            <w:tcW w:w="4272" w:type="dxa"/>
            <w:vAlign w:val="top"/>
          </w:tcPr>
          <w:p w14:paraId="157135E5">
            <w:pPr>
              <w:keepNext w:val="0"/>
              <w:keepLines w:val="0"/>
              <w:pageBreakBefore w:val="0"/>
              <w:widowControl/>
              <w:kinsoku w:val="0"/>
              <w:wordWrap/>
              <w:overflowPunct/>
              <w:topLinePunct w:val="0"/>
              <w:autoSpaceDE w:val="0"/>
              <w:autoSpaceDN w:val="0"/>
              <w:bidi w:val="0"/>
              <w:adjustRightInd w:val="0"/>
              <w:snapToGrid w:val="0"/>
              <w:spacing w:before="128" w:line="288" w:lineRule="auto"/>
              <w:ind w:left="12" w:right="23" w:firstLine="423"/>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如果我方未在招标文件规定的时限内全</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额提交履约保证，我方接受招标人依据招标文件作出的相应处理以及有关监督部门作出的行政处罚，并承担由此引起的一切法律后</w:t>
            </w:r>
            <w:r>
              <w:rPr>
                <w:rFonts w:hint="eastAsia" w:ascii="宋体" w:hAnsi="宋体" w:eastAsia="宋体" w:cs="宋体"/>
                <w:color w:val="000000" w:themeColor="text1"/>
                <w:spacing w:val="8"/>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果。</w:t>
            </w:r>
          </w:p>
        </w:tc>
      </w:tr>
      <w:tr w14:paraId="12204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6C29CB3A">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7DDD6352">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33F7DB17">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68457C2E">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2C8442E1">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2"/>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1675" w:type="dxa"/>
            <w:vAlign w:val="top"/>
          </w:tcPr>
          <w:p w14:paraId="08076FBE">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437A6A2B">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02F76060">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7AF6CE02">
            <w:pPr>
              <w:keepNext w:val="0"/>
              <w:keepLines w:val="0"/>
              <w:pageBreakBefore w:val="0"/>
              <w:widowControl/>
              <w:kinsoku w:val="0"/>
              <w:wordWrap/>
              <w:overflowPunct/>
              <w:topLinePunct w:val="0"/>
              <w:autoSpaceDE w:val="0"/>
              <w:autoSpaceDN w:val="0"/>
              <w:bidi w:val="0"/>
              <w:adjustRightInd w:val="0"/>
              <w:snapToGrid w:val="0"/>
              <w:spacing w:before="65" w:line="288" w:lineRule="auto"/>
              <w:ind w:left="492" w:right="158" w:hanging="332"/>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按时签订合同</w:t>
            </w:r>
            <w:r>
              <w:rPr>
                <w:rFonts w:hint="eastAsia" w:ascii="宋体" w:hAnsi="宋体" w:eastAsia="宋体" w:cs="宋体"/>
                <w:color w:val="000000" w:themeColor="text1"/>
                <w:spacing w:val="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的承诺</w:t>
            </w:r>
          </w:p>
        </w:tc>
        <w:tc>
          <w:tcPr>
            <w:tcW w:w="3107" w:type="dxa"/>
            <w:vAlign w:val="top"/>
          </w:tcPr>
          <w:p w14:paraId="59576A39">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25FCE2AC">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2"/>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如果我方中标，我方保证在 </w:t>
            </w:r>
            <w:r>
              <w:rPr>
                <w:rFonts w:hint="eastAsia" w:ascii="宋体" w:hAnsi="宋体" w:eastAsia="宋体" w:cs="宋体"/>
                <w:color w:val="000000" w:themeColor="text1"/>
                <w:spacing w:val="23"/>
                <w:sz w:val="24"/>
                <w:szCs w:val="24"/>
                <w:highlight w:val="none"/>
                <w14:textFill>
                  <w14:solidFill>
                    <w14:schemeClr w14:val="tx1"/>
                  </w14:solidFill>
                </w14:textFill>
              </w:rPr>
              <w:t>招标文件规定的时限内与招标</w:t>
            </w:r>
            <w:r>
              <w:rPr>
                <w:rFonts w:hint="eastAsia" w:ascii="宋体" w:hAnsi="宋体" w:eastAsia="宋体" w:cs="宋体"/>
                <w:color w:val="000000" w:themeColor="text1"/>
                <w:spacing w:val="7"/>
                <w:sz w:val="24"/>
                <w:szCs w:val="24"/>
                <w:highlight w:val="none"/>
                <w14:textFill>
                  <w14:solidFill>
                    <w14:schemeClr w14:val="tx1"/>
                  </w14:solidFill>
                </w14:textFill>
              </w:rPr>
              <w:t>人签订合同，不提出违背或超出</w:t>
            </w:r>
            <w:r>
              <w:rPr>
                <w:rFonts w:hint="eastAsia" w:ascii="宋体" w:hAnsi="宋体" w:eastAsia="宋体" w:cs="宋体"/>
                <w:color w:val="000000" w:themeColor="text1"/>
                <w:spacing w:val="8"/>
                <w:sz w:val="24"/>
                <w:szCs w:val="24"/>
                <w:highlight w:val="none"/>
                <w14:textFill>
                  <w14:solidFill>
                    <w14:schemeClr w14:val="tx1"/>
                  </w14:solidFill>
                </w14:textFill>
              </w:rPr>
              <w:t>招标文件、中标文件的要求。</w:t>
            </w:r>
          </w:p>
        </w:tc>
        <w:tc>
          <w:tcPr>
            <w:tcW w:w="4272" w:type="dxa"/>
            <w:vAlign w:val="top"/>
          </w:tcPr>
          <w:p w14:paraId="3246D3A0">
            <w:pPr>
              <w:keepNext w:val="0"/>
              <w:keepLines w:val="0"/>
              <w:pageBreakBefore w:val="0"/>
              <w:widowControl/>
              <w:kinsoku w:val="0"/>
              <w:wordWrap/>
              <w:overflowPunct/>
              <w:topLinePunct w:val="0"/>
              <w:autoSpaceDE w:val="0"/>
              <w:autoSpaceDN w:val="0"/>
              <w:bidi w:val="0"/>
              <w:adjustRightInd w:val="0"/>
              <w:snapToGrid w:val="0"/>
              <w:spacing w:before="126" w:line="288" w:lineRule="auto"/>
              <w:ind w:left="13" w:firstLine="415"/>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如果我方未在招标文件规定的时限内与招标人签订合同，或我方在签订合同过程中</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提出违背或超出招标文件、中标文件的要求。</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我方接受招标人依据招标文件作出的相应处</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理以及有关监督部门作出的行政处罚，并承</w:t>
            </w:r>
            <w:r>
              <w:rPr>
                <w:rFonts w:hint="eastAsia" w:ascii="宋体" w:hAnsi="宋体" w:eastAsia="宋体" w:cs="宋体"/>
                <w:color w:val="000000" w:themeColor="text1"/>
                <w:spacing w:val="5"/>
                <w:sz w:val="24"/>
                <w:szCs w:val="24"/>
                <w:highlight w:val="none"/>
                <w14:textFill>
                  <w14:solidFill>
                    <w14:schemeClr w14:val="tx1"/>
                  </w14:solidFill>
                </w14:textFill>
              </w:rPr>
              <w:t>担由此引起的一切法律后果。</w:t>
            </w:r>
          </w:p>
        </w:tc>
      </w:tr>
    </w:tbl>
    <w:p w14:paraId="5841BEAA">
      <w:pPr>
        <w:spacing w:before="78" w:line="219" w:lineRule="auto"/>
        <w:ind w:firstLine="6832" w:firstLineChars="2800"/>
        <w:jc w:val="both"/>
        <w:rPr>
          <w:rFonts w:hint="eastAsia" w:ascii="宋体" w:hAnsi="宋体" w:eastAsia="宋体" w:cs="宋体"/>
          <w:color w:val="000000" w:themeColor="text1"/>
          <w:spacing w:val="2"/>
          <w:sz w:val="24"/>
          <w:szCs w:val="24"/>
          <w:highlight w:val="none"/>
          <w14:textFill>
            <w14:solidFill>
              <w14:schemeClr w14:val="tx1"/>
            </w14:solidFill>
          </w14:textFill>
        </w:rPr>
      </w:pPr>
    </w:p>
    <w:p w14:paraId="5A5A4090">
      <w:pPr>
        <w:spacing w:before="78" w:line="219" w:lineRule="auto"/>
        <w:ind w:firstLine="6832" w:firstLineChars="280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投标人</w:t>
      </w:r>
      <w:r>
        <w:rPr>
          <w:rFonts w:hint="eastAsia" w:ascii="宋体" w:hAnsi="宋体" w:eastAsia="宋体" w:cs="宋体"/>
          <w:color w:val="000000" w:themeColor="text1"/>
          <w:spacing w:val="-15"/>
          <w:sz w:val="24"/>
          <w:szCs w:val="24"/>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盖单位章）</w:t>
      </w:r>
    </w:p>
    <w:p w14:paraId="11F3159F">
      <w:pPr>
        <w:pStyle w:val="5"/>
        <w:spacing w:line="297" w:lineRule="auto"/>
        <w:jc w:val="right"/>
        <w:rPr>
          <w:rFonts w:hint="eastAsia" w:ascii="宋体" w:hAnsi="宋体" w:eastAsia="宋体" w:cs="宋体"/>
          <w:color w:val="000000" w:themeColor="text1"/>
          <w:highlight w:val="none"/>
          <w14:textFill>
            <w14:solidFill>
              <w14:schemeClr w14:val="tx1"/>
            </w14:solidFill>
          </w14:textFill>
        </w:rPr>
      </w:pPr>
    </w:p>
    <w:p w14:paraId="09C1B693">
      <w:pPr>
        <w:spacing w:before="78" w:line="219" w:lineRule="auto"/>
        <w:ind w:left="4366"/>
        <w:jc w:val="right"/>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15"/>
          <w:sz w:val="24"/>
          <w:szCs w:val="24"/>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签字或盖章）</w:t>
      </w:r>
    </w:p>
    <w:p w14:paraId="5307D740">
      <w:pPr>
        <w:outlineLvl w:val="9"/>
        <w:rPr>
          <w:rFonts w:hint="eastAsia"/>
          <w:color w:val="000000" w:themeColor="text1"/>
          <w:highlight w:val="none"/>
          <w14:textFill>
            <w14:solidFill>
              <w14:schemeClr w14:val="tx1"/>
            </w14:solidFill>
          </w14:textFill>
        </w:rPr>
      </w:pPr>
    </w:p>
    <w:p w14:paraId="76133165">
      <w:pPr>
        <w:spacing w:before="78" w:line="220" w:lineRule="auto"/>
        <w:ind w:left="673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月</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日</w:t>
      </w:r>
    </w:p>
    <w:p w14:paraId="75E2AC1F">
      <w:pPr>
        <w:spacing w:line="220" w:lineRule="auto"/>
        <w:jc w:val="right"/>
        <w:rPr>
          <w:rFonts w:hint="eastAsia" w:ascii="宋体" w:hAnsi="宋体" w:eastAsia="宋体" w:cs="宋体"/>
          <w:color w:val="000000" w:themeColor="text1"/>
          <w:sz w:val="24"/>
          <w:szCs w:val="24"/>
          <w:highlight w:val="none"/>
          <w14:textFill>
            <w14:solidFill>
              <w14:schemeClr w14:val="tx1"/>
            </w14:solidFill>
          </w14:textFill>
        </w:rPr>
        <w:sectPr>
          <w:footerReference r:id="rId18"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0B193340">
      <w:pPr>
        <w:spacing w:before="78" w:line="220" w:lineRule="auto"/>
        <w:outlineLvl w:val="2"/>
        <w:rPr>
          <w:rFonts w:hint="eastAsia" w:ascii="宋体" w:hAnsi="宋体" w:eastAsia="宋体" w:cs="宋体"/>
          <w:b/>
          <w:bCs/>
          <w:color w:val="000000" w:themeColor="text1"/>
          <w:spacing w:val="-4"/>
          <w:sz w:val="24"/>
          <w:szCs w:val="24"/>
          <w:highlight w:val="none"/>
          <w14:textFill>
            <w14:solidFill>
              <w14:schemeClr w14:val="tx1"/>
            </w14:solidFill>
          </w14:textFill>
        </w:rPr>
      </w:pPr>
      <w:bookmarkStart w:id="231" w:name="_Toc24663"/>
      <w:r>
        <w:rPr>
          <w:rFonts w:hint="eastAsia" w:ascii="宋体" w:hAnsi="宋体" w:eastAsia="宋体" w:cs="宋体"/>
          <w:b/>
          <w:bCs/>
          <w:color w:val="000000" w:themeColor="text1"/>
          <w:spacing w:val="-4"/>
          <w:sz w:val="24"/>
          <w:szCs w:val="24"/>
          <w:highlight w:val="none"/>
          <w14:textFill>
            <w14:solidFill>
              <w14:schemeClr w14:val="tx1"/>
            </w14:solidFill>
          </w14:textFill>
        </w:rPr>
        <w:t>格式四 授权委托书</w:t>
      </w:r>
      <w:bookmarkEnd w:id="231"/>
    </w:p>
    <w:p w14:paraId="03776E3A">
      <w:pPr>
        <w:pStyle w:val="5"/>
        <w:spacing w:line="351" w:lineRule="auto"/>
        <w:rPr>
          <w:rFonts w:hint="eastAsia" w:ascii="宋体" w:hAnsi="宋体" w:eastAsia="宋体" w:cs="宋体"/>
          <w:color w:val="000000" w:themeColor="text1"/>
          <w:highlight w:val="none"/>
          <w14:textFill>
            <w14:solidFill>
              <w14:schemeClr w14:val="tx1"/>
            </w14:solidFill>
          </w14:textFill>
        </w:rPr>
      </w:pPr>
    </w:p>
    <w:p w14:paraId="27681910">
      <w:pPr>
        <w:pStyle w:val="5"/>
        <w:spacing w:line="351" w:lineRule="auto"/>
        <w:rPr>
          <w:rFonts w:hint="eastAsia" w:ascii="宋体" w:hAnsi="宋体" w:eastAsia="宋体" w:cs="宋体"/>
          <w:color w:val="000000" w:themeColor="text1"/>
          <w:highlight w:val="none"/>
          <w14:textFill>
            <w14:solidFill>
              <w14:schemeClr w14:val="tx1"/>
            </w14:solidFill>
          </w14:textFill>
        </w:rPr>
      </w:pPr>
    </w:p>
    <w:p w14:paraId="6710AE74">
      <w:pPr>
        <w:spacing w:before="97" w:line="219" w:lineRule="auto"/>
        <w:ind w:left="3786"/>
        <w:rPr>
          <w:rFonts w:hint="eastAsia" w:ascii="宋体" w:hAnsi="宋体" w:eastAsia="宋体" w:cs="宋体"/>
          <w:color w:val="000000" w:themeColor="text1"/>
          <w:sz w:val="30"/>
          <w:szCs w:val="30"/>
          <w:highlight w:val="none"/>
          <w14:textFill>
            <w14:solidFill>
              <w14:schemeClr w14:val="tx1"/>
            </w14:solidFill>
          </w14:textFill>
        </w:rPr>
      </w:pPr>
      <w:bookmarkStart w:id="232" w:name="bookmark151"/>
      <w:bookmarkEnd w:id="232"/>
      <w:r>
        <w:rPr>
          <w:rFonts w:hint="eastAsia" w:ascii="宋体" w:hAnsi="宋体" w:eastAsia="宋体" w:cs="宋体"/>
          <w:b/>
          <w:bCs/>
          <w:color w:val="000000" w:themeColor="text1"/>
          <w:spacing w:val="-5"/>
          <w:sz w:val="30"/>
          <w:szCs w:val="30"/>
          <w:highlight w:val="none"/>
          <w14:textFill>
            <w14:solidFill>
              <w14:schemeClr w14:val="tx1"/>
            </w14:solidFill>
          </w14:textFill>
        </w:rPr>
        <w:t>授权委托书</w:t>
      </w:r>
    </w:p>
    <w:p w14:paraId="6B19C13D">
      <w:pPr>
        <w:pStyle w:val="5"/>
        <w:spacing w:line="250" w:lineRule="auto"/>
        <w:rPr>
          <w:rFonts w:hint="eastAsia" w:ascii="宋体" w:hAnsi="宋体" w:eastAsia="宋体" w:cs="宋体"/>
          <w:color w:val="000000" w:themeColor="text1"/>
          <w:highlight w:val="none"/>
          <w14:textFill>
            <w14:solidFill>
              <w14:schemeClr w14:val="tx1"/>
            </w14:solidFill>
          </w14:textFill>
        </w:rPr>
      </w:pPr>
    </w:p>
    <w:p w14:paraId="761B3015">
      <w:pPr>
        <w:pStyle w:val="5"/>
        <w:spacing w:line="250" w:lineRule="auto"/>
        <w:rPr>
          <w:rFonts w:hint="eastAsia" w:ascii="宋体" w:hAnsi="宋体" w:eastAsia="宋体" w:cs="宋体"/>
          <w:color w:val="000000" w:themeColor="text1"/>
          <w:highlight w:val="none"/>
          <w14:textFill>
            <w14:solidFill>
              <w14:schemeClr w14:val="tx1"/>
            </w14:solidFill>
          </w14:textFill>
        </w:rPr>
      </w:pPr>
    </w:p>
    <w:p w14:paraId="586EF8E7">
      <w:pPr>
        <w:pStyle w:val="5"/>
        <w:spacing w:line="251" w:lineRule="auto"/>
        <w:rPr>
          <w:rFonts w:hint="eastAsia" w:ascii="宋体" w:hAnsi="宋体" w:eastAsia="宋体" w:cs="宋体"/>
          <w:color w:val="000000" w:themeColor="text1"/>
          <w:highlight w:val="none"/>
          <w14:textFill>
            <w14:solidFill>
              <w14:schemeClr w14:val="tx1"/>
            </w14:solidFill>
          </w14:textFill>
        </w:rPr>
      </w:pPr>
    </w:p>
    <w:p w14:paraId="29794F47">
      <w:pPr>
        <w:spacing w:before="78" w:line="330" w:lineRule="auto"/>
        <w:ind w:firstLine="481"/>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8"/>
          <w:highlight w:val="none"/>
          <w:lang w:eastAsia="zh-CN"/>
          <w14:textFill>
            <w14:solidFill>
              <w14:schemeClr w14:val="tx1"/>
            </w14:solidFill>
          </w14:textFill>
        </w:rPr>
        <w:t>本人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8"/>
          <w:highlight w:val="none"/>
          <w:lang w:eastAsia="zh-CN"/>
          <w14:textFill>
            <w14:solidFill>
              <w14:schemeClr w14:val="tx1"/>
            </w14:solidFill>
          </w14:textFill>
        </w:rPr>
        <w:t>（姓名）系</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8"/>
          <w:highlight w:val="none"/>
          <w:lang w:eastAsia="zh-CN"/>
          <w14:textFill>
            <w14:solidFill>
              <w14:schemeClr w14:val="tx1"/>
            </w14:solidFill>
          </w14:textFill>
        </w:rPr>
        <w:t>（投标人名称）的法定代表人，现委托</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8"/>
          <w:highlight w:val="none"/>
          <w:lang w:eastAsia="zh-CN"/>
          <w14:textFill>
            <w14:solidFill>
              <w14:schemeClr w14:val="tx1"/>
            </w14:solidFill>
          </w14:textFill>
        </w:rPr>
        <w:t>（姓名）为我方代理人。代理人根据授权，以我方名义签署、澄清、说明、补正、递交、撤回、修改</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8"/>
          <w:highlight w:val="none"/>
          <w:u w:val="single"/>
          <w:lang w:eastAsia="zh-CN"/>
          <w14:textFill>
            <w14:solidFill>
              <w14:schemeClr w14:val="tx1"/>
            </w14:solidFill>
          </w14:textFill>
        </w:rPr>
        <w:t>（项目名称）</w:t>
      </w:r>
      <w:r>
        <w:rPr>
          <w:rFonts w:hint="eastAsia" w:ascii="宋体" w:hAnsi="宋体" w:eastAsia="宋体" w:cs="宋体"/>
          <w:snapToGrid w:val="0"/>
          <w:color w:val="000000" w:themeColor="text1"/>
          <w:kern w:val="0"/>
          <w:sz w:val="24"/>
          <w:szCs w:val="28"/>
          <w:highlight w:val="none"/>
          <w:lang w:eastAsia="zh-CN"/>
          <w14:textFill>
            <w14:solidFill>
              <w14:schemeClr w14:val="tx1"/>
            </w14:solidFill>
          </w14:textFill>
        </w:rPr>
        <w:t xml:space="preserve"> 施工投标文件、签订合同和处理有关事宜，其法律后果由我方承担。</w:t>
      </w:r>
    </w:p>
    <w:p w14:paraId="61311643">
      <w:pPr>
        <w:spacing w:before="32" w:line="320" w:lineRule="auto"/>
        <w:ind w:left="480" w:right="497"/>
        <w:rPr>
          <w:rFonts w:hint="eastAsia" w:ascii="宋体" w:hAnsi="宋体" w:eastAsia="宋体" w:cs="宋体"/>
          <w:color w:val="000000" w:themeColor="text1"/>
          <w:spacing w:val="15"/>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委托期限：至</w:t>
      </w:r>
      <w:r>
        <w:rPr>
          <w:rFonts w:hint="eastAsia" w:ascii="宋体" w:hAnsi="宋体" w:eastAsia="宋体" w:cs="宋体"/>
          <w:color w:val="000000" w:themeColor="text1"/>
          <w:spacing w:val="-9"/>
          <w:sz w:val="24"/>
          <w:szCs w:val="24"/>
          <w:highlight w:val="none"/>
          <w:u w:val="single"/>
          <w14:textFill>
            <w14:solidFill>
              <w14:schemeClr w14:val="tx1"/>
            </w14:solidFill>
          </w14:textFill>
        </w:rPr>
        <w:t xml:space="preserve">     年   月    日</w:t>
      </w:r>
      <w:r>
        <w:rPr>
          <w:rFonts w:hint="eastAsia" w:ascii="宋体" w:hAnsi="宋体" w:eastAsia="宋体" w:cs="宋体"/>
          <w:i/>
          <w:iCs/>
          <w:color w:val="000000" w:themeColor="text1"/>
          <w:spacing w:val="-9"/>
          <w:sz w:val="25"/>
          <w:szCs w:val="25"/>
          <w:highlight w:val="none"/>
          <w:u w:val="single"/>
          <w14:textFill>
            <w14:solidFill>
              <w14:schemeClr w14:val="tx1"/>
            </w14:solidFill>
          </w14:textFill>
        </w:rPr>
        <w:t>（不得短于招标文件规定的投标有效期）</w:t>
      </w:r>
      <w:r>
        <w:rPr>
          <w:rFonts w:hint="eastAsia" w:ascii="宋体" w:hAnsi="宋体" w:eastAsia="宋体" w:cs="宋体"/>
          <w:color w:val="000000" w:themeColor="text1"/>
          <w:spacing w:val="-9"/>
          <w:sz w:val="25"/>
          <w:szCs w:val="25"/>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w:t>
      </w:r>
      <w:r>
        <w:rPr>
          <w:rFonts w:hint="eastAsia" w:ascii="宋体" w:hAnsi="宋体" w:eastAsia="宋体" w:cs="宋体"/>
          <w:color w:val="000000" w:themeColor="text1"/>
          <w:spacing w:val="15"/>
          <w:sz w:val="24"/>
          <w:szCs w:val="24"/>
          <w:highlight w:val="none"/>
          <w14:textFill>
            <w14:solidFill>
              <w14:schemeClr w14:val="tx1"/>
            </w14:solidFill>
          </w14:textFill>
        </w:rPr>
        <w:t xml:space="preserve"> </w:t>
      </w:r>
    </w:p>
    <w:p w14:paraId="065F5DA6">
      <w:pPr>
        <w:spacing w:before="32" w:line="320" w:lineRule="auto"/>
        <w:ind w:left="480" w:right="4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代理人无转委托权。</w:t>
      </w:r>
    </w:p>
    <w:p w14:paraId="03D08A77">
      <w:pPr>
        <w:pStyle w:val="5"/>
        <w:spacing w:line="276" w:lineRule="auto"/>
        <w:rPr>
          <w:rFonts w:hint="eastAsia" w:ascii="宋体" w:hAnsi="宋体" w:eastAsia="宋体" w:cs="宋体"/>
          <w:color w:val="000000" w:themeColor="text1"/>
          <w:highlight w:val="none"/>
          <w14:textFill>
            <w14:solidFill>
              <w14:schemeClr w14:val="tx1"/>
            </w14:solidFill>
          </w14:textFill>
        </w:rPr>
      </w:pPr>
    </w:p>
    <w:p w14:paraId="43532AC3">
      <w:pPr>
        <w:pStyle w:val="5"/>
        <w:spacing w:line="277" w:lineRule="auto"/>
        <w:rPr>
          <w:rFonts w:hint="eastAsia" w:ascii="宋体" w:hAnsi="宋体" w:eastAsia="宋体" w:cs="宋体"/>
          <w:color w:val="000000" w:themeColor="text1"/>
          <w:highlight w:val="none"/>
          <w14:textFill>
            <w14:solidFill>
              <w14:schemeClr w14:val="tx1"/>
            </w14:solidFill>
          </w14:textFill>
        </w:rPr>
      </w:pPr>
    </w:p>
    <w:p w14:paraId="2B7914FB">
      <w:pPr>
        <w:pStyle w:val="5"/>
        <w:spacing w:line="277" w:lineRule="auto"/>
        <w:rPr>
          <w:rFonts w:hint="eastAsia" w:ascii="宋体" w:hAnsi="宋体" w:eastAsia="宋体" w:cs="宋体"/>
          <w:color w:val="000000" w:themeColor="text1"/>
          <w:highlight w:val="none"/>
          <w14:textFill>
            <w14:solidFill>
              <w14:schemeClr w14:val="tx1"/>
            </w14:solidFill>
          </w14:textFill>
        </w:rPr>
      </w:pPr>
    </w:p>
    <w:p w14:paraId="37C771EC">
      <w:pPr>
        <w:spacing w:before="78" w:line="219" w:lineRule="auto"/>
        <w:ind w:left="3123"/>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投  标  人</w:t>
      </w:r>
      <w:r>
        <w:rPr>
          <w:rFonts w:hint="eastAsia" w:ascii="宋体" w:hAnsi="宋体" w:eastAsia="宋体" w:cs="宋体"/>
          <w:color w:val="000000" w:themeColor="text1"/>
          <w:spacing w:val="-3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31"/>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盖单位章）</w:t>
      </w:r>
    </w:p>
    <w:p w14:paraId="67E86849">
      <w:pPr>
        <w:pStyle w:val="5"/>
        <w:spacing w:line="317" w:lineRule="auto"/>
        <w:jc w:val="right"/>
        <w:rPr>
          <w:rFonts w:hint="eastAsia" w:ascii="宋体" w:hAnsi="宋体" w:eastAsia="宋体" w:cs="宋体"/>
          <w:color w:val="000000" w:themeColor="text1"/>
          <w:highlight w:val="none"/>
          <w14:textFill>
            <w14:solidFill>
              <w14:schemeClr w14:val="tx1"/>
            </w14:solidFill>
          </w14:textFill>
        </w:rPr>
      </w:pPr>
    </w:p>
    <w:p w14:paraId="4D39F848">
      <w:pPr>
        <w:pStyle w:val="5"/>
        <w:spacing w:line="317" w:lineRule="auto"/>
        <w:jc w:val="right"/>
        <w:rPr>
          <w:rFonts w:hint="eastAsia" w:ascii="宋体" w:hAnsi="宋体" w:eastAsia="宋体" w:cs="宋体"/>
          <w:color w:val="000000" w:themeColor="text1"/>
          <w:highlight w:val="none"/>
          <w14:textFill>
            <w14:solidFill>
              <w14:schemeClr w14:val="tx1"/>
            </w14:solidFill>
          </w14:textFill>
        </w:rPr>
      </w:pPr>
    </w:p>
    <w:p w14:paraId="067D7E79">
      <w:pPr>
        <w:pStyle w:val="5"/>
        <w:spacing w:line="317" w:lineRule="auto"/>
        <w:jc w:val="right"/>
        <w:rPr>
          <w:rFonts w:hint="eastAsia" w:ascii="宋体" w:hAnsi="宋体" w:eastAsia="宋体" w:cs="宋体"/>
          <w:color w:val="000000" w:themeColor="text1"/>
          <w:highlight w:val="none"/>
          <w14:textFill>
            <w14:solidFill>
              <w14:schemeClr w14:val="tx1"/>
            </w14:solidFill>
          </w14:textFill>
        </w:rPr>
      </w:pPr>
    </w:p>
    <w:p w14:paraId="67B8E691">
      <w:pPr>
        <w:spacing w:before="79" w:line="219" w:lineRule="auto"/>
        <w:ind w:left="3121"/>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法定代表人</w:t>
      </w:r>
      <w:r>
        <w:rPr>
          <w:rFonts w:hint="eastAsia" w:ascii="宋体" w:hAnsi="宋体" w:eastAsia="宋体" w:cs="宋体"/>
          <w:color w:val="000000" w:themeColor="text1"/>
          <w:spacing w:val="-17"/>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7"/>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签字或盖章）</w:t>
      </w:r>
    </w:p>
    <w:p w14:paraId="058F6FE5">
      <w:pPr>
        <w:pStyle w:val="5"/>
        <w:spacing w:line="317" w:lineRule="auto"/>
        <w:jc w:val="right"/>
        <w:rPr>
          <w:rFonts w:hint="eastAsia" w:ascii="宋体" w:hAnsi="宋体" w:eastAsia="宋体" w:cs="宋体"/>
          <w:color w:val="000000" w:themeColor="text1"/>
          <w:highlight w:val="none"/>
          <w14:textFill>
            <w14:solidFill>
              <w14:schemeClr w14:val="tx1"/>
            </w14:solidFill>
          </w14:textFill>
        </w:rPr>
      </w:pPr>
    </w:p>
    <w:p w14:paraId="084C2FB0">
      <w:pPr>
        <w:pStyle w:val="5"/>
        <w:spacing w:line="317" w:lineRule="auto"/>
        <w:jc w:val="right"/>
        <w:rPr>
          <w:rFonts w:hint="eastAsia" w:ascii="宋体" w:hAnsi="宋体" w:eastAsia="宋体" w:cs="宋体"/>
          <w:color w:val="000000" w:themeColor="text1"/>
          <w:highlight w:val="none"/>
          <w14:textFill>
            <w14:solidFill>
              <w14:schemeClr w14:val="tx1"/>
            </w14:solidFill>
          </w14:textFill>
        </w:rPr>
      </w:pPr>
    </w:p>
    <w:p w14:paraId="357963A6">
      <w:pPr>
        <w:pStyle w:val="5"/>
        <w:spacing w:line="317" w:lineRule="auto"/>
        <w:jc w:val="right"/>
        <w:rPr>
          <w:rFonts w:hint="eastAsia" w:ascii="宋体" w:hAnsi="宋体" w:eastAsia="宋体" w:cs="宋体"/>
          <w:color w:val="000000" w:themeColor="text1"/>
          <w:highlight w:val="none"/>
          <w14:textFill>
            <w14:solidFill>
              <w14:schemeClr w14:val="tx1"/>
            </w14:solidFill>
          </w14:textFill>
        </w:rPr>
      </w:pPr>
    </w:p>
    <w:p w14:paraId="732A1D8F">
      <w:pPr>
        <w:spacing w:before="78" w:line="219" w:lineRule="auto"/>
        <w:ind w:left="288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委托代理人</w:t>
      </w:r>
      <w:r>
        <w:rPr>
          <w:rFonts w:hint="eastAsia" w:ascii="宋体" w:hAnsi="宋体" w:eastAsia="宋体" w:cs="宋体"/>
          <w:color w:val="000000" w:themeColor="text1"/>
          <w:spacing w:val="-16"/>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6"/>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签字或盖章）</w:t>
      </w:r>
    </w:p>
    <w:p w14:paraId="1B567FA1">
      <w:pPr>
        <w:pStyle w:val="5"/>
        <w:spacing w:line="256" w:lineRule="auto"/>
        <w:jc w:val="right"/>
        <w:rPr>
          <w:rFonts w:hint="eastAsia" w:ascii="宋体" w:hAnsi="宋体" w:eastAsia="宋体" w:cs="宋体"/>
          <w:color w:val="000000" w:themeColor="text1"/>
          <w:highlight w:val="none"/>
          <w14:textFill>
            <w14:solidFill>
              <w14:schemeClr w14:val="tx1"/>
            </w14:solidFill>
          </w14:textFill>
        </w:rPr>
      </w:pPr>
    </w:p>
    <w:p w14:paraId="3C2BC505">
      <w:pPr>
        <w:pStyle w:val="5"/>
        <w:spacing w:line="256" w:lineRule="auto"/>
        <w:jc w:val="right"/>
        <w:rPr>
          <w:rFonts w:hint="eastAsia" w:ascii="宋体" w:hAnsi="宋体" w:eastAsia="宋体" w:cs="宋体"/>
          <w:color w:val="000000" w:themeColor="text1"/>
          <w:highlight w:val="none"/>
          <w14:textFill>
            <w14:solidFill>
              <w14:schemeClr w14:val="tx1"/>
            </w14:solidFill>
          </w14:textFill>
        </w:rPr>
      </w:pPr>
    </w:p>
    <w:p w14:paraId="32DFD235">
      <w:pPr>
        <w:spacing w:before="78" w:line="220" w:lineRule="auto"/>
        <w:ind w:left="673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月</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日</w:t>
      </w:r>
    </w:p>
    <w:p w14:paraId="09CD99D4">
      <w:pPr>
        <w:spacing w:before="78" w:line="220" w:lineRule="auto"/>
        <w:ind w:left="4201"/>
        <w:jc w:val="right"/>
        <w:rPr>
          <w:rFonts w:hint="eastAsia" w:ascii="宋体" w:hAnsi="宋体" w:eastAsia="宋体" w:cs="宋体"/>
          <w:color w:val="000000" w:themeColor="text1"/>
          <w:sz w:val="24"/>
          <w:szCs w:val="24"/>
          <w:highlight w:val="none"/>
          <w14:textFill>
            <w14:solidFill>
              <w14:schemeClr w14:val="tx1"/>
            </w14:solidFill>
          </w14:textFill>
        </w:rPr>
      </w:pPr>
    </w:p>
    <w:p w14:paraId="723A21F5">
      <w:pPr>
        <w:spacing w:before="69"/>
        <w:rPr>
          <w:rFonts w:hint="eastAsia" w:ascii="宋体" w:hAnsi="宋体" w:eastAsia="宋体" w:cs="宋体"/>
          <w:color w:val="000000" w:themeColor="text1"/>
          <w:highlight w:val="none"/>
          <w14:textFill>
            <w14:solidFill>
              <w14:schemeClr w14:val="tx1"/>
            </w14:solidFill>
          </w14:textFill>
        </w:rPr>
      </w:pPr>
    </w:p>
    <w:p w14:paraId="1E0667E6">
      <w:pPr>
        <w:spacing w:before="69"/>
        <w:rPr>
          <w:rFonts w:hint="eastAsia" w:ascii="宋体" w:hAnsi="宋体" w:eastAsia="宋体" w:cs="宋体"/>
          <w:color w:val="000000" w:themeColor="text1"/>
          <w:highlight w:val="none"/>
          <w14:textFill>
            <w14:solidFill>
              <w14:schemeClr w14:val="tx1"/>
            </w14:solidFill>
          </w14:textFill>
        </w:rPr>
      </w:pPr>
    </w:p>
    <w:tbl>
      <w:tblPr>
        <w:tblStyle w:val="12"/>
        <w:tblW w:w="5600" w:type="dxa"/>
        <w:tblInd w:w="230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600"/>
      </w:tblGrid>
      <w:tr w14:paraId="2127AB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70" w:hRule="atLeast"/>
        </w:trPr>
        <w:tc>
          <w:tcPr>
            <w:tcW w:w="5600" w:type="dxa"/>
            <w:vAlign w:val="top"/>
          </w:tcPr>
          <w:p w14:paraId="06290FA3">
            <w:pPr>
              <w:pStyle w:val="17"/>
              <w:spacing w:line="245" w:lineRule="auto"/>
              <w:rPr>
                <w:rFonts w:hint="eastAsia" w:ascii="宋体" w:hAnsi="宋体" w:eastAsia="宋体" w:cs="宋体"/>
                <w:color w:val="000000" w:themeColor="text1"/>
                <w:highlight w:val="none"/>
                <w14:textFill>
                  <w14:solidFill>
                    <w14:schemeClr w14:val="tx1"/>
                  </w14:solidFill>
                </w14:textFill>
              </w:rPr>
            </w:pPr>
          </w:p>
          <w:p w14:paraId="73D5EEA8">
            <w:pPr>
              <w:pStyle w:val="17"/>
              <w:spacing w:line="245" w:lineRule="auto"/>
              <w:rPr>
                <w:rFonts w:hint="eastAsia" w:ascii="宋体" w:hAnsi="宋体" w:eastAsia="宋体" w:cs="宋体"/>
                <w:color w:val="000000" w:themeColor="text1"/>
                <w:highlight w:val="none"/>
                <w14:textFill>
                  <w14:solidFill>
                    <w14:schemeClr w14:val="tx1"/>
                  </w14:solidFill>
                </w14:textFill>
              </w:rPr>
            </w:pPr>
          </w:p>
          <w:p w14:paraId="4189E6F9">
            <w:pPr>
              <w:pStyle w:val="17"/>
              <w:spacing w:line="245" w:lineRule="auto"/>
              <w:rPr>
                <w:rFonts w:hint="eastAsia" w:ascii="宋体" w:hAnsi="宋体" w:eastAsia="宋体" w:cs="宋体"/>
                <w:color w:val="000000" w:themeColor="text1"/>
                <w:highlight w:val="none"/>
                <w14:textFill>
                  <w14:solidFill>
                    <w14:schemeClr w14:val="tx1"/>
                  </w14:solidFill>
                </w14:textFill>
              </w:rPr>
            </w:pPr>
          </w:p>
          <w:p w14:paraId="31D9240F">
            <w:pPr>
              <w:pStyle w:val="17"/>
              <w:spacing w:line="245" w:lineRule="auto"/>
              <w:rPr>
                <w:rFonts w:hint="eastAsia" w:ascii="宋体" w:hAnsi="宋体" w:eastAsia="宋体" w:cs="宋体"/>
                <w:color w:val="000000" w:themeColor="text1"/>
                <w:highlight w:val="none"/>
                <w14:textFill>
                  <w14:solidFill>
                    <w14:schemeClr w14:val="tx1"/>
                  </w14:solidFill>
                </w14:textFill>
              </w:rPr>
            </w:pPr>
          </w:p>
          <w:p w14:paraId="30F2804B">
            <w:pPr>
              <w:pStyle w:val="17"/>
              <w:spacing w:line="245" w:lineRule="auto"/>
              <w:rPr>
                <w:rFonts w:hint="eastAsia" w:ascii="宋体" w:hAnsi="宋体" w:eastAsia="宋体" w:cs="宋体"/>
                <w:color w:val="000000" w:themeColor="text1"/>
                <w:highlight w:val="none"/>
                <w14:textFill>
                  <w14:solidFill>
                    <w14:schemeClr w14:val="tx1"/>
                  </w14:solidFill>
                </w14:textFill>
              </w:rPr>
            </w:pPr>
          </w:p>
          <w:p w14:paraId="376A489E">
            <w:pPr>
              <w:pStyle w:val="17"/>
              <w:spacing w:line="245" w:lineRule="auto"/>
              <w:rPr>
                <w:rFonts w:hint="eastAsia" w:ascii="宋体" w:hAnsi="宋体" w:eastAsia="宋体" w:cs="宋体"/>
                <w:color w:val="000000" w:themeColor="text1"/>
                <w:highlight w:val="none"/>
                <w14:textFill>
                  <w14:solidFill>
                    <w14:schemeClr w14:val="tx1"/>
                  </w14:solidFill>
                </w14:textFill>
              </w:rPr>
            </w:pPr>
          </w:p>
          <w:p w14:paraId="5A6EA383">
            <w:pPr>
              <w:pStyle w:val="17"/>
              <w:spacing w:line="246" w:lineRule="auto"/>
              <w:rPr>
                <w:rFonts w:hint="eastAsia" w:ascii="宋体" w:hAnsi="宋体" w:eastAsia="宋体" w:cs="宋体"/>
                <w:color w:val="000000" w:themeColor="text1"/>
                <w:highlight w:val="none"/>
                <w14:textFill>
                  <w14:solidFill>
                    <w14:schemeClr w14:val="tx1"/>
                  </w14:solidFill>
                </w14:textFill>
              </w:rPr>
            </w:pPr>
          </w:p>
          <w:p w14:paraId="46299238">
            <w:pPr>
              <w:spacing w:before="78" w:line="220" w:lineRule="auto"/>
              <w:ind w:left="71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委托代理人身份证</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扫描</w:t>
            </w:r>
            <w:r>
              <w:rPr>
                <w:rFonts w:hint="eastAsia" w:ascii="宋体" w:hAnsi="宋体" w:eastAsia="宋体" w:cs="宋体"/>
                <w:color w:val="000000" w:themeColor="text1"/>
                <w:spacing w:val="-1"/>
                <w:sz w:val="24"/>
                <w:szCs w:val="24"/>
                <w:highlight w:val="none"/>
                <w14:textFill>
                  <w14:solidFill>
                    <w14:schemeClr w14:val="tx1"/>
                  </w14:solidFill>
                </w14:textFill>
              </w:rPr>
              <w:t>件正、反面</w:t>
            </w:r>
          </w:p>
        </w:tc>
      </w:tr>
    </w:tbl>
    <w:p w14:paraId="1CD2E23D">
      <w:pPr>
        <w:pStyle w:val="5"/>
        <w:rPr>
          <w:rFonts w:hint="eastAsia" w:ascii="宋体" w:hAnsi="宋体" w:eastAsia="宋体" w:cs="宋体"/>
          <w:color w:val="000000" w:themeColor="text1"/>
          <w:highlight w:val="none"/>
          <w14:textFill>
            <w14:solidFill>
              <w14:schemeClr w14:val="tx1"/>
            </w14:solidFill>
          </w14:textFill>
        </w:rPr>
      </w:pPr>
    </w:p>
    <w:p w14:paraId="3BE2502C">
      <w:pPr>
        <w:rPr>
          <w:rFonts w:hint="eastAsia" w:ascii="宋体" w:hAnsi="宋体" w:eastAsia="宋体" w:cs="宋体"/>
          <w:color w:val="000000" w:themeColor="text1"/>
          <w:highlight w:val="none"/>
          <w14:textFill>
            <w14:solidFill>
              <w14:schemeClr w14:val="tx1"/>
            </w14:solidFill>
          </w14:textFill>
        </w:rPr>
        <w:sectPr>
          <w:footerReference r:id="rId19"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13DBB8BC">
      <w:pPr>
        <w:spacing w:before="78" w:line="220" w:lineRule="auto"/>
        <w:outlineLvl w:val="2"/>
        <w:rPr>
          <w:rFonts w:hint="eastAsia" w:ascii="宋体" w:hAnsi="宋体" w:eastAsia="宋体" w:cs="宋体"/>
          <w:b/>
          <w:bCs/>
          <w:color w:val="000000" w:themeColor="text1"/>
          <w:spacing w:val="-4"/>
          <w:sz w:val="24"/>
          <w:szCs w:val="24"/>
          <w:highlight w:val="none"/>
          <w14:textFill>
            <w14:solidFill>
              <w14:schemeClr w14:val="tx1"/>
            </w14:solidFill>
          </w14:textFill>
        </w:rPr>
      </w:pPr>
      <w:bookmarkStart w:id="233" w:name="_Toc24290"/>
      <w:r>
        <w:rPr>
          <w:rFonts w:hint="eastAsia" w:ascii="宋体" w:hAnsi="宋体" w:eastAsia="宋体" w:cs="宋体"/>
          <w:b/>
          <w:bCs/>
          <w:color w:val="000000" w:themeColor="text1"/>
          <w:spacing w:val="-4"/>
          <w:sz w:val="24"/>
          <w:szCs w:val="24"/>
          <w:highlight w:val="none"/>
          <w14:textFill>
            <w14:solidFill>
              <w14:schemeClr w14:val="tx1"/>
            </w14:solidFill>
          </w14:textFill>
        </w:rPr>
        <w:t>格式五 法定代表人身份证明</w:t>
      </w:r>
      <w:bookmarkEnd w:id="233"/>
    </w:p>
    <w:p w14:paraId="64F0910B">
      <w:pPr>
        <w:pStyle w:val="5"/>
        <w:spacing w:line="350" w:lineRule="auto"/>
        <w:rPr>
          <w:rFonts w:hint="eastAsia" w:ascii="宋体" w:hAnsi="宋体" w:eastAsia="宋体" w:cs="宋体"/>
          <w:color w:val="000000" w:themeColor="text1"/>
          <w:highlight w:val="none"/>
          <w14:textFill>
            <w14:solidFill>
              <w14:schemeClr w14:val="tx1"/>
            </w14:solidFill>
          </w14:textFill>
        </w:rPr>
      </w:pPr>
    </w:p>
    <w:p w14:paraId="2888A3EE">
      <w:pPr>
        <w:pStyle w:val="5"/>
        <w:spacing w:line="350" w:lineRule="auto"/>
        <w:rPr>
          <w:rFonts w:hint="eastAsia" w:ascii="宋体" w:hAnsi="宋体" w:eastAsia="宋体" w:cs="宋体"/>
          <w:color w:val="000000" w:themeColor="text1"/>
          <w:highlight w:val="none"/>
          <w14:textFill>
            <w14:solidFill>
              <w14:schemeClr w14:val="tx1"/>
            </w14:solidFill>
          </w14:textFill>
        </w:rPr>
      </w:pPr>
    </w:p>
    <w:p w14:paraId="10601B29">
      <w:pPr>
        <w:spacing w:before="98" w:line="220" w:lineRule="auto"/>
        <w:ind w:left="3183"/>
        <w:rPr>
          <w:rFonts w:hint="eastAsia" w:ascii="宋体" w:hAnsi="宋体" w:eastAsia="宋体" w:cs="宋体"/>
          <w:color w:val="000000" w:themeColor="text1"/>
          <w:sz w:val="30"/>
          <w:szCs w:val="30"/>
          <w:highlight w:val="none"/>
          <w14:textFill>
            <w14:solidFill>
              <w14:schemeClr w14:val="tx1"/>
            </w14:solidFill>
          </w14:textFill>
        </w:rPr>
      </w:pPr>
      <w:bookmarkStart w:id="234" w:name="bookmark152"/>
      <w:bookmarkEnd w:id="234"/>
      <w:r>
        <w:rPr>
          <w:rFonts w:hint="eastAsia" w:ascii="宋体" w:hAnsi="宋体" w:eastAsia="宋体" w:cs="宋体"/>
          <w:b/>
          <w:bCs/>
          <w:color w:val="000000" w:themeColor="text1"/>
          <w:spacing w:val="-4"/>
          <w:sz w:val="30"/>
          <w:szCs w:val="30"/>
          <w:highlight w:val="none"/>
          <w14:textFill>
            <w14:solidFill>
              <w14:schemeClr w14:val="tx1"/>
            </w14:solidFill>
          </w14:textFill>
        </w:rPr>
        <w:t>法定代表人身份证明</w:t>
      </w:r>
    </w:p>
    <w:p w14:paraId="176A168B">
      <w:pPr>
        <w:pStyle w:val="5"/>
        <w:spacing w:line="250" w:lineRule="auto"/>
        <w:rPr>
          <w:rFonts w:hint="eastAsia" w:ascii="宋体" w:hAnsi="宋体" w:eastAsia="宋体" w:cs="宋体"/>
          <w:color w:val="000000" w:themeColor="text1"/>
          <w:highlight w:val="none"/>
          <w14:textFill>
            <w14:solidFill>
              <w14:schemeClr w14:val="tx1"/>
            </w14:solidFill>
          </w14:textFill>
        </w:rPr>
      </w:pPr>
    </w:p>
    <w:p w14:paraId="5B8D004F">
      <w:pPr>
        <w:pStyle w:val="5"/>
        <w:spacing w:line="250" w:lineRule="auto"/>
        <w:rPr>
          <w:rFonts w:hint="eastAsia" w:ascii="宋体" w:hAnsi="宋体" w:eastAsia="宋体" w:cs="宋体"/>
          <w:color w:val="000000" w:themeColor="text1"/>
          <w:highlight w:val="none"/>
          <w14:textFill>
            <w14:solidFill>
              <w14:schemeClr w14:val="tx1"/>
            </w14:solidFill>
          </w14:textFill>
        </w:rPr>
      </w:pPr>
    </w:p>
    <w:p w14:paraId="47A552CC">
      <w:pPr>
        <w:pStyle w:val="5"/>
        <w:spacing w:line="251" w:lineRule="auto"/>
        <w:rPr>
          <w:rFonts w:hint="eastAsia" w:ascii="宋体" w:hAnsi="宋体" w:eastAsia="宋体" w:cs="宋体"/>
          <w:color w:val="000000" w:themeColor="text1"/>
          <w:highlight w:val="none"/>
          <w14:textFill>
            <w14:solidFill>
              <w14:schemeClr w14:val="tx1"/>
            </w14:solidFill>
          </w14:textFill>
        </w:rPr>
      </w:pPr>
    </w:p>
    <w:p w14:paraId="6441890C">
      <w:pPr>
        <w:wordWrap w:val="0"/>
        <w:adjustRightInd w:val="0"/>
        <w:snapToGrid w:val="0"/>
        <w:spacing w:line="440" w:lineRule="exact"/>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投标人名称：</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p>
    <w:p w14:paraId="78081EA7">
      <w:pPr>
        <w:wordWrap w:val="0"/>
        <w:adjustRightInd w:val="0"/>
        <w:snapToGrid w:val="0"/>
        <w:spacing w:line="440" w:lineRule="exact"/>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姓名：</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性别：</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年龄：</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职务：</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p>
    <w:p w14:paraId="572BE33E">
      <w:pPr>
        <w:wordWrap w:val="0"/>
        <w:adjustRightInd w:val="0"/>
        <w:snapToGrid w:val="0"/>
        <w:spacing w:line="440" w:lineRule="exac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系</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（投标人名称）的法定代表人。</w:t>
      </w:r>
    </w:p>
    <w:p w14:paraId="7898B9FA">
      <w:pPr>
        <w:wordWrap w:val="0"/>
        <w:adjustRightInd w:val="0"/>
        <w:snapToGrid w:val="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特此证明。</w:t>
      </w:r>
    </w:p>
    <w:p w14:paraId="1DA8C0EE">
      <w:pPr>
        <w:pStyle w:val="5"/>
        <w:spacing w:line="277" w:lineRule="auto"/>
        <w:rPr>
          <w:rFonts w:hint="eastAsia" w:ascii="宋体" w:hAnsi="宋体" w:eastAsia="宋体" w:cs="宋体"/>
          <w:color w:val="000000" w:themeColor="text1"/>
          <w:highlight w:val="none"/>
          <w14:textFill>
            <w14:solidFill>
              <w14:schemeClr w14:val="tx1"/>
            </w14:solidFill>
          </w14:textFill>
        </w:rPr>
      </w:pPr>
    </w:p>
    <w:p w14:paraId="46E051EF">
      <w:pPr>
        <w:pStyle w:val="5"/>
        <w:spacing w:line="277" w:lineRule="auto"/>
        <w:rPr>
          <w:rFonts w:hint="eastAsia" w:ascii="宋体" w:hAnsi="宋体" w:eastAsia="宋体" w:cs="宋体"/>
          <w:color w:val="000000" w:themeColor="text1"/>
          <w:highlight w:val="none"/>
          <w14:textFill>
            <w14:solidFill>
              <w14:schemeClr w14:val="tx1"/>
            </w14:solidFill>
          </w14:textFill>
        </w:rPr>
      </w:pPr>
    </w:p>
    <w:p w14:paraId="31074CD7">
      <w:pPr>
        <w:pStyle w:val="5"/>
        <w:spacing w:line="278" w:lineRule="auto"/>
        <w:rPr>
          <w:rFonts w:hint="eastAsia" w:ascii="宋体" w:hAnsi="宋体" w:eastAsia="宋体" w:cs="宋体"/>
          <w:color w:val="000000" w:themeColor="text1"/>
          <w:highlight w:val="none"/>
          <w14:textFill>
            <w14:solidFill>
              <w14:schemeClr w14:val="tx1"/>
            </w14:solidFill>
          </w14:textFill>
        </w:rPr>
      </w:pPr>
    </w:p>
    <w:p w14:paraId="7DE923C3">
      <w:pPr>
        <w:spacing w:before="78" w:line="219" w:lineRule="auto"/>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pacing w:val="-18"/>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8"/>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盖单位章）</w:t>
      </w:r>
    </w:p>
    <w:p w14:paraId="5195DD81">
      <w:pPr>
        <w:pStyle w:val="5"/>
        <w:spacing w:line="317" w:lineRule="auto"/>
        <w:jc w:val="right"/>
        <w:rPr>
          <w:rFonts w:hint="eastAsia" w:ascii="宋体" w:hAnsi="宋体" w:eastAsia="宋体" w:cs="宋体"/>
          <w:color w:val="000000" w:themeColor="text1"/>
          <w:highlight w:val="none"/>
          <w14:textFill>
            <w14:solidFill>
              <w14:schemeClr w14:val="tx1"/>
            </w14:solidFill>
          </w14:textFill>
        </w:rPr>
      </w:pPr>
    </w:p>
    <w:p w14:paraId="355329DE">
      <w:pPr>
        <w:pStyle w:val="5"/>
        <w:spacing w:line="317" w:lineRule="auto"/>
        <w:jc w:val="right"/>
        <w:rPr>
          <w:rFonts w:hint="eastAsia" w:ascii="宋体" w:hAnsi="宋体" w:eastAsia="宋体" w:cs="宋体"/>
          <w:color w:val="000000" w:themeColor="text1"/>
          <w:highlight w:val="none"/>
          <w14:textFill>
            <w14:solidFill>
              <w14:schemeClr w14:val="tx1"/>
            </w14:solidFill>
          </w14:textFill>
        </w:rPr>
      </w:pPr>
    </w:p>
    <w:p w14:paraId="6910EDC1">
      <w:pPr>
        <w:pStyle w:val="5"/>
        <w:spacing w:line="317" w:lineRule="auto"/>
        <w:jc w:val="right"/>
        <w:rPr>
          <w:rFonts w:hint="eastAsia" w:ascii="宋体" w:hAnsi="宋体" w:eastAsia="宋体" w:cs="宋体"/>
          <w:color w:val="000000" w:themeColor="text1"/>
          <w:highlight w:val="none"/>
          <w14:textFill>
            <w14:solidFill>
              <w14:schemeClr w14:val="tx1"/>
            </w14:solidFill>
          </w14:textFill>
        </w:rPr>
      </w:pPr>
    </w:p>
    <w:p w14:paraId="14A7032E">
      <w:pPr>
        <w:spacing w:before="79" w:line="219" w:lineRule="auto"/>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pacing w:val="-17"/>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7"/>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109F911F">
      <w:pPr>
        <w:pStyle w:val="5"/>
        <w:spacing w:line="257" w:lineRule="auto"/>
        <w:jc w:val="right"/>
        <w:rPr>
          <w:rFonts w:hint="eastAsia" w:ascii="宋体" w:hAnsi="宋体" w:eastAsia="宋体" w:cs="宋体"/>
          <w:color w:val="000000" w:themeColor="text1"/>
          <w:highlight w:val="none"/>
          <w14:textFill>
            <w14:solidFill>
              <w14:schemeClr w14:val="tx1"/>
            </w14:solidFill>
          </w14:textFill>
        </w:rPr>
      </w:pPr>
    </w:p>
    <w:p w14:paraId="24B1B1E8">
      <w:pPr>
        <w:pStyle w:val="5"/>
        <w:spacing w:line="257" w:lineRule="auto"/>
        <w:jc w:val="right"/>
        <w:rPr>
          <w:rFonts w:hint="eastAsia" w:ascii="宋体" w:hAnsi="宋体" w:eastAsia="宋体" w:cs="宋体"/>
          <w:color w:val="000000" w:themeColor="text1"/>
          <w:highlight w:val="none"/>
          <w14:textFill>
            <w14:solidFill>
              <w14:schemeClr w14:val="tx1"/>
            </w14:solidFill>
          </w14:textFill>
        </w:rPr>
      </w:pPr>
    </w:p>
    <w:p w14:paraId="033908D8">
      <w:pPr>
        <w:pStyle w:val="5"/>
        <w:spacing w:line="254" w:lineRule="auto"/>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月</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日</w:t>
      </w:r>
    </w:p>
    <w:p w14:paraId="4CB3CC8E">
      <w:pPr>
        <w:pStyle w:val="5"/>
        <w:spacing w:line="254" w:lineRule="auto"/>
        <w:rPr>
          <w:rFonts w:hint="eastAsia" w:ascii="宋体" w:hAnsi="宋体" w:eastAsia="宋体" w:cs="宋体"/>
          <w:color w:val="000000" w:themeColor="text1"/>
          <w:highlight w:val="none"/>
          <w14:textFill>
            <w14:solidFill>
              <w14:schemeClr w14:val="tx1"/>
            </w14:solidFill>
          </w14:textFill>
        </w:rPr>
      </w:pPr>
    </w:p>
    <w:p w14:paraId="1A118B4E">
      <w:pPr>
        <w:pStyle w:val="5"/>
        <w:spacing w:line="254" w:lineRule="auto"/>
        <w:rPr>
          <w:rFonts w:hint="eastAsia" w:ascii="宋体" w:hAnsi="宋体" w:eastAsia="宋体" w:cs="宋体"/>
          <w:color w:val="000000" w:themeColor="text1"/>
          <w:highlight w:val="none"/>
          <w14:textFill>
            <w14:solidFill>
              <w14:schemeClr w14:val="tx1"/>
            </w14:solidFill>
          </w14:textFill>
        </w:rPr>
      </w:pPr>
    </w:p>
    <w:p w14:paraId="29B7FFB7">
      <w:pPr>
        <w:pStyle w:val="5"/>
        <w:spacing w:line="254" w:lineRule="auto"/>
        <w:rPr>
          <w:rFonts w:hint="eastAsia" w:ascii="宋体" w:hAnsi="宋体" w:eastAsia="宋体" w:cs="宋体"/>
          <w:color w:val="000000" w:themeColor="text1"/>
          <w:highlight w:val="none"/>
          <w14:textFill>
            <w14:solidFill>
              <w14:schemeClr w14:val="tx1"/>
            </w14:solidFill>
          </w14:textFill>
        </w:rPr>
      </w:pPr>
    </w:p>
    <w:p w14:paraId="3FB212A0">
      <w:pPr>
        <w:pStyle w:val="5"/>
        <w:spacing w:line="254" w:lineRule="auto"/>
        <w:rPr>
          <w:rFonts w:hint="eastAsia" w:ascii="宋体" w:hAnsi="宋体" w:eastAsia="宋体" w:cs="宋体"/>
          <w:color w:val="000000" w:themeColor="text1"/>
          <w:highlight w:val="none"/>
          <w14:textFill>
            <w14:solidFill>
              <w14:schemeClr w14:val="tx1"/>
            </w14:solidFill>
          </w14:textFill>
        </w:rPr>
      </w:pPr>
    </w:p>
    <w:p w14:paraId="661DD784">
      <w:pPr>
        <w:pStyle w:val="5"/>
        <w:spacing w:line="255" w:lineRule="auto"/>
        <w:rPr>
          <w:rFonts w:hint="eastAsia" w:ascii="宋体" w:hAnsi="宋体" w:eastAsia="宋体" w:cs="宋体"/>
          <w:color w:val="000000" w:themeColor="text1"/>
          <w:highlight w:val="none"/>
          <w14:textFill>
            <w14:solidFill>
              <w14:schemeClr w14:val="tx1"/>
            </w14:solidFill>
          </w14:textFill>
        </w:rPr>
      </w:pPr>
    </w:p>
    <w:p w14:paraId="4F8DA62D">
      <w:pPr>
        <w:pStyle w:val="5"/>
        <w:spacing w:line="255" w:lineRule="auto"/>
        <w:rPr>
          <w:rFonts w:hint="eastAsia" w:ascii="宋体" w:hAnsi="宋体" w:eastAsia="宋体" w:cs="宋体"/>
          <w:color w:val="000000" w:themeColor="text1"/>
          <w:highlight w:val="none"/>
          <w14:textFill>
            <w14:solidFill>
              <w14:schemeClr w14:val="tx1"/>
            </w14:solidFill>
          </w14:textFill>
        </w:rPr>
      </w:pPr>
    </w:p>
    <w:p w14:paraId="67391F7A">
      <w:pPr>
        <w:pStyle w:val="5"/>
        <w:spacing w:before="1" w:line="2510" w:lineRule="exact"/>
        <w:ind w:firstLine="253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position w:val="-50"/>
          <w:highlight w:val="none"/>
          <w14:textFill>
            <w14:solidFill>
              <w14:schemeClr w14:val="tx1"/>
            </w14:solidFill>
          </w14:textFill>
        </w:rPr>
        <mc:AlternateContent>
          <mc:Choice Requires="wpg">
            <w:drawing>
              <wp:inline distT="0" distB="0" distL="114300" distR="114300">
                <wp:extent cx="2835275" cy="1593850"/>
                <wp:effectExtent l="12700" t="0" r="28575" b="12700"/>
                <wp:docPr id="13" name="组合 13"/>
                <wp:cNvGraphicFramePr/>
                <a:graphic xmlns:a="http://schemas.openxmlformats.org/drawingml/2006/main">
                  <a:graphicData uri="http://schemas.microsoft.com/office/word/2010/wordprocessingGroup">
                    <wpg:wgp>
                      <wpg:cNvGrpSpPr>
                        <a:grpSpLocks noRot="1"/>
                      </wpg:cNvGrpSpPr>
                      <wpg:grpSpPr>
                        <a:xfrm>
                          <a:off x="0" y="0"/>
                          <a:ext cx="2835275" cy="1593850"/>
                          <a:chOff x="0" y="0"/>
                          <a:chExt cx="4465" cy="2510"/>
                        </a:xfrm>
                      </wpg:grpSpPr>
                      <pic:pic xmlns:pic="http://schemas.openxmlformats.org/drawingml/2006/picture">
                        <pic:nvPicPr>
                          <pic:cNvPr id="11" name="图片 5"/>
                          <pic:cNvPicPr>
                            <a:picLocks noChangeAspect="1"/>
                          </pic:cNvPicPr>
                        </pic:nvPicPr>
                        <pic:blipFill>
                          <a:blip r:embed="rId56"/>
                          <a:stretch>
                            <a:fillRect/>
                          </a:stretch>
                        </pic:blipFill>
                        <pic:spPr>
                          <a:xfrm>
                            <a:off x="0" y="0"/>
                            <a:ext cx="4465" cy="2510"/>
                          </a:xfrm>
                          <a:prstGeom prst="rect">
                            <a:avLst/>
                          </a:prstGeom>
                          <a:noFill/>
                          <a:ln>
                            <a:noFill/>
                          </a:ln>
                        </pic:spPr>
                      </pic:pic>
                      <wps:wsp>
                        <wps:cNvPr id="12" name="文本框 12"/>
                        <wps:cNvSpPr txBox="1"/>
                        <wps:spPr>
                          <a:xfrm>
                            <a:off x="-20" y="-20"/>
                            <a:ext cx="4505" cy="2550"/>
                          </a:xfrm>
                          <a:prstGeom prst="rect">
                            <a:avLst/>
                          </a:prstGeom>
                          <a:noFill/>
                          <a:ln>
                            <a:noFill/>
                          </a:ln>
                        </wps:spPr>
                        <wps:txbx>
                          <w:txbxContent>
                            <w:p w14:paraId="30B2BA37">
                              <w:pPr>
                                <w:spacing w:line="249" w:lineRule="auto"/>
                              </w:pPr>
                            </w:p>
                            <w:p w14:paraId="0A32F196">
                              <w:pPr>
                                <w:spacing w:line="249" w:lineRule="auto"/>
                              </w:pPr>
                            </w:p>
                            <w:p w14:paraId="6C01FF1E">
                              <w:pPr>
                                <w:spacing w:line="249" w:lineRule="auto"/>
                              </w:pPr>
                            </w:p>
                            <w:p w14:paraId="5F468A72">
                              <w:pPr>
                                <w:spacing w:line="249" w:lineRule="auto"/>
                              </w:pPr>
                            </w:p>
                            <w:p w14:paraId="3437CEDB">
                              <w:pPr>
                                <w:spacing w:before="78" w:line="220" w:lineRule="auto"/>
                                <w:jc w:val="center"/>
                                <w:rPr>
                                  <w:rFonts w:ascii="宋体" w:hAnsi="宋体" w:eastAsia="宋体" w:cs="宋体"/>
                                  <w:sz w:val="24"/>
                                  <w:szCs w:val="24"/>
                                </w:rPr>
                              </w:pPr>
                              <w:r>
                                <w:rPr>
                                  <w:rFonts w:ascii="宋体" w:hAnsi="宋体" w:eastAsia="宋体" w:cs="宋体"/>
                                  <w:spacing w:val="-1"/>
                                  <w:sz w:val="24"/>
                                  <w:szCs w:val="24"/>
                                </w:rPr>
                                <w:t>法定代表人身份证</w:t>
                              </w:r>
                              <w:r>
                                <w:rPr>
                                  <w:rFonts w:hint="eastAsia" w:ascii="宋体" w:hAnsi="宋体" w:eastAsia="宋体" w:cs="宋体"/>
                                  <w:spacing w:val="-1"/>
                                  <w:sz w:val="24"/>
                                  <w:szCs w:val="24"/>
                                  <w:lang w:val="en-US" w:eastAsia="zh-CN"/>
                                </w:rPr>
                                <w:t>扫描</w:t>
                              </w:r>
                              <w:r>
                                <w:rPr>
                                  <w:rFonts w:ascii="宋体" w:hAnsi="宋体" w:eastAsia="宋体" w:cs="宋体"/>
                                  <w:spacing w:val="-1"/>
                                  <w:sz w:val="24"/>
                                  <w:szCs w:val="24"/>
                                </w:rPr>
                                <w:t>件正、反面</w:t>
                              </w:r>
                            </w:p>
                          </w:txbxContent>
                        </wps:txbx>
                        <wps:bodyPr lIns="0" tIns="0" rIns="0" bIns="0" upright="1"/>
                      </wps:wsp>
                    </wpg:wgp>
                  </a:graphicData>
                </a:graphic>
              </wp:inline>
            </w:drawing>
          </mc:Choice>
          <mc:Fallback>
            <w:pict>
              <v:group id="_x0000_s1026" o:spid="_x0000_s1026" o:spt="203" style="height:125.5pt;width:223.25pt;" coordsize="4465,2510" o:gfxdata="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">
                <o:lock v:ext="edit" rotation="t" aspectratio="f"/>
                <v:shape id="图片 5" o:spid="_x0000_s1026" o:spt="75" type="#_x0000_t75" style="position:absolute;left:0;top:0;height:2510;width:4465;" filled="f" o:preferrelative="t" stroked="f" coordsize="21600,21600" o:gfxdata="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RLC28AAAA&#10;2wAAAA8AAAAAAAAAAQAgAAAAIgAAAGRycy9kb3ducmV2LnhtbFBLAQIUABQAAAAIAIdO4kAzLwWe&#10;OwAAADkAAAAQAAAAAAAAAAEAIAAAAAsBAABkcnMvc2hhcGV4bWwueG1sUEsFBgAAAAAGAAYAWwEA&#10;ALUDAAAAAA==&#10;">
                  <v:fill on="f" focussize="0,0"/>
                  <v:stroke on="f"/>
                  <v:imagedata r:id="rId56" o:title=""/>
                  <o:lock v:ext="edit" aspectratio="t"/>
                </v:shape>
                <v:shape id="_x0000_s1026" o:spid="_x0000_s1026" o:spt="202" type="#_x0000_t202" style="position:absolute;left:-20;top:-20;height:2550;width:450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0B2BA37">
                        <w:pPr>
                          <w:spacing w:line="249" w:lineRule="auto"/>
                        </w:pPr>
                      </w:p>
                      <w:p w14:paraId="0A32F196">
                        <w:pPr>
                          <w:spacing w:line="249" w:lineRule="auto"/>
                        </w:pPr>
                      </w:p>
                      <w:p w14:paraId="6C01FF1E">
                        <w:pPr>
                          <w:spacing w:line="249" w:lineRule="auto"/>
                        </w:pPr>
                      </w:p>
                      <w:p w14:paraId="5F468A72">
                        <w:pPr>
                          <w:spacing w:line="249" w:lineRule="auto"/>
                        </w:pPr>
                      </w:p>
                      <w:p w14:paraId="3437CEDB">
                        <w:pPr>
                          <w:spacing w:before="78" w:line="220" w:lineRule="auto"/>
                          <w:jc w:val="center"/>
                          <w:rPr>
                            <w:rFonts w:ascii="宋体" w:hAnsi="宋体" w:eastAsia="宋体" w:cs="宋体"/>
                            <w:sz w:val="24"/>
                            <w:szCs w:val="24"/>
                          </w:rPr>
                        </w:pPr>
                        <w:r>
                          <w:rPr>
                            <w:rFonts w:ascii="宋体" w:hAnsi="宋体" w:eastAsia="宋体" w:cs="宋体"/>
                            <w:spacing w:val="-1"/>
                            <w:sz w:val="24"/>
                            <w:szCs w:val="24"/>
                          </w:rPr>
                          <w:t>法定代表人身份证</w:t>
                        </w:r>
                        <w:r>
                          <w:rPr>
                            <w:rFonts w:hint="eastAsia" w:ascii="宋体" w:hAnsi="宋体" w:eastAsia="宋体" w:cs="宋体"/>
                            <w:spacing w:val="-1"/>
                            <w:sz w:val="24"/>
                            <w:szCs w:val="24"/>
                            <w:lang w:val="en-US" w:eastAsia="zh-CN"/>
                          </w:rPr>
                          <w:t>扫描</w:t>
                        </w:r>
                        <w:r>
                          <w:rPr>
                            <w:rFonts w:ascii="宋体" w:hAnsi="宋体" w:eastAsia="宋体" w:cs="宋体"/>
                            <w:spacing w:val="-1"/>
                            <w:sz w:val="24"/>
                            <w:szCs w:val="24"/>
                          </w:rPr>
                          <w:t>件正、反面</w:t>
                        </w:r>
                      </w:p>
                    </w:txbxContent>
                  </v:textbox>
                </v:shape>
                <w10:wrap type="none"/>
                <w10:anchorlock/>
              </v:group>
            </w:pict>
          </mc:Fallback>
        </mc:AlternateContent>
      </w:r>
    </w:p>
    <w:p w14:paraId="17932B91">
      <w:pPr>
        <w:spacing w:line="2510" w:lineRule="exact"/>
        <w:rPr>
          <w:rFonts w:hint="eastAsia" w:ascii="宋体" w:hAnsi="宋体" w:eastAsia="宋体" w:cs="宋体"/>
          <w:color w:val="000000" w:themeColor="text1"/>
          <w:highlight w:val="none"/>
          <w14:textFill>
            <w14:solidFill>
              <w14:schemeClr w14:val="tx1"/>
            </w14:solidFill>
          </w14:textFill>
        </w:rPr>
        <w:sectPr>
          <w:footerReference r:id="rId20"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2DAF3FC7">
      <w:pPr>
        <w:spacing w:before="78" w:line="220" w:lineRule="auto"/>
        <w:outlineLvl w:val="2"/>
        <w:rPr>
          <w:rFonts w:hint="eastAsia" w:ascii="宋体" w:hAnsi="宋体" w:eastAsia="宋体" w:cs="宋体"/>
          <w:b/>
          <w:bCs/>
          <w:color w:val="000000" w:themeColor="text1"/>
          <w:spacing w:val="-4"/>
          <w:sz w:val="24"/>
          <w:szCs w:val="24"/>
          <w:highlight w:val="none"/>
          <w14:textFill>
            <w14:solidFill>
              <w14:schemeClr w14:val="tx1"/>
            </w14:solidFill>
          </w14:textFill>
        </w:rPr>
      </w:pPr>
      <w:bookmarkStart w:id="235" w:name="_Toc733"/>
      <w:r>
        <w:rPr>
          <w:rFonts w:hint="eastAsia" w:ascii="宋体" w:hAnsi="宋体" w:eastAsia="宋体" w:cs="宋体"/>
          <w:b/>
          <w:bCs/>
          <w:color w:val="000000" w:themeColor="text1"/>
          <w:spacing w:val="-4"/>
          <w:sz w:val="24"/>
          <w:szCs w:val="24"/>
          <w:highlight w:val="none"/>
          <w14:textFill>
            <w14:solidFill>
              <w14:schemeClr w14:val="tx1"/>
            </w14:solidFill>
          </w14:textFill>
        </w:rPr>
        <w:t>格式六 联合体协议书</w:t>
      </w:r>
      <w:bookmarkEnd w:id="235"/>
    </w:p>
    <w:p w14:paraId="7EE6374E">
      <w:pPr>
        <w:spacing w:before="98" w:line="219" w:lineRule="auto"/>
        <w:ind w:left="3638"/>
        <w:rPr>
          <w:rFonts w:hint="eastAsia" w:ascii="宋体" w:hAnsi="宋体" w:eastAsia="宋体" w:cs="宋体"/>
          <w:color w:val="000000" w:themeColor="text1"/>
          <w:sz w:val="30"/>
          <w:szCs w:val="30"/>
          <w:highlight w:val="none"/>
          <w14:textFill>
            <w14:solidFill>
              <w14:schemeClr w14:val="tx1"/>
            </w14:solidFill>
          </w14:textFill>
        </w:rPr>
      </w:pPr>
      <w:bookmarkStart w:id="236" w:name="bookmark153"/>
      <w:bookmarkEnd w:id="236"/>
      <w:r>
        <w:rPr>
          <w:rFonts w:hint="eastAsia" w:ascii="宋体" w:hAnsi="宋体" w:eastAsia="宋体" w:cs="宋体"/>
          <w:b/>
          <w:bCs/>
          <w:color w:val="000000" w:themeColor="text1"/>
          <w:spacing w:val="-5"/>
          <w:sz w:val="30"/>
          <w:szCs w:val="30"/>
          <w:highlight w:val="none"/>
          <w14:textFill>
            <w14:solidFill>
              <w14:schemeClr w14:val="tx1"/>
            </w14:solidFill>
          </w14:textFill>
        </w:rPr>
        <w:t>联合体协议书</w:t>
      </w:r>
    </w:p>
    <w:p w14:paraId="66B66C30">
      <w:pPr>
        <w:pStyle w:val="5"/>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000000" w:themeColor="text1"/>
          <w:highlight w:val="none"/>
          <w14:textFill>
            <w14:solidFill>
              <w14:schemeClr w14:val="tx1"/>
            </w14:solidFill>
          </w14:textFill>
        </w:rPr>
      </w:pPr>
    </w:p>
    <w:p w14:paraId="2B0D39DC">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hanging="3"/>
        <w:jc w:val="both"/>
        <w:textAlignment w:val="baseline"/>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牵头人名称：</w:t>
      </w:r>
      <w:r>
        <w:rPr>
          <w:rFonts w:hint="eastAsia" w:ascii="宋体" w:hAnsi="宋体" w:eastAsia="宋体" w:cs="宋体"/>
          <w:color w:val="000000" w:themeColor="text1"/>
          <w:spacing w:val="4"/>
          <w:sz w:val="24"/>
          <w:szCs w:val="24"/>
          <w:highlight w:val="none"/>
          <w14:textFill>
            <w14:solidFill>
              <w14:schemeClr w14:val="tx1"/>
            </w14:solidFill>
          </w14:textFill>
        </w:rPr>
        <w:t xml:space="preserve"> </w:t>
      </w:r>
    </w:p>
    <w:p w14:paraId="0F9C623A">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hanging="3"/>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1337983">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hanging="3"/>
        <w:jc w:val="both"/>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法定住所：</w:t>
      </w:r>
    </w:p>
    <w:p w14:paraId="0B7EEC45">
      <w:pPr>
        <w:outlineLvl w:val="9"/>
        <w:rPr>
          <w:rFonts w:hint="eastAsia"/>
          <w:color w:val="000000" w:themeColor="text1"/>
          <w:highlight w:val="none"/>
          <w14:textFill>
            <w14:solidFill>
              <w14:schemeClr w14:val="tx1"/>
            </w14:solidFill>
          </w14:textFill>
        </w:rPr>
      </w:pPr>
    </w:p>
    <w:p w14:paraId="207AD2AE">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成员二名称：</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5C3774A">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A1D6D63">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法定住所：</w:t>
      </w:r>
    </w:p>
    <w:p w14:paraId="7C0F8432">
      <w:pPr>
        <w:keepNext w:val="0"/>
        <w:keepLines w:val="0"/>
        <w:pageBreakBefore w:val="0"/>
        <w:widowControl/>
        <w:kinsoku w:val="0"/>
        <w:wordWrap/>
        <w:overflowPunct/>
        <w:topLinePunct w:val="0"/>
        <w:autoSpaceDE w:val="0"/>
        <w:autoSpaceDN w:val="0"/>
        <w:bidi w:val="0"/>
        <w:adjustRightInd w:val="0"/>
        <w:snapToGrid w:val="0"/>
        <w:spacing w:before="32" w:line="264" w:lineRule="auto"/>
        <w:ind w:left="436"/>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3"/>
          <w:position w:val="3"/>
          <w:sz w:val="24"/>
          <w:szCs w:val="24"/>
          <w:highlight w:val="none"/>
          <w14:textFill>
            <w14:solidFill>
              <w14:schemeClr w14:val="tx1"/>
            </w14:solidFill>
          </w14:textFill>
        </w:rPr>
        <w:t>……</w:t>
      </w:r>
    </w:p>
    <w:p w14:paraId="09D55383">
      <w:pPr>
        <w:keepNext w:val="0"/>
        <w:keepLines w:val="0"/>
        <w:pageBreakBefore w:val="0"/>
        <w:widowControl/>
        <w:kinsoku w:val="0"/>
        <w:wordWrap/>
        <w:overflowPunct/>
        <w:topLinePunct w:val="0"/>
        <w:autoSpaceDE w:val="0"/>
        <w:autoSpaceDN w:val="0"/>
        <w:bidi w:val="0"/>
        <w:adjustRightInd w:val="0"/>
        <w:snapToGrid w:val="0"/>
        <w:spacing w:before="61" w:line="264" w:lineRule="auto"/>
        <w:ind w:firstLine="422"/>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上述各成员单位经过友好协商，自愿组成联合体，</w:t>
      </w:r>
      <w:r>
        <w:rPr>
          <w:rFonts w:hint="eastAsia" w:ascii="宋体" w:hAnsi="宋体" w:eastAsia="宋体" w:cs="宋体"/>
          <w:color w:val="000000" w:themeColor="text1"/>
          <w:sz w:val="24"/>
          <w:szCs w:val="24"/>
          <w:highlight w:val="none"/>
          <w14:textFill>
            <w14:solidFill>
              <w14:schemeClr w14:val="tx1"/>
            </w14:solidFill>
          </w14:textFill>
        </w:rPr>
        <w:t>共同参加（项目名称</w:t>
      </w:r>
      <w:r>
        <w:rPr>
          <w:rFonts w:hint="eastAsia" w:ascii="宋体" w:hAnsi="宋体" w:eastAsia="宋体" w:cs="宋体"/>
          <w:color w:val="000000" w:themeColor="text1"/>
          <w:spacing w:val="-18"/>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称“本项目</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”）的施工投标并争取赢得本项目施工承包</w:t>
      </w:r>
      <w:r>
        <w:rPr>
          <w:rFonts w:hint="eastAsia" w:ascii="宋体" w:hAnsi="宋体" w:eastAsia="宋体" w:cs="宋体"/>
          <w:color w:val="000000" w:themeColor="text1"/>
          <w:spacing w:val="-3"/>
          <w:sz w:val="24"/>
          <w:szCs w:val="24"/>
          <w:highlight w:val="none"/>
          <w14:textFill>
            <w14:solidFill>
              <w14:schemeClr w14:val="tx1"/>
            </w14:solidFill>
          </w14:textFill>
        </w:rPr>
        <w:t>合同（以下简称合同）。现就联</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合体投标事宜订立如下协议：</w:t>
      </w:r>
    </w:p>
    <w:p w14:paraId="470AEF9A">
      <w:pPr>
        <w:keepNext w:val="0"/>
        <w:keepLines w:val="0"/>
        <w:pageBreakBefore w:val="0"/>
        <w:widowControl/>
        <w:kinsoku w:val="0"/>
        <w:wordWrap/>
        <w:overflowPunct/>
        <w:topLinePunct w:val="0"/>
        <w:autoSpaceDE w:val="0"/>
        <w:autoSpaceDN w:val="0"/>
        <w:bidi w:val="0"/>
        <w:adjustRightInd w:val="0"/>
        <w:snapToGrid w:val="0"/>
        <w:spacing w:before="33" w:line="264" w:lineRule="auto"/>
        <w:ind w:left="499"/>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某成员单位名称）为联合体牵头人。</w:t>
      </w:r>
    </w:p>
    <w:p w14:paraId="01E61A89">
      <w:pPr>
        <w:keepNext w:val="0"/>
        <w:keepLines w:val="0"/>
        <w:pageBreakBefore w:val="0"/>
        <w:widowControl/>
        <w:kinsoku w:val="0"/>
        <w:wordWrap/>
        <w:overflowPunct/>
        <w:topLinePunct w:val="0"/>
        <w:autoSpaceDE w:val="0"/>
        <w:autoSpaceDN w:val="0"/>
        <w:bidi w:val="0"/>
        <w:adjustRightInd w:val="0"/>
        <w:snapToGrid w:val="0"/>
        <w:spacing w:before="156" w:line="264" w:lineRule="auto"/>
        <w:ind w:left="1" w:firstLine="474"/>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2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．在本项目投标阶段，联合体牵头人合法代表联合体各成员负责本项目投标</w:t>
      </w:r>
      <w:r>
        <w:rPr>
          <w:rFonts w:hint="eastAsia" w:ascii="宋体" w:hAnsi="宋体" w:eastAsia="宋体" w:cs="宋体"/>
          <w:color w:val="000000" w:themeColor="text1"/>
          <w:spacing w:val="-2"/>
          <w:sz w:val="24"/>
          <w:szCs w:val="24"/>
          <w:highlight w:val="none"/>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编制活动，代表联合体提交和接收相关的资料、信息及指示，并处理与投标和中标有关</w:t>
      </w:r>
      <w:r>
        <w:rPr>
          <w:rFonts w:hint="eastAsia" w:ascii="宋体" w:hAnsi="宋体" w:eastAsia="宋体" w:cs="宋体"/>
          <w:color w:val="000000" w:themeColor="text1"/>
          <w:spacing w:val="1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的一切事务；联合体中标后，联合体牵头人负责合同订立和合同实施阶段的主办、组织</w:t>
      </w:r>
      <w:r>
        <w:rPr>
          <w:rFonts w:hint="eastAsia" w:ascii="宋体" w:hAnsi="宋体" w:eastAsia="宋体" w:cs="宋体"/>
          <w:color w:val="000000" w:themeColor="text1"/>
          <w:spacing w:val="1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和协调工作。</w:t>
      </w:r>
    </w:p>
    <w:p w14:paraId="1F9A22CE">
      <w:pPr>
        <w:keepNext w:val="0"/>
        <w:keepLines w:val="0"/>
        <w:pageBreakBefore w:val="0"/>
        <w:widowControl/>
        <w:kinsoku w:val="0"/>
        <w:wordWrap/>
        <w:overflowPunct/>
        <w:topLinePunct w:val="0"/>
        <w:autoSpaceDE w:val="0"/>
        <w:autoSpaceDN w:val="0"/>
        <w:bidi w:val="0"/>
        <w:adjustRightInd w:val="0"/>
        <w:snapToGrid w:val="0"/>
        <w:spacing w:before="153" w:line="264" w:lineRule="auto"/>
        <w:ind w:left="2" w:firstLine="478"/>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．联合体将严格按照招标文件的各项要求，递交投标文件，履行</w:t>
      </w:r>
      <w:r>
        <w:rPr>
          <w:rFonts w:hint="eastAsia" w:ascii="宋体" w:hAnsi="宋体" w:eastAsia="宋体" w:cs="宋体"/>
          <w:color w:val="000000" w:themeColor="text1"/>
          <w:spacing w:val="-2"/>
          <w:sz w:val="24"/>
          <w:szCs w:val="24"/>
          <w:highlight w:val="none"/>
          <w14:textFill>
            <w14:solidFill>
              <w14:schemeClr w14:val="tx1"/>
            </w14:solidFill>
          </w14:textFill>
        </w:rPr>
        <w:t>投标义务和中标</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后的合同，共同承担合同规定的一切义务和责任，联合体各成员单位按照内部职责的部</w:t>
      </w:r>
      <w:r>
        <w:rPr>
          <w:rFonts w:hint="eastAsia" w:ascii="宋体" w:hAnsi="宋体" w:eastAsia="宋体" w:cs="宋体"/>
          <w:color w:val="000000" w:themeColor="text1"/>
          <w:spacing w:val="1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分，承担各自所负的责任和风险，并向招标人承担连带责任。</w:t>
      </w:r>
    </w:p>
    <w:p w14:paraId="4ADCDF28">
      <w:pPr>
        <w:keepNext w:val="0"/>
        <w:keepLines w:val="0"/>
        <w:pageBreakBefore w:val="0"/>
        <w:widowControl/>
        <w:kinsoku w:val="0"/>
        <w:wordWrap/>
        <w:overflowPunct/>
        <w:topLinePunct w:val="0"/>
        <w:autoSpaceDE w:val="0"/>
        <w:autoSpaceDN w:val="0"/>
        <w:bidi w:val="0"/>
        <w:adjustRightInd w:val="0"/>
        <w:snapToGrid w:val="0"/>
        <w:spacing w:before="154" w:line="264" w:lineRule="auto"/>
        <w:ind w:left="475"/>
        <w:textAlignment w:val="baseline"/>
        <w:outlineLvl w:val="9"/>
        <w:rPr>
          <w:rFonts w:hint="eastAsia" w:ascii="宋体" w:hAnsi="宋体" w:eastAsia="宋体" w:cs="宋体"/>
          <w:color w:val="000000" w:themeColor="text1"/>
          <w:sz w:val="24"/>
          <w:szCs w:val="24"/>
          <w:highlight w:val="none"/>
          <w14:textFill>
            <w14:solidFill>
              <w14:schemeClr w14:val="tx1"/>
            </w14:solidFill>
          </w14:textFill>
        </w:rPr>
      </w:pPr>
      <w:bookmarkStart w:id="237" w:name="_Toc5365"/>
      <w:bookmarkStart w:id="238" w:name="_Toc32149"/>
      <w:r>
        <w:rPr>
          <w:rFonts w:hint="eastAsia" w:ascii="宋体" w:hAnsi="宋体" w:eastAsia="宋体" w:cs="宋体"/>
          <w:color w:val="000000" w:themeColor="text1"/>
          <w:spacing w:val="-2"/>
          <w:sz w:val="24"/>
          <w:szCs w:val="24"/>
          <w:highlight w:val="none"/>
          <w14:textFill>
            <w14:solidFill>
              <w14:schemeClr w14:val="tx1"/>
            </w14:solidFill>
          </w14:textFill>
        </w:rPr>
        <w:t>4</w:t>
      </w:r>
      <w:r>
        <w:rPr>
          <w:rFonts w:hint="eastAsia" w:ascii="宋体" w:hAnsi="宋体" w:eastAsia="宋体" w:cs="宋体"/>
          <w:color w:val="000000" w:themeColor="text1"/>
          <w:spacing w:val="-2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．联合体各成员单位内部的职责分工如下：。</w:t>
      </w:r>
      <w:bookmarkEnd w:id="237"/>
      <w:bookmarkEnd w:id="238"/>
    </w:p>
    <w:p w14:paraId="66972B38">
      <w:pPr>
        <w:keepNext w:val="0"/>
        <w:keepLines w:val="0"/>
        <w:pageBreakBefore w:val="0"/>
        <w:widowControl/>
        <w:kinsoku w:val="0"/>
        <w:wordWrap/>
        <w:overflowPunct/>
        <w:topLinePunct w:val="0"/>
        <w:autoSpaceDE w:val="0"/>
        <w:autoSpaceDN w:val="0"/>
        <w:bidi w:val="0"/>
        <w:adjustRightInd w:val="0"/>
        <w:snapToGrid w:val="0"/>
        <w:spacing w:before="152" w:line="264" w:lineRule="auto"/>
        <w:ind w:right="71" w:firstLine="483"/>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5</w:t>
      </w:r>
      <w:r>
        <w:rPr>
          <w:rFonts w:hint="eastAsia" w:ascii="宋体" w:hAnsi="宋体" w:eastAsia="宋体" w:cs="宋体"/>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．投标工作和联合体在中标后工程实施过程中的有关费用按</w:t>
      </w:r>
      <w:r>
        <w:rPr>
          <w:rFonts w:hint="eastAsia" w:ascii="宋体" w:hAnsi="宋体" w:eastAsia="宋体" w:cs="宋体"/>
          <w:color w:val="000000" w:themeColor="text1"/>
          <w:spacing w:val="-2"/>
          <w:sz w:val="24"/>
          <w:szCs w:val="24"/>
          <w:highlight w:val="none"/>
          <w14:textFill>
            <w14:solidFill>
              <w14:schemeClr w14:val="tx1"/>
            </w14:solidFill>
          </w14:textFill>
        </w:rPr>
        <w:t>各自承担的工作量分</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摊。</w:t>
      </w:r>
    </w:p>
    <w:p w14:paraId="16602AE1">
      <w:pPr>
        <w:keepNext w:val="0"/>
        <w:keepLines w:val="0"/>
        <w:pageBreakBefore w:val="0"/>
        <w:widowControl/>
        <w:kinsoku w:val="0"/>
        <w:wordWrap/>
        <w:overflowPunct/>
        <w:topLinePunct w:val="0"/>
        <w:autoSpaceDE w:val="0"/>
        <w:autoSpaceDN w:val="0"/>
        <w:bidi w:val="0"/>
        <w:adjustRightInd w:val="0"/>
        <w:snapToGrid w:val="0"/>
        <w:spacing w:before="153" w:line="264" w:lineRule="auto"/>
        <w:ind w:left="4" w:right="71" w:firstLine="477"/>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6</w:t>
      </w:r>
      <w:r>
        <w:rPr>
          <w:rFonts w:hint="eastAsia" w:ascii="宋体" w:hAnsi="宋体" w:eastAsia="宋体" w:cs="宋体"/>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．联合体中标后，本联合体协议是合同的附件，对联合体各成</w:t>
      </w:r>
      <w:r>
        <w:rPr>
          <w:rFonts w:hint="eastAsia" w:ascii="宋体" w:hAnsi="宋体" w:eastAsia="宋体" w:cs="宋体"/>
          <w:color w:val="000000" w:themeColor="text1"/>
          <w:spacing w:val="-2"/>
          <w:sz w:val="24"/>
          <w:szCs w:val="24"/>
          <w:highlight w:val="none"/>
          <w14:textFill>
            <w14:solidFill>
              <w14:schemeClr w14:val="tx1"/>
            </w14:solidFill>
          </w14:textFill>
        </w:rPr>
        <w:t>员单位有合同约束</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力。</w:t>
      </w:r>
    </w:p>
    <w:p w14:paraId="4A791BDA">
      <w:pPr>
        <w:keepNext w:val="0"/>
        <w:keepLines w:val="0"/>
        <w:pageBreakBefore w:val="0"/>
        <w:widowControl/>
        <w:kinsoku w:val="0"/>
        <w:wordWrap/>
        <w:overflowPunct/>
        <w:topLinePunct w:val="0"/>
        <w:autoSpaceDE w:val="0"/>
        <w:autoSpaceDN w:val="0"/>
        <w:bidi w:val="0"/>
        <w:adjustRightInd w:val="0"/>
        <w:snapToGrid w:val="0"/>
        <w:spacing w:before="157" w:line="264" w:lineRule="auto"/>
        <w:ind w:left="6" w:right="71" w:firstLine="473"/>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7</w:t>
      </w:r>
      <w:r>
        <w:rPr>
          <w:rFonts w:hint="eastAsia" w:ascii="宋体" w:hAnsi="宋体" w:eastAsia="宋体" w:cs="宋体"/>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．本协议书自签署之日起生效，联合体未中标或者中标时合同履行</w:t>
      </w:r>
      <w:r>
        <w:rPr>
          <w:rFonts w:hint="eastAsia" w:ascii="宋体" w:hAnsi="宋体" w:eastAsia="宋体" w:cs="宋体"/>
          <w:color w:val="000000" w:themeColor="text1"/>
          <w:spacing w:val="-2"/>
          <w:sz w:val="24"/>
          <w:szCs w:val="24"/>
          <w:highlight w:val="none"/>
          <w14:textFill>
            <w14:solidFill>
              <w14:schemeClr w14:val="tx1"/>
            </w14:solidFill>
          </w14:textFill>
        </w:rPr>
        <w:t>完毕后自动失</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效。</w:t>
      </w:r>
    </w:p>
    <w:p w14:paraId="45E52A06">
      <w:pPr>
        <w:keepNext w:val="0"/>
        <w:keepLines w:val="0"/>
        <w:pageBreakBefore w:val="0"/>
        <w:widowControl/>
        <w:kinsoku w:val="0"/>
        <w:wordWrap/>
        <w:overflowPunct/>
        <w:topLinePunct w:val="0"/>
        <w:autoSpaceDE w:val="0"/>
        <w:autoSpaceDN w:val="0"/>
        <w:bidi w:val="0"/>
        <w:adjustRightInd w:val="0"/>
        <w:snapToGrid w:val="0"/>
        <w:spacing w:before="152" w:line="264" w:lineRule="auto"/>
        <w:ind w:left="486"/>
        <w:textAlignment w:val="baseline"/>
        <w:outlineLvl w:val="9"/>
        <w:rPr>
          <w:rFonts w:hint="eastAsia" w:ascii="宋体" w:hAnsi="宋体" w:eastAsia="宋体" w:cs="宋体"/>
          <w:color w:val="000000" w:themeColor="text1"/>
          <w:sz w:val="24"/>
          <w:szCs w:val="24"/>
          <w:highlight w:val="none"/>
          <w14:textFill>
            <w14:solidFill>
              <w14:schemeClr w14:val="tx1"/>
            </w14:solidFill>
          </w14:textFill>
        </w:rPr>
      </w:pPr>
      <w:bookmarkStart w:id="239" w:name="_Toc26708"/>
      <w:bookmarkStart w:id="240" w:name="_Toc22612"/>
      <w:r>
        <w:rPr>
          <w:rFonts w:hint="eastAsia" w:ascii="宋体" w:hAnsi="宋体" w:eastAsia="宋体" w:cs="宋体"/>
          <w:color w:val="000000" w:themeColor="text1"/>
          <w:spacing w:val="-2"/>
          <w:sz w:val="24"/>
          <w:szCs w:val="24"/>
          <w:highlight w:val="none"/>
          <w14:textFill>
            <w14:solidFill>
              <w14:schemeClr w14:val="tx1"/>
            </w14:solidFill>
          </w14:textFill>
        </w:rPr>
        <w:t>8</w:t>
      </w:r>
      <w:r>
        <w:rPr>
          <w:rFonts w:hint="eastAsia" w:ascii="宋体" w:hAnsi="宋体" w:eastAsia="宋体" w:cs="宋体"/>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．本协议书一式份，联合体成员和招标人各执一份。</w:t>
      </w:r>
      <w:bookmarkEnd w:id="239"/>
      <w:bookmarkEnd w:id="240"/>
    </w:p>
    <w:p w14:paraId="7383C992">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000000" w:themeColor="text1"/>
          <w:sz w:val="24"/>
          <w:szCs w:val="24"/>
          <w:highlight w:val="none"/>
          <w14:textFill>
            <w14:solidFill>
              <w14:schemeClr w14:val="tx1"/>
            </w14:solidFill>
          </w14:textFill>
        </w:rPr>
      </w:pPr>
      <w:bookmarkStart w:id="241" w:name="bookmark154"/>
      <w:bookmarkEnd w:id="241"/>
      <w:r>
        <w:rPr>
          <w:rFonts w:hint="eastAsia" w:ascii="宋体" w:hAnsi="宋体" w:eastAsia="宋体" w:cs="宋体"/>
          <w:color w:val="000000" w:themeColor="text1"/>
          <w:sz w:val="24"/>
          <w:szCs w:val="24"/>
          <w:highlight w:val="none"/>
          <w14:textFill>
            <w14:solidFill>
              <w14:schemeClr w14:val="tx1"/>
            </w14:solidFill>
          </w14:textFill>
        </w:rPr>
        <w:t>牵头人名称</w:t>
      </w:r>
      <w:r>
        <w:rPr>
          <w:rFonts w:hint="eastAsia" w:ascii="宋体" w:hAnsi="宋体" w:eastAsia="宋体" w:cs="宋体"/>
          <w:color w:val="000000" w:themeColor="text1"/>
          <w:spacing w:val="-15"/>
          <w:sz w:val="24"/>
          <w:szCs w:val="24"/>
          <w:highlight w:val="none"/>
          <w14:textFill>
            <w14:solidFill>
              <w14:schemeClr w14:val="tx1"/>
            </w14:solidFill>
          </w14:textFill>
        </w:rPr>
        <w:t>：</w:t>
      </w:r>
      <w:r>
        <w:rPr>
          <w:rFonts w:hint="eastAsia" w:ascii="宋体" w:hAnsi="宋体" w:eastAsia="宋体" w:cs="宋体"/>
          <w:snapToGrid w:val="0"/>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盖单位章）</w:t>
      </w:r>
    </w:p>
    <w:p w14:paraId="473F3796">
      <w:pPr>
        <w:pStyle w:val="5"/>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000000" w:themeColor="text1"/>
          <w:highlight w:val="none"/>
          <w14:textFill>
            <w14:solidFill>
              <w14:schemeClr w14:val="tx1"/>
            </w14:solidFill>
          </w14:textFill>
        </w:rPr>
      </w:pPr>
    </w:p>
    <w:p w14:paraId="5326D8EF">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17"/>
          <w:sz w:val="24"/>
          <w:szCs w:val="24"/>
          <w:highlight w:val="none"/>
          <w14:textFill>
            <w14:solidFill>
              <w14:schemeClr w14:val="tx1"/>
            </w14:solidFill>
          </w14:textFill>
        </w:rPr>
        <w:t>：</w:t>
      </w:r>
      <w:r>
        <w:rPr>
          <w:rFonts w:hint="eastAsia" w:ascii="宋体" w:hAnsi="宋体" w:eastAsia="宋体" w:cs="宋体"/>
          <w:snapToGrid w:val="0"/>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17"/>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4A50685C">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成员二名称</w:t>
      </w:r>
      <w:r>
        <w:rPr>
          <w:rFonts w:hint="eastAsia" w:ascii="宋体" w:hAnsi="宋体" w:eastAsia="宋体" w:cs="宋体"/>
          <w:color w:val="000000" w:themeColor="text1"/>
          <w:spacing w:val="-17"/>
          <w:sz w:val="24"/>
          <w:szCs w:val="24"/>
          <w:highlight w:val="none"/>
          <w14:textFill>
            <w14:solidFill>
              <w14:schemeClr w14:val="tx1"/>
            </w14:solidFill>
          </w14:textFill>
        </w:rPr>
        <w:t>：</w:t>
      </w:r>
      <w:r>
        <w:rPr>
          <w:rFonts w:hint="eastAsia" w:ascii="宋体" w:hAnsi="宋体" w:eastAsia="宋体" w:cs="宋体"/>
          <w:snapToGrid w:val="0"/>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17"/>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盖单位章）</w:t>
      </w:r>
    </w:p>
    <w:p w14:paraId="5B247C4F">
      <w:pPr>
        <w:pStyle w:val="5"/>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000000" w:themeColor="text1"/>
          <w:highlight w:val="none"/>
          <w14:textFill>
            <w14:solidFill>
              <w14:schemeClr w14:val="tx1"/>
            </w14:solidFill>
          </w14:textFill>
        </w:rPr>
      </w:pPr>
    </w:p>
    <w:p w14:paraId="1EC39C4E">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17"/>
          <w:sz w:val="24"/>
          <w:szCs w:val="24"/>
          <w:highlight w:val="none"/>
          <w14:textFill>
            <w14:solidFill>
              <w14:schemeClr w14:val="tx1"/>
            </w14:solidFill>
          </w14:textFill>
        </w:rPr>
        <w:t>：</w:t>
      </w:r>
      <w:r>
        <w:rPr>
          <w:rFonts w:hint="eastAsia" w:ascii="宋体" w:hAnsi="宋体" w:eastAsia="宋体" w:cs="宋体"/>
          <w:snapToGrid w:val="0"/>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17"/>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2C910984">
      <w:pPr>
        <w:spacing w:before="78" w:line="220" w:lineRule="auto"/>
        <w:ind w:left="673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月</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日</w:t>
      </w:r>
    </w:p>
    <w:p w14:paraId="53670306">
      <w:pPr>
        <w:pStyle w:val="5"/>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000000" w:themeColor="text1"/>
          <w:highlight w:val="none"/>
          <w14:textFill>
            <w14:solidFill>
              <w14:schemeClr w14:val="tx1"/>
            </w14:solidFill>
          </w14:textFill>
        </w:rPr>
      </w:pPr>
    </w:p>
    <w:p w14:paraId="7C2788A4">
      <w:pPr>
        <w:keepNext w:val="0"/>
        <w:keepLines w:val="0"/>
        <w:pageBreakBefore w:val="0"/>
        <w:widowControl/>
        <w:kinsoku w:val="0"/>
        <w:wordWrap/>
        <w:overflowPunct/>
        <w:topLinePunct w:val="0"/>
        <w:autoSpaceDE w:val="0"/>
        <w:autoSpaceDN w:val="0"/>
        <w:bidi w:val="0"/>
        <w:adjustRightInd w:val="0"/>
        <w:snapToGrid w:val="0"/>
        <w:spacing w:before="65" w:line="264" w:lineRule="auto"/>
        <w:ind w:right="22"/>
        <w:jc w:val="both"/>
        <w:textAlignment w:val="baseline"/>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9"/>
          <w:sz w:val="20"/>
          <w:szCs w:val="20"/>
          <w:highlight w:val="none"/>
          <w14:textFill>
            <w14:solidFill>
              <w14:schemeClr w14:val="tx1"/>
            </w14:solidFill>
          </w14:textFill>
        </w:rPr>
        <w:t>说明：《联合体协议书》</w:t>
      </w:r>
      <w:r>
        <w:rPr>
          <w:rFonts w:hint="eastAsia" w:ascii="宋体" w:hAnsi="宋体" w:eastAsia="宋体" w:cs="宋体"/>
          <w:color w:val="000000" w:themeColor="text1"/>
          <w:spacing w:val="-55"/>
          <w:sz w:val="20"/>
          <w:szCs w:val="20"/>
          <w:highlight w:val="none"/>
          <w14:textFill>
            <w14:solidFill>
              <w14:schemeClr w14:val="tx1"/>
            </w14:solidFill>
          </w14:textFill>
        </w:rPr>
        <w:t xml:space="preserve"> </w:t>
      </w:r>
      <w:r>
        <w:rPr>
          <w:rFonts w:hint="eastAsia" w:ascii="宋体" w:hAnsi="宋体" w:eastAsia="宋体" w:cs="宋体"/>
          <w:color w:val="000000" w:themeColor="text1"/>
          <w:spacing w:val="9"/>
          <w:sz w:val="20"/>
          <w:szCs w:val="20"/>
          <w:highlight w:val="none"/>
          <w14:textFill>
            <w14:solidFill>
              <w14:schemeClr w14:val="tx1"/>
            </w14:solidFill>
          </w14:textFill>
        </w:rPr>
        <w:t>由委托代理人签字或盖章的，</w:t>
      </w:r>
      <w:r>
        <w:rPr>
          <w:rFonts w:hint="eastAsia" w:ascii="宋体" w:hAnsi="宋体" w:eastAsia="宋体" w:cs="宋体"/>
          <w:color w:val="000000" w:themeColor="text1"/>
          <w:spacing w:val="8"/>
          <w:sz w:val="20"/>
          <w:szCs w:val="20"/>
          <w:highlight w:val="none"/>
          <w14:textFill>
            <w14:solidFill>
              <w14:schemeClr w14:val="tx1"/>
            </w14:solidFill>
          </w14:textFill>
        </w:rPr>
        <w:t>应附法定代表人签字或盖章的授权委托</w:t>
      </w:r>
      <w:r>
        <w:rPr>
          <w:rFonts w:hint="eastAsia" w:ascii="宋体" w:hAnsi="宋体" w:eastAsia="宋体" w:cs="宋体"/>
          <w:color w:val="000000" w:themeColor="text1"/>
          <w:spacing w:val="-2"/>
          <w:sz w:val="20"/>
          <w:szCs w:val="20"/>
          <w:highlight w:val="none"/>
          <w14:textFill>
            <w14:solidFill>
              <w14:schemeClr w14:val="tx1"/>
            </w14:solidFill>
          </w14:textFill>
        </w:rPr>
        <w:t>书。</w:t>
      </w:r>
    </w:p>
    <w:p w14:paraId="547EFE63">
      <w:pPr>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000000" w:themeColor="text1"/>
          <w:sz w:val="20"/>
          <w:szCs w:val="20"/>
          <w:highlight w:val="none"/>
          <w14:textFill>
            <w14:solidFill>
              <w14:schemeClr w14:val="tx1"/>
            </w14:solidFill>
          </w14:textFill>
        </w:rPr>
        <w:sectPr>
          <w:footerReference r:id="rId21"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529AF8C9">
      <w:pPr>
        <w:spacing w:before="78" w:line="220" w:lineRule="auto"/>
        <w:outlineLvl w:val="2"/>
        <w:rPr>
          <w:rFonts w:hint="eastAsia" w:ascii="宋体" w:hAnsi="宋体" w:eastAsia="宋体" w:cs="宋体"/>
          <w:b/>
          <w:bCs/>
          <w:color w:val="000000" w:themeColor="text1"/>
          <w:spacing w:val="-4"/>
          <w:sz w:val="24"/>
          <w:szCs w:val="24"/>
          <w:highlight w:val="none"/>
          <w14:textFill>
            <w14:solidFill>
              <w14:schemeClr w14:val="tx1"/>
            </w14:solidFill>
          </w14:textFill>
        </w:rPr>
      </w:pPr>
      <w:bookmarkStart w:id="242" w:name="_Toc24967"/>
      <w:r>
        <w:rPr>
          <w:rFonts w:hint="eastAsia" w:ascii="宋体" w:hAnsi="宋体" w:eastAsia="宋体" w:cs="宋体"/>
          <w:b/>
          <w:bCs/>
          <w:color w:val="000000" w:themeColor="text1"/>
          <w:spacing w:val="-4"/>
          <w:sz w:val="24"/>
          <w:szCs w:val="24"/>
          <w:highlight w:val="none"/>
          <w14:textFill>
            <w14:solidFill>
              <w14:schemeClr w14:val="tx1"/>
            </w14:solidFill>
          </w14:textFill>
        </w:rPr>
        <w:t>格式七 投标人基本情况表</w:t>
      </w:r>
      <w:bookmarkEnd w:id="242"/>
    </w:p>
    <w:p w14:paraId="3C060929">
      <w:pPr>
        <w:spacing w:before="333" w:line="219" w:lineRule="auto"/>
        <w:ind w:left="335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pacing w:val="-5"/>
          <w:sz w:val="30"/>
          <w:szCs w:val="30"/>
          <w:highlight w:val="none"/>
          <w14:textFill>
            <w14:solidFill>
              <w14:schemeClr w14:val="tx1"/>
            </w14:solidFill>
          </w14:textFill>
        </w:rPr>
        <w:t>投标人基本情况表</w:t>
      </w:r>
    </w:p>
    <w:p w14:paraId="06DA9422">
      <w:pPr>
        <w:spacing w:line="239" w:lineRule="exact"/>
        <w:rPr>
          <w:rFonts w:hint="eastAsia" w:ascii="宋体" w:hAnsi="宋体" w:eastAsia="宋体" w:cs="宋体"/>
          <w:color w:val="000000" w:themeColor="text1"/>
          <w:highlight w:val="none"/>
          <w14:textFill>
            <w14:solidFill>
              <w14:schemeClr w14:val="tx1"/>
            </w14:solidFill>
          </w14:textFill>
        </w:rPr>
      </w:pPr>
    </w:p>
    <w:tbl>
      <w:tblPr>
        <w:tblStyle w:val="12"/>
        <w:tblW w:w="9259" w:type="dxa"/>
        <w:tblInd w:w="2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0"/>
        <w:gridCol w:w="975"/>
        <w:gridCol w:w="1837"/>
        <w:gridCol w:w="872"/>
        <w:gridCol w:w="311"/>
        <w:gridCol w:w="1043"/>
        <w:gridCol w:w="283"/>
        <w:gridCol w:w="770"/>
        <w:gridCol w:w="1548"/>
      </w:tblGrid>
      <w:tr w14:paraId="033E4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620" w:type="dxa"/>
            <w:vAlign w:val="center"/>
          </w:tcPr>
          <w:p w14:paraId="74A7C5BF">
            <w:pPr>
              <w:spacing w:before="149" w:line="229" w:lineRule="auto"/>
              <w:ind w:left="22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投标人名称</w:t>
            </w:r>
          </w:p>
        </w:tc>
        <w:tc>
          <w:tcPr>
            <w:tcW w:w="7639" w:type="dxa"/>
            <w:gridSpan w:val="8"/>
            <w:vAlign w:val="top"/>
          </w:tcPr>
          <w:p w14:paraId="0DB2A2CE">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32F10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620" w:type="dxa"/>
            <w:vAlign w:val="top"/>
          </w:tcPr>
          <w:p w14:paraId="65451CF9">
            <w:pPr>
              <w:spacing w:before="144" w:line="230" w:lineRule="auto"/>
              <w:ind w:left="3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注册地址</w:t>
            </w:r>
          </w:p>
        </w:tc>
        <w:tc>
          <w:tcPr>
            <w:tcW w:w="3684" w:type="dxa"/>
            <w:gridSpan w:val="3"/>
            <w:vAlign w:val="top"/>
          </w:tcPr>
          <w:p w14:paraId="7BF1DE63">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354" w:type="dxa"/>
            <w:gridSpan w:val="2"/>
            <w:vAlign w:val="top"/>
          </w:tcPr>
          <w:p w14:paraId="6E7F119C">
            <w:pPr>
              <w:spacing w:before="144" w:line="228" w:lineRule="auto"/>
              <w:ind w:left="22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邮政编码</w:t>
            </w:r>
          </w:p>
        </w:tc>
        <w:tc>
          <w:tcPr>
            <w:tcW w:w="2601" w:type="dxa"/>
            <w:gridSpan w:val="3"/>
            <w:vAlign w:val="top"/>
          </w:tcPr>
          <w:p w14:paraId="047A44F3">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75D48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620" w:type="dxa"/>
            <w:vMerge w:val="restart"/>
            <w:tcBorders>
              <w:bottom w:val="nil"/>
            </w:tcBorders>
            <w:vAlign w:val="top"/>
          </w:tcPr>
          <w:p w14:paraId="4A1021F6">
            <w:pPr>
              <w:pStyle w:val="17"/>
              <w:spacing w:line="332" w:lineRule="auto"/>
              <w:rPr>
                <w:rFonts w:hint="eastAsia" w:ascii="宋体" w:hAnsi="宋体" w:eastAsia="宋体" w:cs="宋体"/>
                <w:color w:val="000000" w:themeColor="text1"/>
                <w:sz w:val="24"/>
                <w:szCs w:val="24"/>
                <w:highlight w:val="none"/>
                <w14:textFill>
                  <w14:solidFill>
                    <w14:schemeClr w14:val="tx1"/>
                  </w14:solidFill>
                </w14:textFill>
              </w:rPr>
            </w:pPr>
          </w:p>
          <w:p w14:paraId="0F6ED57E">
            <w:pPr>
              <w:spacing w:before="65" w:line="230" w:lineRule="auto"/>
              <w:ind w:left="32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联系方式</w:t>
            </w:r>
          </w:p>
        </w:tc>
        <w:tc>
          <w:tcPr>
            <w:tcW w:w="975" w:type="dxa"/>
            <w:vAlign w:val="top"/>
          </w:tcPr>
          <w:p w14:paraId="33FA9D06">
            <w:pPr>
              <w:spacing w:before="145" w:line="231" w:lineRule="auto"/>
              <w:ind w:left="1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联系人</w:t>
            </w:r>
          </w:p>
        </w:tc>
        <w:tc>
          <w:tcPr>
            <w:tcW w:w="2709" w:type="dxa"/>
            <w:gridSpan w:val="2"/>
            <w:vAlign w:val="top"/>
          </w:tcPr>
          <w:p w14:paraId="3A1A86D3">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354" w:type="dxa"/>
            <w:gridSpan w:val="2"/>
            <w:vAlign w:val="top"/>
          </w:tcPr>
          <w:p w14:paraId="68D00D84">
            <w:pPr>
              <w:spacing w:before="145" w:line="231" w:lineRule="auto"/>
              <w:ind w:left="33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电</w:t>
            </w:r>
            <w:r>
              <w:rPr>
                <w:rFonts w:hint="eastAsia" w:ascii="宋体" w:hAnsi="宋体" w:eastAsia="宋体" w:cs="宋体"/>
                <w:color w:val="000000" w:themeColor="text1"/>
                <w:spacing w:val="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14:textFill>
                  <w14:solidFill>
                    <w14:schemeClr w14:val="tx1"/>
                  </w14:solidFill>
                </w14:textFill>
              </w:rPr>
              <w:t>话</w:t>
            </w:r>
          </w:p>
        </w:tc>
        <w:tc>
          <w:tcPr>
            <w:tcW w:w="2601" w:type="dxa"/>
            <w:gridSpan w:val="3"/>
            <w:vAlign w:val="top"/>
          </w:tcPr>
          <w:p w14:paraId="478BD977">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0EE24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620" w:type="dxa"/>
            <w:vMerge w:val="continue"/>
            <w:tcBorders>
              <w:top w:val="nil"/>
            </w:tcBorders>
            <w:vAlign w:val="top"/>
          </w:tcPr>
          <w:p w14:paraId="7E9A5F01">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975" w:type="dxa"/>
            <w:vAlign w:val="top"/>
          </w:tcPr>
          <w:p w14:paraId="04A5A850">
            <w:pPr>
              <w:spacing w:before="143" w:line="228" w:lineRule="auto"/>
              <w:ind w:left="13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传</w:t>
            </w:r>
            <w:r>
              <w:rPr>
                <w:rFonts w:hint="eastAsia" w:ascii="宋体" w:hAnsi="宋体" w:eastAsia="宋体" w:cs="宋体"/>
                <w:color w:val="000000" w:themeColor="text1"/>
                <w:spacing w:val="1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真</w:t>
            </w:r>
          </w:p>
        </w:tc>
        <w:tc>
          <w:tcPr>
            <w:tcW w:w="2709" w:type="dxa"/>
            <w:gridSpan w:val="2"/>
            <w:vAlign w:val="top"/>
          </w:tcPr>
          <w:p w14:paraId="408C0231">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354" w:type="dxa"/>
            <w:gridSpan w:val="2"/>
            <w:vAlign w:val="top"/>
          </w:tcPr>
          <w:p w14:paraId="7C350B75">
            <w:pPr>
              <w:spacing w:before="144" w:line="229" w:lineRule="auto"/>
              <w:ind w:left="2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电子邮箱</w:t>
            </w:r>
          </w:p>
        </w:tc>
        <w:tc>
          <w:tcPr>
            <w:tcW w:w="2601" w:type="dxa"/>
            <w:gridSpan w:val="3"/>
            <w:vAlign w:val="top"/>
          </w:tcPr>
          <w:p w14:paraId="717515D4">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60C3F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620" w:type="dxa"/>
            <w:vAlign w:val="top"/>
          </w:tcPr>
          <w:p w14:paraId="233F0792">
            <w:pPr>
              <w:spacing w:before="145" w:line="229" w:lineRule="auto"/>
              <w:ind w:left="3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单位性质</w:t>
            </w:r>
          </w:p>
        </w:tc>
        <w:tc>
          <w:tcPr>
            <w:tcW w:w="7639" w:type="dxa"/>
            <w:gridSpan w:val="8"/>
            <w:vAlign w:val="top"/>
          </w:tcPr>
          <w:p w14:paraId="434E07A5">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3C1E8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620" w:type="dxa"/>
            <w:vAlign w:val="top"/>
          </w:tcPr>
          <w:p w14:paraId="78583C86">
            <w:pPr>
              <w:spacing w:before="144" w:line="228" w:lineRule="auto"/>
              <w:ind w:left="22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法定代表人</w:t>
            </w:r>
          </w:p>
        </w:tc>
        <w:tc>
          <w:tcPr>
            <w:tcW w:w="975" w:type="dxa"/>
            <w:vAlign w:val="top"/>
          </w:tcPr>
          <w:p w14:paraId="2CF8127D">
            <w:pPr>
              <w:spacing w:before="144" w:line="228" w:lineRule="auto"/>
              <w:ind w:left="24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姓名</w:t>
            </w:r>
          </w:p>
        </w:tc>
        <w:tc>
          <w:tcPr>
            <w:tcW w:w="1837" w:type="dxa"/>
            <w:vAlign w:val="top"/>
          </w:tcPr>
          <w:p w14:paraId="55F10CB7">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183" w:type="dxa"/>
            <w:gridSpan w:val="2"/>
            <w:vAlign w:val="top"/>
          </w:tcPr>
          <w:p w14:paraId="1248557B">
            <w:pPr>
              <w:spacing w:before="144" w:line="228" w:lineRule="auto"/>
              <w:ind w:left="1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技术职称</w:t>
            </w:r>
          </w:p>
        </w:tc>
        <w:tc>
          <w:tcPr>
            <w:tcW w:w="1326" w:type="dxa"/>
            <w:gridSpan w:val="2"/>
            <w:vAlign w:val="top"/>
          </w:tcPr>
          <w:p w14:paraId="345CCE79">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770" w:type="dxa"/>
            <w:vAlign w:val="top"/>
          </w:tcPr>
          <w:p w14:paraId="63CA2C03">
            <w:pPr>
              <w:spacing w:before="143" w:line="231" w:lineRule="auto"/>
              <w:ind w:left="17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电话</w:t>
            </w:r>
          </w:p>
        </w:tc>
        <w:tc>
          <w:tcPr>
            <w:tcW w:w="1548" w:type="dxa"/>
            <w:vAlign w:val="top"/>
          </w:tcPr>
          <w:p w14:paraId="21775F23">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6C9B2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620" w:type="dxa"/>
            <w:vAlign w:val="top"/>
          </w:tcPr>
          <w:p w14:paraId="2AB30980">
            <w:pPr>
              <w:spacing w:before="145" w:line="230" w:lineRule="auto"/>
              <w:ind w:left="3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成立时间</w:t>
            </w:r>
          </w:p>
        </w:tc>
        <w:tc>
          <w:tcPr>
            <w:tcW w:w="2812" w:type="dxa"/>
            <w:gridSpan w:val="2"/>
            <w:vAlign w:val="top"/>
          </w:tcPr>
          <w:p w14:paraId="1528A619">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4827" w:type="dxa"/>
            <w:gridSpan w:val="6"/>
            <w:vAlign w:val="top"/>
          </w:tcPr>
          <w:p w14:paraId="29648EC6">
            <w:pPr>
              <w:spacing w:before="145" w:line="228" w:lineRule="auto"/>
              <w:ind w:left="128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员工总人数（个</w:t>
            </w:r>
            <w:r>
              <w:rPr>
                <w:rFonts w:hint="eastAsia" w:ascii="宋体" w:hAnsi="宋体" w:eastAsia="宋体" w:cs="宋体"/>
                <w:color w:val="000000" w:themeColor="text1"/>
                <w:sz w:val="24"/>
                <w:szCs w:val="24"/>
                <w:highlight w:val="none"/>
                <w14:textFill>
                  <w14:solidFill>
                    <w14:schemeClr w14:val="tx1"/>
                  </w14:solidFill>
                </w14:textFill>
              </w:rPr>
              <w:t>）：</w:t>
            </w:r>
          </w:p>
        </w:tc>
      </w:tr>
      <w:tr w14:paraId="1639B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620" w:type="dxa"/>
            <w:vAlign w:val="top"/>
          </w:tcPr>
          <w:p w14:paraId="4BDC0C8F">
            <w:pPr>
              <w:spacing w:before="61" w:line="262" w:lineRule="auto"/>
              <w:ind w:right="2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企业资质</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类型和等级</w:t>
            </w:r>
          </w:p>
        </w:tc>
        <w:tc>
          <w:tcPr>
            <w:tcW w:w="2812" w:type="dxa"/>
            <w:gridSpan w:val="2"/>
            <w:vAlign w:val="top"/>
          </w:tcPr>
          <w:p w14:paraId="177F1066">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183" w:type="dxa"/>
            <w:gridSpan w:val="2"/>
            <w:vMerge w:val="restart"/>
            <w:tcBorders>
              <w:bottom w:val="nil"/>
            </w:tcBorders>
            <w:vAlign w:val="top"/>
          </w:tcPr>
          <w:p w14:paraId="4E9E9995">
            <w:pPr>
              <w:pStyle w:val="17"/>
              <w:spacing w:line="254" w:lineRule="auto"/>
              <w:rPr>
                <w:rFonts w:hint="eastAsia" w:ascii="宋体" w:hAnsi="宋体" w:eastAsia="宋体" w:cs="宋体"/>
                <w:color w:val="000000" w:themeColor="text1"/>
                <w:sz w:val="24"/>
                <w:szCs w:val="24"/>
                <w:highlight w:val="none"/>
                <w14:textFill>
                  <w14:solidFill>
                    <w14:schemeClr w14:val="tx1"/>
                  </w14:solidFill>
                </w14:textFill>
              </w:rPr>
            </w:pPr>
          </w:p>
          <w:p w14:paraId="1A7E335C">
            <w:pPr>
              <w:pStyle w:val="17"/>
              <w:spacing w:line="254" w:lineRule="auto"/>
              <w:rPr>
                <w:rFonts w:hint="eastAsia" w:ascii="宋体" w:hAnsi="宋体" w:eastAsia="宋体" w:cs="宋体"/>
                <w:color w:val="000000" w:themeColor="text1"/>
                <w:sz w:val="24"/>
                <w:szCs w:val="24"/>
                <w:highlight w:val="none"/>
                <w14:textFill>
                  <w14:solidFill>
                    <w14:schemeClr w14:val="tx1"/>
                  </w14:solidFill>
                </w14:textFill>
              </w:rPr>
            </w:pPr>
          </w:p>
          <w:p w14:paraId="6D110926">
            <w:pPr>
              <w:pStyle w:val="17"/>
              <w:spacing w:line="254" w:lineRule="auto"/>
              <w:rPr>
                <w:rFonts w:hint="eastAsia" w:ascii="宋体" w:hAnsi="宋体" w:eastAsia="宋体" w:cs="宋体"/>
                <w:color w:val="000000" w:themeColor="text1"/>
                <w:sz w:val="24"/>
                <w:szCs w:val="24"/>
                <w:highlight w:val="none"/>
                <w14:textFill>
                  <w14:solidFill>
                    <w14:schemeClr w14:val="tx1"/>
                  </w14:solidFill>
                </w14:textFill>
              </w:rPr>
            </w:pPr>
          </w:p>
          <w:p w14:paraId="0E9DCABF">
            <w:pPr>
              <w:pStyle w:val="17"/>
              <w:spacing w:line="254" w:lineRule="auto"/>
              <w:rPr>
                <w:rFonts w:hint="eastAsia" w:ascii="宋体" w:hAnsi="宋体" w:eastAsia="宋体" w:cs="宋体"/>
                <w:color w:val="000000" w:themeColor="text1"/>
                <w:sz w:val="24"/>
                <w:szCs w:val="24"/>
                <w:highlight w:val="none"/>
                <w14:textFill>
                  <w14:solidFill>
                    <w14:schemeClr w14:val="tx1"/>
                  </w14:solidFill>
                </w14:textFill>
              </w:rPr>
            </w:pPr>
          </w:p>
          <w:p w14:paraId="5B2B7EB5">
            <w:pPr>
              <w:pStyle w:val="17"/>
              <w:spacing w:line="255" w:lineRule="auto"/>
              <w:rPr>
                <w:rFonts w:hint="eastAsia" w:ascii="宋体" w:hAnsi="宋体" w:eastAsia="宋体" w:cs="宋体"/>
                <w:color w:val="000000" w:themeColor="text1"/>
                <w:sz w:val="24"/>
                <w:szCs w:val="24"/>
                <w:highlight w:val="none"/>
                <w14:textFill>
                  <w14:solidFill>
                    <w14:schemeClr w14:val="tx1"/>
                  </w14:solidFill>
                </w14:textFill>
              </w:rPr>
            </w:pPr>
          </w:p>
          <w:p w14:paraId="102DBC66">
            <w:pPr>
              <w:spacing w:before="65" w:line="229" w:lineRule="auto"/>
              <w:ind w:left="34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其中</w:t>
            </w:r>
          </w:p>
        </w:tc>
        <w:tc>
          <w:tcPr>
            <w:tcW w:w="2096" w:type="dxa"/>
            <w:gridSpan w:val="3"/>
            <w:vAlign w:val="top"/>
          </w:tcPr>
          <w:p w14:paraId="2278305A">
            <w:pPr>
              <w:spacing w:before="214" w:line="229" w:lineRule="auto"/>
              <w:ind w:left="55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项目经理</w:t>
            </w:r>
          </w:p>
        </w:tc>
        <w:tc>
          <w:tcPr>
            <w:tcW w:w="1548" w:type="dxa"/>
            <w:vAlign w:val="top"/>
          </w:tcPr>
          <w:p w14:paraId="3262520C">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738EE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620" w:type="dxa"/>
            <w:vAlign w:val="top"/>
          </w:tcPr>
          <w:p w14:paraId="3E310579">
            <w:pPr>
              <w:spacing w:before="146" w:line="228" w:lineRule="auto"/>
              <w:ind w:left="23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营业执照号</w:t>
            </w:r>
          </w:p>
        </w:tc>
        <w:tc>
          <w:tcPr>
            <w:tcW w:w="2812" w:type="dxa"/>
            <w:gridSpan w:val="2"/>
            <w:vAlign w:val="top"/>
          </w:tcPr>
          <w:p w14:paraId="771E0050">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183" w:type="dxa"/>
            <w:gridSpan w:val="2"/>
            <w:vMerge w:val="continue"/>
            <w:tcBorders>
              <w:top w:val="nil"/>
              <w:bottom w:val="nil"/>
            </w:tcBorders>
            <w:vAlign w:val="top"/>
          </w:tcPr>
          <w:p w14:paraId="5949ACF2">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96" w:type="dxa"/>
            <w:gridSpan w:val="3"/>
            <w:vAlign w:val="top"/>
          </w:tcPr>
          <w:p w14:paraId="6C5F1489">
            <w:pPr>
              <w:spacing w:before="146" w:line="228" w:lineRule="auto"/>
              <w:ind w:left="3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高级职称人员</w:t>
            </w:r>
          </w:p>
        </w:tc>
        <w:tc>
          <w:tcPr>
            <w:tcW w:w="1548" w:type="dxa"/>
            <w:vAlign w:val="top"/>
          </w:tcPr>
          <w:p w14:paraId="484C31E4">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77906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20" w:type="dxa"/>
            <w:vAlign w:val="top"/>
          </w:tcPr>
          <w:p w14:paraId="199E82AD">
            <w:pPr>
              <w:spacing w:before="146" w:line="230" w:lineRule="auto"/>
              <w:ind w:left="3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注册资金</w:t>
            </w:r>
          </w:p>
        </w:tc>
        <w:tc>
          <w:tcPr>
            <w:tcW w:w="2812" w:type="dxa"/>
            <w:gridSpan w:val="2"/>
            <w:vAlign w:val="top"/>
          </w:tcPr>
          <w:p w14:paraId="28BB0564">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183" w:type="dxa"/>
            <w:gridSpan w:val="2"/>
            <w:vMerge w:val="continue"/>
            <w:tcBorders>
              <w:top w:val="nil"/>
              <w:bottom w:val="nil"/>
            </w:tcBorders>
            <w:vAlign w:val="top"/>
          </w:tcPr>
          <w:p w14:paraId="2B790690">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96" w:type="dxa"/>
            <w:gridSpan w:val="3"/>
            <w:vAlign w:val="top"/>
          </w:tcPr>
          <w:p w14:paraId="27F06363">
            <w:pPr>
              <w:spacing w:before="147" w:line="229" w:lineRule="auto"/>
              <w:ind w:left="35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中级职称人员</w:t>
            </w:r>
          </w:p>
        </w:tc>
        <w:tc>
          <w:tcPr>
            <w:tcW w:w="1548" w:type="dxa"/>
            <w:vAlign w:val="top"/>
          </w:tcPr>
          <w:p w14:paraId="18CD3973">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453B7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620" w:type="dxa"/>
            <w:vAlign w:val="top"/>
          </w:tcPr>
          <w:p w14:paraId="41955478">
            <w:pPr>
              <w:spacing w:before="62" w:line="241" w:lineRule="auto"/>
              <w:ind w:right="325"/>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基本账户</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开户银行</w:t>
            </w:r>
          </w:p>
        </w:tc>
        <w:tc>
          <w:tcPr>
            <w:tcW w:w="2812" w:type="dxa"/>
            <w:gridSpan w:val="2"/>
            <w:vAlign w:val="top"/>
          </w:tcPr>
          <w:p w14:paraId="65DFBEF7">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183" w:type="dxa"/>
            <w:gridSpan w:val="2"/>
            <w:vMerge w:val="continue"/>
            <w:tcBorders>
              <w:top w:val="nil"/>
              <w:bottom w:val="nil"/>
            </w:tcBorders>
            <w:vAlign w:val="top"/>
          </w:tcPr>
          <w:p w14:paraId="31F677A8">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96" w:type="dxa"/>
            <w:gridSpan w:val="3"/>
            <w:vAlign w:val="top"/>
          </w:tcPr>
          <w:p w14:paraId="0336B438">
            <w:pPr>
              <w:spacing w:before="191" w:line="230" w:lineRule="auto"/>
              <w:ind w:left="33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初级职称人员</w:t>
            </w:r>
          </w:p>
        </w:tc>
        <w:tc>
          <w:tcPr>
            <w:tcW w:w="1548" w:type="dxa"/>
            <w:vAlign w:val="top"/>
          </w:tcPr>
          <w:p w14:paraId="00F898E7">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2E7A6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620" w:type="dxa"/>
            <w:vAlign w:val="top"/>
          </w:tcPr>
          <w:p w14:paraId="33D5D73F">
            <w:pPr>
              <w:spacing w:before="62" w:line="259" w:lineRule="auto"/>
              <w:ind w:right="325"/>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基本账户</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银行账号</w:t>
            </w:r>
          </w:p>
        </w:tc>
        <w:tc>
          <w:tcPr>
            <w:tcW w:w="2812" w:type="dxa"/>
            <w:gridSpan w:val="2"/>
            <w:vAlign w:val="top"/>
          </w:tcPr>
          <w:p w14:paraId="60A346F4">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183" w:type="dxa"/>
            <w:gridSpan w:val="2"/>
            <w:vMerge w:val="continue"/>
            <w:tcBorders>
              <w:top w:val="nil"/>
            </w:tcBorders>
            <w:vAlign w:val="top"/>
          </w:tcPr>
          <w:p w14:paraId="1322C4EB">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96" w:type="dxa"/>
            <w:gridSpan w:val="3"/>
            <w:vAlign w:val="top"/>
          </w:tcPr>
          <w:p w14:paraId="4D44C804">
            <w:pPr>
              <w:spacing w:before="211" w:line="228" w:lineRule="auto"/>
              <w:ind w:left="65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技术员</w:t>
            </w:r>
          </w:p>
        </w:tc>
        <w:tc>
          <w:tcPr>
            <w:tcW w:w="1548" w:type="dxa"/>
            <w:vAlign w:val="top"/>
          </w:tcPr>
          <w:p w14:paraId="46D2B23A">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6A626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620" w:type="dxa"/>
            <w:vAlign w:val="top"/>
          </w:tcPr>
          <w:p w14:paraId="3BF7B502">
            <w:pPr>
              <w:spacing w:before="65" w:line="229" w:lineRule="auto"/>
              <w:ind w:left="3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经营范围</w:t>
            </w:r>
          </w:p>
        </w:tc>
        <w:tc>
          <w:tcPr>
            <w:tcW w:w="7639" w:type="dxa"/>
            <w:gridSpan w:val="8"/>
            <w:vAlign w:val="top"/>
          </w:tcPr>
          <w:p w14:paraId="07997BAE">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29A8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trPr>
        <w:tc>
          <w:tcPr>
            <w:tcW w:w="1620" w:type="dxa"/>
            <w:vAlign w:val="top"/>
          </w:tcPr>
          <w:p w14:paraId="3B08B51B">
            <w:pPr>
              <w:pStyle w:val="17"/>
              <w:spacing w:line="295" w:lineRule="auto"/>
              <w:rPr>
                <w:rFonts w:hint="eastAsia" w:ascii="宋体" w:hAnsi="宋体" w:eastAsia="宋体" w:cs="宋体"/>
                <w:color w:val="000000" w:themeColor="text1"/>
                <w:sz w:val="24"/>
                <w:szCs w:val="24"/>
                <w:highlight w:val="none"/>
                <w14:textFill>
                  <w14:solidFill>
                    <w14:schemeClr w14:val="tx1"/>
                  </w14:solidFill>
                </w14:textFill>
              </w:rPr>
            </w:pPr>
          </w:p>
          <w:p w14:paraId="056B995D">
            <w:pPr>
              <w:pStyle w:val="17"/>
              <w:spacing w:line="296" w:lineRule="auto"/>
              <w:rPr>
                <w:rFonts w:hint="eastAsia" w:ascii="宋体" w:hAnsi="宋体" w:eastAsia="宋体" w:cs="宋体"/>
                <w:color w:val="000000" w:themeColor="text1"/>
                <w:sz w:val="24"/>
                <w:szCs w:val="24"/>
                <w:highlight w:val="none"/>
                <w14:textFill>
                  <w14:solidFill>
                    <w14:schemeClr w14:val="tx1"/>
                  </w14:solidFill>
                </w14:textFill>
              </w:rPr>
            </w:pPr>
          </w:p>
          <w:p w14:paraId="05DF8A32">
            <w:pPr>
              <w:spacing w:before="65" w:line="229"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关联企业情况</w:t>
            </w:r>
          </w:p>
        </w:tc>
        <w:tc>
          <w:tcPr>
            <w:tcW w:w="7639" w:type="dxa"/>
            <w:gridSpan w:val="8"/>
            <w:vAlign w:val="top"/>
          </w:tcPr>
          <w:p w14:paraId="1E7ADE4D">
            <w:pPr>
              <w:spacing w:before="168" w:line="228" w:lineRule="auto"/>
              <w:ind w:left="11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包括但不限于与投标人存在以下关系的不同单位：</w:t>
            </w:r>
          </w:p>
          <w:p w14:paraId="0A579FFA">
            <w:pPr>
              <w:spacing w:before="81" w:line="228" w:lineRule="auto"/>
              <w:ind w:left="1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color w:val="000000" w:themeColor="text1"/>
                <w:spacing w:val="-1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．法定代表人为同一人的。</w:t>
            </w:r>
          </w:p>
          <w:p w14:paraId="20E6965C">
            <w:pPr>
              <w:spacing w:before="81" w:line="228" w:lineRule="auto"/>
              <w:ind w:left="10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2</w:t>
            </w:r>
            <w:r>
              <w:rPr>
                <w:rFonts w:hint="eastAsia" w:ascii="宋体" w:hAnsi="宋体" w:eastAsia="宋体" w:cs="宋体"/>
                <w:color w:val="000000" w:themeColor="text1"/>
                <w:spacing w:val="-1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．存在控股、管理关系的。</w:t>
            </w:r>
          </w:p>
          <w:p w14:paraId="585BD72F">
            <w:pPr>
              <w:spacing w:before="81" w:line="228" w:lineRule="auto"/>
              <w:ind w:left="11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3</w:t>
            </w:r>
            <w:r>
              <w:rPr>
                <w:rFonts w:hint="eastAsia" w:ascii="宋体" w:hAnsi="宋体" w:eastAsia="宋体" w:cs="宋体"/>
                <w:color w:val="000000" w:themeColor="text1"/>
                <w:spacing w:val="-1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．主要人员相互任职的。</w:t>
            </w:r>
          </w:p>
        </w:tc>
      </w:tr>
      <w:tr w14:paraId="28D64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620" w:type="dxa"/>
            <w:vAlign w:val="top"/>
          </w:tcPr>
          <w:p w14:paraId="2A94CEF9">
            <w:pPr>
              <w:spacing w:before="235" w:line="230" w:lineRule="auto"/>
              <w:ind w:left="54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备注</w:t>
            </w:r>
          </w:p>
        </w:tc>
        <w:tc>
          <w:tcPr>
            <w:tcW w:w="7639" w:type="dxa"/>
            <w:gridSpan w:val="8"/>
            <w:vAlign w:val="top"/>
          </w:tcPr>
          <w:p w14:paraId="33A69765">
            <w:pPr>
              <w:pStyle w:val="17"/>
              <w:rPr>
                <w:rFonts w:hint="eastAsia" w:ascii="宋体" w:hAnsi="宋体" w:eastAsia="宋体" w:cs="宋体"/>
                <w:color w:val="000000" w:themeColor="text1"/>
                <w:sz w:val="24"/>
                <w:szCs w:val="24"/>
                <w:highlight w:val="none"/>
                <w14:textFill>
                  <w14:solidFill>
                    <w14:schemeClr w14:val="tx1"/>
                  </w14:solidFill>
                </w14:textFill>
              </w:rPr>
            </w:pPr>
          </w:p>
        </w:tc>
      </w:tr>
    </w:tbl>
    <w:p w14:paraId="69B31669">
      <w:pPr>
        <w:spacing w:before="140" w:line="228" w:lineRule="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pacing w:val="2"/>
          <w:sz w:val="18"/>
          <w:szCs w:val="18"/>
          <w:highlight w:val="none"/>
          <w14:textFill>
            <w14:solidFill>
              <w14:schemeClr w14:val="tx1"/>
            </w14:solidFill>
          </w14:textFill>
        </w:rPr>
        <w:t>说明：</w:t>
      </w:r>
    </w:p>
    <w:p w14:paraId="5F7DADAA">
      <w:pPr>
        <w:keepNext w:val="0"/>
        <w:keepLines w:val="0"/>
        <w:pageBreakBefore w:val="0"/>
        <w:widowControl/>
        <w:kinsoku w:val="0"/>
        <w:wordWrap/>
        <w:overflowPunct/>
        <w:topLinePunct w:val="0"/>
        <w:autoSpaceDE w:val="0"/>
        <w:autoSpaceDN w:val="0"/>
        <w:bidi w:val="0"/>
        <w:adjustRightInd w:val="0"/>
        <w:snapToGrid w:val="0"/>
        <w:spacing w:before="81" w:line="288" w:lineRule="auto"/>
        <w:textAlignment w:val="baseline"/>
        <w:outlineLvl w:val="9"/>
        <w:rPr>
          <w:rFonts w:hint="eastAsia" w:ascii="宋体" w:hAnsi="宋体" w:eastAsia="宋体" w:cs="宋体"/>
          <w:color w:val="000000" w:themeColor="text1"/>
          <w:spacing w:val="4"/>
          <w:sz w:val="18"/>
          <w:szCs w:val="18"/>
          <w:highlight w:val="none"/>
          <w14:textFill>
            <w14:solidFill>
              <w14:schemeClr w14:val="tx1"/>
            </w14:solidFill>
          </w14:textFill>
        </w:rPr>
      </w:pPr>
      <w:bookmarkStart w:id="243" w:name="_Toc14048"/>
      <w:bookmarkStart w:id="244" w:name="_Toc5131"/>
      <w:r>
        <w:rPr>
          <w:rFonts w:hint="eastAsia" w:ascii="宋体" w:hAnsi="宋体" w:eastAsia="宋体" w:cs="宋体"/>
          <w:color w:val="000000" w:themeColor="text1"/>
          <w:spacing w:val="4"/>
          <w:sz w:val="18"/>
          <w:szCs w:val="18"/>
          <w:highlight w:val="none"/>
          <w14:textFill>
            <w14:solidFill>
              <w14:schemeClr w14:val="tx1"/>
            </w14:solidFill>
          </w14:textFill>
        </w:rPr>
        <w:t>1 ．《投标人基本情况表》后应附以下资料：</w:t>
      </w:r>
      <w:bookmarkEnd w:id="243"/>
      <w:bookmarkEnd w:id="244"/>
    </w:p>
    <w:p w14:paraId="230E1626">
      <w:pPr>
        <w:keepNext w:val="0"/>
        <w:keepLines w:val="0"/>
        <w:pageBreakBefore w:val="0"/>
        <w:widowControl/>
        <w:kinsoku w:val="0"/>
        <w:wordWrap/>
        <w:overflowPunct/>
        <w:topLinePunct w:val="0"/>
        <w:autoSpaceDE w:val="0"/>
        <w:autoSpaceDN w:val="0"/>
        <w:bidi w:val="0"/>
        <w:adjustRightInd w:val="0"/>
        <w:snapToGrid w:val="0"/>
        <w:spacing w:before="153" w:line="288" w:lineRule="auto"/>
        <w:textAlignment w:val="baseline"/>
        <w:rPr>
          <w:rFonts w:hint="eastAsia" w:ascii="宋体" w:hAnsi="宋体" w:eastAsia="宋体" w:cs="宋体"/>
          <w:color w:val="000000" w:themeColor="text1"/>
          <w:spacing w:val="6"/>
          <w:sz w:val="18"/>
          <w:szCs w:val="18"/>
          <w:highlight w:val="none"/>
          <w14:textFill>
            <w14:solidFill>
              <w14:schemeClr w14:val="tx1"/>
            </w14:solidFill>
          </w14:textFill>
        </w:rPr>
      </w:pPr>
      <w:r>
        <w:rPr>
          <w:rFonts w:hint="eastAsia" w:ascii="宋体" w:hAnsi="宋体" w:eastAsia="宋体" w:cs="宋体"/>
          <w:color w:val="000000" w:themeColor="text1"/>
          <w:spacing w:val="9"/>
          <w:sz w:val="18"/>
          <w:szCs w:val="18"/>
          <w:highlight w:val="none"/>
          <w:lang w:eastAsia="zh-CN"/>
          <w14:textFill>
            <w14:solidFill>
              <w14:schemeClr w14:val="tx1"/>
            </w14:solidFill>
          </w14:textFill>
        </w:rPr>
        <w:t>（1）企业营业执照、资质证书、安全生产许可证的（因推行电子证照，企业的营业执照、资质证书等可以提供电子证照。为实时掌握项目投标单位的是否具备企业安全生产条件，企业的安全生生许可证需提供企业实时网页查询页，实时查询页的打印时间应在项目招标公告发布之日起至开标前。企业的安全生产许可证实时网页查询路径：登录“ 中华人民共和国住房和城乡建设部 ”进入“全国工程质量安全监管信息平台公共服务门户 ”版块，具体网址为：https://zlaq.mohurd.gov.cn，进入后点击“安全生产许可证信息 ”，输入企业名称和统一社会信用代码即可查询。如中标后，投标单位安全生产许可证发生被暂扣情形，需双方另行协商）；</w:t>
      </w:r>
    </w:p>
    <w:p w14:paraId="259B1130">
      <w:pPr>
        <w:keepNext w:val="0"/>
        <w:keepLines w:val="0"/>
        <w:pageBreakBefore w:val="0"/>
        <w:widowControl/>
        <w:kinsoku w:val="0"/>
        <w:wordWrap/>
        <w:overflowPunct/>
        <w:topLinePunct w:val="0"/>
        <w:autoSpaceDE w:val="0"/>
        <w:autoSpaceDN w:val="0"/>
        <w:bidi w:val="0"/>
        <w:adjustRightInd w:val="0"/>
        <w:snapToGrid w:val="0"/>
        <w:spacing w:before="153" w:line="288" w:lineRule="auto"/>
        <w:textAlignment w:val="baseline"/>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pacing w:val="9"/>
          <w:sz w:val="18"/>
          <w:szCs w:val="18"/>
          <w:highlight w:val="none"/>
          <w:lang w:eastAsia="zh-CN"/>
          <w14:textFill>
            <w14:solidFill>
              <w14:schemeClr w14:val="tx1"/>
            </w14:solidFill>
          </w14:textFill>
        </w:rPr>
        <w:t>（2）</w:t>
      </w:r>
      <w:r>
        <w:rPr>
          <w:rFonts w:hint="eastAsia" w:ascii="宋体" w:hAnsi="宋体" w:eastAsia="宋体" w:cs="宋体"/>
          <w:color w:val="000000" w:themeColor="text1"/>
          <w:spacing w:val="9"/>
          <w:sz w:val="18"/>
          <w:szCs w:val="18"/>
          <w:highlight w:val="none"/>
          <w14:textFill>
            <w14:solidFill>
              <w14:schemeClr w14:val="tx1"/>
            </w14:solidFill>
          </w14:textFill>
        </w:rPr>
        <w:t>“进粤企业和人员诚信信息登记平台</w:t>
      </w:r>
      <w:r>
        <w:rPr>
          <w:rFonts w:hint="eastAsia" w:ascii="宋体" w:hAnsi="宋体" w:eastAsia="宋体" w:cs="宋体"/>
          <w:color w:val="000000" w:themeColor="text1"/>
          <w:spacing w:val="-72"/>
          <w:sz w:val="18"/>
          <w:szCs w:val="18"/>
          <w:highlight w:val="none"/>
          <w14:textFill>
            <w14:solidFill>
              <w14:schemeClr w14:val="tx1"/>
            </w14:solidFill>
          </w14:textFill>
        </w:rPr>
        <w:t xml:space="preserve"> </w:t>
      </w:r>
      <w:r>
        <w:rPr>
          <w:rFonts w:hint="eastAsia" w:ascii="宋体" w:hAnsi="宋体" w:eastAsia="宋体" w:cs="宋体"/>
          <w:color w:val="000000" w:themeColor="text1"/>
          <w:spacing w:val="8"/>
          <w:sz w:val="18"/>
          <w:szCs w:val="18"/>
          <w:highlight w:val="none"/>
          <w14:textFill>
            <w14:solidFill>
              <w14:schemeClr w14:val="tx1"/>
            </w14:solidFill>
          </w14:textFill>
        </w:rPr>
        <w:t>”企业信息情况打印页。（适用于省外建筑企业）</w:t>
      </w:r>
    </w:p>
    <w:p w14:paraId="49CB0524">
      <w:pPr>
        <w:keepNext w:val="0"/>
        <w:keepLines w:val="0"/>
        <w:pageBreakBefore w:val="0"/>
        <w:widowControl/>
        <w:kinsoku w:val="0"/>
        <w:wordWrap/>
        <w:overflowPunct/>
        <w:topLinePunct w:val="0"/>
        <w:autoSpaceDE w:val="0"/>
        <w:autoSpaceDN w:val="0"/>
        <w:bidi w:val="0"/>
        <w:adjustRightInd w:val="0"/>
        <w:snapToGrid w:val="0"/>
        <w:spacing w:before="153" w:line="288" w:lineRule="auto"/>
        <w:jc w:val="both"/>
        <w:textAlignment w:val="baseline"/>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pacing w:val="8"/>
          <w:sz w:val="18"/>
          <w:szCs w:val="18"/>
          <w:highlight w:val="none"/>
          <w:lang w:eastAsia="zh-CN"/>
          <w14:textFill>
            <w14:solidFill>
              <w14:schemeClr w14:val="tx1"/>
            </w14:solidFill>
          </w14:textFill>
        </w:rPr>
        <w:t>（3）</w:t>
      </w:r>
      <w:r>
        <w:rPr>
          <w:rFonts w:hint="eastAsia" w:ascii="宋体" w:hAnsi="宋体" w:eastAsia="宋体" w:cs="宋体"/>
          <w:color w:val="000000" w:themeColor="text1"/>
          <w:spacing w:val="8"/>
          <w:sz w:val="18"/>
          <w:szCs w:val="18"/>
          <w:highlight w:val="none"/>
          <w14:textFill>
            <w14:solidFill>
              <w14:schemeClr w14:val="tx1"/>
            </w14:solidFill>
          </w14:textFill>
        </w:rPr>
        <w:t>《法人和非法人组织公共信用信息报告》（在“信用中国</w:t>
      </w:r>
      <w:r>
        <w:rPr>
          <w:rFonts w:hint="eastAsia" w:ascii="宋体" w:hAnsi="宋体" w:eastAsia="宋体" w:cs="宋体"/>
          <w:color w:val="000000" w:themeColor="text1"/>
          <w:spacing w:val="-70"/>
          <w:sz w:val="18"/>
          <w:szCs w:val="18"/>
          <w:highlight w:val="none"/>
          <w14:textFill>
            <w14:solidFill>
              <w14:schemeClr w14:val="tx1"/>
            </w14:solidFill>
          </w14:textFill>
        </w:rPr>
        <w:t xml:space="preserve"> </w:t>
      </w:r>
      <w:r>
        <w:rPr>
          <w:rFonts w:hint="eastAsia" w:ascii="宋体" w:hAnsi="宋体" w:eastAsia="宋体" w:cs="宋体"/>
          <w:color w:val="000000" w:themeColor="text1"/>
          <w:spacing w:val="8"/>
          <w:sz w:val="18"/>
          <w:szCs w:val="18"/>
          <w:highlight w:val="none"/>
          <w14:textFill>
            <w14:solidFill>
              <w14:schemeClr w14:val="tx1"/>
            </w14:solidFill>
          </w14:textFill>
        </w:rPr>
        <w:t>”网站企业查询界面</w:t>
      </w:r>
      <w:r>
        <w:rPr>
          <w:rFonts w:hint="eastAsia" w:ascii="宋体" w:hAnsi="宋体" w:eastAsia="宋体" w:cs="宋体"/>
          <w:color w:val="000000" w:themeColor="text1"/>
          <w:spacing w:val="7"/>
          <w:sz w:val="18"/>
          <w:szCs w:val="18"/>
          <w:highlight w:val="none"/>
          <w14:textFill>
            <w14:solidFill>
              <w14:schemeClr w14:val="tx1"/>
            </w14:solidFill>
          </w14:textFill>
        </w:rPr>
        <w:t>中下载）。</w:t>
      </w:r>
    </w:p>
    <w:p w14:paraId="214750AF">
      <w:pPr>
        <w:keepNext w:val="0"/>
        <w:keepLines w:val="0"/>
        <w:pageBreakBefore w:val="0"/>
        <w:widowControl/>
        <w:kinsoku w:val="0"/>
        <w:wordWrap/>
        <w:overflowPunct/>
        <w:topLinePunct w:val="0"/>
        <w:autoSpaceDE w:val="0"/>
        <w:autoSpaceDN w:val="0"/>
        <w:bidi w:val="0"/>
        <w:adjustRightInd w:val="0"/>
        <w:snapToGrid w:val="0"/>
        <w:spacing w:before="81" w:line="288" w:lineRule="auto"/>
        <w:textAlignment w:val="baseline"/>
        <w:rPr>
          <w:rFonts w:hint="eastAsia" w:ascii="宋体" w:hAnsi="宋体" w:eastAsia="宋体" w:cs="宋体"/>
          <w:color w:val="000000" w:themeColor="text1"/>
          <w:spacing w:val="4"/>
          <w:sz w:val="20"/>
          <w:szCs w:val="20"/>
          <w:highlight w:val="none"/>
          <w14:textFill>
            <w14:solidFill>
              <w14:schemeClr w14:val="tx1"/>
            </w14:solidFill>
          </w14:textFill>
        </w:rPr>
      </w:pPr>
      <w:r>
        <w:rPr>
          <w:rFonts w:hint="eastAsia" w:ascii="宋体" w:hAnsi="宋体" w:eastAsia="宋体" w:cs="宋体"/>
          <w:color w:val="000000" w:themeColor="text1"/>
          <w:spacing w:val="9"/>
          <w:sz w:val="18"/>
          <w:szCs w:val="18"/>
          <w:highlight w:val="none"/>
          <w14:textFill>
            <w14:solidFill>
              <w14:schemeClr w14:val="tx1"/>
            </w14:solidFill>
          </w14:textFill>
        </w:rPr>
        <w:t>2</w:t>
      </w:r>
      <w:r>
        <w:rPr>
          <w:rFonts w:hint="eastAsia" w:ascii="宋体" w:hAnsi="宋体" w:eastAsia="宋体" w:cs="宋体"/>
          <w:color w:val="000000" w:themeColor="text1"/>
          <w:spacing w:val="-21"/>
          <w:sz w:val="18"/>
          <w:szCs w:val="18"/>
          <w:highlight w:val="none"/>
          <w14:textFill>
            <w14:solidFill>
              <w14:schemeClr w14:val="tx1"/>
            </w14:solidFill>
          </w14:textFill>
        </w:rPr>
        <w:t xml:space="preserve"> </w:t>
      </w:r>
      <w:r>
        <w:rPr>
          <w:rFonts w:hint="eastAsia" w:ascii="宋体" w:hAnsi="宋体" w:eastAsia="宋体" w:cs="宋体"/>
          <w:color w:val="000000" w:themeColor="text1"/>
          <w:spacing w:val="9"/>
          <w:sz w:val="18"/>
          <w:szCs w:val="18"/>
          <w:highlight w:val="none"/>
          <w14:textFill>
            <w14:solidFill>
              <w14:schemeClr w14:val="tx1"/>
            </w14:solidFill>
          </w14:textFill>
        </w:rPr>
        <w:t>．联合体投标的，联合体成员单位均应填写《投标人基本情况</w:t>
      </w:r>
      <w:r>
        <w:rPr>
          <w:rFonts w:hint="eastAsia" w:ascii="宋体" w:hAnsi="宋体" w:eastAsia="宋体" w:cs="宋体"/>
          <w:color w:val="000000" w:themeColor="text1"/>
          <w:spacing w:val="8"/>
          <w:sz w:val="18"/>
          <w:szCs w:val="18"/>
          <w:highlight w:val="none"/>
          <w14:textFill>
            <w14:solidFill>
              <w14:schemeClr w14:val="tx1"/>
            </w14:solidFill>
          </w14:textFill>
        </w:rPr>
        <w:t>表》并提供以上所需资料。</w:t>
      </w:r>
    </w:p>
    <w:p w14:paraId="2AB7BED9">
      <w:pPr>
        <w:spacing w:before="78" w:line="220" w:lineRule="auto"/>
        <w:outlineLvl w:val="2"/>
        <w:rPr>
          <w:rFonts w:hint="eastAsia" w:ascii="宋体" w:hAnsi="宋体" w:eastAsia="宋体" w:cs="宋体"/>
          <w:b/>
          <w:bCs/>
          <w:color w:val="000000" w:themeColor="text1"/>
          <w:spacing w:val="-4"/>
          <w:sz w:val="24"/>
          <w:szCs w:val="24"/>
          <w:highlight w:val="none"/>
          <w14:textFill>
            <w14:solidFill>
              <w14:schemeClr w14:val="tx1"/>
            </w14:solidFill>
          </w14:textFill>
        </w:rPr>
      </w:pPr>
      <w:bookmarkStart w:id="245" w:name="_Toc10594"/>
      <w:r>
        <w:rPr>
          <w:rFonts w:hint="eastAsia" w:ascii="宋体" w:hAnsi="宋体" w:eastAsia="宋体" w:cs="宋体"/>
          <w:b/>
          <w:bCs/>
          <w:color w:val="000000" w:themeColor="text1"/>
          <w:spacing w:val="-4"/>
          <w:sz w:val="24"/>
          <w:szCs w:val="24"/>
          <w:highlight w:val="none"/>
          <w14:textFill>
            <w14:solidFill>
              <w14:schemeClr w14:val="tx1"/>
            </w14:solidFill>
          </w14:textFill>
        </w:rPr>
        <w:t>格式八 项目经理简历表</w:t>
      </w:r>
      <w:bookmarkEnd w:id="245"/>
    </w:p>
    <w:p w14:paraId="07245DD0">
      <w:pPr>
        <w:pStyle w:val="5"/>
        <w:spacing w:line="444" w:lineRule="auto"/>
        <w:rPr>
          <w:rFonts w:hint="eastAsia" w:ascii="宋体" w:hAnsi="宋体" w:eastAsia="宋体" w:cs="宋体"/>
          <w:color w:val="000000" w:themeColor="text1"/>
          <w:highlight w:val="none"/>
          <w14:textFill>
            <w14:solidFill>
              <w14:schemeClr w14:val="tx1"/>
            </w14:solidFill>
          </w14:textFill>
        </w:rPr>
      </w:pPr>
    </w:p>
    <w:p w14:paraId="0C78A5C7">
      <w:pPr>
        <w:spacing w:before="97" w:line="219" w:lineRule="auto"/>
        <w:ind w:left="3538"/>
        <w:outlineLvl w:val="9"/>
        <w:rPr>
          <w:rFonts w:hint="eastAsia" w:ascii="宋体" w:hAnsi="宋体" w:eastAsia="宋体" w:cs="宋体"/>
          <w:color w:val="000000" w:themeColor="text1"/>
          <w:sz w:val="30"/>
          <w:szCs w:val="30"/>
          <w:highlight w:val="none"/>
          <w14:textFill>
            <w14:solidFill>
              <w14:schemeClr w14:val="tx1"/>
            </w14:solidFill>
          </w14:textFill>
        </w:rPr>
      </w:pPr>
      <w:bookmarkStart w:id="246" w:name="bookmark89"/>
      <w:bookmarkEnd w:id="246"/>
      <w:bookmarkStart w:id="247" w:name="bookmark156"/>
      <w:bookmarkEnd w:id="247"/>
      <w:bookmarkStart w:id="248" w:name="_Toc24489"/>
      <w:bookmarkStart w:id="249" w:name="_Toc31533"/>
      <w:r>
        <w:rPr>
          <w:rFonts w:hint="eastAsia" w:ascii="宋体" w:hAnsi="宋体" w:eastAsia="宋体" w:cs="宋体"/>
          <w:b/>
          <w:bCs/>
          <w:color w:val="000000" w:themeColor="text1"/>
          <w:spacing w:val="-5"/>
          <w:sz w:val="30"/>
          <w:szCs w:val="30"/>
          <w:highlight w:val="none"/>
          <w14:textFill>
            <w14:solidFill>
              <w14:schemeClr w14:val="tx1"/>
            </w14:solidFill>
          </w14:textFill>
        </w:rPr>
        <w:t>项目经理简历表</w:t>
      </w:r>
      <w:bookmarkEnd w:id="248"/>
      <w:bookmarkEnd w:id="249"/>
    </w:p>
    <w:p w14:paraId="733B316D">
      <w:pPr>
        <w:spacing w:line="240" w:lineRule="exact"/>
        <w:rPr>
          <w:rFonts w:hint="eastAsia" w:ascii="宋体" w:hAnsi="宋体" w:eastAsia="宋体" w:cs="宋体"/>
          <w:color w:val="000000" w:themeColor="text1"/>
          <w:highlight w:val="none"/>
          <w14:textFill>
            <w14:solidFill>
              <w14:schemeClr w14:val="tx1"/>
            </w14:solidFill>
          </w14:textFill>
        </w:rPr>
      </w:pPr>
    </w:p>
    <w:tbl>
      <w:tblPr>
        <w:tblStyle w:val="12"/>
        <w:tblW w:w="97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010"/>
        <w:gridCol w:w="614"/>
        <w:gridCol w:w="680"/>
        <w:gridCol w:w="1357"/>
        <w:gridCol w:w="2062"/>
        <w:gridCol w:w="1798"/>
        <w:gridCol w:w="1398"/>
      </w:tblGrid>
      <w:tr w14:paraId="52897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828" w:type="dxa"/>
            <w:gridSpan w:val="2"/>
            <w:vAlign w:val="top"/>
          </w:tcPr>
          <w:p w14:paraId="4005FF2B">
            <w:pPr>
              <w:spacing w:before="177" w:line="228" w:lineRule="auto"/>
              <w:ind w:left="50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w:t>
            </w:r>
            <w:r>
              <w:rPr>
                <w:rFonts w:hint="eastAsia" w:ascii="宋体" w:hAnsi="宋体" w:eastAsia="宋体" w:cs="宋体"/>
                <w:color w:val="000000" w:themeColor="text1"/>
                <w:spacing w:val="9"/>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名</w:t>
            </w:r>
          </w:p>
        </w:tc>
        <w:tc>
          <w:tcPr>
            <w:tcW w:w="1294" w:type="dxa"/>
            <w:gridSpan w:val="2"/>
            <w:vAlign w:val="top"/>
          </w:tcPr>
          <w:p w14:paraId="459C112F">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357" w:type="dxa"/>
            <w:vAlign w:val="top"/>
          </w:tcPr>
          <w:p w14:paraId="1B35C805">
            <w:pPr>
              <w:spacing w:before="177" w:line="229" w:lineRule="auto"/>
              <w:ind w:left="3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性</w:t>
            </w:r>
            <w:r>
              <w:rPr>
                <w:rFonts w:hint="eastAsia" w:ascii="宋体" w:hAnsi="宋体" w:eastAsia="宋体" w:cs="宋体"/>
                <w:color w:val="000000" w:themeColor="text1"/>
                <w:spacing w:val="1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别</w:t>
            </w:r>
          </w:p>
        </w:tc>
        <w:tc>
          <w:tcPr>
            <w:tcW w:w="2062" w:type="dxa"/>
            <w:vAlign w:val="top"/>
          </w:tcPr>
          <w:p w14:paraId="606F045A">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798" w:type="dxa"/>
            <w:vAlign w:val="top"/>
          </w:tcPr>
          <w:p w14:paraId="144F8EEA">
            <w:pPr>
              <w:spacing w:before="177" w:line="228" w:lineRule="auto"/>
              <w:ind w:left="48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8"/>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龄</w:t>
            </w:r>
          </w:p>
        </w:tc>
        <w:tc>
          <w:tcPr>
            <w:tcW w:w="1398" w:type="dxa"/>
            <w:vAlign w:val="top"/>
          </w:tcPr>
          <w:p w14:paraId="248A87DB">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7C7B6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828" w:type="dxa"/>
            <w:gridSpan w:val="2"/>
            <w:vAlign w:val="top"/>
          </w:tcPr>
          <w:p w14:paraId="6C5EBB96">
            <w:pPr>
              <w:spacing w:before="175" w:line="228" w:lineRule="auto"/>
              <w:ind w:left="50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w:t>
            </w:r>
            <w:r>
              <w:rPr>
                <w:rFonts w:hint="eastAsia" w:ascii="宋体" w:hAnsi="宋体" w:eastAsia="宋体" w:cs="宋体"/>
                <w:color w:val="000000" w:themeColor="text1"/>
                <w:spacing w:val="8"/>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务</w:t>
            </w:r>
          </w:p>
        </w:tc>
        <w:tc>
          <w:tcPr>
            <w:tcW w:w="1294" w:type="dxa"/>
            <w:gridSpan w:val="2"/>
            <w:vAlign w:val="top"/>
          </w:tcPr>
          <w:p w14:paraId="49703266">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357" w:type="dxa"/>
            <w:vAlign w:val="top"/>
          </w:tcPr>
          <w:p w14:paraId="275BEF66">
            <w:pPr>
              <w:spacing w:before="174" w:line="231" w:lineRule="auto"/>
              <w:ind w:left="33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w:t>
            </w:r>
            <w:r>
              <w:rPr>
                <w:rFonts w:hint="eastAsia" w:ascii="宋体" w:hAnsi="宋体" w:eastAsia="宋体" w:cs="宋体"/>
                <w:color w:val="000000" w:themeColor="text1"/>
                <w:spacing w:val="9"/>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称</w:t>
            </w:r>
          </w:p>
        </w:tc>
        <w:tc>
          <w:tcPr>
            <w:tcW w:w="2062" w:type="dxa"/>
            <w:vAlign w:val="top"/>
          </w:tcPr>
          <w:p w14:paraId="16D1E874">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798" w:type="dxa"/>
            <w:vAlign w:val="top"/>
          </w:tcPr>
          <w:p w14:paraId="3B726250">
            <w:pPr>
              <w:spacing w:before="175" w:line="230" w:lineRule="auto"/>
              <w:ind w:left="49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学</w:t>
            </w:r>
            <w:r>
              <w:rPr>
                <w:rFonts w:hint="eastAsia" w:ascii="宋体" w:hAnsi="宋体" w:eastAsia="宋体" w:cs="宋体"/>
                <w:color w:val="000000" w:themeColor="text1"/>
                <w:spacing w:val="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历</w:t>
            </w:r>
          </w:p>
        </w:tc>
        <w:tc>
          <w:tcPr>
            <w:tcW w:w="1398" w:type="dxa"/>
            <w:vAlign w:val="top"/>
          </w:tcPr>
          <w:p w14:paraId="18686FE9">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58DD0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828" w:type="dxa"/>
            <w:gridSpan w:val="2"/>
            <w:vAlign w:val="top"/>
          </w:tcPr>
          <w:p w14:paraId="6CA0A6E3">
            <w:pPr>
              <w:spacing w:before="175" w:line="229" w:lineRule="auto"/>
              <w:ind w:left="24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参加工作时间</w:t>
            </w:r>
          </w:p>
        </w:tc>
        <w:tc>
          <w:tcPr>
            <w:tcW w:w="2651" w:type="dxa"/>
            <w:gridSpan w:val="3"/>
            <w:vAlign w:val="top"/>
          </w:tcPr>
          <w:p w14:paraId="1D8F273A">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3860" w:type="dxa"/>
            <w:gridSpan w:val="2"/>
            <w:vAlign w:val="top"/>
          </w:tcPr>
          <w:p w14:paraId="1DCA2560">
            <w:pPr>
              <w:spacing w:before="176" w:line="22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从事工程建设项目管理工作年限</w:t>
            </w:r>
          </w:p>
        </w:tc>
        <w:tc>
          <w:tcPr>
            <w:tcW w:w="1398" w:type="dxa"/>
            <w:vAlign w:val="top"/>
          </w:tcPr>
          <w:p w14:paraId="55F6DD2C">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35205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9737" w:type="dxa"/>
            <w:gridSpan w:val="8"/>
            <w:vAlign w:val="top"/>
          </w:tcPr>
          <w:p w14:paraId="1985FCD7">
            <w:pPr>
              <w:spacing w:before="176" w:line="228" w:lineRule="auto"/>
              <w:ind w:left="235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以项目经理身份参与过的主要业绩（已完工项目）</w:t>
            </w:r>
          </w:p>
        </w:tc>
      </w:tr>
      <w:tr w14:paraId="6A55E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818" w:type="dxa"/>
            <w:vAlign w:val="top"/>
          </w:tcPr>
          <w:p w14:paraId="226DD453">
            <w:pPr>
              <w:spacing w:before="176" w:line="230" w:lineRule="auto"/>
              <w:ind w:left="18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序号</w:t>
            </w:r>
          </w:p>
        </w:tc>
        <w:tc>
          <w:tcPr>
            <w:tcW w:w="1624" w:type="dxa"/>
            <w:gridSpan w:val="2"/>
            <w:vAlign w:val="top"/>
          </w:tcPr>
          <w:p w14:paraId="67B2AAAA">
            <w:pPr>
              <w:spacing w:before="176" w:line="229" w:lineRule="auto"/>
              <w:ind w:left="35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项目名称</w:t>
            </w:r>
          </w:p>
        </w:tc>
        <w:tc>
          <w:tcPr>
            <w:tcW w:w="2037" w:type="dxa"/>
            <w:gridSpan w:val="2"/>
            <w:vAlign w:val="top"/>
          </w:tcPr>
          <w:p w14:paraId="4801985C">
            <w:pPr>
              <w:spacing w:before="176" w:line="229" w:lineRule="auto"/>
              <w:ind w:left="55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建设单位</w:t>
            </w:r>
          </w:p>
        </w:tc>
        <w:tc>
          <w:tcPr>
            <w:tcW w:w="2062" w:type="dxa"/>
            <w:vAlign w:val="top"/>
          </w:tcPr>
          <w:p w14:paraId="027FA0A0">
            <w:pPr>
              <w:spacing w:before="176" w:line="228" w:lineRule="auto"/>
              <w:ind w:left="2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建设内容和规模</w:t>
            </w:r>
          </w:p>
        </w:tc>
        <w:tc>
          <w:tcPr>
            <w:tcW w:w="1798" w:type="dxa"/>
            <w:vAlign w:val="top"/>
          </w:tcPr>
          <w:p w14:paraId="13665F3A">
            <w:pPr>
              <w:spacing w:before="176" w:line="228" w:lineRule="auto"/>
              <w:ind w:left="23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开、竣工日期</w:t>
            </w:r>
          </w:p>
        </w:tc>
        <w:tc>
          <w:tcPr>
            <w:tcW w:w="1398" w:type="dxa"/>
            <w:vAlign w:val="top"/>
          </w:tcPr>
          <w:p w14:paraId="1363170B">
            <w:pPr>
              <w:spacing w:before="176" w:line="228" w:lineRule="auto"/>
              <w:ind w:left="25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质量等级</w:t>
            </w:r>
          </w:p>
        </w:tc>
      </w:tr>
      <w:tr w14:paraId="69665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18" w:type="dxa"/>
            <w:vAlign w:val="top"/>
          </w:tcPr>
          <w:p w14:paraId="67F61AFB">
            <w:pPr>
              <w:spacing w:before="214" w:line="195" w:lineRule="auto"/>
              <w:ind w:left="35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624" w:type="dxa"/>
            <w:gridSpan w:val="2"/>
            <w:vAlign w:val="top"/>
          </w:tcPr>
          <w:p w14:paraId="6B906EE2">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37" w:type="dxa"/>
            <w:gridSpan w:val="2"/>
            <w:vAlign w:val="top"/>
          </w:tcPr>
          <w:p w14:paraId="39014A66">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62" w:type="dxa"/>
            <w:vAlign w:val="top"/>
          </w:tcPr>
          <w:p w14:paraId="015E44A0">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798" w:type="dxa"/>
            <w:vAlign w:val="top"/>
          </w:tcPr>
          <w:p w14:paraId="191B5C4F">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398" w:type="dxa"/>
            <w:vAlign w:val="top"/>
          </w:tcPr>
          <w:p w14:paraId="5601622C">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7ADBD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18" w:type="dxa"/>
            <w:vAlign w:val="top"/>
          </w:tcPr>
          <w:p w14:paraId="2D37EB61">
            <w:pPr>
              <w:spacing w:before="213" w:line="195" w:lineRule="auto"/>
              <w:ind w:left="33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624" w:type="dxa"/>
            <w:gridSpan w:val="2"/>
            <w:vAlign w:val="top"/>
          </w:tcPr>
          <w:p w14:paraId="3F9424A4">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37" w:type="dxa"/>
            <w:gridSpan w:val="2"/>
            <w:vAlign w:val="top"/>
          </w:tcPr>
          <w:p w14:paraId="5C8C87A3">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62" w:type="dxa"/>
            <w:vAlign w:val="top"/>
          </w:tcPr>
          <w:p w14:paraId="4B5D2BB4">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798" w:type="dxa"/>
            <w:vAlign w:val="top"/>
          </w:tcPr>
          <w:p w14:paraId="347BC37F">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398" w:type="dxa"/>
            <w:vAlign w:val="top"/>
          </w:tcPr>
          <w:p w14:paraId="0D3458B9">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7612B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18" w:type="dxa"/>
            <w:vAlign w:val="top"/>
          </w:tcPr>
          <w:p w14:paraId="3C8FBE28">
            <w:pPr>
              <w:spacing w:before="213" w:line="195" w:lineRule="auto"/>
              <w:ind w:left="34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624" w:type="dxa"/>
            <w:gridSpan w:val="2"/>
            <w:vAlign w:val="top"/>
          </w:tcPr>
          <w:p w14:paraId="05CB1FA8">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37" w:type="dxa"/>
            <w:gridSpan w:val="2"/>
            <w:vAlign w:val="top"/>
          </w:tcPr>
          <w:p w14:paraId="67C95E4D">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62" w:type="dxa"/>
            <w:vAlign w:val="top"/>
          </w:tcPr>
          <w:p w14:paraId="0F3F3FCD">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798" w:type="dxa"/>
            <w:vAlign w:val="top"/>
          </w:tcPr>
          <w:p w14:paraId="7EEF915B">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398" w:type="dxa"/>
            <w:vAlign w:val="top"/>
          </w:tcPr>
          <w:p w14:paraId="1073B937">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75BEC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18" w:type="dxa"/>
            <w:vAlign w:val="top"/>
          </w:tcPr>
          <w:p w14:paraId="68FD65E9">
            <w:pPr>
              <w:spacing w:before="177" w:line="325" w:lineRule="exact"/>
              <w:ind w:left="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position w:val="3"/>
                <w:sz w:val="24"/>
                <w:szCs w:val="24"/>
                <w:highlight w:val="none"/>
                <w14:textFill>
                  <w14:solidFill>
                    <w14:schemeClr w14:val="tx1"/>
                  </w14:solidFill>
                </w14:textFill>
              </w:rPr>
              <w:t>……</w:t>
            </w:r>
          </w:p>
        </w:tc>
        <w:tc>
          <w:tcPr>
            <w:tcW w:w="1624" w:type="dxa"/>
            <w:gridSpan w:val="2"/>
            <w:vAlign w:val="top"/>
          </w:tcPr>
          <w:p w14:paraId="11BEC3EF">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37" w:type="dxa"/>
            <w:gridSpan w:val="2"/>
            <w:vAlign w:val="top"/>
          </w:tcPr>
          <w:p w14:paraId="31783523">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62" w:type="dxa"/>
            <w:vAlign w:val="top"/>
          </w:tcPr>
          <w:p w14:paraId="01C4C874">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798" w:type="dxa"/>
            <w:vAlign w:val="top"/>
          </w:tcPr>
          <w:p w14:paraId="7DE5047D">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398" w:type="dxa"/>
            <w:vAlign w:val="top"/>
          </w:tcPr>
          <w:p w14:paraId="26308B2C">
            <w:pPr>
              <w:pStyle w:val="17"/>
              <w:rPr>
                <w:rFonts w:hint="eastAsia" w:ascii="宋体" w:hAnsi="宋体" w:eastAsia="宋体" w:cs="宋体"/>
                <w:color w:val="000000" w:themeColor="text1"/>
                <w:sz w:val="24"/>
                <w:szCs w:val="24"/>
                <w:highlight w:val="none"/>
                <w14:textFill>
                  <w14:solidFill>
                    <w14:schemeClr w14:val="tx1"/>
                  </w14:solidFill>
                </w14:textFill>
              </w:rPr>
            </w:pPr>
          </w:p>
        </w:tc>
      </w:tr>
    </w:tbl>
    <w:p w14:paraId="2A57AD35">
      <w:pPr>
        <w:pStyle w:val="5"/>
        <w:spacing w:line="315" w:lineRule="auto"/>
        <w:rPr>
          <w:rFonts w:hint="eastAsia" w:ascii="宋体" w:hAnsi="宋体" w:eastAsia="宋体" w:cs="宋体"/>
          <w:color w:val="000000" w:themeColor="text1"/>
          <w:highlight w:val="none"/>
          <w14:textFill>
            <w14:solidFill>
              <w14:schemeClr w14:val="tx1"/>
            </w14:solidFill>
          </w14:textFill>
        </w:rPr>
      </w:pPr>
    </w:p>
    <w:p w14:paraId="006CE30E">
      <w:pPr>
        <w:spacing w:before="78" w:line="220" w:lineRule="auto"/>
        <w:ind w:left="69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项目经理</w:t>
      </w:r>
      <w:r>
        <w:rPr>
          <w:rFonts w:hint="eastAsia" w:ascii="宋体" w:hAnsi="宋体" w:eastAsia="宋体" w:cs="宋体"/>
          <w:color w:val="000000" w:themeColor="text1"/>
          <w:spacing w:val="-18"/>
          <w:sz w:val="24"/>
          <w:szCs w:val="24"/>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8"/>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签字）</w:t>
      </w:r>
    </w:p>
    <w:p w14:paraId="16855C17">
      <w:pPr>
        <w:pStyle w:val="5"/>
        <w:spacing w:line="256" w:lineRule="auto"/>
        <w:rPr>
          <w:rFonts w:hint="eastAsia" w:ascii="宋体" w:hAnsi="宋体" w:eastAsia="宋体" w:cs="宋体"/>
          <w:color w:val="000000" w:themeColor="text1"/>
          <w:highlight w:val="none"/>
          <w14:textFill>
            <w14:solidFill>
              <w14:schemeClr w14:val="tx1"/>
            </w14:solidFill>
          </w14:textFill>
        </w:rPr>
      </w:pPr>
    </w:p>
    <w:p w14:paraId="13503D5A">
      <w:pPr>
        <w:pStyle w:val="5"/>
        <w:spacing w:line="254" w:lineRule="auto"/>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月</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日</w:t>
      </w:r>
    </w:p>
    <w:p w14:paraId="2046C6DB">
      <w:pPr>
        <w:spacing w:before="78" w:line="220" w:lineRule="auto"/>
        <w:ind w:left="4226"/>
        <w:jc w:val="center"/>
        <w:rPr>
          <w:rFonts w:hint="eastAsia" w:ascii="宋体" w:hAnsi="宋体" w:eastAsia="宋体" w:cs="宋体"/>
          <w:color w:val="000000" w:themeColor="text1"/>
          <w:highlight w:val="none"/>
          <w14:textFill>
            <w14:solidFill>
              <w14:schemeClr w14:val="tx1"/>
            </w14:solidFill>
          </w14:textFill>
        </w:rPr>
      </w:pPr>
    </w:p>
    <w:p w14:paraId="338141CB">
      <w:pPr>
        <w:pStyle w:val="5"/>
        <w:spacing w:line="241" w:lineRule="auto"/>
        <w:rPr>
          <w:rFonts w:hint="eastAsia" w:ascii="宋体" w:hAnsi="宋体" w:eastAsia="宋体" w:cs="宋体"/>
          <w:color w:val="000000" w:themeColor="text1"/>
          <w:highlight w:val="none"/>
          <w14:textFill>
            <w14:solidFill>
              <w14:schemeClr w14:val="tx1"/>
            </w14:solidFill>
          </w14:textFill>
        </w:rPr>
      </w:pPr>
    </w:p>
    <w:p w14:paraId="0D471702">
      <w:pPr>
        <w:spacing w:before="65" w:line="228" w:lineRule="auto"/>
        <w:ind w:left="4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说明：《项目经理简历表》后应附拟派项目经理以下资料：</w:t>
      </w:r>
    </w:p>
    <w:p w14:paraId="2281CD1D">
      <w:pPr>
        <w:spacing w:before="152" w:line="228" w:lineRule="auto"/>
        <w:ind w:left="484"/>
        <w:outlineLvl w:val="9"/>
        <w:rPr>
          <w:rFonts w:hint="eastAsia" w:ascii="宋体" w:hAnsi="宋体" w:eastAsia="宋体" w:cs="宋体"/>
          <w:color w:val="000000" w:themeColor="text1"/>
          <w:sz w:val="24"/>
          <w:szCs w:val="24"/>
          <w:highlight w:val="none"/>
          <w14:textFill>
            <w14:solidFill>
              <w14:schemeClr w14:val="tx1"/>
            </w14:solidFill>
          </w14:textFill>
        </w:rPr>
      </w:pPr>
      <w:bookmarkStart w:id="250" w:name="_Toc1942"/>
      <w:bookmarkStart w:id="251" w:name="_Toc25271"/>
      <w:r>
        <w:rPr>
          <w:rFonts w:hint="eastAsia" w:ascii="宋体" w:hAnsi="宋体" w:eastAsia="宋体" w:cs="宋体"/>
          <w:color w:val="000000" w:themeColor="text1"/>
          <w:spacing w:val="3"/>
          <w:sz w:val="24"/>
          <w:szCs w:val="24"/>
          <w:highlight w:val="none"/>
          <w14:textFill>
            <w14:solidFill>
              <w14:schemeClr w14:val="tx1"/>
            </w14:solidFill>
          </w14:textFill>
        </w:rPr>
        <w:t>1</w:t>
      </w:r>
      <w:r>
        <w:rPr>
          <w:rFonts w:hint="eastAsia" w:ascii="宋体" w:hAnsi="宋体" w:eastAsia="宋体" w:cs="宋体"/>
          <w:color w:val="000000" w:themeColor="text1"/>
          <w:spacing w:val="-1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．身份证彩色扫描件；</w:t>
      </w:r>
      <w:bookmarkEnd w:id="250"/>
      <w:bookmarkEnd w:id="251"/>
    </w:p>
    <w:p w14:paraId="256029DB">
      <w:pPr>
        <w:spacing w:before="153" w:line="228" w:lineRule="auto"/>
        <w:ind w:left="46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2</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．建造师电子注册证书（在使用有效期内的有效电子证书）彩色扫描件；</w:t>
      </w:r>
    </w:p>
    <w:p w14:paraId="66281E20">
      <w:pPr>
        <w:spacing w:before="154" w:line="298" w:lineRule="auto"/>
        <w:ind w:left="50" w:right="167" w:firstLine="41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3．B 类安全生产考核合格证书彩色扫描件或广东省建筑施工企业管理人员安全生产考核系统考</w:t>
      </w:r>
      <w:r>
        <w:rPr>
          <w:rFonts w:hint="eastAsia" w:ascii="宋体" w:hAnsi="宋体" w:eastAsia="宋体" w:cs="宋体"/>
          <w:color w:val="000000" w:themeColor="text1"/>
          <w:spacing w:val="1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核合格信息彩色扫描件；</w:t>
      </w:r>
    </w:p>
    <w:p w14:paraId="76F37EF6">
      <w:pPr>
        <w:spacing w:before="153" w:line="299" w:lineRule="auto"/>
        <w:ind w:left="49" w:right="167" w:firstLine="41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4</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．在本单位缴纳社保</w:t>
      </w:r>
      <w:r>
        <w:rPr>
          <w:rFonts w:hint="eastAsia" w:ascii="宋体" w:hAnsi="宋体" w:eastAsia="宋体" w:cs="宋体"/>
          <w:color w:val="000000" w:themeColor="text1"/>
          <w:sz w:val="24"/>
          <w:szCs w:val="24"/>
          <w:highlight w:val="none"/>
          <w:lang w:eastAsia="zh-CN"/>
          <w14:textFill>
            <w14:solidFill>
              <w14:schemeClr w14:val="tx1"/>
            </w14:solidFill>
          </w14:textFill>
        </w:rPr>
        <w:t>的证明（至少</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个月，其</w:t>
      </w:r>
      <w:bookmarkStart w:id="252" w:name="OLE_LINK38"/>
      <w:r>
        <w:rPr>
          <w:rFonts w:hint="eastAsia" w:ascii="宋体" w:hAnsi="宋体" w:eastAsia="宋体" w:cs="宋体"/>
          <w:color w:val="000000" w:themeColor="text1"/>
          <w:sz w:val="24"/>
          <w:szCs w:val="24"/>
          <w:highlight w:val="none"/>
          <w:lang w:eastAsia="zh-CN"/>
          <w14:textFill>
            <w14:solidFill>
              <w14:schemeClr w14:val="tx1"/>
            </w14:solidFill>
          </w14:textFill>
        </w:rPr>
        <w:t>中必须有2024年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月</w:t>
      </w:r>
      <w:bookmarkEnd w:id="252"/>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
          <w:sz w:val="24"/>
          <w:szCs w:val="24"/>
          <w:highlight w:val="none"/>
          <w14:textFill>
            <w14:solidFill>
              <w14:schemeClr w14:val="tx1"/>
            </w14:solidFill>
          </w14:textFill>
        </w:rPr>
        <w:t>复印件或打印件。拟</w:t>
      </w:r>
      <w:r>
        <w:rPr>
          <w:rFonts w:hint="eastAsia" w:ascii="宋体" w:hAnsi="宋体" w:eastAsia="宋体" w:cs="宋体"/>
          <w:color w:val="000000" w:themeColor="text1"/>
          <w:spacing w:val="9"/>
          <w:sz w:val="24"/>
          <w:szCs w:val="24"/>
          <w:highlight w:val="none"/>
          <w14:textFill>
            <w14:solidFill>
              <w14:schemeClr w14:val="tx1"/>
            </w14:solidFill>
          </w14:textFill>
        </w:rPr>
        <w:t>派项目经理为退休返聘人员无法提供社保证明的，提供退休证和劳动合同彩色扫描件。</w:t>
      </w:r>
    </w:p>
    <w:p w14:paraId="2A87991E">
      <w:pPr>
        <w:spacing w:before="150" w:line="300" w:lineRule="auto"/>
        <w:ind w:left="49" w:right="17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5</w:t>
      </w:r>
      <w:r>
        <w:rPr>
          <w:rFonts w:hint="eastAsia" w:ascii="宋体" w:hAnsi="宋体" w:eastAsia="宋体" w:cs="宋体"/>
          <w:color w:val="000000" w:themeColor="text1"/>
          <w:spacing w:val="-2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．“进粤企业和人员诚信信息登记平台</w:t>
      </w:r>
      <w:r>
        <w:rPr>
          <w:rFonts w:hint="eastAsia" w:ascii="宋体" w:hAnsi="宋体" w:eastAsia="宋体" w:cs="宋体"/>
          <w:color w:val="000000" w:themeColor="text1"/>
          <w:spacing w:val="-7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”个人（项目经理等）信息</w:t>
      </w:r>
      <w:r>
        <w:rPr>
          <w:rFonts w:hint="eastAsia" w:ascii="宋体" w:hAnsi="宋体" w:eastAsia="宋体" w:cs="宋体"/>
          <w:color w:val="000000" w:themeColor="text1"/>
          <w:spacing w:val="6"/>
          <w:sz w:val="24"/>
          <w:szCs w:val="24"/>
          <w:highlight w:val="none"/>
          <w14:textFill>
            <w14:solidFill>
              <w14:schemeClr w14:val="tx1"/>
            </w14:solidFill>
          </w14:textFill>
        </w:rPr>
        <w:t>情况截图。（适用于省外建</w:t>
      </w:r>
      <w:r>
        <w:rPr>
          <w:rFonts w:hint="eastAsia" w:ascii="宋体" w:hAnsi="宋体" w:eastAsia="宋体" w:cs="宋体"/>
          <w:color w:val="000000" w:themeColor="text1"/>
          <w:spacing w:val="4"/>
          <w:sz w:val="24"/>
          <w:szCs w:val="24"/>
          <w:highlight w:val="none"/>
          <w14:textFill>
            <w14:solidFill>
              <w14:schemeClr w14:val="tx1"/>
            </w14:solidFill>
          </w14:textFill>
        </w:rPr>
        <w:t>筑企业）</w:t>
      </w:r>
    </w:p>
    <w:p w14:paraId="5C3D6952">
      <w:pPr>
        <w:spacing w:line="300" w:lineRule="auto"/>
        <w:rPr>
          <w:rFonts w:hint="eastAsia" w:ascii="宋体" w:hAnsi="宋体" w:eastAsia="宋体" w:cs="宋体"/>
          <w:color w:val="000000" w:themeColor="text1"/>
          <w:sz w:val="20"/>
          <w:szCs w:val="20"/>
          <w:highlight w:val="none"/>
          <w14:textFill>
            <w14:solidFill>
              <w14:schemeClr w14:val="tx1"/>
            </w14:solidFill>
          </w14:textFill>
        </w:rPr>
        <w:sectPr>
          <w:footerReference r:id="rId22"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5A1871F0">
      <w:pPr>
        <w:spacing w:before="78" w:line="220" w:lineRule="auto"/>
        <w:outlineLvl w:val="2"/>
        <w:rPr>
          <w:rFonts w:hint="eastAsia" w:ascii="宋体" w:hAnsi="宋体" w:eastAsia="宋体" w:cs="宋体"/>
          <w:b/>
          <w:bCs/>
          <w:color w:val="000000" w:themeColor="text1"/>
          <w:spacing w:val="-4"/>
          <w:sz w:val="24"/>
          <w:szCs w:val="24"/>
          <w:highlight w:val="none"/>
          <w14:textFill>
            <w14:solidFill>
              <w14:schemeClr w14:val="tx1"/>
            </w14:solidFill>
          </w14:textFill>
        </w:rPr>
      </w:pPr>
      <w:bookmarkStart w:id="253" w:name="_Toc6967"/>
      <w:r>
        <w:rPr>
          <w:rFonts w:hint="eastAsia" w:ascii="宋体" w:hAnsi="宋体" w:eastAsia="宋体" w:cs="宋体"/>
          <w:b/>
          <w:bCs/>
          <w:color w:val="000000" w:themeColor="text1"/>
          <w:spacing w:val="-4"/>
          <w:sz w:val="24"/>
          <w:szCs w:val="24"/>
          <w:highlight w:val="none"/>
          <w14:textFill>
            <w14:solidFill>
              <w14:schemeClr w14:val="tx1"/>
            </w14:solidFill>
          </w14:textFill>
        </w:rPr>
        <w:t>格式九 项目经理任职声明</w:t>
      </w:r>
      <w:bookmarkEnd w:id="253"/>
    </w:p>
    <w:p w14:paraId="0578F8FA">
      <w:pPr>
        <w:pStyle w:val="5"/>
        <w:spacing w:line="350" w:lineRule="auto"/>
        <w:rPr>
          <w:rFonts w:hint="eastAsia" w:ascii="宋体" w:hAnsi="宋体" w:eastAsia="宋体" w:cs="宋体"/>
          <w:color w:val="000000" w:themeColor="text1"/>
          <w:highlight w:val="none"/>
          <w14:textFill>
            <w14:solidFill>
              <w14:schemeClr w14:val="tx1"/>
            </w14:solidFill>
          </w14:textFill>
        </w:rPr>
      </w:pPr>
    </w:p>
    <w:p w14:paraId="18B06342">
      <w:pPr>
        <w:pStyle w:val="5"/>
        <w:spacing w:line="350" w:lineRule="auto"/>
        <w:rPr>
          <w:rFonts w:hint="eastAsia" w:ascii="宋体" w:hAnsi="宋体" w:eastAsia="宋体" w:cs="宋体"/>
          <w:color w:val="000000" w:themeColor="text1"/>
          <w:highlight w:val="none"/>
          <w14:textFill>
            <w14:solidFill>
              <w14:schemeClr w14:val="tx1"/>
            </w14:solidFill>
          </w14:textFill>
        </w:rPr>
      </w:pPr>
    </w:p>
    <w:p w14:paraId="40F834AF">
      <w:pPr>
        <w:spacing w:before="98" w:line="220" w:lineRule="auto"/>
        <w:ind w:left="3338"/>
        <w:rPr>
          <w:rFonts w:hint="eastAsia" w:ascii="宋体" w:hAnsi="宋体" w:eastAsia="宋体" w:cs="宋体"/>
          <w:color w:val="000000" w:themeColor="text1"/>
          <w:sz w:val="30"/>
          <w:szCs w:val="30"/>
          <w:highlight w:val="none"/>
          <w14:textFill>
            <w14:solidFill>
              <w14:schemeClr w14:val="tx1"/>
            </w14:solidFill>
          </w14:textFill>
        </w:rPr>
      </w:pPr>
      <w:bookmarkStart w:id="254" w:name="bookmark157"/>
      <w:bookmarkEnd w:id="254"/>
      <w:r>
        <w:rPr>
          <w:rFonts w:hint="eastAsia" w:ascii="宋体" w:hAnsi="宋体" w:eastAsia="宋体" w:cs="宋体"/>
          <w:b/>
          <w:bCs/>
          <w:color w:val="000000" w:themeColor="text1"/>
          <w:spacing w:val="-5"/>
          <w:sz w:val="30"/>
          <w:szCs w:val="30"/>
          <w:highlight w:val="none"/>
          <w14:textFill>
            <w14:solidFill>
              <w14:schemeClr w14:val="tx1"/>
            </w14:solidFill>
          </w14:textFill>
        </w:rPr>
        <w:t>项目经理任职声明</w:t>
      </w:r>
    </w:p>
    <w:p w14:paraId="532E6150">
      <w:pPr>
        <w:pStyle w:val="5"/>
        <w:spacing w:line="250" w:lineRule="auto"/>
        <w:rPr>
          <w:rFonts w:hint="eastAsia" w:ascii="宋体" w:hAnsi="宋体" w:eastAsia="宋体" w:cs="宋体"/>
          <w:color w:val="000000" w:themeColor="text1"/>
          <w:highlight w:val="none"/>
          <w14:textFill>
            <w14:solidFill>
              <w14:schemeClr w14:val="tx1"/>
            </w14:solidFill>
          </w14:textFill>
        </w:rPr>
      </w:pPr>
    </w:p>
    <w:p w14:paraId="5161A470">
      <w:pPr>
        <w:pStyle w:val="5"/>
        <w:spacing w:line="250" w:lineRule="auto"/>
        <w:rPr>
          <w:rFonts w:hint="eastAsia" w:ascii="宋体" w:hAnsi="宋体" w:eastAsia="宋体" w:cs="宋体"/>
          <w:color w:val="000000" w:themeColor="text1"/>
          <w:highlight w:val="none"/>
          <w14:textFill>
            <w14:solidFill>
              <w14:schemeClr w14:val="tx1"/>
            </w14:solidFill>
          </w14:textFill>
        </w:rPr>
      </w:pPr>
    </w:p>
    <w:p w14:paraId="641FA575">
      <w:pPr>
        <w:pStyle w:val="5"/>
        <w:spacing w:line="251" w:lineRule="auto"/>
        <w:rPr>
          <w:rFonts w:hint="eastAsia" w:ascii="宋体" w:hAnsi="宋体" w:eastAsia="宋体" w:cs="宋体"/>
          <w:color w:val="000000" w:themeColor="text1"/>
          <w:highlight w:val="none"/>
          <w14:textFill>
            <w14:solidFill>
              <w14:schemeClr w14:val="tx1"/>
            </w14:solidFill>
          </w14:textFill>
        </w:rPr>
      </w:pPr>
    </w:p>
    <w:p w14:paraId="5A6A5383">
      <w:pPr>
        <w:spacing w:before="78" w:line="221"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致</w:t>
      </w:r>
      <w:r>
        <w:rPr>
          <w:rFonts w:hint="eastAsia" w:ascii="宋体" w:hAnsi="宋体" w:eastAsia="宋体" w:cs="宋体"/>
          <w:color w:val="000000" w:themeColor="text1"/>
          <w:spacing w:val="-17"/>
          <w:sz w:val="24"/>
          <w:szCs w:val="24"/>
          <w:highlight w:val="none"/>
          <w14:textFill>
            <w14:solidFill>
              <w14:schemeClr w14:val="tx1"/>
            </w14:solidFill>
          </w14:textFill>
        </w:rPr>
        <w:t>：</w:t>
      </w:r>
      <w:r>
        <w:rPr>
          <w:rFonts w:hint="eastAsia" w:ascii="宋体" w:hAnsi="宋体" w:eastAsia="宋体" w:cs="宋体"/>
          <w:color w:val="000000" w:themeColor="text1"/>
          <w:spacing w:val="-17"/>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7"/>
          <w:sz w:val="24"/>
          <w:szCs w:val="24"/>
          <w:highlight w:val="none"/>
          <w14:textFill>
            <w14:solidFill>
              <w14:schemeClr w14:val="tx1"/>
            </w14:solidFill>
          </w14:textFill>
        </w:rPr>
        <w:t>（</w:t>
      </w:r>
      <w:r>
        <w:rPr>
          <w:rFonts w:hint="eastAsia" w:ascii="宋体" w:hAnsi="宋体" w:eastAsia="宋体" w:cs="宋体"/>
          <w:color w:val="000000" w:themeColor="text1"/>
          <w:spacing w:val="9"/>
          <w:sz w:val="24"/>
          <w:szCs w:val="24"/>
          <w:highlight w:val="none"/>
          <w14:textFill>
            <w14:solidFill>
              <w14:schemeClr w14:val="tx1"/>
            </w14:solidFill>
          </w14:textFill>
        </w:rPr>
        <w:t>招标人名称</w:t>
      </w:r>
      <w:r>
        <w:rPr>
          <w:rFonts w:hint="eastAsia" w:ascii="宋体" w:hAnsi="宋体" w:eastAsia="宋体" w:cs="宋体"/>
          <w:color w:val="000000" w:themeColor="text1"/>
          <w:spacing w:val="-17"/>
          <w:sz w:val="24"/>
          <w:szCs w:val="24"/>
          <w:highlight w:val="none"/>
          <w14:textFill>
            <w14:solidFill>
              <w14:schemeClr w14:val="tx1"/>
            </w14:solidFill>
          </w14:textFill>
        </w:rPr>
        <w:t>）</w:t>
      </w:r>
    </w:p>
    <w:p w14:paraId="6DF111E3">
      <w:pPr>
        <w:spacing w:before="155" w:line="324"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我方在此声明，我方拟派往</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（项目名称）的项目经理</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（项目经理姓名）现阶段没有</w:t>
      </w:r>
      <w:r>
        <w:rPr>
          <w:rFonts w:hint="eastAsia" w:ascii="宋体" w:hAnsi="宋体" w:eastAsia="宋体" w:cs="宋体"/>
          <w:color w:val="000000" w:themeColor="text1"/>
          <w:sz w:val="24"/>
          <w:szCs w:val="24"/>
          <w:highlight w:val="none"/>
          <w14:textFill>
            <w14:solidFill>
              <w14:schemeClr w14:val="tx1"/>
            </w14:solidFill>
          </w14:textFill>
        </w:rPr>
        <w:t>担任任何在施（包括已中标未开工、已开工未竣工）</w:t>
      </w:r>
      <w:r>
        <w:rPr>
          <w:rFonts w:hint="eastAsia" w:ascii="宋体" w:hAnsi="宋体" w:eastAsia="宋体" w:cs="宋体"/>
          <w:color w:val="000000" w:themeColor="text1"/>
          <w:spacing w:val="-1"/>
          <w:sz w:val="24"/>
          <w:szCs w:val="24"/>
          <w:highlight w:val="none"/>
          <w14:textFill>
            <w14:solidFill>
              <w14:schemeClr w14:val="tx1"/>
            </w14:solidFill>
          </w14:textFill>
        </w:rPr>
        <w:t>建设工程项目的项目经理。</w:t>
      </w:r>
    </w:p>
    <w:p w14:paraId="30B4DC4A">
      <w:pPr>
        <w:spacing w:before="35" w:line="326" w:lineRule="auto"/>
        <w:ind w:firstLine="48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我方保证上述信息的真实和准确，并愿意承担因我方就此弄虚作假所引起的一切法</w:t>
      </w:r>
      <w:r>
        <w:rPr>
          <w:rFonts w:hint="eastAsia" w:ascii="宋体" w:hAnsi="宋体" w:eastAsia="宋体" w:cs="宋体"/>
          <w:color w:val="000000" w:themeColor="text1"/>
          <w:spacing w:val="-3"/>
          <w:sz w:val="24"/>
          <w:szCs w:val="24"/>
          <w:highlight w:val="none"/>
          <w14:textFill>
            <w14:solidFill>
              <w14:schemeClr w14:val="tx1"/>
            </w14:solidFill>
          </w14:textFill>
        </w:rPr>
        <w:t>律后果。</w:t>
      </w:r>
    </w:p>
    <w:p w14:paraId="3FFEA1FE">
      <w:pPr>
        <w:pStyle w:val="5"/>
        <w:spacing w:line="391" w:lineRule="auto"/>
        <w:rPr>
          <w:rFonts w:hint="eastAsia" w:ascii="宋体" w:hAnsi="宋体" w:eastAsia="宋体" w:cs="宋体"/>
          <w:color w:val="000000" w:themeColor="text1"/>
          <w:highlight w:val="none"/>
          <w14:textFill>
            <w14:solidFill>
              <w14:schemeClr w14:val="tx1"/>
            </w14:solidFill>
          </w14:textFill>
        </w:rPr>
      </w:pPr>
    </w:p>
    <w:p w14:paraId="2CFADE2D">
      <w:pPr>
        <w:spacing w:before="78" w:line="220" w:lineRule="auto"/>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特此承诺</w:t>
      </w:r>
    </w:p>
    <w:p w14:paraId="187690F7">
      <w:pPr>
        <w:pStyle w:val="5"/>
        <w:spacing w:line="316" w:lineRule="auto"/>
        <w:rPr>
          <w:rFonts w:hint="eastAsia" w:ascii="宋体" w:hAnsi="宋体" w:eastAsia="宋体" w:cs="宋体"/>
          <w:color w:val="000000" w:themeColor="text1"/>
          <w:highlight w:val="none"/>
          <w14:textFill>
            <w14:solidFill>
              <w14:schemeClr w14:val="tx1"/>
            </w14:solidFill>
          </w14:textFill>
        </w:rPr>
      </w:pPr>
    </w:p>
    <w:p w14:paraId="5CA4FAA1">
      <w:pPr>
        <w:pStyle w:val="5"/>
        <w:spacing w:line="317" w:lineRule="auto"/>
        <w:rPr>
          <w:rFonts w:hint="eastAsia" w:ascii="宋体" w:hAnsi="宋体" w:eastAsia="宋体" w:cs="宋体"/>
          <w:color w:val="000000" w:themeColor="text1"/>
          <w:highlight w:val="none"/>
          <w14:textFill>
            <w14:solidFill>
              <w14:schemeClr w14:val="tx1"/>
            </w14:solidFill>
          </w14:textFill>
        </w:rPr>
      </w:pPr>
    </w:p>
    <w:p w14:paraId="66166C76">
      <w:pPr>
        <w:pStyle w:val="5"/>
        <w:spacing w:line="317" w:lineRule="auto"/>
        <w:rPr>
          <w:rFonts w:hint="eastAsia" w:ascii="宋体" w:hAnsi="宋体" w:eastAsia="宋体" w:cs="宋体"/>
          <w:color w:val="000000" w:themeColor="text1"/>
          <w:highlight w:val="none"/>
          <w14:textFill>
            <w14:solidFill>
              <w14:schemeClr w14:val="tx1"/>
            </w14:solidFill>
          </w14:textFill>
        </w:rPr>
      </w:pPr>
    </w:p>
    <w:p w14:paraId="07DB27C5">
      <w:pPr>
        <w:spacing w:before="79" w:line="219" w:lineRule="auto"/>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投标人</w:t>
      </w:r>
      <w:r>
        <w:rPr>
          <w:rFonts w:hint="eastAsia" w:ascii="宋体" w:hAnsi="宋体" w:eastAsia="宋体" w:cs="宋体"/>
          <w:color w:val="000000" w:themeColor="text1"/>
          <w:spacing w:val="-15"/>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盖单位章）</w:t>
      </w:r>
    </w:p>
    <w:p w14:paraId="1AF704E9">
      <w:pPr>
        <w:pStyle w:val="5"/>
        <w:spacing w:line="317" w:lineRule="auto"/>
        <w:rPr>
          <w:rFonts w:hint="eastAsia" w:ascii="宋体" w:hAnsi="宋体" w:eastAsia="宋体" w:cs="宋体"/>
          <w:color w:val="000000" w:themeColor="text1"/>
          <w:highlight w:val="none"/>
          <w14:textFill>
            <w14:solidFill>
              <w14:schemeClr w14:val="tx1"/>
            </w14:solidFill>
          </w14:textFill>
        </w:rPr>
      </w:pPr>
    </w:p>
    <w:p w14:paraId="4421D560">
      <w:pPr>
        <w:pStyle w:val="5"/>
        <w:spacing w:line="317" w:lineRule="auto"/>
        <w:rPr>
          <w:rFonts w:hint="eastAsia" w:ascii="宋体" w:hAnsi="宋体" w:eastAsia="宋体" w:cs="宋体"/>
          <w:color w:val="000000" w:themeColor="text1"/>
          <w:highlight w:val="none"/>
          <w14:textFill>
            <w14:solidFill>
              <w14:schemeClr w14:val="tx1"/>
            </w14:solidFill>
          </w14:textFill>
        </w:rPr>
      </w:pPr>
    </w:p>
    <w:p w14:paraId="7188D609">
      <w:pPr>
        <w:pStyle w:val="5"/>
        <w:spacing w:line="317" w:lineRule="auto"/>
        <w:rPr>
          <w:rFonts w:hint="eastAsia" w:ascii="宋体" w:hAnsi="宋体" w:eastAsia="宋体" w:cs="宋体"/>
          <w:color w:val="000000" w:themeColor="text1"/>
          <w:highlight w:val="none"/>
          <w14:textFill>
            <w14:solidFill>
              <w14:schemeClr w14:val="tx1"/>
            </w14:solidFill>
          </w14:textFill>
        </w:rPr>
      </w:pPr>
    </w:p>
    <w:p w14:paraId="6A29B34B">
      <w:pPr>
        <w:spacing w:before="78" w:line="219" w:lineRule="auto"/>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15"/>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签字或盖章）</w:t>
      </w:r>
    </w:p>
    <w:p w14:paraId="6AD94480">
      <w:pPr>
        <w:pStyle w:val="5"/>
        <w:spacing w:line="257" w:lineRule="auto"/>
        <w:rPr>
          <w:rFonts w:hint="eastAsia" w:ascii="宋体" w:hAnsi="宋体" w:eastAsia="宋体" w:cs="宋体"/>
          <w:color w:val="000000" w:themeColor="text1"/>
          <w:highlight w:val="none"/>
          <w14:textFill>
            <w14:solidFill>
              <w14:schemeClr w14:val="tx1"/>
            </w14:solidFill>
          </w14:textFill>
        </w:rPr>
      </w:pPr>
    </w:p>
    <w:p w14:paraId="234EACCA">
      <w:pPr>
        <w:pStyle w:val="5"/>
        <w:spacing w:line="257" w:lineRule="auto"/>
        <w:rPr>
          <w:rFonts w:hint="eastAsia" w:ascii="宋体" w:hAnsi="宋体" w:eastAsia="宋体" w:cs="宋体"/>
          <w:color w:val="000000" w:themeColor="text1"/>
          <w:highlight w:val="none"/>
          <w14:textFill>
            <w14:solidFill>
              <w14:schemeClr w14:val="tx1"/>
            </w14:solidFill>
          </w14:textFill>
        </w:rPr>
      </w:pPr>
    </w:p>
    <w:p w14:paraId="348EEA26">
      <w:pPr>
        <w:pStyle w:val="5"/>
        <w:spacing w:line="254" w:lineRule="auto"/>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月</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日</w:t>
      </w:r>
    </w:p>
    <w:p w14:paraId="21A619BE">
      <w:pPr>
        <w:spacing w:line="220" w:lineRule="auto"/>
        <w:rPr>
          <w:rFonts w:hint="eastAsia" w:ascii="宋体" w:hAnsi="宋体" w:eastAsia="宋体" w:cs="宋体"/>
          <w:color w:val="000000" w:themeColor="text1"/>
          <w:sz w:val="24"/>
          <w:szCs w:val="24"/>
          <w:highlight w:val="none"/>
          <w14:textFill>
            <w14:solidFill>
              <w14:schemeClr w14:val="tx1"/>
            </w14:solidFill>
          </w14:textFill>
        </w:rPr>
        <w:sectPr>
          <w:footerReference r:id="rId23"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1E9C11AF">
      <w:pPr>
        <w:spacing w:before="78" w:line="220" w:lineRule="auto"/>
        <w:outlineLvl w:val="2"/>
        <w:rPr>
          <w:rFonts w:hint="eastAsia" w:ascii="宋体" w:hAnsi="宋体" w:eastAsia="宋体" w:cs="宋体"/>
          <w:b/>
          <w:bCs/>
          <w:color w:val="000000" w:themeColor="text1"/>
          <w:spacing w:val="-4"/>
          <w:sz w:val="24"/>
          <w:szCs w:val="24"/>
          <w:highlight w:val="none"/>
          <w14:textFill>
            <w14:solidFill>
              <w14:schemeClr w14:val="tx1"/>
            </w14:solidFill>
          </w14:textFill>
        </w:rPr>
      </w:pPr>
      <w:bookmarkStart w:id="255" w:name="_Toc19125"/>
      <w:r>
        <w:rPr>
          <w:rFonts w:hint="eastAsia" w:ascii="宋体" w:hAnsi="宋体" w:eastAsia="宋体" w:cs="宋体"/>
          <w:b/>
          <w:bCs/>
          <w:color w:val="000000" w:themeColor="text1"/>
          <w:spacing w:val="-4"/>
          <w:sz w:val="24"/>
          <w:szCs w:val="24"/>
          <w:highlight w:val="none"/>
          <w14:textFill>
            <w14:solidFill>
              <w14:schemeClr w14:val="tx1"/>
            </w14:solidFill>
          </w14:textFill>
        </w:rPr>
        <w:t>格式十 项目技术负责人简历表</w:t>
      </w:r>
      <w:bookmarkEnd w:id="255"/>
    </w:p>
    <w:p w14:paraId="4A542C8B">
      <w:pPr>
        <w:pStyle w:val="5"/>
        <w:spacing w:line="444" w:lineRule="auto"/>
        <w:rPr>
          <w:rFonts w:hint="eastAsia" w:ascii="宋体" w:hAnsi="宋体" w:eastAsia="宋体" w:cs="宋体"/>
          <w:color w:val="000000" w:themeColor="text1"/>
          <w:highlight w:val="none"/>
          <w14:textFill>
            <w14:solidFill>
              <w14:schemeClr w14:val="tx1"/>
            </w14:solidFill>
          </w14:textFill>
        </w:rPr>
      </w:pPr>
    </w:p>
    <w:p w14:paraId="19FD339A">
      <w:pPr>
        <w:spacing w:before="97" w:line="219" w:lineRule="auto"/>
        <w:ind w:left="3087"/>
        <w:outlineLvl w:val="9"/>
        <w:rPr>
          <w:rFonts w:hint="eastAsia" w:ascii="宋体" w:hAnsi="宋体" w:eastAsia="宋体" w:cs="宋体"/>
          <w:color w:val="000000" w:themeColor="text1"/>
          <w:sz w:val="30"/>
          <w:szCs w:val="30"/>
          <w:highlight w:val="none"/>
          <w14:textFill>
            <w14:solidFill>
              <w14:schemeClr w14:val="tx1"/>
            </w14:solidFill>
          </w14:textFill>
        </w:rPr>
      </w:pPr>
      <w:bookmarkStart w:id="256" w:name="_Toc1553"/>
      <w:bookmarkStart w:id="257" w:name="_Toc25712"/>
      <w:r>
        <w:rPr>
          <w:rFonts w:hint="eastAsia" w:ascii="宋体" w:hAnsi="宋体" w:eastAsia="宋体" w:cs="宋体"/>
          <w:b/>
          <w:bCs/>
          <w:color w:val="000000" w:themeColor="text1"/>
          <w:spacing w:val="-4"/>
          <w:sz w:val="30"/>
          <w:szCs w:val="30"/>
          <w:highlight w:val="none"/>
          <w14:textFill>
            <w14:solidFill>
              <w14:schemeClr w14:val="tx1"/>
            </w14:solidFill>
          </w14:textFill>
        </w:rPr>
        <w:t>项目技术负责人简历表</w:t>
      </w:r>
      <w:bookmarkEnd w:id="256"/>
      <w:bookmarkEnd w:id="257"/>
    </w:p>
    <w:p w14:paraId="76293364">
      <w:pPr>
        <w:spacing w:line="240" w:lineRule="exact"/>
        <w:rPr>
          <w:rFonts w:hint="eastAsia" w:ascii="宋体" w:hAnsi="宋体" w:eastAsia="宋体" w:cs="宋体"/>
          <w:color w:val="000000" w:themeColor="text1"/>
          <w:highlight w:val="none"/>
          <w14:textFill>
            <w14:solidFill>
              <w14:schemeClr w14:val="tx1"/>
            </w14:solidFill>
          </w14:textFill>
        </w:rPr>
      </w:pPr>
    </w:p>
    <w:tbl>
      <w:tblPr>
        <w:tblStyle w:val="12"/>
        <w:tblW w:w="96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003"/>
        <w:gridCol w:w="607"/>
        <w:gridCol w:w="675"/>
        <w:gridCol w:w="1346"/>
        <w:gridCol w:w="2047"/>
        <w:gridCol w:w="1783"/>
        <w:gridCol w:w="1386"/>
      </w:tblGrid>
      <w:tr w14:paraId="2EEC3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1813" w:type="dxa"/>
            <w:gridSpan w:val="2"/>
            <w:vAlign w:val="top"/>
          </w:tcPr>
          <w:p w14:paraId="202B1A61">
            <w:pPr>
              <w:spacing w:before="177" w:line="228" w:lineRule="auto"/>
              <w:ind w:left="50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w:t>
            </w:r>
            <w:r>
              <w:rPr>
                <w:rFonts w:hint="eastAsia" w:ascii="宋体" w:hAnsi="宋体" w:eastAsia="宋体" w:cs="宋体"/>
                <w:color w:val="000000" w:themeColor="text1"/>
                <w:spacing w:val="9"/>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名</w:t>
            </w:r>
          </w:p>
        </w:tc>
        <w:tc>
          <w:tcPr>
            <w:tcW w:w="1282" w:type="dxa"/>
            <w:gridSpan w:val="2"/>
            <w:vAlign w:val="top"/>
          </w:tcPr>
          <w:p w14:paraId="35180F15">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346" w:type="dxa"/>
            <w:vAlign w:val="top"/>
          </w:tcPr>
          <w:p w14:paraId="411B9C93">
            <w:pPr>
              <w:spacing w:before="177" w:line="229" w:lineRule="auto"/>
              <w:ind w:left="3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性</w:t>
            </w:r>
            <w:r>
              <w:rPr>
                <w:rFonts w:hint="eastAsia" w:ascii="宋体" w:hAnsi="宋体" w:eastAsia="宋体" w:cs="宋体"/>
                <w:color w:val="000000" w:themeColor="text1"/>
                <w:spacing w:val="1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别</w:t>
            </w:r>
          </w:p>
        </w:tc>
        <w:tc>
          <w:tcPr>
            <w:tcW w:w="2047" w:type="dxa"/>
            <w:vAlign w:val="top"/>
          </w:tcPr>
          <w:p w14:paraId="2F452FFD">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783" w:type="dxa"/>
            <w:vAlign w:val="top"/>
          </w:tcPr>
          <w:p w14:paraId="2A711865">
            <w:pPr>
              <w:spacing w:before="177" w:line="228" w:lineRule="auto"/>
              <w:ind w:left="48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8"/>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龄</w:t>
            </w:r>
          </w:p>
        </w:tc>
        <w:tc>
          <w:tcPr>
            <w:tcW w:w="1386" w:type="dxa"/>
            <w:vAlign w:val="top"/>
          </w:tcPr>
          <w:p w14:paraId="5240B450">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76C2B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1813" w:type="dxa"/>
            <w:gridSpan w:val="2"/>
            <w:vAlign w:val="top"/>
          </w:tcPr>
          <w:p w14:paraId="29B76BC5">
            <w:pPr>
              <w:spacing w:before="175" w:line="228" w:lineRule="auto"/>
              <w:ind w:left="50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w:t>
            </w:r>
            <w:r>
              <w:rPr>
                <w:rFonts w:hint="eastAsia" w:ascii="宋体" w:hAnsi="宋体" w:eastAsia="宋体" w:cs="宋体"/>
                <w:color w:val="000000" w:themeColor="text1"/>
                <w:spacing w:val="8"/>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务</w:t>
            </w:r>
          </w:p>
        </w:tc>
        <w:tc>
          <w:tcPr>
            <w:tcW w:w="1282" w:type="dxa"/>
            <w:gridSpan w:val="2"/>
            <w:vAlign w:val="top"/>
          </w:tcPr>
          <w:p w14:paraId="307065D1">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346" w:type="dxa"/>
            <w:vAlign w:val="top"/>
          </w:tcPr>
          <w:p w14:paraId="2E6461F1">
            <w:pPr>
              <w:spacing w:before="174" w:line="231" w:lineRule="auto"/>
              <w:ind w:left="33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w:t>
            </w:r>
            <w:r>
              <w:rPr>
                <w:rFonts w:hint="eastAsia" w:ascii="宋体" w:hAnsi="宋体" w:eastAsia="宋体" w:cs="宋体"/>
                <w:color w:val="000000" w:themeColor="text1"/>
                <w:spacing w:val="9"/>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称</w:t>
            </w:r>
          </w:p>
        </w:tc>
        <w:tc>
          <w:tcPr>
            <w:tcW w:w="2047" w:type="dxa"/>
            <w:vAlign w:val="top"/>
          </w:tcPr>
          <w:p w14:paraId="59539D93">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783" w:type="dxa"/>
            <w:vAlign w:val="top"/>
          </w:tcPr>
          <w:p w14:paraId="1F83FFA8">
            <w:pPr>
              <w:spacing w:before="175" w:line="230" w:lineRule="auto"/>
              <w:ind w:left="49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学</w:t>
            </w:r>
            <w:r>
              <w:rPr>
                <w:rFonts w:hint="eastAsia" w:ascii="宋体" w:hAnsi="宋体" w:eastAsia="宋体" w:cs="宋体"/>
                <w:color w:val="000000" w:themeColor="text1"/>
                <w:spacing w:val="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历</w:t>
            </w:r>
          </w:p>
        </w:tc>
        <w:tc>
          <w:tcPr>
            <w:tcW w:w="1386" w:type="dxa"/>
            <w:vAlign w:val="top"/>
          </w:tcPr>
          <w:p w14:paraId="46640CDA">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6C17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1813" w:type="dxa"/>
            <w:gridSpan w:val="2"/>
            <w:vAlign w:val="top"/>
          </w:tcPr>
          <w:p w14:paraId="2A561424">
            <w:pPr>
              <w:spacing w:before="175" w:line="229" w:lineRule="auto"/>
              <w:ind w:left="24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参加工作时间</w:t>
            </w:r>
          </w:p>
        </w:tc>
        <w:tc>
          <w:tcPr>
            <w:tcW w:w="2628" w:type="dxa"/>
            <w:gridSpan w:val="3"/>
            <w:vAlign w:val="top"/>
          </w:tcPr>
          <w:p w14:paraId="14B00331">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3830" w:type="dxa"/>
            <w:gridSpan w:val="2"/>
            <w:vAlign w:val="top"/>
          </w:tcPr>
          <w:p w14:paraId="0B864845">
            <w:pPr>
              <w:spacing w:before="176" w:line="22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从事工程建设项目管理工作年限</w:t>
            </w:r>
          </w:p>
        </w:tc>
        <w:tc>
          <w:tcPr>
            <w:tcW w:w="1386" w:type="dxa"/>
            <w:vAlign w:val="top"/>
          </w:tcPr>
          <w:p w14:paraId="18B2FE92">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7C727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9657" w:type="dxa"/>
            <w:gridSpan w:val="8"/>
            <w:vAlign w:val="top"/>
          </w:tcPr>
          <w:p w14:paraId="0F93C385">
            <w:pPr>
              <w:spacing w:before="176" w:line="228" w:lineRule="auto"/>
              <w:ind w:left="204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以项目技术负责人身份参与过的主要业绩（已完工项目）</w:t>
            </w:r>
          </w:p>
        </w:tc>
      </w:tr>
      <w:tr w14:paraId="259C5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810" w:type="dxa"/>
            <w:vAlign w:val="top"/>
          </w:tcPr>
          <w:p w14:paraId="23B1418B">
            <w:pPr>
              <w:spacing w:before="176" w:line="230" w:lineRule="auto"/>
              <w:ind w:left="18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序号</w:t>
            </w:r>
          </w:p>
        </w:tc>
        <w:tc>
          <w:tcPr>
            <w:tcW w:w="1610" w:type="dxa"/>
            <w:gridSpan w:val="2"/>
            <w:vAlign w:val="top"/>
          </w:tcPr>
          <w:p w14:paraId="7FF7FF79">
            <w:pPr>
              <w:spacing w:before="176" w:line="229" w:lineRule="auto"/>
              <w:ind w:left="35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项目名称</w:t>
            </w:r>
          </w:p>
        </w:tc>
        <w:tc>
          <w:tcPr>
            <w:tcW w:w="2021" w:type="dxa"/>
            <w:gridSpan w:val="2"/>
            <w:vAlign w:val="top"/>
          </w:tcPr>
          <w:p w14:paraId="7075F8FD">
            <w:pPr>
              <w:spacing w:before="176" w:line="229" w:lineRule="auto"/>
              <w:ind w:left="55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建设单位</w:t>
            </w:r>
          </w:p>
        </w:tc>
        <w:tc>
          <w:tcPr>
            <w:tcW w:w="2047" w:type="dxa"/>
            <w:vAlign w:val="top"/>
          </w:tcPr>
          <w:p w14:paraId="00179D26">
            <w:pPr>
              <w:spacing w:before="176" w:line="228"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建设内容和规模</w:t>
            </w:r>
          </w:p>
        </w:tc>
        <w:tc>
          <w:tcPr>
            <w:tcW w:w="1783" w:type="dxa"/>
            <w:vAlign w:val="top"/>
          </w:tcPr>
          <w:p w14:paraId="236A707E">
            <w:pPr>
              <w:spacing w:before="176" w:line="228" w:lineRule="auto"/>
              <w:ind w:left="23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开、竣工日期</w:t>
            </w:r>
          </w:p>
        </w:tc>
        <w:tc>
          <w:tcPr>
            <w:tcW w:w="1386" w:type="dxa"/>
            <w:vAlign w:val="top"/>
          </w:tcPr>
          <w:p w14:paraId="2BE768CF">
            <w:pPr>
              <w:spacing w:before="176" w:line="228" w:lineRule="auto"/>
              <w:ind w:left="25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质量等级</w:t>
            </w:r>
          </w:p>
        </w:tc>
      </w:tr>
      <w:tr w14:paraId="04238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vAlign w:val="top"/>
          </w:tcPr>
          <w:p w14:paraId="0F63873B">
            <w:pPr>
              <w:spacing w:before="214" w:line="195" w:lineRule="auto"/>
              <w:ind w:left="35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610" w:type="dxa"/>
            <w:gridSpan w:val="2"/>
            <w:vAlign w:val="top"/>
          </w:tcPr>
          <w:p w14:paraId="578F80B6">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21" w:type="dxa"/>
            <w:gridSpan w:val="2"/>
            <w:vAlign w:val="top"/>
          </w:tcPr>
          <w:p w14:paraId="6F99EC2B">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47" w:type="dxa"/>
            <w:vAlign w:val="top"/>
          </w:tcPr>
          <w:p w14:paraId="4631B1E5">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783" w:type="dxa"/>
            <w:vAlign w:val="top"/>
          </w:tcPr>
          <w:p w14:paraId="2230ED03">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vAlign w:val="top"/>
          </w:tcPr>
          <w:p w14:paraId="01694071">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3653F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810" w:type="dxa"/>
            <w:vAlign w:val="top"/>
          </w:tcPr>
          <w:p w14:paraId="7F39EB96">
            <w:pPr>
              <w:spacing w:before="213" w:line="195" w:lineRule="auto"/>
              <w:ind w:left="33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610" w:type="dxa"/>
            <w:gridSpan w:val="2"/>
            <w:vAlign w:val="top"/>
          </w:tcPr>
          <w:p w14:paraId="2429E204">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21" w:type="dxa"/>
            <w:gridSpan w:val="2"/>
            <w:vAlign w:val="top"/>
          </w:tcPr>
          <w:p w14:paraId="21F39687">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47" w:type="dxa"/>
            <w:vAlign w:val="top"/>
          </w:tcPr>
          <w:p w14:paraId="187647C5">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783" w:type="dxa"/>
            <w:vAlign w:val="top"/>
          </w:tcPr>
          <w:p w14:paraId="12E10BAB">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vAlign w:val="top"/>
          </w:tcPr>
          <w:p w14:paraId="2CCF984C">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0E2BD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vAlign w:val="top"/>
          </w:tcPr>
          <w:p w14:paraId="4C3BEFDC">
            <w:pPr>
              <w:spacing w:before="178" w:line="324" w:lineRule="exact"/>
              <w:ind w:left="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position w:val="3"/>
                <w:sz w:val="24"/>
                <w:szCs w:val="24"/>
                <w:highlight w:val="none"/>
                <w14:textFill>
                  <w14:solidFill>
                    <w14:schemeClr w14:val="tx1"/>
                  </w14:solidFill>
                </w14:textFill>
              </w:rPr>
              <w:t>……</w:t>
            </w:r>
          </w:p>
        </w:tc>
        <w:tc>
          <w:tcPr>
            <w:tcW w:w="1610" w:type="dxa"/>
            <w:gridSpan w:val="2"/>
            <w:vAlign w:val="top"/>
          </w:tcPr>
          <w:p w14:paraId="4CA19BCB">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21" w:type="dxa"/>
            <w:gridSpan w:val="2"/>
            <w:vAlign w:val="top"/>
          </w:tcPr>
          <w:p w14:paraId="3B5F7A6D">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47" w:type="dxa"/>
            <w:vAlign w:val="top"/>
          </w:tcPr>
          <w:p w14:paraId="2C82DE69">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783" w:type="dxa"/>
            <w:vAlign w:val="top"/>
          </w:tcPr>
          <w:p w14:paraId="1E92035E">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vAlign w:val="top"/>
          </w:tcPr>
          <w:p w14:paraId="0264D791">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6F797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vAlign w:val="top"/>
          </w:tcPr>
          <w:p w14:paraId="468DEEC3">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610" w:type="dxa"/>
            <w:gridSpan w:val="2"/>
            <w:vAlign w:val="top"/>
          </w:tcPr>
          <w:p w14:paraId="4D6AC80A">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21" w:type="dxa"/>
            <w:gridSpan w:val="2"/>
            <w:vAlign w:val="top"/>
          </w:tcPr>
          <w:p w14:paraId="477B4007">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47" w:type="dxa"/>
            <w:vAlign w:val="top"/>
          </w:tcPr>
          <w:p w14:paraId="1E64ACA0">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783" w:type="dxa"/>
            <w:vAlign w:val="top"/>
          </w:tcPr>
          <w:p w14:paraId="10A6E2C9">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vAlign w:val="top"/>
          </w:tcPr>
          <w:p w14:paraId="262B31DB">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2483F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810" w:type="dxa"/>
            <w:vAlign w:val="top"/>
          </w:tcPr>
          <w:p w14:paraId="46E95890">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610" w:type="dxa"/>
            <w:gridSpan w:val="2"/>
            <w:vAlign w:val="top"/>
          </w:tcPr>
          <w:p w14:paraId="6C7700FC">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21" w:type="dxa"/>
            <w:gridSpan w:val="2"/>
            <w:vAlign w:val="top"/>
          </w:tcPr>
          <w:p w14:paraId="7FB1A631">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2047" w:type="dxa"/>
            <w:vAlign w:val="top"/>
          </w:tcPr>
          <w:p w14:paraId="748C3361">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783" w:type="dxa"/>
            <w:vAlign w:val="top"/>
          </w:tcPr>
          <w:p w14:paraId="47051D94">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vAlign w:val="top"/>
          </w:tcPr>
          <w:p w14:paraId="5DDD3800">
            <w:pPr>
              <w:pStyle w:val="17"/>
              <w:rPr>
                <w:rFonts w:hint="eastAsia" w:ascii="宋体" w:hAnsi="宋体" w:eastAsia="宋体" w:cs="宋体"/>
                <w:color w:val="000000" w:themeColor="text1"/>
                <w:sz w:val="24"/>
                <w:szCs w:val="24"/>
                <w:highlight w:val="none"/>
                <w14:textFill>
                  <w14:solidFill>
                    <w14:schemeClr w14:val="tx1"/>
                  </w14:solidFill>
                </w14:textFill>
              </w:rPr>
            </w:pPr>
          </w:p>
        </w:tc>
      </w:tr>
    </w:tbl>
    <w:p w14:paraId="65A12D51">
      <w:pPr>
        <w:pStyle w:val="5"/>
        <w:spacing w:line="314" w:lineRule="auto"/>
        <w:rPr>
          <w:rFonts w:hint="eastAsia" w:ascii="宋体" w:hAnsi="宋体" w:eastAsia="宋体" w:cs="宋体"/>
          <w:color w:val="000000" w:themeColor="text1"/>
          <w:sz w:val="24"/>
          <w:szCs w:val="24"/>
          <w:highlight w:val="none"/>
          <w14:textFill>
            <w14:solidFill>
              <w14:schemeClr w14:val="tx1"/>
            </w14:solidFill>
          </w14:textFill>
        </w:rPr>
      </w:pPr>
    </w:p>
    <w:p w14:paraId="06CDD6A3">
      <w:pPr>
        <w:pStyle w:val="5"/>
        <w:spacing w:line="315" w:lineRule="auto"/>
        <w:rPr>
          <w:rFonts w:hint="eastAsia" w:ascii="宋体" w:hAnsi="宋体" w:eastAsia="宋体" w:cs="宋体"/>
          <w:color w:val="000000" w:themeColor="text1"/>
          <w:sz w:val="24"/>
          <w:szCs w:val="24"/>
          <w:highlight w:val="none"/>
          <w14:textFill>
            <w14:solidFill>
              <w14:schemeClr w14:val="tx1"/>
            </w14:solidFill>
          </w14:textFill>
        </w:rPr>
      </w:pPr>
    </w:p>
    <w:p w14:paraId="351B9D81">
      <w:pPr>
        <w:pStyle w:val="5"/>
        <w:spacing w:line="315" w:lineRule="auto"/>
        <w:rPr>
          <w:rFonts w:hint="eastAsia" w:ascii="宋体" w:hAnsi="宋体" w:eastAsia="宋体" w:cs="宋体"/>
          <w:color w:val="000000" w:themeColor="text1"/>
          <w:sz w:val="24"/>
          <w:szCs w:val="24"/>
          <w:highlight w:val="none"/>
          <w14:textFill>
            <w14:solidFill>
              <w14:schemeClr w14:val="tx1"/>
            </w14:solidFill>
          </w14:textFill>
        </w:rPr>
      </w:pPr>
    </w:p>
    <w:p w14:paraId="23DA4F53">
      <w:pPr>
        <w:spacing w:before="78" w:line="220" w:lineRule="auto"/>
        <w:ind w:left="5165"/>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项目技术负责人</w:t>
      </w:r>
      <w:r>
        <w:rPr>
          <w:rFonts w:hint="eastAsia" w:ascii="宋体" w:hAnsi="宋体" w:eastAsia="宋体" w:cs="宋体"/>
          <w:color w:val="000000" w:themeColor="text1"/>
          <w:spacing w:val="-18"/>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8"/>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签字）</w:t>
      </w:r>
    </w:p>
    <w:p w14:paraId="765047AA">
      <w:pPr>
        <w:pStyle w:val="5"/>
        <w:spacing w:line="256" w:lineRule="auto"/>
        <w:jc w:val="right"/>
        <w:rPr>
          <w:rFonts w:hint="eastAsia" w:ascii="宋体" w:hAnsi="宋体" w:eastAsia="宋体" w:cs="宋体"/>
          <w:color w:val="000000" w:themeColor="text1"/>
          <w:sz w:val="24"/>
          <w:szCs w:val="24"/>
          <w:highlight w:val="none"/>
          <w14:textFill>
            <w14:solidFill>
              <w14:schemeClr w14:val="tx1"/>
            </w14:solidFill>
          </w14:textFill>
        </w:rPr>
      </w:pPr>
    </w:p>
    <w:p w14:paraId="48E9D4AF">
      <w:pPr>
        <w:pStyle w:val="5"/>
        <w:spacing w:line="257" w:lineRule="auto"/>
        <w:jc w:val="right"/>
        <w:rPr>
          <w:rFonts w:hint="eastAsia" w:ascii="宋体" w:hAnsi="宋体" w:eastAsia="宋体" w:cs="宋体"/>
          <w:color w:val="000000" w:themeColor="text1"/>
          <w:sz w:val="24"/>
          <w:szCs w:val="24"/>
          <w:highlight w:val="none"/>
          <w14:textFill>
            <w14:solidFill>
              <w14:schemeClr w14:val="tx1"/>
            </w14:solidFill>
          </w14:textFill>
        </w:rPr>
      </w:pPr>
    </w:p>
    <w:p w14:paraId="7AFA30EA">
      <w:pPr>
        <w:pStyle w:val="5"/>
        <w:spacing w:line="254" w:lineRule="auto"/>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月</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日</w:t>
      </w:r>
    </w:p>
    <w:p w14:paraId="6EF6B21B">
      <w:pPr>
        <w:spacing w:before="65" w:line="228" w:lineRule="auto"/>
        <w:ind w:left="4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说明：《项目技术负责人简历表》后应附拟派项目技术负责人以下资料：</w:t>
      </w:r>
    </w:p>
    <w:p w14:paraId="5ED95DA0">
      <w:pPr>
        <w:spacing w:before="155" w:line="228" w:lineRule="auto"/>
        <w:ind w:left="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1</w:t>
      </w:r>
      <w:r>
        <w:rPr>
          <w:rFonts w:hint="eastAsia" w:ascii="宋体" w:hAnsi="宋体" w:eastAsia="宋体" w:cs="宋体"/>
          <w:color w:val="000000" w:themeColor="text1"/>
          <w:spacing w:val="-1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．身份证彩色扫描件；</w:t>
      </w:r>
    </w:p>
    <w:p w14:paraId="1DB79E91">
      <w:pPr>
        <w:spacing w:before="151" w:line="228" w:lineRule="auto"/>
        <w:ind w:left="46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2</w:t>
      </w:r>
      <w:r>
        <w:rPr>
          <w:rFonts w:hint="eastAsia" w:ascii="宋体" w:hAnsi="宋体" w:eastAsia="宋体" w:cs="宋体"/>
          <w:color w:val="000000" w:themeColor="text1"/>
          <w:spacing w:val="-1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．职称证彩色扫描件；</w:t>
      </w:r>
    </w:p>
    <w:p w14:paraId="21264357">
      <w:pPr>
        <w:spacing w:before="153" w:line="299" w:lineRule="auto"/>
        <w:ind w:left="47" w:right="95"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3</w:t>
      </w:r>
      <w:r>
        <w:rPr>
          <w:rFonts w:hint="eastAsia" w:ascii="宋体" w:hAnsi="宋体" w:eastAsia="宋体" w:cs="宋体"/>
          <w:color w:val="000000" w:themeColor="text1"/>
          <w:spacing w:val="-2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．在本单位缴纳社保的证明（</w:t>
      </w:r>
      <w:r>
        <w:rPr>
          <w:rFonts w:hint="eastAsia" w:ascii="宋体" w:hAnsi="宋体" w:eastAsia="宋体" w:cs="宋体"/>
          <w:color w:val="000000" w:themeColor="text1"/>
          <w:sz w:val="24"/>
          <w:szCs w:val="24"/>
          <w:highlight w:val="none"/>
          <w:lang w:eastAsia="zh-CN"/>
          <w14:textFill>
            <w14:solidFill>
              <w14:schemeClr w14:val="tx1"/>
            </w14:solidFill>
          </w14:textFill>
        </w:rPr>
        <w:t>至少</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个月</w:t>
      </w:r>
      <w:r>
        <w:rPr>
          <w:rFonts w:hint="eastAsia" w:ascii="宋体" w:hAnsi="宋体" w:eastAsia="宋体" w:cs="宋体"/>
          <w:color w:val="000000" w:themeColor="text1"/>
          <w:spacing w:val="8"/>
          <w:sz w:val="24"/>
          <w:szCs w:val="24"/>
          <w:highlight w:val="none"/>
          <w14:textFill>
            <w14:solidFill>
              <w14:schemeClr w14:val="tx1"/>
            </w14:solidFill>
          </w14:textFill>
        </w:rPr>
        <w:t>，其中必须有</w:t>
      </w:r>
      <w:r>
        <w:rPr>
          <w:rFonts w:hint="eastAsia" w:ascii="宋体" w:hAnsi="宋体" w:eastAsia="宋体" w:cs="宋体"/>
          <w:color w:val="000000" w:themeColor="text1"/>
          <w:spacing w:val="-45"/>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2024</w:t>
      </w:r>
      <w:r>
        <w:rPr>
          <w:rFonts w:hint="eastAsia" w:ascii="宋体" w:hAnsi="宋体" w:eastAsia="宋体" w:cs="宋体"/>
          <w:color w:val="000000" w:themeColor="text1"/>
          <w:spacing w:val="8"/>
          <w:sz w:val="24"/>
          <w:szCs w:val="24"/>
          <w:highlight w:val="none"/>
          <w14:textFill>
            <w14:solidFill>
              <w14:schemeClr w14:val="tx1"/>
            </w14:solidFill>
          </w14:textFill>
        </w:rPr>
        <w:t>年</w:t>
      </w:r>
      <w:r>
        <w:rPr>
          <w:rFonts w:hint="eastAsia" w:ascii="宋体" w:hAnsi="宋体" w:eastAsia="宋体" w:cs="宋体"/>
          <w:color w:val="000000" w:themeColor="text1"/>
          <w:spacing w:val="8"/>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pacing w:val="8"/>
          <w:sz w:val="24"/>
          <w:szCs w:val="24"/>
          <w:highlight w:val="none"/>
          <w14:textFill>
            <w14:solidFill>
              <w14:schemeClr w14:val="tx1"/>
            </w14:solidFill>
          </w14:textFill>
        </w:rPr>
        <w:t>月）彩色扫描件</w:t>
      </w:r>
      <w:r>
        <w:rPr>
          <w:rFonts w:hint="eastAsia" w:ascii="宋体" w:hAnsi="宋体" w:eastAsia="宋体" w:cs="宋体"/>
          <w:color w:val="000000" w:themeColor="text1"/>
          <w:spacing w:val="8"/>
          <w:sz w:val="24"/>
          <w:szCs w:val="24"/>
          <w:highlight w:val="none"/>
          <w:lang w:val="en-US" w:eastAsia="zh-CN"/>
          <w14:textFill>
            <w14:solidFill>
              <w14:schemeClr w14:val="tx1"/>
            </w14:solidFill>
          </w14:textFill>
        </w:rPr>
        <w:t>或打印件</w:t>
      </w:r>
      <w:r>
        <w:rPr>
          <w:rFonts w:hint="eastAsia" w:ascii="宋体" w:hAnsi="宋体" w:eastAsia="宋体" w:cs="宋体"/>
          <w:color w:val="000000" w:themeColor="text1"/>
          <w:spacing w:val="8"/>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拟派项目技术负责人为退休返聘人员无法提供社</w:t>
      </w:r>
      <w:r>
        <w:rPr>
          <w:rFonts w:hint="eastAsia" w:ascii="宋体" w:hAnsi="宋体" w:eastAsia="宋体" w:cs="宋体"/>
          <w:color w:val="000000" w:themeColor="text1"/>
          <w:spacing w:val="9"/>
          <w:sz w:val="24"/>
          <w:szCs w:val="24"/>
          <w:highlight w:val="none"/>
          <w14:textFill>
            <w14:solidFill>
              <w14:schemeClr w14:val="tx1"/>
            </w14:solidFill>
          </w14:textFill>
        </w:rPr>
        <w:t>保证明的，提供退休证和劳动合同彩色扫描件。</w:t>
      </w:r>
    </w:p>
    <w:p w14:paraId="6422CCA0">
      <w:pPr>
        <w:spacing w:before="153" w:line="228" w:lineRule="auto"/>
        <w:ind w:left="46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4</w:t>
      </w:r>
      <w:r>
        <w:rPr>
          <w:rFonts w:hint="eastAsia" w:ascii="宋体" w:hAnsi="宋体" w:eastAsia="宋体" w:cs="宋体"/>
          <w:color w:val="000000" w:themeColor="text1"/>
          <w:spacing w:val="-2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．“进粤企业和人员诚信信息登记平台</w:t>
      </w:r>
      <w:r>
        <w:rPr>
          <w:rFonts w:hint="eastAsia" w:ascii="宋体" w:hAnsi="宋体" w:eastAsia="宋体" w:cs="宋体"/>
          <w:color w:val="000000" w:themeColor="text1"/>
          <w:spacing w:val="-7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”个人信息情况截图。（适用于省外建筑企业）</w:t>
      </w:r>
    </w:p>
    <w:p w14:paraId="0BF09372">
      <w:pPr>
        <w:spacing w:line="228" w:lineRule="auto"/>
        <w:rPr>
          <w:rFonts w:hint="eastAsia" w:ascii="宋体" w:hAnsi="宋体" w:eastAsia="宋体" w:cs="宋体"/>
          <w:color w:val="000000" w:themeColor="text1"/>
          <w:sz w:val="20"/>
          <w:szCs w:val="20"/>
          <w:highlight w:val="none"/>
          <w14:textFill>
            <w14:solidFill>
              <w14:schemeClr w14:val="tx1"/>
            </w14:solidFill>
          </w14:textFill>
        </w:rPr>
        <w:sectPr>
          <w:footerReference r:id="rId24"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40C4B517">
      <w:pPr>
        <w:spacing w:before="78" w:line="220" w:lineRule="auto"/>
        <w:outlineLvl w:val="2"/>
        <w:rPr>
          <w:rFonts w:hint="eastAsia" w:ascii="宋体" w:hAnsi="宋体" w:eastAsia="宋体" w:cs="宋体"/>
          <w:b/>
          <w:bCs/>
          <w:color w:val="000000" w:themeColor="text1"/>
          <w:spacing w:val="-4"/>
          <w:sz w:val="24"/>
          <w:szCs w:val="24"/>
          <w:highlight w:val="none"/>
          <w14:textFill>
            <w14:solidFill>
              <w14:schemeClr w14:val="tx1"/>
            </w14:solidFill>
          </w14:textFill>
        </w:rPr>
      </w:pPr>
      <w:bookmarkStart w:id="258" w:name="_Toc18872"/>
      <w:r>
        <w:rPr>
          <w:rFonts w:hint="eastAsia" w:ascii="宋体" w:hAnsi="宋体" w:eastAsia="宋体" w:cs="宋体"/>
          <w:b/>
          <w:bCs/>
          <w:color w:val="000000" w:themeColor="text1"/>
          <w:spacing w:val="-4"/>
          <w:sz w:val="24"/>
          <w:szCs w:val="24"/>
          <w:highlight w:val="none"/>
          <w14:textFill>
            <w14:solidFill>
              <w14:schemeClr w14:val="tx1"/>
            </w14:solidFill>
          </w14:textFill>
        </w:rPr>
        <w:t>格式十一 项目管理机构组成表</w:t>
      </w:r>
      <w:bookmarkEnd w:id="258"/>
    </w:p>
    <w:p w14:paraId="3B084A82">
      <w:pPr>
        <w:pStyle w:val="5"/>
        <w:spacing w:line="351" w:lineRule="auto"/>
        <w:rPr>
          <w:rFonts w:hint="eastAsia" w:ascii="宋体" w:hAnsi="宋体" w:eastAsia="宋体" w:cs="宋体"/>
          <w:color w:val="000000" w:themeColor="text1"/>
          <w:highlight w:val="none"/>
          <w14:textFill>
            <w14:solidFill>
              <w14:schemeClr w14:val="tx1"/>
            </w14:solidFill>
          </w14:textFill>
        </w:rPr>
      </w:pPr>
    </w:p>
    <w:p w14:paraId="25B0F7B1">
      <w:pPr>
        <w:pStyle w:val="5"/>
        <w:spacing w:line="351" w:lineRule="auto"/>
        <w:rPr>
          <w:rFonts w:hint="eastAsia" w:ascii="宋体" w:hAnsi="宋体" w:eastAsia="宋体" w:cs="宋体"/>
          <w:color w:val="000000" w:themeColor="text1"/>
          <w:highlight w:val="none"/>
          <w14:textFill>
            <w14:solidFill>
              <w14:schemeClr w14:val="tx1"/>
            </w14:solidFill>
          </w14:textFill>
        </w:rPr>
      </w:pPr>
    </w:p>
    <w:p w14:paraId="4DF3D9BA">
      <w:pPr>
        <w:spacing w:before="97" w:line="219" w:lineRule="auto"/>
        <w:ind w:left="3200"/>
        <w:outlineLvl w:val="9"/>
        <w:rPr>
          <w:rFonts w:hint="eastAsia" w:ascii="宋体" w:hAnsi="宋体" w:eastAsia="宋体" w:cs="宋体"/>
          <w:color w:val="000000" w:themeColor="text1"/>
          <w:sz w:val="30"/>
          <w:szCs w:val="30"/>
          <w:highlight w:val="none"/>
          <w14:textFill>
            <w14:solidFill>
              <w14:schemeClr w14:val="tx1"/>
            </w14:solidFill>
          </w14:textFill>
        </w:rPr>
      </w:pPr>
      <w:bookmarkStart w:id="259" w:name="bookmark158"/>
      <w:bookmarkEnd w:id="259"/>
      <w:bookmarkStart w:id="260" w:name="_Toc19973"/>
      <w:bookmarkStart w:id="261" w:name="_Toc28765"/>
      <w:r>
        <w:rPr>
          <w:rFonts w:hint="eastAsia" w:ascii="宋体" w:hAnsi="宋体" w:eastAsia="宋体" w:cs="宋体"/>
          <w:b/>
          <w:bCs/>
          <w:color w:val="000000" w:themeColor="text1"/>
          <w:spacing w:val="-4"/>
          <w:sz w:val="30"/>
          <w:szCs w:val="30"/>
          <w:highlight w:val="none"/>
          <w14:textFill>
            <w14:solidFill>
              <w14:schemeClr w14:val="tx1"/>
            </w14:solidFill>
          </w14:textFill>
        </w:rPr>
        <w:t>项目管理机构组成表</w:t>
      </w:r>
      <w:bookmarkEnd w:id="260"/>
      <w:bookmarkEnd w:id="261"/>
    </w:p>
    <w:p w14:paraId="14B78991">
      <w:pPr>
        <w:spacing w:before="7"/>
        <w:rPr>
          <w:rFonts w:hint="eastAsia" w:ascii="宋体" w:hAnsi="宋体" w:eastAsia="宋体" w:cs="宋体"/>
          <w:color w:val="000000" w:themeColor="text1"/>
          <w:highlight w:val="none"/>
          <w14:textFill>
            <w14:solidFill>
              <w14:schemeClr w14:val="tx1"/>
            </w14:solidFill>
          </w14:textFill>
        </w:rPr>
      </w:pPr>
    </w:p>
    <w:tbl>
      <w:tblPr>
        <w:tblStyle w:val="12"/>
        <w:tblW w:w="96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939"/>
        <w:gridCol w:w="1567"/>
        <w:gridCol w:w="1017"/>
        <w:gridCol w:w="1002"/>
        <w:gridCol w:w="1551"/>
        <w:gridCol w:w="1926"/>
      </w:tblGrid>
      <w:tr w14:paraId="50326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jc w:val="center"/>
        </w:trPr>
        <w:tc>
          <w:tcPr>
            <w:tcW w:w="634" w:type="dxa"/>
            <w:vAlign w:val="top"/>
          </w:tcPr>
          <w:p w14:paraId="60869D9E">
            <w:pPr>
              <w:spacing w:before="229" w:line="231" w:lineRule="auto"/>
              <w:ind w:left="9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序号</w:t>
            </w:r>
          </w:p>
        </w:tc>
        <w:tc>
          <w:tcPr>
            <w:tcW w:w="1939" w:type="dxa"/>
            <w:vAlign w:val="top"/>
          </w:tcPr>
          <w:p w14:paraId="7439BD66">
            <w:pPr>
              <w:spacing w:before="228" w:line="231" w:lineRule="auto"/>
              <w:ind w:left="70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岗位</w:t>
            </w:r>
          </w:p>
        </w:tc>
        <w:tc>
          <w:tcPr>
            <w:tcW w:w="1567" w:type="dxa"/>
            <w:vAlign w:val="top"/>
          </w:tcPr>
          <w:p w14:paraId="7EBB74F3">
            <w:pPr>
              <w:spacing w:before="228" w:line="231" w:lineRule="auto"/>
              <w:ind w:left="52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姓名</w:t>
            </w:r>
          </w:p>
        </w:tc>
        <w:tc>
          <w:tcPr>
            <w:tcW w:w="1017" w:type="dxa"/>
            <w:vAlign w:val="top"/>
          </w:tcPr>
          <w:p w14:paraId="3DE10A85">
            <w:pPr>
              <w:spacing w:before="228" w:line="230" w:lineRule="auto"/>
              <w:ind w:left="2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性别</w:t>
            </w:r>
          </w:p>
        </w:tc>
        <w:tc>
          <w:tcPr>
            <w:tcW w:w="1002" w:type="dxa"/>
            <w:vAlign w:val="top"/>
          </w:tcPr>
          <w:p w14:paraId="3050ABB3">
            <w:pPr>
              <w:spacing w:before="229" w:line="231" w:lineRule="auto"/>
              <w:ind w:left="26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年龄</w:t>
            </w:r>
          </w:p>
        </w:tc>
        <w:tc>
          <w:tcPr>
            <w:tcW w:w="1551" w:type="dxa"/>
            <w:vAlign w:val="top"/>
          </w:tcPr>
          <w:p w14:paraId="59C156EA">
            <w:pPr>
              <w:spacing w:before="228" w:line="230" w:lineRule="auto"/>
              <w:ind w:left="51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职称</w:t>
            </w:r>
          </w:p>
        </w:tc>
        <w:tc>
          <w:tcPr>
            <w:tcW w:w="1926" w:type="dxa"/>
            <w:vAlign w:val="top"/>
          </w:tcPr>
          <w:p w14:paraId="7FE3C975">
            <w:pPr>
              <w:spacing w:before="228" w:line="230" w:lineRule="auto"/>
              <w:ind w:left="68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备注</w:t>
            </w:r>
          </w:p>
        </w:tc>
      </w:tr>
      <w:tr w14:paraId="1711D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vAlign w:val="top"/>
          </w:tcPr>
          <w:p w14:paraId="36AB410A">
            <w:pPr>
              <w:spacing w:before="185" w:line="195" w:lineRule="auto"/>
              <w:ind w:left="26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939" w:type="dxa"/>
            <w:vAlign w:val="top"/>
          </w:tcPr>
          <w:p w14:paraId="1997300C">
            <w:pPr>
              <w:spacing w:before="150" w:line="229" w:lineRule="auto"/>
              <w:ind w:left="48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项目经理</w:t>
            </w:r>
          </w:p>
        </w:tc>
        <w:tc>
          <w:tcPr>
            <w:tcW w:w="1567" w:type="dxa"/>
            <w:vAlign w:val="top"/>
          </w:tcPr>
          <w:p w14:paraId="05C54733">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017" w:type="dxa"/>
            <w:vAlign w:val="top"/>
          </w:tcPr>
          <w:p w14:paraId="57F30F4D">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002" w:type="dxa"/>
            <w:vAlign w:val="top"/>
          </w:tcPr>
          <w:p w14:paraId="0F1D6EB1">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551" w:type="dxa"/>
            <w:vAlign w:val="top"/>
          </w:tcPr>
          <w:p w14:paraId="41672C6D">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926" w:type="dxa"/>
            <w:vAlign w:val="top"/>
          </w:tcPr>
          <w:p w14:paraId="4DE9F02B">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2165C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634" w:type="dxa"/>
            <w:vAlign w:val="top"/>
          </w:tcPr>
          <w:p w14:paraId="31D50A1B">
            <w:pPr>
              <w:spacing w:before="187" w:line="195" w:lineRule="auto"/>
              <w:ind w:left="24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939" w:type="dxa"/>
            <w:vAlign w:val="top"/>
          </w:tcPr>
          <w:p w14:paraId="3A12DDFD">
            <w:pPr>
              <w:spacing w:before="152" w:line="228"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项目技术负责人</w:t>
            </w:r>
          </w:p>
        </w:tc>
        <w:tc>
          <w:tcPr>
            <w:tcW w:w="1567" w:type="dxa"/>
            <w:vAlign w:val="top"/>
          </w:tcPr>
          <w:p w14:paraId="6A048FE5">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017" w:type="dxa"/>
            <w:vAlign w:val="top"/>
          </w:tcPr>
          <w:p w14:paraId="62616D65">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002" w:type="dxa"/>
            <w:vAlign w:val="top"/>
          </w:tcPr>
          <w:p w14:paraId="290403F3">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551" w:type="dxa"/>
            <w:vAlign w:val="top"/>
          </w:tcPr>
          <w:p w14:paraId="513D5740">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926" w:type="dxa"/>
            <w:vAlign w:val="top"/>
          </w:tcPr>
          <w:p w14:paraId="44350E5E">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7C2BE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vAlign w:val="top"/>
          </w:tcPr>
          <w:p w14:paraId="7FC001D7">
            <w:pPr>
              <w:spacing w:before="189" w:line="195" w:lineRule="auto"/>
              <w:ind w:left="247"/>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939" w:type="dxa"/>
            <w:vAlign w:val="center"/>
          </w:tcPr>
          <w:p w14:paraId="35920EAB">
            <w:pPr>
              <w:spacing w:before="153" w:line="229" w:lineRule="auto"/>
              <w:ind w:left="37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专职安全员</w:t>
            </w:r>
          </w:p>
        </w:tc>
        <w:tc>
          <w:tcPr>
            <w:tcW w:w="1567" w:type="dxa"/>
            <w:vAlign w:val="top"/>
          </w:tcPr>
          <w:p w14:paraId="539D56FA">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017" w:type="dxa"/>
            <w:vAlign w:val="top"/>
          </w:tcPr>
          <w:p w14:paraId="106625F6">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002" w:type="dxa"/>
            <w:vAlign w:val="top"/>
          </w:tcPr>
          <w:p w14:paraId="1934B0B9">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551" w:type="dxa"/>
            <w:vAlign w:val="top"/>
          </w:tcPr>
          <w:p w14:paraId="733019E3">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926" w:type="dxa"/>
            <w:vAlign w:val="top"/>
          </w:tcPr>
          <w:p w14:paraId="2A7AA2AB">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10559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vAlign w:val="top"/>
          </w:tcPr>
          <w:p w14:paraId="0773F671">
            <w:pPr>
              <w:spacing w:before="188" w:line="195" w:lineRule="auto"/>
              <w:ind w:left="24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w:t>
            </w:r>
          </w:p>
        </w:tc>
        <w:tc>
          <w:tcPr>
            <w:tcW w:w="1939" w:type="dxa"/>
            <w:vAlign w:val="top"/>
          </w:tcPr>
          <w:p w14:paraId="30C10F88">
            <w:pPr>
              <w:spacing w:before="152" w:line="230" w:lineRule="auto"/>
              <w:ind w:left="58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施工员</w:t>
            </w:r>
          </w:p>
        </w:tc>
        <w:tc>
          <w:tcPr>
            <w:tcW w:w="1567" w:type="dxa"/>
            <w:vAlign w:val="top"/>
          </w:tcPr>
          <w:p w14:paraId="05CA2BD4">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017" w:type="dxa"/>
            <w:vAlign w:val="top"/>
          </w:tcPr>
          <w:p w14:paraId="10108C0F">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002" w:type="dxa"/>
            <w:vAlign w:val="top"/>
          </w:tcPr>
          <w:p w14:paraId="34A0A4E6">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551" w:type="dxa"/>
            <w:vAlign w:val="top"/>
          </w:tcPr>
          <w:p w14:paraId="2D97556B">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926" w:type="dxa"/>
            <w:vAlign w:val="top"/>
          </w:tcPr>
          <w:p w14:paraId="48296E49">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131EE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34" w:type="dxa"/>
            <w:vAlign w:val="top"/>
          </w:tcPr>
          <w:p w14:paraId="1C720381">
            <w:pPr>
              <w:spacing w:before="193" w:line="192" w:lineRule="auto"/>
              <w:ind w:left="24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939" w:type="dxa"/>
            <w:vAlign w:val="top"/>
          </w:tcPr>
          <w:p w14:paraId="3CAE22C0">
            <w:pPr>
              <w:spacing w:before="154" w:line="229" w:lineRule="auto"/>
              <w:ind w:left="5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质量员</w:t>
            </w:r>
          </w:p>
        </w:tc>
        <w:tc>
          <w:tcPr>
            <w:tcW w:w="1567" w:type="dxa"/>
            <w:vAlign w:val="top"/>
          </w:tcPr>
          <w:p w14:paraId="16086B64">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017" w:type="dxa"/>
            <w:vAlign w:val="top"/>
          </w:tcPr>
          <w:p w14:paraId="203D9B6F">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002" w:type="dxa"/>
            <w:vAlign w:val="top"/>
          </w:tcPr>
          <w:p w14:paraId="465E5073">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551" w:type="dxa"/>
            <w:vAlign w:val="top"/>
          </w:tcPr>
          <w:p w14:paraId="1AC236B1">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926" w:type="dxa"/>
            <w:vAlign w:val="top"/>
          </w:tcPr>
          <w:p w14:paraId="1B74D74B">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3A35A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34" w:type="dxa"/>
            <w:vAlign w:val="top"/>
          </w:tcPr>
          <w:p w14:paraId="2DD916FB">
            <w:pPr>
              <w:spacing w:before="191" w:line="195" w:lineRule="auto"/>
              <w:ind w:left="24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939" w:type="dxa"/>
            <w:vAlign w:val="top"/>
          </w:tcPr>
          <w:p w14:paraId="00D908A3">
            <w:pPr>
              <w:spacing w:before="155" w:line="228" w:lineRule="auto"/>
              <w:ind w:left="5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材料员</w:t>
            </w:r>
          </w:p>
        </w:tc>
        <w:tc>
          <w:tcPr>
            <w:tcW w:w="1567" w:type="dxa"/>
            <w:vAlign w:val="top"/>
          </w:tcPr>
          <w:p w14:paraId="7A4124E4">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017" w:type="dxa"/>
            <w:vAlign w:val="top"/>
          </w:tcPr>
          <w:p w14:paraId="21B90CFC">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002" w:type="dxa"/>
            <w:vAlign w:val="top"/>
          </w:tcPr>
          <w:p w14:paraId="7429CA6B">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551" w:type="dxa"/>
            <w:vAlign w:val="top"/>
          </w:tcPr>
          <w:p w14:paraId="355EF2BE">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926" w:type="dxa"/>
            <w:vAlign w:val="top"/>
          </w:tcPr>
          <w:p w14:paraId="3D80AEAF">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596C3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34" w:type="dxa"/>
            <w:vAlign w:val="top"/>
          </w:tcPr>
          <w:p w14:paraId="4F1DC0C4">
            <w:pPr>
              <w:spacing w:before="192" w:line="192" w:lineRule="auto"/>
              <w:ind w:left="24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939" w:type="dxa"/>
            <w:vAlign w:val="top"/>
          </w:tcPr>
          <w:p w14:paraId="2B81E2B2">
            <w:pPr>
              <w:spacing w:before="154" w:line="229" w:lineRule="auto"/>
              <w:ind w:left="59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资料员</w:t>
            </w:r>
          </w:p>
        </w:tc>
        <w:tc>
          <w:tcPr>
            <w:tcW w:w="1567" w:type="dxa"/>
            <w:vAlign w:val="top"/>
          </w:tcPr>
          <w:p w14:paraId="5830ACFC">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017" w:type="dxa"/>
            <w:vAlign w:val="top"/>
          </w:tcPr>
          <w:p w14:paraId="2BE2E7C7">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002" w:type="dxa"/>
            <w:vAlign w:val="top"/>
          </w:tcPr>
          <w:p w14:paraId="1AEE4D9D">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551" w:type="dxa"/>
            <w:vAlign w:val="top"/>
          </w:tcPr>
          <w:p w14:paraId="462B06F0">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926" w:type="dxa"/>
            <w:vAlign w:val="top"/>
          </w:tcPr>
          <w:p w14:paraId="75D8694A">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66E88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634" w:type="dxa"/>
            <w:vAlign w:val="top"/>
          </w:tcPr>
          <w:p w14:paraId="01C28551">
            <w:pPr>
              <w:spacing w:before="154" w:line="325" w:lineRule="exact"/>
              <w:ind w:left="10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position w:val="3"/>
                <w:sz w:val="24"/>
                <w:szCs w:val="24"/>
                <w:highlight w:val="none"/>
                <w14:textFill>
                  <w14:solidFill>
                    <w14:schemeClr w14:val="tx1"/>
                  </w14:solidFill>
                </w14:textFill>
              </w:rPr>
              <w:t>……</w:t>
            </w:r>
          </w:p>
        </w:tc>
        <w:tc>
          <w:tcPr>
            <w:tcW w:w="1939" w:type="dxa"/>
            <w:vAlign w:val="top"/>
          </w:tcPr>
          <w:p w14:paraId="40723A72">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567" w:type="dxa"/>
            <w:vAlign w:val="top"/>
          </w:tcPr>
          <w:p w14:paraId="7F1F6AE8">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017" w:type="dxa"/>
            <w:vAlign w:val="top"/>
          </w:tcPr>
          <w:p w14:paraId="77322F0D">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002" w:type="dxa"/>
            <w:vAlign w:val="top"/>
          </w:tcPr>
          <w:p w14:paraId="62FB4EA3">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551" w:type="dxa"/>
            <w:vAlign w:val="top"/>
          </w:tcPr>
          <w:p w14:paraId="2D6E46A7">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926" w:type="dxa"/>
            <w:vAlign w:val="top"/>
          </w:tcPr>
          <w:p w14:paraId="52450073">
            <w:pPr>
              <w:pStyle w:val="17"/>
              <w:rPr>
                <w:rFonts w:hint="eastAsia" w:ascii="宋体" w:hAnsi="宋体" w:eastAsia="宋体" w:cs="宋体"/>
                <w:color w:val="000000" w:themeColor="text1"/>
                <w:sz w:val="24"/>
                <w:szCs w:val="24"/>
                <w:highlight w:val="none"/>
                <w14:textFill>
                  <w14:solidFill>
                    <w14:schemeClr w14:val="tx1"/>
                  </w14:solidFill>
                </w14:textFill>
              </w:rPr>
            </w:pPr>
          </w:p>
        </w:tc>
      </w:tr>
    </w:tbl>
    <w:p w14:paraId="1A2216AD">
      <w:pPr>
        <w:pStyle w:val="5"/>
        <w:spacing w:line="395" w:lineRule="auto"/>
        <w:rPr>
          <w:rFonts w:hint="eastAsia" w:ascii="宋体" w:hAnsi="宋体" w:eastAsia="宋体" w:cs="宋体"/>
          <w:color w:val="000000" w:themeColor="text1"/>
          <w:sz w:val="24"/>
          <w:szCs w:val="24"/>
          <w:highlight w:val="none"/>
          <w14:textFill>
            <w14:solidFill>
              <w14:schemeClr w14:val="tx1"/>
            </w14:solidFill>
          </w14:textFill>
        </w:rPr>
      </w:pPr>
    </w:p>
    <w:p w14:paraId="3469D01B">
      <w:pPr>
        <w:spacing w:before="65" w:line="228" w:lineRule="auto"/>
        <w:ind w:left="43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说明：</w:t>
      </w:r>
    </w:p>
    <w:p w14:paraId="39CA077E">
      <w:pPr>
        <w:spacing w:before="153" w:line="228" w:lineRule="auto"/>
        <w:ind w:firstLine="496"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color w:val="000000" w:themeColor="text1"/>
          <w:spacing w:val="-2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．《项目管理机构组成表》后应附表中拟派人</w:t>
      </w:r>
      <w:r>
        <w:rPr>
          <w:rFonts w:hint="eastAsia" w:ascii="宋体" w:hAnsi="宋体" w:eastAsia="宋体" w:cs="宋体"/>
          <w:color w:val="000000" w:themeColor="text1"/>
          <w:spacing w:val="3"/>
          <w:sz w:val="24"/>
          <w:szCs w:val="24"/>
          <w:highlight w:val="none"/>
          <w14:textFill>
            <w14:solidFill>
              <w14:schemeClr w14:val="tx1"/>
            </w14:solidFill>
          </w14:textFill>
        </w:rPr>
        <w:t>员（项目经理、项目技术负责人除外）以下资料：</w:t>
      </w:r>
    </w:p>
    <w:p w14:paraId="0CE589C1">
      <w:pPr>
        <w:spacing w:before="154" w:line="228" w:lineRule="auto"/>
        <w:ind w:left="44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身份证彩色扫描件；</w:t>
      </w:r>
    </w:p>
    <w:p w14:paraId="02AA64CE">
      <w:pPr>
        <w:spacing w:before="152" w:line="228" w:lineRule="auto"/>
        <w:ind w:left="4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9"/>
          <w:sz w:val="24"/>
          <w:szCs w:val="24"/>
          <w:highlight w:val="none"/>
          <w14:textFill>
            <w14:solidFill>
              <w14:schemeClr w14:val="tx1"/>
            </w14:solidFill>
          </w14:textFill>
        </w:rPr>
        <w:t>专职安全员须提供C类安全生产考核合格证书扫描件或“建筑施工企业管理人员安全生产考核信息系统”考核合格信息扫描件；施工员、质量员、材料员、资料员附岗位证书或培训证书彩色扫描件或打印件；</w:t>
      </w:r>
    </w:p>
    <w:p w14:paraId="3CEAFCD3">
      <w:pPr>
        <w:spacing w:before="153" w:line="299" w:lineRule="auto"/>
        <w:ind w:left="11" w:right="89"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9"/>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9"/>
          <w:sz w:val="24"/>
          <w:szCs w:val="24"/>
          <w:highlight w:val="none"/>
          <w14:textFill>
            <w14:solidFill>
              <w14:schemeClr w14:val="tx1"/>
            </w14:solidFill>
          </w14:textFill>
        </w:rPr>
        <w:t>在本单位缴纳社保的证明（</w:t>
      </w:r>
      <w:r>
        <w:rPr>
          <w:rFonts w:hint="eastAsia" w:ascii="宋体" w:hAnsi="宋体" w:eastAsia="宋体" w:cs="宋体"/>
          <w:color w:val="000000" w:themeColor="text1"/>
          <w:sz w:val="24"/>
          <w:szCs w:val="24"/>
          <w:highlight w:val="none"/>
          <w:lang w:eastAsia="zh-CN"/>
          <w14:textFill>
            <w14:solidFill>
              <w14:schemeClr w14:val="tx1"/>
            </w14:solidFill>
          </w14:textFill>
        </w:rPr>
        <w:t>至少</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个月</w:t>
      </w:r>
      <w:r>
        <w:rPr>
          <w:rFonts w:hint="eastAsia" w:ascii="宋体" w:hAnsi="宋体" w:eastAsia="宋体" w:cs="宋体"/>
          <w:color w:val="000000" w:themeColor="text1"/>
          <w:spacing w:val="9"/>
          <w:sz w:val="24"/>
          <w:szCs w:val="24"/>
          <w:highlight w:val="none"/>
          <w14:textFill>
            <w14:solidFill>
              <w14:schemeClr w14:val="tx1"/>
            </w14:solidFill>
          </w14:textFill>
        </w:rPr>
        <w:t>，其中必</w:t>
      </w:r>
      <w:r>
        <w:rPr>
          <w:rFonts w:hint="eastAsia" w:ascii="宋体" w:hAnsi="宋体" w:eastAsia="宋体" w:cs="宋体"/>
          <w:color w:val="000000" w:themeColor="text1"/>
          <w:spacing w:val="8"/>
          <w:sz w:val="24"/>
          <w:szCs w:val="24"/>
          <w:highlight w:val="none"/>
          <w14:textFill>
            <w14:solidFill>
              <w14:schemeClr w14:val="tx1"/>
            </w14:solidFill>
          </w14:textFill>
        </w:rPr>
        <w:t>须有</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2024</w:t>
      </w:r>
      <w:r>
        <w:rPr>
          <w:rFonts w:hint="eastAsia"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年</w:t>
      </w:r>
      <w:r>
        <w:rPr>
          <w:rFonts w:hint="eastAsia" w:ascii="宋体" w:hAnsi="宋体" w:eastAsia="宋体" w:cs="宋体"/>
          <w:color w:val="000000" w:themeColor="text1"/>
          <w:spacing w:val="8"/>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pacing w:val="8"/>
          <w:sz w:val="24"/>
          <w:szCs w:val="24"/>
          <w:highlight w:val="none"/>
          <w14:textFill>
            <w14:solidFill>
              <w14:schemeClr w14:val="tx1"/>
            </w14:solidFill>
          </w14:textFill>
        </w:rPr>
        <w:t>月）彩色扫描件。</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拟派项目技术负责人为退休返聘人员无法提供社</w:t>
      </w:r>
      <w:r>
        <w:rPr>
          <w:rFonts w:hint="eastAsia" w:ascii="宋体" w:hAnsi="宋体" w:eastAsia="宋体" w:cs="宋体"/>
          <w:color w:val="000000" w:themeColor="text1"/>
          <w:spacing w:val="9"/>
          <w:sz w:val="24"/>
          <w:szCs w:val="24"/>
          <w:highlight w:val="none"/>
          <w14:textFill>
            <w14:solidFill>
              <w14:schemeClr w14:val="tx1"/>
            </w14:solidFill>
          </w14:textFill>
        </w:rPr>
        <w:t>保证明的，提供退休证和劳动合同彩色扫描件。</w:t>
      </w:r>
    </w:p>
    <w:p w14:paraId="61E286EA">
      <w:pPr>
        <w:spacing w:before="152" w:line="228" w:lineRule="auto"/>
        <w:ind w:left="0" w:leftChars="0" w:firstLine="419" w:firstLineChars="164"/>
        <w:rPr>
          <w:rFonts w:hint="eastAsia" w:ascii="宋体" w:hAnsi="宋体" w:eastAsia="宋体" w:cs="宋体"/>
          <w:color w:val="000000" w:themeColor="text1"/>
          <w:spacing w:val="9"/>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（4）</w:t>
      </w:r>
      <w:r>
        <w:rPr>
          <w:rFonts w:hint="eastAsia" w:ascii="宋体" w:hAnsi="宋体" w:eastAsia="宋体" w:cs="宋体"/>
          <w:color w:val="000000" w:themeColor="text1"/>
          <w:spacing w:val="9"/>
          <w:sz w:val="24"/>
          <w:szCs w:val="24"/>
          <w:highlight w:val="none"/>
          <w14:textFill>
            <w14:solidFill>
              <w14:schemeClr w14:val="tx1"/>
            </w14:solidFill>
          </w14:textFill>
        </w:rPr>
        <w:t>“进粤企业和人员诚信信息登记平台 ”个人信息情况截图。（适用于省外建筑企业）</w:t>
      </w:r>
    </w:p>
    <w:p w14:paraId="73BD7082">
      <w:pPr>
        <w:spacing w:before="153" w:line="299" w:lineRule="auto"/>
        <w:ind w:left="16" w:right="40" w:firstLine="41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8"/>
          <w:sz w:val="24"/>
          <w:szCs w:val="24"/>
          <w:highlight w:val="none"/>
          <w14:textFill>
            <w14:solidFill>
              <w14:schemeClr w14:val="tx1"/>
            </w14:solidFill>
          </w14:textFill>
        </w:rPr>
        <w:t>联合体投标的，《项目管理机构组成表》应包括联合体成员单位参与项目管理</w:t>
      </w:r>
      <w:r>
        <w:rPr>
          <w:rFonts w:hint="eastAsia" w:ascii="宋体" w:hAnsi="宋体" w:eastAsia="宋体" w:cs="宋体"/>
          <w:color w:val="000000" w:themeColor="text1"/>
          <w:spacing w:val="7"/>
          <w:sz w:val="24"/>
          <w:szCs w:val="24"/>
          <w:highlight w:val="none"/>
          <w14:textFill>
            <w14:solidFill>
              <w14:schemeClr w14:val="tx1"/>
            </w14:solidFill>
          </w14:textFill>
        </w:rPr>
        <w:t>机构的人员，并提供以上所需资料。</w:t>
      </w:r>
    </w:p>
    <w:p w14:paraId="044B9544">
      <w:pPr>
        <w:pStyle w:val="5"/>
        <w:spacing w:line="248" w:lineRule="auto"/>
        <w:rPr>
          <w:rFonts w:hint="eastAsia" w:ascii="宋体" w:hAnsi="宋体" w:eastAsia="宋体" w:cs="宋体"/>
          <w:color w:val="000000" w:themeColor="text1"/>
          <w:sz w:val="24"/>
          <w:szCs w:val="24"/>
          <w:highlight w:val="none"/>
          <w14:textFill>
            <w14:solidFill>
              <w14:schemeClr w14:val="tx1"/>
            </w14:solidFill>
          </w14:textFill>
        </w:rPr>
      </w:pPr>
    </w:p>
    <w:p w14:paraId="007F0641">
      <w:pPr>
        <w:pStyle w:val="5"/>
        <w:spacing w:line="248" w:lineRule="auto"/>
        <w:rPr>
          <w:rFonts w:hint="eastAsia" w:ascii="宋体" w:hAnsi="宋体" w:eastAsia="宋体" w:cs="宋体"/>
          <w:color w:val="000000" w:themeColor="text1"/>
          <w:sz w:val="24"/>
          <w:szCs w:val="24"/>
          <w:highlight w:val="none"/>
          <w14:textFill>
            <w14:solidFill>
              <w14:schemeClr w14:val="tx1"/>
            </w14:solidFill>
          </w14:textFill>
        </w:rPr>
      </w:pPr>
    </w:p>
    <w:p w14:paraId="2933F444">
      <w:pPr>
        <w:pStyle w:val="5"/>
        <w:spacing w:line="248" w:lineRule="auto"/>
        <w:rPr>
          <w:rFonts w:hint="eastAsia" w:ascii="宋体" w:hAnsi="宋体" w:eastAsia="宋体" w:cs="宋体"/>
          <w:color w:val="000000" w:themeColor="text1"/>
          <w:highlight w:val="none"/>
          <w14:textFill>
            <w14:solidFill>
              <w14:schemeClr w14:val="tx1"/>
            </w14:solidFill>
          </w14:textFill>
        </w:rPr>
      </w:pPr>
    </w:p>
    <w:p w14:paraId="3BFC0D1C">
      <w:pPr>
        <w:pStyle w:val="5"/>
        <w:spacing w:line="248" w:lineRule="auto"/>
        <w:rPr>
          <w:rFonts w:hint="eastAsia" w:ascii="宋体" w:hAnsi="宋体" w:eastAsia="宋体" w:cs="宋体"/>
          <w:color w:val="000000" w:themeColor="text1"/>
          <w:highlight w:val="none"/>
          <w14:textFill>
            <w14:solidFill>
              <w14:schemeClr w14:val="tx1"/>
            </w14:solidFill>
          </w14:textFill>
        </w:rPr>
      </w:pPr>
    </w:p>
    <w:p w14:paraId="2725A6E8">
      <w:pPr>
        <w:spacing w:before="79" w:line="220" w:lineRule="auto"/>
        <w:rPr>
          <w:rFonts w:hint="eastAsia" w:ascii="宋体" w:hAnsi="宋体" w:eastAsia="宋体" w:cs="宋体"/>
          <w:b/>
          <w:bCs/>
          <w:color w:val="000000" w:themeColor="text1"/>
          <w:spacing w:val="-2"/>
          <w:sz w:val="24"/>
          <w:szCs w:val="24"/>
          <w:highlight w:val="none"/>
          <w14:textFill>
            <w14:solidFill>
              <w14:schemeClr w14:val="tx1"/>
            </w14:solidFill>
          </w14:textFill>
        </w:rPr>
      </w:pPr>
    </w:p>
    <w:p w14:paraId="487C8DAA">
      <w:pPr>
        <w:spacing w:before="78" w:line="220" w:lineRule="auto"/>
        <w:outlineLvl w:val="2"/>
        <w:rPr>
          <w:rFonts w:hint="eastAsia" w:ascii="宋体" w:hAnsi="宋体" w:eastAsia="宋体" w:cs="宋体"/>
          <w:b/>
          <w:bCs/>
          <w:color w:val="000000" w:themeColor="text1"/>
          <w:spacing w:val="-4"/>
          <w:sz w:val="24"/>
          <w:szCs w:val="24"/>
          <w:highlight w:val="none"/>
          <w14:textFill>
            <w14:solidFill>
              <w14:schemeClr w14:val="tx1"/>
            </w14:solidFill>
          </w14:textFill>
        </w:rPr>
      </w:pPr>
      <w:bookmarkStart w:id="262" w:name="_Toc3823"/>
      <w:r>
        <w:rPr>
          <w:rFonts w:hint="eastAsia" w:ascii="宋体" w:hAnsi="宋体" w:eastAsia="宋体" w:cs="宋体"/>
          <w:b/>
          <w:bCs/>
          <w:color w:val="000000" w:themeColor="text1"/>
          <w:spacing w:val="-4"/>
          <w:sz w:val="24"/>
          <w:szCs w:val="24"/>
          <w:highlight w:val="none"/>
          <w14:textFill>
            <w14:solidFill>
              <w14:schemeClr w14:val="tx1"/>
            </w14:solidFill>
          </w14:textFill>
        </w:rPr>
        <w:t>格式十二 建造师查询页（有效期+建造师签字）</w:t>
      </w:r>
      <w:bookmarkEnd w:id="262"/>
    </w:p>
    <w:p w14:paraId="734EE390">
      <w:pPr>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position w:val="-235"/>
          <w:highlight w:val="none"/>
          <w14:textFill>
            <w14:solidFill>
              <w14:schemeClr w14:val="tx1"/>
            </w14:solidFill>
          </w14:textFill>
        </w:rPr>
        <w:drawing>
          <wp:inline distT="0" distB="0" distL="114300" distR="114300">
            <wp:extent cx="6239510" cy="8013700"/>
            <wp:effectExtent l="0" t="0" r="8890" b="6350"/>
            <wp:docPr id="6" name="图片 8"/>
            <wp:cNvGraphicFramePr/>
            <a:graphic xmlns:a="http://schemas.openxmlformats.org/drawingml/2006/main">
              <a:graphicData uri="http://schemas.openxmlformats.org/drawingml/2006/picture">
                <pic:pic xmlns:pic="http://schemas.openxmlformats.org/drawingml/2006/picture">
                  <pic:nvPicPr>
                    <pic:cNvPr id="6" name="图片 8"/>
                    <pic:cNvPicPr/>
                  </pic:nvPicPr>
                  <pic:blipFill>
                    <a:blip r:embed="rId57"/>
                    <a:stretch>
                      <a:fillRect/>
                    </a:stretch>
                  </pic:blipFill>
                  <pic:spPr>
                    <a:xfrm>
                      <a:off x="0" y="0"/>
                      <a:ext cx="6239510" cy="8013700"/>
                    </a:xfrm>
                    <a:prstGeom prst="rect">
                      <a:avLst/>
                    </a:prstGeom>
                    <a:noFill/>
                    <a:ln>
                      <a:noFill/>
                    </a:ln>
                  </pic:spPr>
                </pic:pic>
              </a:graphicData>
            </a:graphic>
          </wp:inline>
        </w:drawing>
      </w:r>
    </w:p>
    <w:p w14:paraId="00EC9548">
      <w:pPr>
        <w:spacing w:line="220" w:lineRule="auto"/>
        <w:rPr>
          <w:rFonts w:hint="eastAsia" w:ascii="宋体" w:hAnsi="宋体" w:eastAsia="宋体" w:cs="宋体"/>
          <w:color w:val="000000" w:themeColor="text1"/>
          <w:sz w:val="24"/>
          <w:szCs w:val="24"/>
          <w:highlight w:val="none"/>
          <w14:textFill>
            <w14:solidFill>
              <w14:schemeClr w14:val="tx1"/>
            </w14:solidFill>
          </w14:textFill>
        </w:rPr>
        <w:sectPr>
          <w:footerReference r:id="rId25"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1D37CFE7">
      <w:pPr>
        <w:spacing w:line="10744"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position w:val="-214"/>
          <w:highlight w:val="none"/>
          <w14:textFill>
            <w14:solidFill>
              <w14:schemeClr w14:val="tx1"/>
            </w14:solidFill>
          </w14:textFill>
        </w:rPr>
        <w:drawing>
          <wp:inline distT="0" distB="0" distL="114300" distR="114300">
            <wp:extent cx="6285865" cy="6925310"/>
            <wp:effectExtent l="0" t="0" r="635" b="8890"/>
            <wp:docPr id="4" name="图片 9"/>
            <wp:cNvGraphicFramePr/>
            <a:graphic xmlns:a="http://schemas.openxmlformats.org/drawingml/2006/main">
              <a:graphicData uri="http://schemas.openxmlformats.org/drawingml/2006/picture">
                <pic:pic xmlns:pic="http://schemas.openxmlformats.org/drawingml/2006/picture">
                  <pic:nvPicPr>
                    <pic:cNvPr id="4" name="图片 9"/>
                    <pic:cNvPicPr/>
                  </pic:nvPicPr>
                  <pic:blipFill>
                    <a:blip r:embed="rId58"/>
                    <a:stretch>
                      <a:fillRect/>
                    </a:stretch>
                  </pic:blipFill>
                  <pic:spPr>
                    <a:xfrm>
                      <a:off x="0" y="0"/>
                      <a:ext cx="6285865" cy="6925310"/>
                    </a:xfrm>
                    <a:prstGeom prst="rect">
                      <a:avLst/>
                    </a:prstGeom>
                    <a:noFill/>
                    <a:ln>
                      <a:noFill/>
                    </a:ln>
                  </pic:spPr>
                </pic:pic>
              </a:graphicData>
            </a:graphic>
          </wp:inline>
        </w:drawing>
      </w:r>
    </w:p>
    <w:p w14:paraId="57141E1C">
      <w:pPr>
        <w:spacing w:line="10744" w:lineRule="exact"/>
        <w:rPr>
          <w:rFonts w:hint="eastAsia" w:ascii="宋体" w:hAnsi="宋体" w:eastAsia="宋体" w:cs="宋体"/>
          <w:color w:val="000000" w:themeColor="text1"/>
          <w:highlight w:val="none"/>
          <w14:textFill>
            <w14:solidFill>
              <w14:schemeClr w14:val="tx1"/>
            </w14:solidFill>
          </w14:textFill>
        </w:rPr>
        <w:sectPr>
          <w:footerReference r:id="rId26"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79F1B678">
      <w:pPr>
        <w:spacing w:before="78" w:line="220" w:lineRule="auto"/>
        <w:outlineLvl w:val="2"/>
        <w:rPr>
          <w:rFonts w:hint="eastAsia" w:ascii="宋体" w:hAnsi="宋体" w:eastAsia="宋体" w:cs="宋体"/>
          <w:b/>
          <w:bCs/>
          <w:color w:val="000000" w:themeColor="text1"/>
          <w:spacing w:val="-4"/>
          <w:sz w:val="24"/>
          <w:szCs w:val="24"/>
          <w:highlight w:val="none"/>
          <w14:textFill>
            <w14:solidFill>
              <w14:schemeClr w14:val="tx1"/>
            </w14:solidFill>
          </w14:textFill>
        </w:rPr>
      </w:pPr>
      <w:bookmarkStart w:id="263" w:name="_Toc30843"/>
      <w:r>
        <w:rPr>
          <w:rFonts w:hint="eastAsia" w:ascii="宋体" w:hAnsi="宋体" w:eastAsia="宋体" w:cs="宋体"/>
          <w:b/>
          <w:bCs/>
          <w:color w:val="000000" w:themeColor="text1"/>
          <w:spacing w:val="-4"/>
          <w:sz w:val="24"/>
          <w:szCs w:val="24"/>
          <w:highlight w:val="none"/>
          <w14:textFill>
            <w14:solidFill>
              <w14:schemeClr w14:val="tx1"/>
            </w14:solidFill>
          </w14:textFill>
        </w:rPr>
        <w:t>格式十三：</w:t>
      </w:r>
      <w:r>
        <w:rPr>
          <w:rFonts w:hint="eastAsia" w:ascii="宋体" w:hAnsi="宋体" w:eastAsia="宋体" w:cs="宋体"/>
          <w:b/>
          <w:bCs/>
          <w:color w:val="000000" w:themeColor="text1"/>
          <w:spacing w:val="7"/>
          <w:sz w:val="22"/>
          <w:szCs w:val="22"/>
          <w:highlight w:val="none"/>
          <w14:textFill>
            <w14:solidFill>
              <w14:schemeClr w14:val="tx1"/>
            </w14:solidFill>
          </w14:textFill>
        </w:rPr>
        <w:t>危险性较大的分部分项工程清单及超过一定规模的危险性较大的</w:t>
      </w:r>
      <w:r>
        <w:rPr>
          <w:rFonts w:hint="eastAsia" w:ascii="宋体" w:hAnsi="宋体" w:eastAsia="宋体" w:cs="宋体"/>
          <w:b/>
          <w:bCs/>
          <w:color w:val="000000" w:themeColor="text1"/>
          <w:spacing w:val="5"/>
          <w:sz w:val="22"/>
          <w:szCs w:val="22"/>
          <w:highlight w:val="none"/>
          <w14:textFill>
            <w14:solidFill>
              <w14:schemeClr w14:val="tx1"/>
            </w14:solidFill>
          </w14:textFill>
        </w:rPr>
        <w:t>分部分项工程清单</w:t>
      </w:r>
      <w:bookmarkEnd w:id="263"/>
    </w:p>
    <w:p w14:paraId="4E20E0E7">
      <w:pPr>
        <w:pStyle w:val="5"/>
        <w:spacing w:line="269" w:lineRule="auto"/>
        <w:rPr>
          <w:rFonts w:hint="eastAsia" w:ascii="宋体" w:hAnsi="宋体" w:eastAsia="宋体" w:cs="宋体"/>
          <w:color w:val="000000" w:themeColor="text1"/>
          <w:highlight w:val="none"/>
          <w14:textFill>
            <w14:solidFill>
              <w14:schemeClr w14:val="tx1"/>
            </w14:solidFill>
          </w14:textFill>
        </w:rPr>
      </w:pPr>
    </w:p>
    <w:p w14:paraId="0DB6A583">
      <w:pPr>
        <w:tabs>
          <w:tab w:val="left" w:pos="2940"/>
        </w:tabs>
        <w:spacing w:before="101" w:line="377" w:lineRule="auto"/>
        <w:ind w:left="3179" w:leftChars="0" w:right="41" w:hanging="3133" w:firstLineChars="0"/>
        <w:rPr>
          <w:rFonts w:hint="eastAsia" w:ascii="宋体" w:hAnsi="宋体" w:eastAsia="宋体" w:cs="宋体"/>
          <w:color w:val="000000" w:themeColor="text1"/>
          <w:sz w:val="31"/>
          <w:szCs w:val="31"/>
          <w:highlight w:val="none"/>
          <w14:textFill>
            <w14:solidFill>
              <w14:schemeClr w14:val="tx1"/>
            </w14:solidFill>
          </w14:textFill>
        </w:rPr>
      </w:pPr>
      <w:bookmarkStart w:id="264" w:name="bookmark160"/>
      <w:bookmarkEnd w:id="264"/>
      <w:bookmarkStart w:id="265" w:name="OLE_LINK41"/>
      <w:r>
        <w:rPr>
          <w:rFonts w:hint="eastAsia" w:ascii="宋体" w:hAnsi="宋体" w:eastAsia="宋体" w:cs="宋体"/>
          <w:b/>
          <w:bCs/>
          <w:color w:val="000000" w:themeColor="text1"/>
          <w:spacing w:val="7"/>
          <w:sz w:val="31"/>
          <w:szCs w:val="31"/>
          <w:highlight w:val="none"/>
          <w14:textFill>
            <w14:solidFill>
              <w14:schemeClr w14:val="tx1"/>
            </w14:solidFill>
          </w14:textFill>
        </w:rPr>
        <w:t>危险性较大的分部分项工程清单及超过一定规模的危险性较大的</w:t>
      </w:r>
      <w:r>
        <w:rPr>
          <w:rFonts w:hint="eastAsia" w:ascii="宋体" w:hAnsi="宋体" w:eastAsia="宋体" w:cs="宋体"/>
          <w:b/>
          <w:bCs/>
          <w:color w:val="000000" w:themeColor="text1"/>
          <w:spacing w:val="5"/>
          <w:sz w:val="31"/>
          <w:szCs w:val="31"/>
          <w:highlight w:val="none"/>
          <w14:textFill>
            <w14:solidFill>
              <w14:schemeClr w14:val="tx1"/>
            </w14:solidFill>
          </w14:textFill>
        </w:rPr>
        <w:t>分部分项工程清单</w:t>
      </w:r>
    </w:p>
    <w:bookmarkEnd w:id="265"/>
    <w:p w14:paraId="5004DA81">
      <w:pPr>
        <w:spacing w:before="6" w:line="326" w:lineRule="auto"/>
        <w:ind w:left="5" w:firstLine="4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1、根据中华人民共和国住房和城乡建设部令第37号《危险性较大的分部分项工程</w:t>
      </w:r>
      <w:r>
        <w:rPr>
          <w:rFonts w:hint="eastAsia" w:ascii="宋体" w:hAnsi="宋体" w:eastAsia="宋体" w:cs="宋体"/>
          <w:color w:val="000000" w:themeColor="text1"/>
          <w:spacing w:val="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安全管理规定》（以下简称“37号文</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投标人在投标时须补充完善危大工程清单并</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明确相应的安全管理措施。</w:t>
      </w:r>
    </w:p>
    <w:p w14:paraId="39C98E84">
      <w:pPr>
        <w:spacing w:before="208" w:line="326" w:lineRule="auto"/>
        <w:ind w:left="1" w:firstLine="48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2、招标人根据设计文件的要求及37号文、粤建规范〔2019〕2号文的规定列出“危</w:t>
      </w:r>
      <w:r>
        <w:rPr>
          <w:rFonts w:hint="eastAsia" w:ascii="宋体" w:hAnsi="宋体" w:eastAsia="宋体" w:cs="宋体"/>
          <w:color w:val="000000" w:themeColor="text1"/>
          <w:spacing w:val="1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险性较大的分部分项工程清单及超过一定规模的危</w:t>
      </w:r>
      <w:r>
        <w:rPr>
          <w:rFonts w:hint="eastAsia" w:ascii="宋体" w:hAnsi="宋体" w:eastAsia="宋体" w:cs="宋体"/>
          <w:color w:val="000000" w:themeColor="text1"/>
          <w:spacing w:val="-3"/>
          <w:sz w:val="24"/>
          <w:szCs w:val="24"/>
          <w:highlight w:val="none"/>
          <w14:textFill>
            <w14:solidFill>
              <w14:schemeClr w14:val="tx1"/>
            </w14:solidFill>
          </w14:textFill>
        </w:rPr>
        <w:t>险性较大的分部分项工程清单</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”中与</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本招标项目相关的清单项，具体详见第5点“打</w:t>
      </w:r>
      <w:r>
        <w:rPr>
          <w:rFonts w:hint="eastAsia" w:ascii="宋体" w:hAnsi="宋体" w:eastAsia="宋体" w:cs="宋体"/>
          <w:color w:val="000000" w:themeColor="text1"/>
          <w:spacing w:val="-3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”标识。</w:t>
      </w:r>
    </w:p>
    <w:p w14:paraId="3676768B">
      <w:pPr>
        <w:spacing w:before="209" w:line="299" w:lineRule="auto"/>
        <w:ind w:left="3" w:right="72" w:firstLine="48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（1）投标单位同意建设单位在清单中标识的该</w:t>
      </w:r>
      <w:r>
        <w:rPr>
          <w:rFonts w:hint="eastAsia" w:ascii="宋体" w:hAnsi="宋体" w:eastAsia="宋体" w:cs="宋体"/>
          <w:color w:val="000000" w:themeColor="text1"/>
          <w:spacing w:val="-4"/>
          <w:sz w:val="24"/>
          <w:szCs w:val="24"/>
          <w:highlight w:val="none"/>
          <w14:textFill>
            <w14:solidFill>
              <w14:schemeClr w14:val="tx1"/>
            </w14:solidFill>
          </w14:textFill>
        </w:rPr>
        <w:t>项请在对应项打“</w:t>
      </w:r>
      <w:r>
        <w:rPr>
          <w:rFonts w:hint="eastAsia" w:ascii="宋体" w:hAnsi="宋体" w:eastAsia="宋体" w:cs="宋体"/>
          <w:color w:val="000000" w:themeColor="text1"/>
          <w:spacing w:val="-5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”标识，并与</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投标文件中提供相应的安全管理措施。</w:t>
      </w:r>
    </w:p>
    <w:p w14:paraId="1C2AFCFC">
      <w:pPr>
        <w:spacing w:before="208" w:line="299" w:lineRule="auto"/>
        <w:ind w:left="2" w:right="72" w:firstLine="4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（2）投标单位对清单中认为需要补充的该项请</w:t>
      </w:r>
      <w:r>
        <w:rPr>
          <w:rFonts w:hint="eastAsia" w:ascii="宋体" w:hAnsi="宋体" w:eastAsia="宋体" w:cs="宋体"/>
          <w:color w:val="000000" w:themeColor="text1"/>
          <w:spacing w:val="-4"/>
          <w:sz w:val="24"/>
          <w:szCs w:val="24"/>
          <w:highlight w:val="none"/>
          <w14:textFill>
            <w14:solidFill>
              <w14:schemeClr w14:val="tx1"/>
            </w14:solidFill>
          </w14:textFill>
        </w:rPr>
        <w:t>在对应项打“</w:t>
      </w:r>
      <w:r>
        <w:rPr>
          <w:rFonts w:hint="eastAsia" w:ascii="宋体" w:hAnsi="宋体" w:eastAsia="宋体" w:cs="宋体"/>
          <w:color w:val="000000" w:themeColor="text1"/>
          <w:spacing w:val="-5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”标识，并与投标</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文件中提供相应的安全管理措施。</w:t>
      </w:r>
    </w:p>
    <w:p w14:paraId="2C57E579">
      <w:pPr>
        <w:spacing w:before="210" w:line="300" w:lineRule="auto"/>
        <w:ind w:right="72" w:firstLine="4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（3）投标单位不同意建设单位在清单中标识的该项请在对应项打“</w:t>
      </w:r>
      <w:r>
        <w:rPr>
          <w:rFonts w:hint="eastAsia" w:ascii="宋体" w:hAnsi="宋体" w:eastAsia="宋体" w:cs="宋体"/>
          <w:color w:val="000000" w:themeColor="text1"/>
          <w:spacing w:val="-6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w:t>
      </w:r>
      <w:r>
        <w:rPr>
          <w:rFonts w:hint="eastAsia" w:ascii="宋体" w:hAnsi="宋体" w:eastAsia="宋体" w:cs="宋体"/>
          <w:color w:val="000000" w:themeColor="text1"/>
          <w:spacing w:val="-8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”标识，并</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在备注栏填上相关说明。</w:t>
      </w:r>
    </w:p>
    <w:p w14:paraId="14B36F6D">
      <w:pPr>
        <w:spacing w:before="207" w:line="371" w:lineRule="auto"/>
        <w:ind w:firstLine="484"/>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u w:val="single"/>
          <w14:textFill>
            <w14:solidFill>
              <w14:schemeClr w14:val="tx1"/>
            </w14:solidFill>
          </w14:textFill>
        </w:rPr>
        <w:t>3、投标单位应当在投标时根据招标人提供的下述第5点清单，</w:t>
      </w:r>
      <w:r>
        <w:rPr>
          <w:rFonts w:hint="eastAsia" w:ascii="宋体" w:hAnsi="宋体" w:eastAsia="宋体" w:cs="宋体"/>
          <w:b/>
          <w:bCs/>
          <w:color w:val="000000" w:themeColor="text1"/>
          <w:spacing w:val="-5"/>
          <w:sz w:val="24"/>
          <w:szCs w:val="24"/>
          <w:highlight w:val="none"/>
          <w:u w:val="single"/>
          <w14:textFill>
            <w14:solidFill>
              <w14:schemeClr w14:val="tx1"/>
            </w14:solidFill>
          </w14:textFill>
        </w:rPr>
        <w:t>在投标施工组织中回</w:t>
      </w:r>
      <w:r>
        <w:rPr>
          <w:rFonts w:hint="eastAsia" w:ascii="宋体" w:hAnsi="宋体" w:eastAsia="宋体" w:cs="宋体"/>
          <w:b/>
          <w:bCs/>
          <w:color w:val="000000" w:themeColor="text1"/>
          <w:spacing w:val="-4"/>
          <w:sz w:val="24"/>
          <w:szCs w:val="24"/>
          <w:highlight w:val="none"/>
          <w:u w:val="single"/>
          <w14:textFill>
            <w14:solidFill>
              <w14:schemeClr w14:val="tx1"/>
            </w14:solidFill>
          </w14:textFill>
        </w:rPr>
        <w:t>应建设单位提供的危大工程清单，补充相应的安全管理措施。（为减轻标书编制</w:t>
      </w:r>
      <w:r>
        <w:rPr>
          <w:rFonts w:hint="eastAsia" w:ascii="宋体" w:hAnsi="宋体" w:eastAsia="宋体" w:cs="宋体"/>
          <w:b/>
          <w:bCs/>
          <w:color w:val="000000" w:themeColor="text1"/>
          <w:spacing w:val="-5"/>
          <w:sz w:val="24"/>
          <w:szCs w:val="24"/>
          <w:highlight w:val="none"/>
          <w:u w:val="single"/>
          <w14:textFill>
            <w14:solidFill>
              <w14:schemeClr w14:val="tx1"/>
            </w14:solidFill>
          </w14:textFill>
        </w:rPr>
        <w:t>的工作</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u w:val="single"/>
          <w14:textFill>
            <w14:solidFill>
              <w14:schemeClr w14:val="tx1"/>
            </w14:solidFill>
          </w14:textFill>
        </w:rPr>
        <w:t>量，投标单位回应的危大工程清单该部分的页数应控制在3页内）</w:t>
      </w:r>
    </w:p>
    <w:p w14:paraId="74C7E91A">
      <w:pPr>
        <w:spacing w:before="33" w:line="326" w:lineRule="auto"/>
        <w:ind w:left="1" w:firstLine="47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4、对于超过一定规模的危大工程，中标单位应当组织召开</w:t>
      </w:r>
      <w:r>
        <w:rPr>
          <w:rFonts w:hint="eastAsia" w:ascii="宋体" w:hAnsi="宋体" w:eastAsia="宋体" w:cs="宋体"/>
          <w:color w:val="000000" w:themeColor="text1"/>
          <w:spacing w:val="-1"/>
          <w:sz w:val="24"/>
          <w:szCs w:val="24"/>
          <w:highlight w:val="none"/>
          <w14:textFill>
            <w14:solidFill>
              <w14:schemeClr w14:val="tx1"/>
            </w14:solidFill>
          </w14:textFill>
        </w:rPr>
        <w:t>专家论证会对专项施工</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方案进行论证。实行施工总承包的，由施工总承包单位组织召开专家论证会。专家论证</w:t>
      </w:r>
      <w:r>
        <w:rPr>
          <w:rFonts w:hint="eastAsia" w:ascii="宋体" w:hAnsi="宋体" w:eastAsia="宋体" w:cs="宋体"/>
          <w:color w:val="000000" w:themeColor="text1"/>
          <w:spacing w:val="1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前专项施工方案应当通过施工总承包单位审核和总监理工程师审查。</w:t>
      </w:r>
    </w:p>
    <w:p w14:paraId="798FF3E3">
      <w:pPr>
        <w:spacing w:before="208" w:line="301" w:lineRule="auto"/>
        <w:ind w:firstLine="48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5、危险性较大的分部分项工程清单及超过一</w:t>
      </w:r>
      <w:r>
        <w:rPr>
          <w:rFonts w:hint="eastAsia" w:ascii="宋体" w:hAnsi="宋体" w:eastAsia="宋体" w:cs="宋体"/>
          <w:color w:val="000000" w:themeColor="text1"/>
          <w:spacing w:val="1"/>
          <w:sz w:val="24"/>
          <w:szCs w:val="24"/>
          <w:highlight w:val="none"/>
          <w14:textFill>
            <w14:solidFill>
              <w14:schemeClr w14:val="tx1"/>
            </w14:solidFill>
          </w14:textFill>
        </w:rPr>
        <w:t>定规模的危险性较大的分部分项工程</w:t>
      </w:r>
      <w:r>
        <w:rPr>
          <w:rFonts w:hint="eastAsia" w:ascii="宋体" w:hAnsi="宋体" w:eastAsia="宋体" w:cs="宋体"/>
          <w:color w:val="000000" w:themeColor="text1"/>
          <w:spacing w:val="-4"/>
          <w:sz w:val="24"/>
          <w:szCs w:val="24"/>
          <w:highlight w:val="none"/>
          <w14:textFill>
            <w14:solidFill>
              <w14:schemeClr w14:val="tx1"/>
            </w14:solidFill>
          </w14:textFill>
        </w:rPr>
        <w:t>清单</w:t>
      </w:r>
    </w:p>
    <w:p w14:paraId="211A5215">
      <w:pPr>
        <w:spacing w:before="40"/>
        <w:rPr>
          <w:rFonts w:hint="eastAsia" w:ascii="宋体" w:hAnsi="宋体" w:eastAsia="宋体" w:cs="宋体"/>
          <w:color w:val="000000" w:themeColor="text1"/>
          <w:highlight w:val="none"/>
          <w14:textFill>
            <w14:solidFill>
              <w14:schemeClr w14:val="tx1"/>
            </w14:solidFill>
          </w14:textFill>
        </w:rPr>
      </w:pPr>
    </w:p>
    <w:tbl>
      <w:tblPr>
        <w:tblStyle w:val="12"/>
        <w:tblW w:w="98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4862"/>
        <w:gridCol w:w="1294"/>
        <w:gridCol w:w="1294"/>
        <w:gridCol w:w="2428"/>
      </w:tblGrid>
      <w:tr w14:paraId="1D6B3772">
        <w:tblPrEx>
          <w:tblCellMar>
            <w:top w:w="0" w:type="dxa"/>
            <w:left w:w="0" w:type="dxa"/>
            <w:bottom w:w="0" w:type="dxa"/>
            <w:right w:w="0" w:type="dxa"/>
          </w:tblCellMar>
        </w:tblPrEx>
        <w:trPr>
          <w:gridBefore w:val="1"/>
          <w:wBefore w:w="2" w:type="dxa"/>
          <w:trHeight w:val="0" w:hRule="atLeast"/>
        </w:trPr>
        <w:tc>
          <w:tcPr>
            <w:tcW w:w="4862" w:type="dxa"/>
            <w:vAlign w:val="top"/>
          </w:tcPr>
          <w:p w14:paraId="1C0C1314">
            <w:pPr>
              <w:spacing w:before="133" w:line="220" w:lineRule="auto"/>
              <w:ind w:firstLine="235" w:firstLineChars="100"/>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一、危险性较大的分部分项工程清单</w:t>
            </w:r>
          </w:p>
        </w:tc>
        <w:tc>
          <w:tcPr>
            <w:tcW w:w="1294" w:type="dxa"/>
            <w:vAlign w:val="top"/>
          </w:tcPr>
          <w:p w14:paraId="786821EB">
            <w:pPr>
              <w:spacing w:before="133" w:line="221" w:lineRule="auto"/>
              <w:ind w:left="206" w:leftChars="0"/>
              <w:rPr>
                <w:rFonts w:hint="eastAsia" w:ascii="宋体" w:hAnsi="宋体" w:eastAsia="宋体" w:cs="宋体"/>
                <w:color w:val="000000" w:themeColor="text1"/>
                <w:spacing w:val="-19"/>
                <w:w w:val="9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建设单位</w:t>
            </w:r>
          </w:p>
        </w:tc>
        <w:tc>
          <w:tcPr>
            <w:tcW w:w="1294" w:type="dxa"/>
            <w:vAlign w:val="top"/>
          </w:tcPr>
          <w:p w14:paraId="088710BC">
            <w:pPr>
              <w:spacing w:before="133" w:line="221" w:lineRule="auto"/>
              <w:ind w:left="205" w:leftChars="0"/>
              <w:rPr>
                <w:rFonts w:hint="eastAsia" w:ascii="宋体" w:hAnsi="宋体" w:eastAsia="宋体" w:cs="宋体"/>
                <w:color w:val="000000" w:themeColor="text1"/>
                <w:spacing w:val="-19"/>
                <w:w w:val="94"/>
                <w:sz w:val="24"/>
                <w:szCs w:val="24"/>
                <w:highlight w:val="none"/>
                <w14:textFill>
                  <w14:solidFill>
                    <w14:schemeClr w14:val="tx1"/>
                  </w14:solidFill>
                </w14:textFill>
              </w:rPr>
            </w:pPr>
            <w:r>
              <w:rPr>
                <w:rFonts w:hint="eastAsia" w:ascii="宋体" w:hAnsi="宋体" w:eastAsia="宋体" w:cs="宋体"/>
                <w:b/>
                <w:bCs/>
                <w:color w:val="000000" w:themeColor="text1"/>
                <w:spacing w:val="-5"/>
                <w:sz w:val="24"/>
                <w:szCs w:val="24"/>
                <w:highlight w:val="none"/>
                <w14:textFill>
                  <w14:solidFill>
                    <w14:schemeClr w14:val="tx1"/>
                  </w14:solidFill>
                </w14:textFill>
              </w:rPr>
              <w:t>投标单位</w:t>
            </w:r>
          </w:p>
        </w:tc>
        <w:tc>
          <w:tcPr>
            <w:tcW w:w="2428" w:type="dxa"/>
            <w:vAlign w:val="top"/>
          </w:tcPr>
          <w:p w14:paraId="5305F236">
            <w:pPr>
              <w:spacing w:before="133" w:line="222" w:lineRule="auto"/>
              <w:ind w:left="360" w:left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备注</w:t>
            </w:r>
          </w:p>
        </w:tc>
      </w:tr>
      <w:tr w14:paraId="7851F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12B4333">
            <w:pPr>
              <w:spacing w:before="128" w:line="221" w:lineRule="auto"/>
              <w:ind w:left="120" w:leftChars="0"/>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一、基坑支护</w:t>
            </w:r>
          </w:p>
        </w:tc>
        <w:tc>
          <w:tcPr>
            <w:tcW w:w="1294" w:type="dxa"/>
            <w:vAlign w:val="top"/>
          </w:tcPr>
          <w:p w14:paraId="40D210A2">
            <w:pPr>
              <w:spacing w:before="128" w:line="223" w:lineRule="auto"/>
              <w:jc w:val="center"/>
              <w:rPr>
                <w:rFonts w:hint="eastAsia" w:ascii="宋体" w:hAnsi="宋体" w:eastAsia="宋体" w:cs="宋体"/>
                <w:color w:val="000000" w:themeColor="text1"/>
                <w:spacing w:val="-19"/>
                <w:w w:val="94"/>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bookmarkStart w:id="266" w:name="OLE_LINK39"/>
            <w:r>
              <w:rPr>
                <w:rFonts w:hint="eastAsia" w:ascii="宋体" w:hAnsi="宋体" w:eastAsia="宋体" w:cs="宋体"/>
                <w:color w:val="000000" w:themeColor="text1"/>
                <w:spacing w:val="5"/>
                <w:sz w:val="24"/>
                <w:szCs w:val="24"/>
                <w:highlight w:val="none"/>
                <w14:textFill>
                  <w14:solidFill>
                    <w14:schemeClr w14:val="tx1"/>
                  </w14:solidFill>
                </w14:textFill>
              </w:rPr>
              <w:t xml:space="preserve">  </w:t>
            </w:r>
            <w:bookmarkEnd w:id="266"/>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790D24ED">
            <w:pPr>
              <w:spacing w:before="128" w:line="223" w:lineRule="auto"/>
              <w:ind w:left="367" w:leftChars="0"/>
              <w:rPr>
                <w:rFonts w:hint="eastAsia" w:ascii="宋体" w:hAnsi="宋体" w:eastAsia="宋体" w:cs="宋体"/>
                <w:color w:val="000000" w:themeColor="text1"/>
                <w:spacing w:val="-19"/>
                <w:w w:val="94"/>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5DE86A91">
            <w:pPr>
              <w:pStyle w:val="17"/>
              <w:rPr>
                <w:rFonts w:hint="eastAsia" w:ascii="宋体" w:hAnsi="宋体" w:eastAsia="宋体" w:cs="宋体"/>
                <w:color w:val="000000" w:themeColor="text1"/>
                <w:highlight w:val="none"/>
                <w14:textFill>
                  <w14:solidFill>
                    <w14:schemeClr w14:val="tx1"/>
                  </w14:solidFill>
                </w14:textFill>
              </w:rPr>
            </w:pPr>
          </w:p>
        </w:tc>
      </w:tr>
      <w:tr w14:paraId="17532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59197831">
            <w:pPr>
              <w:spacing w:before="129" w:line="328" w:lineRule="auto"/>
              <w:ind w:left="135" w:leftChars="0" w:right="68" w:rightChars="0" w:hanging="8" w:firstLineChars="0"/>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（一）开挖深度超过</w:t>
            </w:r>
            <w:r>
              <w:rPr>
                <w:rFonts w:hint="eastAsia" w:ascii="宋体" w:hAnsi="宋体" w:eastAsia="宋体" w:cs="宋体"/>
                <w:color w:val="000000" w:themeColor="text1"/>
                <w:spacing w:val="-2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3m（含</w:t>
            </w:r>
            <w:r>
              <w:rPr>
                <w:rFonts w:hint="eastAsia" w:ascii="宋体" w:hAnsi="宋体" w:eastAsia="宋体" w:cs="宋体"/>
                <w:color w:val="000000" w:themeColor="text1"/>
                <w:spacing w:val="-4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3m）的基坑（槽）</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的土方开挖、支护、降水工程。</w:t>
            </w:r>
          </w:p>
        </w:tc>
        <w:tc>
          <w:tcPr>
            <w:tcW w:w="1294" w:type="dxa"/>
            <w:vAlign w:val="top"/>
          </w:tcPr>
          <w:p w14:paraId="5B778EA3">
            <w:pPr>
              <w:pStyle w:val="17"/>
              <w:spacing w:line="297" w:lineRule="auto"/>
              <w:rPr>
                <w:rFonts w:hint="eastAsia" w:ascii="宋体" w:hAnsi="宋体" w:eastAsia="宋体" w:cs="宋体"/>
                <w:color w:val="000000" w:themeColor="text1"/>
                <w:highlight w:val="none"/>
                <w14:textFill>
                  <w14:solidFill>
                    <w14:schemeClr w14:val="tx1"/>
                  </w14:solidFill>
                </w14:textFill>
              </w:rPr>
            </w:pPr>
          </w:p>
          <w:p w14:paraId="680472A7">
            <w:pPr>
              <w:spacing w:before="78" w:line="223" w:lineRule="auto"/>
              <w:ind w:left="396" w:leftChars="0"/>
              <w:rPr>
                <w:rFonts w:hint="eastAsia" w:ascii="宋体" w:hAnsi="宋体" w:eastAsia="宋体" w:cs="宋体"/>
                <w:color w:val="000000" w:themeColor="text1"/>
                <w:spacing w:val="-19"/>
                <w:w w:val="94"/>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2CF74172">
            <w:pPr>
              <w:pStyle w:val="17"/>
              <w:spacing w:line="297" w:lineRule="auto"/>
              <w:rPr>
                <w:rFonts w:hint="eastAsia" w:ascii="宋体" w:hAnsi="宋体" w:eastAsia="宋体" w:cs="宋体"/>
                <w:color w:val="000000" w:themeColor="text1"/>
                <w:highlight w:val="none"/>
                <w14:textFill>
                  <w14:solidFill>
                    <w14:schemeClr w14:val="tx1"/>
                  </w14:solidFill>
                </w14:textFill>
              </w:rPr>
            </w:pPr>
          </w:p>
          <w:p w14:paraId="3E2C041A">
            <w:pPr>
              <w:spacing w:before="78" w:line="223" w:lineRule="auto"/>
              <w:ind w:left="367" w:leftChars="0"/>
              <w:rPr>
                <w:rFonts w:hint="eastAsia" w:ascii="宋体" w:hAnsi="宋体" w:eastAsia="宋体" w:cs="宋体"/>
                <w:color w:val="000000" w:themeColor="text1"/>
                <w:spacing w:val="-19"/>
                <w:w w:val="94"/>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577920F0">
            <w:pPr>
              <w:pStyle w:val="17"/>
              <w:rPr>
                <w:rFonts w:hint="eastAsia" w:ascii="宋体" w:hAnsi="宋体" w:eastAsia="宋体" w:cs="宋体"/>
                <w:color w:val="000000" w:themeColor="text1"/>
                <w:highlight w:val="none"/>
                <w14:textFill>
                  <w14:solidFill>
                    <w14:schemeClr w14:val="tx1"/>
                  </w14:solidFill>
                </w14:textFill>
              </w:rPr>
            </w:pPr>
          </w:p>
        </w:tc>
      </w:tr>
      <w:tr w14:paraId="3C180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5D2C12B">
            <w:pPr>
              <w:spacing w:before="132" w:line="354" w:lineRule="auto"/>
              <w:ind w:left="116" w:right="108" w:firstLine="11"/>
              <w:jc w:val="both"/>
              <w:rPr>
                <w:rFonts w:hint="eastAsia" w:ascii="宋体" w:hAnsi="宋体" w:eastAsia="宋体" w:cs="宋体"/>
                <w:color w:val="000000" w:themeColor="text1"/>
                <w:sz w:val="24"/>
                <w:szCs w:val="24"/>
                <w:highlight w:val="none"/>
                <w14:textFill>
                  <w14:solidFill>
                    <w14:schemeClr w14:val="tx1"/>
                  </w14:solidFill>
                </w14:textFill>
              </w:rPr>
            </w:pPr>
            <w:bookmarkStart w:id="267" w:name="bookmark161"/>
            <w:bookmarkEnd w:id="267"/>
            <w:r>
              <w:rPr>
                <w:rFonts w:hint="eastAsia" w:ascii="宋体" w:hAnsi="宋体" w:eastAsia="宋体" w:cs="宋体"/>
                <w:color w:val="000000" w:themeColor="text1"/>
                <w:spacing w:val="-2"/>
                <w:sz w:val="24"/>
                <w:szCs w:val="24"/>
                <w:highlight w:val="none"/>
                <w14:textFill>
                  <w14:solidFill>
                    <w14:schemeClr w14:val="tx1"/>
                  </w14:solidFill>
                </w14:textFill>
              </w:rPr>
              <w:t>（二）开挖深度虽未超过</w:t>
            </w:r>
            <w:r>
              <w:rPr>
                <w:rFonts w:hint="eastAsia" w:ascii="宋体" w:hAnsi="宋体" w:eastAsia="宋体" w:cs="宋体"/>
                <w:color w:val="000000" w:themeColor="text1"/>
                <w:spacing w:val="-4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3m，但地质条件、周</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围环境和地下管线复杂，或影响毗邻建、构筑</w:t>
            </w:r>
            <w:r>
              <w:rPr>
                <w:rFonts w:hint="eastAsia" w:ascii="宋体" w:hAnsi="宋体" w:eastAsia="宋体" w:cs="宋体"/>
                <w:color w:val="000000" w:themeColor="text1"/>
                <w:spacing w:val="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物安全的基坑（槽）的土方开挖、支护、降水</w:t>
            </w:r>
            <w:r>
              <w:rPr>
                <w:rFonts w:hint="eastAsia" w:ascii="宋体" w:hAnsi="宋体" w:eastAsia="宋体" w:cs="宋体"/>
                <w:color w:val="000000" w:themeColor="text1"/>
                <w:spacing w:val="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工程。</w:t>
            </w:r>
          </w:p>
        </w:tc>
        <w:tc>
          <w:tcPr>
            <w:tcW w:w="1294" w:type="dxa"/>
            <w:vAlign w:val="top"/>
          </w:tcPr>
          <w:p w14:paraId="678E3335">
            <w:pPr>
              <w:pStyle w:val="17"/>
              <w:spacing w:line="263" w:lineRule="auto"/>
              <w:rPr>
                <w:rFonts w:hint="eastAsia" w:ascii="宋体" w:hAnsi="宋体" w:eastAsia="宋体" w:cs="宋体"/>
                <w:color w:val="000000" w:themeColor="text1"/>
                <w:highlight w:val="none"/>
                <w14:textFill>
                  <w14:solidFill>
                    <w14:schemeClr w14:val="tx1"/>
                  </w14:solidFill>
                </w14:textFill>
              </w:rPr>
            </w:pPr>
          </w:p>
          <w:p w14:paraId="03E3E37B">
            <w:pPr>
              <w:pStyle w:val="17"/>
              <w:spacing w:line="263" w:lineRule="auto"/>
              <w:rPr>
                <w:rFonts w:hint="eastAsia" w:ascii="宋体" w:hAnsi="宋体" w:eastAsia="宋体" w:cs="宋体"/>
                <w:color w:val="000000" w:themeColor="text1"/>
                <w:highlight w:val="none"/>
                <w14:textFill>
                  <w14:solidFill>
                    <w14:schemeClr w14:val="tx1"/>
                  </w14:solidFill>
                </w14:textFill>
              </w:rPr>
            </w:pPr>
          </w:p>
          <w:p w14:paraId="07B348AA">
            <w:pPr>
              <w:pStyle w:val="17"/>
              <w:spacing w:line="264" w:lineRule="auto"/>
              <w:rPr>
                <w:rFonts w:hint="eastAsia" w:ascii="宋体" w:hAnsi="宋体" w:eastAsia="宋体" w:cs="宋体"/>
                <w:color w:val="000000" w:themeColor="text1"/>
                <w:highlight w:val="none"/>
                <w14:textFill>
                  <w14:solidFill>
                    <w14:schemeClr w14:val="tx1"/>
                  </w14:solidFill>
                </w14:textFill>
              </w:rPr>
            </w:pPr>
          </w:p>
          <w:p w14:paraId="09F5F156">
            <w:pPr>
              <w:spacing w:before="78"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bookmarkStart w:id="268" w:name="OLE_LINK40"/>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bookmarkEnd w:id="268"/>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49FC468F">
            <w:pPr>
              <w:pStyle w:val="17"/>
              <w:spacing w:line="263" w:lineRule="auto"/>
              <w:rPr>
                <w:rFonts w:hint="eastAsia" w:ascii="宋体" w:hAnsi="宋体" w:eastAsia="宋体" w:cs="宋体"/>
                <w:color w:val="000000" w:themeColor="text1"/>
                <w:highlight w:val="none"/>
                <w14:textFill>
                  <w14:solidFill>
                    <w14:schemeClr w14:val="tx1"/>
                  </w14:solidFill>
                </w14:textFill>
              </w:rPr>
            </w:pPr>
          </w:p>
          <w:p w14:paraId="573D6FDA">
            <w:pPr>
              <w:pStyle w:val="17"/>
              <w:spacing w:line="263" w:lineRule="auto"/>
              <w:rPr>
                <w:rFonts w:hint="eastAsia" w:ascii="宋体" w:hAnsi="宋体" w:eastAsia="宋体" w:cs="宋体"/>
                <w:color w:val="000000" w:themeColor="text1"/>
                <w:highlight w:val="none"/>
                <w14:textFill>
                  <w14:solidFill>
                    <w14:schemeClr w14:val="tx1"/>
                  </w14:solidFill>
                </w14:textFill>
              </w:rPr>
            </w:pPr>
          </w:p>
          <w:p w14:paraId="4B2551ED">
            <w:pPr>
              <w:pStyle w:val="17"/>
              <w:spacing w:line="264" w:lineRule="auto"/>
              <w:rPr>
                <w:rFonts w:hint="eastAsia" w:ascii="宋体" w:hAnsi="宋体" w:eastAsia="宋体" w:cs="宋体"/>
                <w:color w:val="000000" w:themeColor="text1"/>
                <w:highlight w:val="none"/>
                <w14:textFill>
                  <w14:solidFill>
                    <w14:schemeClr w14:val="tx1"/>
                  </w14:solidFill>
                </w14:textFill>
              </w:rPr>
            </w:pPr>
          </w:p>
          <w:p w14:paraId="036E5E26">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45D403E2">
            <w:pPr>
              <w:pStyle w:val="17"/>
              <w:rPr>
                <w:rFonts w:hint="eastAsia" w:ascii="宋体" w:hAnsi="宋体" w:eastAsia="宋体" w:cs="宋体"/>
                <w:color w:val="000000" w:themeColor="text1"/>
                <w:highlight w:val="none"/>
                <w14:textFill>
                  <w14:solidFill>
                    <w14:schemeClr w14:val="tx1"/>
                  </w14:solidFill>
                </w14:textFill>
              </w:rPr>
            </w:pPr>
          </w:p>
        </w:tc>
      </w:tr>
      <w:tr w14:paraId="04CB8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FF3CCA3">
            <w:pPr>
              <w:spacing w:before="128" w:line="219" w:lineRule="auto"/>
              <w:ind w:left="1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二、模板工程及支撑体系</w:t>
            </w:r>
          </w:p>
        </w:tc>
        <w:tc>
          <w:tcPr>
            <w:tcW w:w="1294" w:type="dxa"/>
            <w:vAlign w:val="top"/>
          </w:tcPr>
          <w:p w14:paraId="4F83F1A7">
            <w:pPr>
              <w:spacing w:before="128"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21DEA9D7">
            <w:pPr>
              <w:spacing w:before="12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23E66751">
            <w:pPr>
              <w:pStyle w:val="17"/>
              <w:rPr>
                <w:rFonts w:hint="eastAsia" w:ascii="宋体" w:hAnsi="宋体" w:eastAsia="宋体" w:cs="宋体"/>
                <w:color w:val="000000" w:themeColor="text1"/>
                <w:highlight w:val="none"/>
                <w14:textFill>
                  <w14:solidFill>
                    <w14:schemeClr w14:val="tx1"/>
                  </w14:solidFill>
                </w14:textFill>
              </w:rPr>
            </w:pPr>
          </w:p>
        </w:tc>
      </w:tr>
      <w:tr w14:paraId="15F75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2B42EF94">
            <w:pPr>
              <w:spacing w:before="128" w:line="328" w:lineRule="auto"/>
              <w:ind w:left="123" w:right="25" w:firstLine="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（一）各类工具式模板工程：包括滑模、爬模、</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飞模、隧道模等工程。</w:t>
            </w:r>
          </w:p>
        </w:tc>
        <w:tc>
          <w:tcPr>
            <w:tcW w:w="1294" w:type="dxa"/>
            <w:vAlign w:val="top"/>
          </w:tcPr>
          <w:p w14:paraId="62BE616C">
            <w:pPr>
              <w:pStyle w:val="17"/>
              <w:spacing w:line="293" w:lineRule="auto"/>
              <w:rPr>
                <w:rFonts w:hint="eastAsia" w:ascii="宋体" w:hAnsi="宋体" w:eastAsia="宋体" w:cs="宋体"/>
                <w:color w:val="000000" w:themeColor="text1"/>
                <w:highlight w:val="none"/>
                <w14:textFill>
                  <w14:solidFill>
                    <w14:schemeClr w14:val="tx1"/>
                  </w14:solidFill>
                </w14:textFill>
              </w:rPr>
            </w:pPr>
          </w:p>
          <w:p w14:paraId="20787877">
            <w:pPr>
              <w:spacing w:before="78"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30A3A5B2">
            <w:pPr>
              <w:pStyle w:val="17"/>
              <w:spacing w:line="293" w:lineRule="auto"/>
              <w:rPr>
                <w:rFonts w:hint="eastAsia" w:ascii="宋体" w:hAnsi="宋体" w:eastAsia="宋体" w:cs="宋体"/>
                <w:color w:val="000000" w:themeColor="text1"/>
                <w:highlight w:val="none"/>
                <w14:textFill>
                  <w14:solidFill>
                    <w14:schemeClr w14:val="tx1"/>
                  </w14:solidFill>
                </w14:textFill>
              </w:rPr>
            </w:pPr>
          </w:p>
          <w:p w14:paraId="4BAF713B">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76A6A71B">
            <w:pPr>
              <w:pStyle w:val="17"/>
              <w:rPr>
                <w:rFonts w:hint="eastAsia" w:ascii="宋体" w:hAnsi="宋体" w:eastAsia="宋体" w:cs="宋体"/>
                <w:color w:val="000000" w:themeColor="text1"/>
                <w:highlight w:val="none"/>
                <w14:textFill>
                  <w14:solidFill>
                    <w14:schemeClr w14:val="tx1"/>
                  </w14:solidFill>
                </w14:textFill>
              </w:rPr>
            </w:pPr>
          </w:p>
        </w:tc>
      </w:tr>
      <w:tr w14:paraId="41E75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6F44FF8A">
            <w:pPr>
              <w:spacing w:before="131" w:line="362" w:lineRule="auto"/>
              <w:ind w:left="115" w:right="105" w:firstLine="1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（二）混凝土模板支撑工程：搭设高度</w:t>
            </w:r>
            <w:r>
              <w:rPr>
                <w:rFonts w:hint="eastAsia" w:ascii="宋体" w:hAnsi="宋体" w:eastAsia="宋体" w:cs="宋体"/>
                <w:color w:val="000000" w:themeColor="text1"/>
                <w:spacing w:val="-4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5m</w:t>
            </w:r>
            <w:r>
              <w:rPr>
                <w:rFonts w:hint="eastAsia" w:ascii="宋体" w:hAnsi="宋体" w:eastAsia="宋体" w:cs="宋体"/>
                <w:color w:val="000000" w:themeColor="text1"/>
                <w:spacing w:val="-5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及以</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上，或搭设跨度</w:t>
            </w:r>
            <w:r>
              <w:rPr>
                <w:rFonts w:hint="eastAsia" w:ascii="宋体" w:hAnsi="宋体" w:eastAsia="宋体" w:cs="宋体"/>
                <w:color w:val="000000" w:themeColor="text1"/>
                <w:spacing w:val="-3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10m</w:t>
            </w:r>
            <w:r>
              <w:rPr>
                <w:rFonts w:hint="eastAsia" w:ascii="宋体" w:hAnsi="宋体" w:eastAsia="宋体" w:cs="宋体"/>
                <w:color w:val="000000" w:themeColor="text1"/>
                <w:spacing w:val="-5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及以上，或施工总荷</w:t>
            </w:r>
            <w:r>
              <w:rPr>
                <w:rFonts w:hint="eastAsia" w:ascii="宋体" w:hAnsi="宋体" w:eastAsia="宋体" w:cs="宋体"/>
                <w:color w:val="000000" w:themeColor="text1"/>
                <w:spacing w:val="-11"/>
                <w:sz w:val="24"/>
                <w:szCs w:val="24"/>
                <w:highlight w:val="none"/>
                <w14:textFill>
                  <w14:solidFill>
                    <w14:schemeClr w14:val="tx1"/>
                  </w14:solidFill>
                </w14:textFill>
              </w:rPr>
              <w:t>载（荷</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载效应基本组合的设计值，以下简称设计值）</w:t>
            </w:r>
            <w:r>
              <w:rPr>
                <w:rFonts w:hint="eastAsia" w:ascii="宋体" w:hAnsi="宋体" w:eastAsia="宋体" w:cs="宋体"/>
                <w:color w:val="000000" w:themeColor="text1"/>
                <w:spacing w:val="1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4"/>
                <w:sz w:val="24"/>
                <w:szCs w:val="24"/>
                <w:highlight w:val="none"/>
                <w14:textFill>
                  <w14:solidFill>
                    <w14:schemeClr w14:val="tx1"/>
                  </w14:solidFill>
                </w14:textFill>
              </w:rPr>
              <w:t>10kN/m2</w:t>
            </w:r>
            <w:r>
              <w:rPr>
                <w:rFonts w:hint="eastAsia" w:ascii="宋体" w:hAnsi="宋体" w:eastAsia="宋体" w:cs="宋体"/>
                <w:color w:val="000000" w:themeColor="text1"/>
                <w:spacing w:val="-3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4"/>
                <w:sz w:val="24"/>
                <w:szCs w:val="24"/>
                <w:highlight w:val="none"/>
                <w14:textFill>
                  <w14:solidFill>
                    <w14:schemeClr w14:val="tx1"/>
                  </w14:solidFill>
                </w14:textFill>
              </w:rPr>
              <w:t>及以上，或集中线荷载（设计值）15kN/m</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及以上，或高度大于支撑水平投影宽度且相对</w:t>
            </w:r>
            <w:r>
              <w:rPr>
                <w:rFonts w:hint="eastAsia" w:ascii="宋体" w:hAnsi="宋体" w:eastAsia="宋体" w:cs="宋体"/>
                <w:color w:val="000000" w:themeColor="text1"/>
                <w:spacing w:val="1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独立无联系构件的混凝土模板支撑工程。</w:t>
            </w:r>
          </w:p>
        </w:tc>
        <w:tc>
          <w:tcPr>
            <w:tcW w:w="1294" w:type="dxa"/>
            <w:vAlign w:val="top"/>
          </w:tcPr>
          <w:p w14:paraId="06D081D3">
            <w:pPr>
              <w:pStyle w:val="17"/>
              <w:spacing w:line="255" w:lineRule="auto"/>
              <w:rPr>
                <w:rFonts w:hint="eastAsia" w:ascii="宋体" w:hAnsi="宋体" w:eastAsia="宋体" w:cs="宋体"/>
                <w:color w:val="000000" w:themeColor="text1"/>
                <w:highlight w:val="none"/>
                <w14:textFill>
                  <w14:solidFill>
                    <w14:schemeClr w14:val="tx1"/>
                  </w14:solidFill>
                </w14:textFill>
              </w:rPr>
            </w:pPr>
          </w:p>
          <w:p w14:paraId="4A16BFFE">
            <w:pPr>
              <w:pStyle w:val="17"/>
              <w:spacing w:line="255" w:lineRule="auto"/>
              <w:rPr>
                <w:rFonts w:hint="eastAsia" w:ascii="宋体" w:hAnsi="宋体" w:eastAsia="宋体" w:cs="宋体"/>
                <w:color w:val="000000" w:themeColor="text1"/>
                <w:highlight w:val="none"/>
                <w14:textFill>
                  <w14:solidFill>
                    <w14:schemeClr w14:val="tx1"/>
                  </w14:solidFill>
                </w14:textFill>
              </w:rPr>
            </w:pPr>
          </w:p>
          <w:p w14:paraId="3A0F5923">
            <w:pPr>
              <w:pStyle w:val="17"/>
              <w:spacing w:line="255" w:lineRule="auto"/>
              <w:rPr>
                <w:rFonts w:hint="eastAsia" w:ascii="宋体" w:hAnsi="宋体" w:eastAsia="宋体" w:cs="宋体"/>
                <w:color w:val="000000" w:themeColor="text1"/>
                <w:highlight w:val="none"/>
                <w14:textFill>
                  <w14:solidFill>
                    <w14:schemeClr w14:val="tx1"/>
                  </w14:solidFill>
                </w14:textFill>
              </w:rPr>
            </w:pPr>
          </w:p>
          <w:p w14:paraId="0E04FF9F">
            <w:pPr>
              <w:pStyle w:val="17"/>
              <w:spacing w:line="255" w:lineRule="auto"/>
              <w:rPr>
                <w:rFonts w:hint="eastAsia" w:ascii="宋体" w:hAnsi="宋体" w:eastAsia="宋体" w:cs="宋体"/>
                <w:color w:val="000000" w:themeColor="text1"/>
                <w:highlight w:val="none"/>
                <w14:textFill>
                  <w14:solidFill>
                    <w14:schemeClr w14:val="tx1"/>
                  </w14:solidFill>
                </w14:textFill>
              </w:rPr>
            </w:pPr>
          </w:p>
          <w:p w14:paraId="14B37184">
            <w:pPr>
              <w:pStyle w:val="17"/>
              <w:spacing w:line="256" w:lineRule="auto"/>
              <w:rPr>
                <w:rFonts w:hint="eastAsia" w:ascii="宋体" w:hAnsi="宋体" w:eastAsia="宋体" w:cs="宋体"/>
                <w:color w:val="000000" w:themeColor="text1"/>
                <w:highlight w:val="none"/>
                <w14:textFill>
                  <w14:solidFill>
                    <w14:schemeClr w14:val="tx1"/>
                  </w14:solidFill>
                </w14:textFill>
              </w:rPr>
            </w:pPr>
          </w:p>
          <w:p w14:paraId="5A4F6FF6">
            <w:pPr>
              <w:spacing w:before="78" w:line="223"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2BC45176">
            <w:pPr>
              <w:pStyle w:val="17"/>
              <w:spacing w:line="255" w:lineRule="auto"/>
              <w:rPr>
                <w:rFonts w:hint="eastAsia" w:ascii="宋体" w:hAnsi="宋体" w:eastAsia="宋体" w:cs="宋体"/>
                <w:color w:val="000000" w:themeColor="text1"/>
                <w:highlight w:val="none"/>
                <w14:textFill>
                  <w14:solidFill>
                    <w14:schemeClr w14:val="tx1"/>
                  </w14:solidFill>
                </w14:textFill>
              </w:rPr>
            </w:pPr>
          </w:p>
          <w:p w14:paraId="6D487157">
            <w:pPr>
              <w:pStyle w:val="17"/>
              <w:spacing w:line="255" w:lineRule="auto"/>
              <w:rPr>
                <w:rFonts w:hint="eastAsia" w:ascii="宋体" w:hAnsi="宋体" w:eastAsia="宋体" w:cs="宋体"/>
                <w:color w:val="000000" w:themeColor="text1"/>
                <w:highlight w:val="none"/>
                <w14:textFill>
                  <w14:solidFill>
                    <w14:schemeClr w14:val="tx1"/>
                  </w14:solidFill>
                </w14:textFill>
              </w:rPr>
            </w:pPr>
          </w:p>
          <w:p w14:paraId="3E1CE66E">
            <w:pPr>
              <w:pStyle w:val="17"/>
              <w:spacing w:line="255" w:lineRule="auto"/>
              <w:rPr>
                <w:rFonts w:hint="eastAsia" w:ascii="宋体" w:hAnsi="宋体" w:eastAsia="宋体" w:cs="宋体"/>
                <w:color w:val="000000" w:themeColor="text1"/>
                <w:highlight w:val="none"/>
                <w14:textFill>
                  <w14:solidFill>
                    <w14:schemeClr w14:val="tx1"/>
                  </w14:solidFill>
                </w14:textFill>
              </w:rPr>
            </w:pPr>
          </w:p>
          <w:p w14:paraId="6A7FA7A1">
            <w:pPr>
              <w:pStyle w:val="17"/>
              <w:spacing w:line="255" w:lineRule="auto"/>
              <w:rPr>
                <w:rFonts w:hint="eastAsia" w:ascii="宋体" w:hAnsi="宋体" w:eastAsia="宋体" w:cs="宋体"/>
                <w:color w:val="000000" w:themeColor="text1"/>
                <w:highlight w:val="none"/>
                <w14:textFill>
                  <w14:solidFill>
                    <w14:schemeClr w14:val="tx1"/>
                  </w14:solidFill>
                </w14:textFill>
              </w:rPr>
            </w:pPr>
          </w:p>
          <w:p w14:paraId="12434D3D">
            <w:pPr>
              <w:pStyle w:val="17"/>
              <w:spacing w:line="256" w:lineRule="auto"/>
              <w:rPr>
                <w:rFonts w:hint="eastAsia" w:ascii="宋体" w:hAnsi="宋体" w:eastAsia="宋体" w:cs="宋体"/>
                <w:color w:val="000000" w:themeColor="text1"/>
                <w:highlight w:val="none"/>
                <w14:textFill>
                  <w14:solidFill>
                    <w14:schemeClr w14:val="tx1"/>
                  </w14:solidFill>
                </w14:textFill>
              </w:rPr>
            </w:pPr>
          </w:p>
          <w:p w14:paraId="1980D964">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1456E965">
            <w:pPr>
              <w:pStyle w:val="17"/>
              <w:rPr>
                <w:rFonts w:hint="eastAsia" w:ascii="宋体" w:hAnsi="宋体" w:eastAsia="宋体" w:cs="宋体"/>
                <w:color w:val="000000" w:themeColor="text1"/>
                <w:highlight w:val="none"/>
                <w14:textFill>
                  <w14:solidFill>
                    <w14:schemeClr w14:val="tx1"/>
                  </w14:solidFill>
                </w14:textFill>
              </w:rPr>
            </w:pPr>
          </w:p>
        </w:tc>
      </w:tr>
      <w:tr w14:paraId="4EC0E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F43D72D">
            <w:pPr>
              <w:spacing w:before="130" w:line="327" w:lineRule="auto"/>
              <w:ind w:left="117" w:right="168" w:firstLine="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（三）承重支撑体系：用于钢结构安装等满堂</w:t>
            </w:r>
            <w:r>
              <w:rPr>
                <w:rFonts w:hint="eastAsia" w:ascii="宋体" w:hAnsi="宋体" w:eastAsia="宋体" w:cs="宋体"/>
                <w:color w:val="000000" w:themeColor="text1"/>
                <w:spacing w:val="1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支撑体系。</w:t>
            </w:r>
          </w:p>
        </w:tc>
        <w:tc>
          <w:tcPr>
            <w:tcW w:w="1294" w:type="dxa"/>
            <w:vAlign w:val="top"/>
          </w:tcPr>
          <w:p w14:paraId="511D615D">
            <w:pPr>
              <w:pStyle w:val="17"/>
              <w:spacing w:line="296" w:lineRule="auto"/>
              <w:rPr>
                <w:rFonts w:hint="eastAsia" w:ascii="宋体" w:hAnsi="宋体" w:eastAsia="宋体" w:cs="宋体"/>
                <w:color w:val="000000" w:themeColor="text1"/>
                <w:highlight w:val="none"/>
                <w14:textFill>
                  <w14:solidFill>
                    <w14:schemeClr w14:val="tx1"/>
                  </w14:solidFill>
                </w14:textFill>
              </w:rPr>
            </w:pPr>
          </w:p>
          <w:p w14:paraId="65F0F42D">
            <w:pPr>
              <w:spacing w:before="78" w:line="223" w:lineRule="auto"/>
              <w:ind w:left="3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433D5358">
            <w:pPr>
              <w:pStyle w:val="17"/>
              <w:spacing w:line="296" w:lineRule="auto"/>
              <w:rPr>
                <w:rFonts w:hint="eastAsia" w:ascii="宋体" w:hAnsi="宋体" w:eastAsia="宋体" w:cs="宋体"/>
                <w:color w:val="000000" w:themeColor="text1"/>
                <w:highlight w:val="none"/>
                <w14:textFill>
                  <w14:solidFill>
                    <w14:schemeClr w14:val="tx1"/>
                  </w14:solidFill>
                </w14:textFill>
              </w:rPr>
            </w:pPr>
          </w:p>
          <w:p w14:paraId="0B3D0D91">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4DF9CE6A">
            <w:pPr>
              <w:pStyle w:val="17"/>
              <w:rPr>
                <w:rFonts w:hint="eastAsia" w:ascii="宋体" w:hAnsi="宋体" w:eastAsia="宋体" w:cs="宋体"/>
                <w:color w:val="000000" w:themeColor="text1"/>
                <w:highlight w:val="none"/>
                <w14:textFill>
                  <w14:solidFill>
                    <w14:schemeClr w14:val="tx1"/>
                  </w14:solidFill>
                </w14:textFill>
              </w:rPr>
            </w:pPr>
          </w:p>
        </w:tc>
      </w:tr>
      <w:tr w14:paraId="3A456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0E79A01C">
            <w:pPr>
              <w:spacing w:before="130" w:line="219" w:lineRule="auto"/>
              <w:ind w:left="35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三、起重吊装及起重机械安装拆卸工程</w:t>
            </w:r>
          </w:p>
        </w:tc>
        <w:tc>
          <w:tcPr>
            <w:tcW w:w="1294" w:type="dxa"/>
            <w:vAlign w:val="top"/>
          </w:tcPr>
          <w:p w14:paraId="76D8EB27">
            <w:pPr>
              <w:spacing w:before="129"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684F6761">
            <w:pPr>
              <w:spacing w:before="129"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1AB0041E">
            <w:pPr>
              <w:pStyle w:val="17"/>
              <w:rPr>
                <w:rFonts w:hint="eastAsia" w:ascii="宋体" w:hAnsi="宋体" w:eastAsia="宋体" w:cs="宋体"/>
                <w:color w:val="000000" w:themeColor="text1"/>
                <w:highlight w:val="none"/>
                <w14:textFill>
                  <w14:solidFill>
                    <w14:schemeClr w14:val="tx1"/>
                  </w14:solidFill>
                </w14:textFill>
              </w:rPr>
            </w:pPr>
          </w:p>
        </w:tc>
      </w:tr>
      <w:tr w14:paraId="1C2E0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CDD2F61">
            <w:pPr>
              <w:spacing w:before="131" w:line="327" w:lineRule="auto"/>
              <w:ind w:left="144" w:right="168" w:hanging="1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（一）采用非常规起重设备、方法，且单件起</w:t>
            </w:r>
            <w:r>
              <w:rPr>
                <w:rFonts w:hint="eastAsia" w:ascii="宋体" w:hAnsi="宋体" w:eastAsia="宋体" w:cs="宋体"/>
                <w:color w:val="000000" w:themeColor="text1"/>
                <w:spacing w:val="1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吊重量在</w:t>
            </w:r>
            <w:r>
              <w:rPr>
                <w:rFonts w:hint="eastAsia" w:ascii="宋体" w:hAnsi="宋体" w:eastAsia="宋体" w:cs="宋体"/>
                <w:color w:val="000000" w:themeColor="text1"/>
                <w:spacing w:val="-3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10kN</w:t>
            </w:r>
            <w:r>
              <w:rPr>
                <w:rFonts w:hint="eastAsia" w:ascii="宋体" w:hAnsi="宋体" w:eastAsia="宋体" w:cs="宋体"/>
                <w:color w:val="000000" w:themeColor="text1"/>
                <w:spacing w:val="-5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及以上的起重吊装工程。</w:t>
            </w:r>
          </w:p>
        </w:tc>
        <w:tc>
          <w:tcPr>
            <w:tcW w:w="1294" w:type="dxa"/>
            <w:vAlign w:val="top"/>
          </w:tcPr>
          <w:p w14:paraId="29DAD9F8">
            <w:pPr>
              <w:pStyle w:val="17"/>
              <w:spacing w:line="297" w:lineRule="auto"/>
              <w:rPr>
                <w:rFonts w:hint="eastAsia" w:ascii="宋体" w:hAnsi="宋体" w:eastAsia="宋体" w:cs="宋体"/>
                <w:color w:val="000000" w:themeColor="text1"/>
                <w:highlight w:val="none"/>
                <w14:textFill>
                  <w14:solidFill>
                    <w14:schemeClr w14:val="tx1"/>
                  </w14:solidFill>
                </w14:textFill>
              </w:rPr>
            </w:pPr>
          </w:p>
          <w:p w14:paraId="399CF0AA">
            <w:pPr>
              <w:spacing w:before="78"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3537BA4B">
            <w:pPr>
              <w:pStyle w:val="17"/>
              <w:spacing w:line="297" w:lineRule="auto"/>
              <w:rPr>
                <w:rFonts w:hint="eastAsia" w:ascii="宋体" w:hAnsi="宋体" w:eastAsia="宋体" w:cs="宋体"/>
                <w:color w:val="000000" w:themeColor="text1"/>
                <w:highlight w:val="none"/>
                <w14:textFill>
                  <w14:solidFill>
                    <w14:schemeClr w14:val="tx1"/>
                  </w14:solidFill>
                </w14:textFill>
              </w:rPr>
            </w:pPr>
          </w:p>
          <w:p w14:paraId="4107995C">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2189630F">
            <w:pPr>
              <w:pStyle w:val="17"/>
              <w:rPr>
                <w:rFonts w:hint="eastAsia" w:ascii="宋体" w:hAnsi="宋体" w:eastAsia="宋体" w:cs="宋体"/>
                <w:color w:val="000000" w:themeColor="text1"/>
                <w:highlight w:val="none"/>
                <w14:textFill>
                  <w14:solidFill>
                    <w14:schemeClr w14:val="tx1"/>
                  </w14:solidFill>
                </w14:textFill>
              </w:rPr>
            </w:pPr>
          </w:p>
        </w:tc>
      </w:tr>
      <w:tr w14:paraId="0CF08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00DA6BEA">
            <w:pPr>
              <w:spacing w:before="132" w:line="219" w:lineRule="auto"/>
              <w:ind w:left="1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（二）采用起重机械进行安装的工程。</w:t>
            </w:r>
          </w:p>
        </w:tc>
        <w:tc>
          <w:tcPr>
            <w:tcW w:w="1294" w:type="dxa"/>
            <w:vAlign w:val="top"/>
          </w:tcPr>
          <w:p w14:paraId="05D8A463">
            <w:pPr>
              <w:spacing w:before="131" w:line="223" w:lineRule="auto"/>
              <w:ind w:left="3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0902B328">
            <w:pPr>
              <w:spacing w:before="131"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363D3528">
            <w:pPr>
              <w:pStyle w:val="17"/>
              <w:rPr>
                <w:rFonts w:hint="eastAsia" w:ascii="宋体" w:hAnsi="宋体" w:eastAsia="宋体" w:cs="宋体"/>
                <w:color w:val="000000" w:themeColor="text1"/>
                <w:highlight w:val="none"/>
                <w14:textFill>
                  <w14:solidFill>
                    <w14:schemeClr w14:val="tx1"/>
                  </w14:solidFill>
                </w14:textFill>
              </w:rPr>
            </w:pPr>
          </w:p>
        </w:tc>
      </w:tr>
      <w:tr w14:paraId="1DB15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12F4B30C">
            <w:pPr>
              <w:spacing w:before="130" w:line="219" w:lineRule="auto"/>
              <w:ind w:left="1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（三）起重机械安装和拆卸工程。</w:t>
            </w:r>
          </w:p>
        </w:tc>
        <w:tc>
          <w:tcPr>
            <w:tcW w:w="1294" w:type="dxa"/>
            <w:vAlign w:val="top"/>
          </w:tcPr>
          <w:p w14:paraId="429C4D99">
            <w:pPr>
              <w:spacing w:before="129" w:line="223" w:lineRule="auto"/>
              <w:ind w:left="3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6E377759">
            <w:pPr>
              <w:spacing w:before="129"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2D68036D">
            <w:pPr>
              <w:pStyle w:val="17"/>
              <w:rPr>
                <w:rFonts w:hint="eastAsia" w:ascii="宋体" w:hAnsi="宋体" w:eastAsia="宋体" w:cs="宋体"/>
                <w:color w:val="000000" w:themeColor="text1"/>
                <w:highlight w:val="none"/>
                <w14:textFill>
                  <w14:solidFill>
                    <w14:schemeClr w14:val="tx1"/>
                  </w14:solidFill>
                </w14:textFill>
              </w:rPr>
            </w:pPr>
          </w:p>
        </w:tc>
      </w:tr>
      <w:tr w14:paraId="09A8E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13B4E193">
            <w:pPr>
              <w:spacing w:before="131" w:line="219" w:lineRule="auto"/>
              <w:ind w:left="13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四、脚手架工程</w:t>
            </w:r>
          </w:p>
        </w:tc>
        <w:tc>
          <w:tcPr>
            <w:tcW w:w="1294" w:type="dxa"/>
            <w:vAlign w:val="top"/>
          </w:tcPr>
          <w:p w14:paraId="4B0E76C9">
            <w:pPr>
              <w:spacing w:before="130" w:line="223" w:lineRule="auto"/>
              <w:ind w:left="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35E1DB8D">
            <w:pPr>
              <w:spacing w:before="130"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1596A5DC">
            <w:pPr>
              <w:pStyle w:val="17"/>
              <w:rPr>
                <w:rFonts w:hint="eastAsia" w:ascii="宋体" w:hAnsi="宋体" w:eastAsia="宋体" w:cs="宋体"/>
                <w:color w:val="000000" w:themeColor="text1"/>
                <w:highlight w:val="none"/>
                <w14:textFill>
                  <w14:solidFill>
                    <w14:schemeClr w14:val="tx1"/>
                  </w14:solidFill>
                </w14:textFill>
              </w:rPr>
            </w:pPr>
          </w:p>
        </w:tc>
      </w:tr>
      <w:tr w14:paraId="50A15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615C7215">
            <w:pPr>
              <w:spacing w:before="130" w:line="327" w:lineRule="auto"/>
              <w:ind w:left="117" w:right="168" w:firstLine="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（一）搭设高度</w:t>
            </w:r>
            <w:r>
              <w:rPr>
                <w:rFonts w:hint="eastAsia" w:ascii="宋体" w:hAnsi="宋体" w:eastAsia="宋体" w:cs="宋体"/>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24m</w:t>
            </w:r>
            <w:r>
              <w:rPr>
                <w:rFonts w:hint="eastAsia" w:ascii="宋体" w:hAnsi="宋体" w:eastAsia="宋体" w:cs="宋体"/>
                <w:color w:val="000000" w:themeColor="text1"/>
                <w:spacing w:val="-5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及以上的落地式钢管脚手</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架工程（包括采光井、电梯井脚手架）。</w:t>
            </w:r>
          </w:p>
        </w:tc>
        <w:tc>
          <w:tcPr>
            <w:tcW w:w="1294" w:type="dxa"/>
            <w:vAlign w:val="top"/>
          </w:tcPr>
          <w:p w14:paraId="321FD4AD">
            <w:pPr>
              <w:pStyle w:val="17"/>
              <w:spacing w:line="297" w:lineRule="auto"/>
              <w:rPr>
                <w:rFonts w:hint="eastAsia" w:ascii="宋体" w:hAnsi="宋体" w:eastAsia="宋体" w:cs="宋体"/>
                <w:color w:val="000000" w:themeColor="text1"/>
                <w:highlight w:val="none"/>
                <w14:textFill>
                  <w14:solidFill>
                    <w14:schemeClr w14:val="tx1"/>
                  </w14:solidFill>
                </w14:textFill>
              </w:rPr>
            </w:pPr>
          </w:p>
          <w:p w14:paraId="679F5793">
            <w:pPr>
              <w:spacing w:before="78" w:line="223"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0CD0218D">
            <w:pPr>
              <w:pStyle w:val="17"/>
              <w:spacing w:line="297" w:lineRule="auto"/>
              <w:rPr>
                <w:rFonts w:hint="eastAsia" w:ascii="宋体" w:hAnsi="宋体" w:eastAsia="宋体" w:cs="宋体"/>
                <w:color w:val="000000" w:themeColor="text1"/>
                <w:highlight w:val="none"/>
                <w14:textFill>
                  <w14:solidFill>
                    <w14:schemeClr w14:val="tx1"/>
                  </w14:solidFill>
                </w14:textFill>
              </w:rPr>
            </w:pPr>
          </w:p>
          <w:p w14:paraId="634A98EC">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5D925227">
            <w:pPr>
              <w:pStyle w:val="17"/>
              <w:rPr>
                <w:rFonts w:hint="eastAsia" w:ascii="宋体" w:hAnsi="宋体" w:eastAsia="宋体" w:cs="宋体"/>
                <w:color w:val="000000" w:themeColor="text1"/>
                <w:highlight w:val="none"/>
                <w14:textFill>
                  <w14:solidFill>
                    <w14:schemeClr w14:val="tx1"/>
                  </w14:solidFill>
                </w14:textFill>
              </w:rPr>
            </w:pPr>
          </w:p>
        </w:tc>
      </w:tr>
      <w:tr w14:paraId="09B47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079A4E32">
            <w:pPr>
              <w:spacing w:before="131" w:line="219" w:lineRule="auto"/>
              <w:ind w:left="1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（二）附着式升降脚手架工程。</w:t>
            </w:r>
          </w:p>
        </w:tc>
        <w:tc>
          <w:tcPr>
            <w:tcW w:w="1294" w:type="dxa"/>
            <w:vAlign w:val="top"/>
          </w:tcPr>
          <w:p w14:paraId="2834041E">
            <w:pPr>
              <w:spacing w:before="130" w:line="223" w:lineRule="auto"/>
              <w:ind w:left="2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19E1B740">
            <w:pPr>
              <w:spacing w:before="130"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0CAC225D">
            <w:pPr>
              <w:pStyle w:val="17"/>
              <w:rPr>
                <w:rFonts w:hint="eastAsia" w:ascii="宋体" w:hAnsi="宋体" w:eastAsia="宋体" w:cs="宋体"/>
                <w:color w:val="000000" w:themeColor="text1"/>
                <w:highlight w:val="none"/>
                <w14:textFill>
                  <w14:solidFill>
                    <w14:schemeClr w14:val="tx1"/>
                  </w14:solidFill>
                </w14:textFill>
              </w:rPr>
            </w:pPr>
          </w:p>
        </w:tc>
      </w:tr>
      <w:tr w14:paraId="236F1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474FFC9B">
            <w:pPr>
              <w:spacing w:before="132" w:line="219" w:lineRule="auto"/>
              <w:ind w:left="1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（三）悬挑式脚手架工程。</w:t>
            </w:r>
          </w:p>
        </w:tc>
        <w:tc>
          <w:tcPr>
            <w:tcW w:w="1294" w:type="dxa"/>
            <w:vAlign w:val="top"/>
          </w:tcPr>
          <w:p w14:paraId="5E7432E5">
            <w:pPr>
              <w:spacing w:before="131" w:line="223" w:lineRule="auto"/>
              <w:ind w:left="2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07D49CBE">
            <w:pPr>
              <w:spacing w:before="131"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06E687F2">
            <w:pPr>
              <w:pStyle w:val="17"/>
              <w:rPr>
                <w:rFonts w:hint="eastAsia" w:ascii="宋体" w:hAnsi="宋体" w:eastAsia="宋体" w:cs="宋体"/>
                <w:color w:val="000000" w:themeColor="text1"/>
                <w:highlight w:val="none"/>
                <w14:textFill>
                  <w14:solidFill>
                    <w14:schemeClr w14:val="tx1"/>
                  </w14:solidFill>
                </w14:textFill>
              </w:rPr>
            </w:pPr>
          </w:p>
        </w:tc>
      </w:tr>
      <w:tr w14:paraId="5EB78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40A65585">
            <w:pPr>
              <w:spacing w:before="131" w:line="220" w:lineRule="auto"/>
              <w:ind w:left="1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（四）高处作业吊篮。</w:t>
            </w:r>
          </w:p>
        </w:tc>
        <w:tc>
          <w:tcPr>
            <w:tcW w:w="1294" w:type="dxa"/>
            <w:vAlign w:val="top"/>
          </w:tcPr>
          <w:p w14:paraId="14F1C253">
            <w:pPr>
              <w:spacing w:before="131"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355D4A21">
            <w:pPr>
              <w:spacing w:before="131"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671AEFFD">
            <w:pPr>
              <w:pStyle w:val="17"/>
              <w:rPr>
                <w:rFonts w:hint="eastAsia" w:ascii="宋体" w:hAnsi="宋体" w:eastAsia="宋体" w:cs="宋体"/>
                <w:color w:val="000000" w:themeColor="text1"/>
                <w:highlight w:val="none"/>
                <w14:textFill>
                  <w14:solidFill>
                    <w14:schemeClr w14:val="tx1"/>
                  </w14:solidFill>
                </w14:textFill>
              </w:rPr>
            </w:pPr>
          </w:p>
        </w:tc>
      </w:tr>
      <w:tr w14:paraId="5BFCB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6D85820">
            <w:pPr>
              <w:spacing w:before="132" w:line="220" w:lineRule="auto"/>
              <w:ind w:left="1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（五）卸料平台、操作平台工程。</w:t>
            </w:r>
          </w:p>
        </w:tc>
        <w:tc>
          <w:tcPr>
            <w:tcW w:w="1294" w:type="dxa"/>
            <w:vAlign w:val="top"/>
          </w:tcPr>
          <w:p w14:paraId="24DA6B96">
            <w:pPr>
              <w:spacing w:before="132" w:line="223" w:lineRule="auto"/>
              <w:ind w:left="2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5972CBB8">
            <w:pPr>
              <w:spacing w:before="132"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3D335B2E">
            <w:pPr>
              <w:pStyle w:val="17"/>
              <w:rPr>
                <w:rFonts w:hint="eastAsia" w:ascii="宋体" w:hAnsi="宋体" w:eastAsia="宋体" w:cs="宋体"/>
                <w:color w:val="000000" w:themeColor="text1"/>
                <w:highlight w:val="none"/>
                <w14:textFill>
                  <w14:solidFill>
                    <w14:schemeClr w14:val="tx1"/>
                  </w14:solidFill>
                </w14:textFill>
              </w:rPr>
            </w:pPr>
          </w:p>
        </w:tc>
      </w:tr>
      <w:tr w14:paraId="19049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C96EB0E">
            <w:pPr>
              <w:spacing w:before="133" w:line="219" w:lineRule="auto"/>
              <w:ind w:left="1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（六）异型脚手架工程。</w:t>
            </w:r>
          </w:p>
        </w:tc>
        <w:tc>
          <w:tcPr>
            <w:tcW w:w="1294" w:type="dxa"/>
            <w:vAlign w:val="top"/>
          </w:tcPr>
          <w:p w14:paraId="2920519C">
            <w:pPr>
              <w:spacing w:before="132"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66F0ED25">
            <w:pPr>
              <w:spacing w:before="132"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616F9989">
            <w:pPr>
              <w:pStyle w:val="17"/>
              <w:rPr>
                <w:rFonts w:hint="eastAsia" w:ascii="宋体" w:hAnsi="宋体" w:eastAsia="宋体" w:cs="宋体"/>
                <w:color w:val="000000" w:themeColor="text1"/>
                <w:highlight w:val="none"/>
                <w14:textFill>
                  <w14:solidFill>
                    <w14:schemeClr w14:val="tx1"/>
                  </w14:solidFill>
                </w14:textFill>
              </w:rPr>
            </w:pPr>
          </w:p>
        </w:tc>
      </w:tr>
      <w:tr w14:paraId="7684B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DB2BD6B">
            <w:pPr>
              <w:spacing w:before="131" w:line="220" w:lineRule="auto"/>
              <w:ind w:left="120"/>
              <w:rPr>
                <w:rFonts w:hint="eastAsia" w:ascii="宋体" w:hAnsi="宋体" w:eastAsia="宋体" w:cs="宋体"/>
                <w:color w:val="000000" w:themeColor="text1"/>
                <w:sz w:val="24"/>
                <w:szCs w:val="24"/>
                <w:highlight w:val="none"/>
                <w14:textFill>
                  <w14:solidFill>
                    <w14:schemeClr w14:val="tx1"/>
                  </w14:solidFill>
                </w14:textFill>
              </w:rPr>
            </w:pPr>
            <w:bookmarkStart w:id="269" w:name="bookmark162"/>
            <w:bookmarkEnd w:id="269"/>
            <w:r>
              <w:rPr>
                <w:rFonts w:hint="eastAsia" w:ascii="宋体" w:hAnsi="宋体" w:eastAsia="宋体" w:cs="宋体"/>
                <w:color w:val="000000" w:themeColor="text1"/>
                <w:spacing w:val="-3"/>
                <w:sz w:val="24"/>
                <w:szCs w:val="24"/>
                <w:highlight w:val="none"/>
                <w14:textFill>
                  <w14:solidFill>
                    <w14:schemeClr w14:val="tx1"/>
                  </w14:solidFill>
                </w14:textFill>
              </w:rPr>
              <w:t>五、拆除工程</w:t>
            </w:r>
          </w:p>
        </w:tc>
        <w:tc>
          <w:tcPr>
            <w:tcW w:w="1294" w:type="dxa"/>
            <w:vAlign w:val="top"/>
          </w:tcPr>
          <w:p w14:paraId="1F592663">
            <w:pPr>
              <w:spacing w:before="131" w:line="223" w:lineRule="auto"/>
              <w:ind w:left="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397AE92B">
            <w:pPr>
              <w:spacing w:before="131"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6B23CF5F">
            <w:pPr>
              <w:pStyle w:val="17"/>
              <w:rPr>
                <w:rFonts w:hint="eastAsia" w:ascii="宋体" w:hAnsi="宋体" w:eastAsia="宋体" w:cs="宋体"/>
                <w:color w:val="000000" w:themeColor="text1"/>
                <w:highlight w:val="none"/>
                <w14:textFill>
                  <w14:solidFill>
                    <w14:schemeClr w14:val="tx1"/>
                  </w14:solidFill>
                </w14:textFill>
              </w:rPr>
            </w:pPr>
          </w:p>
        </w:tc>
      </w:tr>
      <w:tr w14:paraId="4E835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355B08F">
            <w:pPr>
              <w:spacing w:before="126" w:line="329" w:lineRule="auto"/>
              <w:ind w:left="117" w:right="1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可能影响行人、交通、电力设施、通讯设施或</w:t>
            </w:r>
            <w:r>
              <w:rPr>
                <w:rFonts w:hint="eastAsia" w:ascii="宋体" w:hAnsi="宋体" w:eastAsia="宋体" w:cs="宋体"/>
                <w:color w:val="000000" w:themeColor="text1"/>
                <w:spacing w:val="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其它建、构筑物安全的拆除工程。</w:t>
            </w:r>
          </w:p>
        </w:tc>
        <w:tc>
          <w:tcPr>
            <w:tcW w:w="1294" w:type="dxa"/>
            <w:vAlign w:val="top"/>
          </w:tcPr>
          <w:p w14:paraId="0A9FAFF7">
            <w:pPr>
              <w:pStyle w:val="17"/>
              <w:spacing w:line="294" w:lineRule="auto"/>
              <w:rPr>
                <w:rFonts w:hint="eastAsia" w:ascii="宋体" w:hAnsi="宋体" w:eastAsia="宋体" w:cs="宋体"/>
                <w:color w:val="000000" w:themeColor="text1"/>
                <w:highlight w:val="none"/>
                <w14:textFill>
                  <w14:solidFill>
                    <w14:schemeClr w14:val="tx1"/>
                  </w14:solidFill>
                </w14:textFill>
              </w:rPr>
            </w:pPr>
          </w:p>
          <w:p w14:paraId="34B3FB96">
            <w:pPr>
              <w:spacing w:before="78" w:line="223" w:lineRule="auto"/>
              <w:ind w:left="3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6D9904E6">
            <w:pPr>
              <w:pStyle w:val="17"/>
              <w:spacing w:line="294" w:lineRule="auto"/>
              <w:rPr>
                <w:rFonts w:hint="eastAsia" w:ascii="宋体" w:hAnsi="宋体" w:eastAsia="宋体" w:cs="宋体"/>
                <w:color w:val="000000" w:themeColor="text1"/>
                <w:highlight w:val="none"/>
                <w14:textFill>
                  <w14:solidFill>
                    <w14:schemeClr w14:val="tx1"/>
                  </w14:solidFill>
                </w14:textFill>
              </w:rPr>
            </w:pPr>
          </w:p>
          <w:p w14:paraId="4D0D520C">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650FEA8A">
            <w:pPr>
              <w:pStyle w:val="17"/>
              <w:rPr>
                <w:rFonts w:hint="eastAsia" w:ascii="宋体" w:hAnsi="宋体" w:eastAsia="宋体" w:cs="宋体"/>
                <w:color w:val="000000" w:themeColor="text1"/>
                <w:highlight w:val="none"/>
                <w14:textFill>
                  <w14:solidFill>
                    <w14:schemeClr w14:val="tx1"/>
                  </w14:solidFill>
                </w14:textFill>
              </w:rPr>
            </w:pPr>
          </w:p>
        </w:tc>
      </w:tr>
      <w:tr w14:paraId="66C11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0BEE0B8">
            <w:pPr>
              <w:spacing w:before="126" w:line="221" w:lineRule="auto"/>
              <w:ind w:left="35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六、暗挖工程</w:t>
            </w:r>
          </w:p>
        </w:tc>
        <w:tc>
          <w:tcPr>
            <w:tcW w:w="1294" w:type="dxa"/>
            <w:vAlign w:val="top"/>
          </w:tcPr>
          <w:p w14:paraId="096738AD">
            <w:pPr>
              <w:spacing w:before="126"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62FCEA97">
            <w:pPr>
              <w:spacing w:before="126"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5EFB7B18">
            <w:pPr>
              <w:pStyle w:val="17"/>
              <w:rPr>
                <w:rFonts w:hint="eastAsia" w:ascii="宋体" w:hAnsi="宋体" w:eastAsia="宋体" w:cs="宋体"/>
                <w:color w:val="000000" w:themeColor="text1"/>
                <w:highlight w:val="none"/>
                <w14:textFill>
                  <w14:solidFill>
                    <w14:schemeClr w14:val="tx1"/>
                  </w14:solidFill>
                </w14:textFill>
              </w:rPr>
            </w:pPr>
          </w:p>
        </w:tc>
      </w:tr>
      <w:tr w14:paraId="050D5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DD12E32">
            <w:pPr>
              <w:spacing w:before="128" w:line="328" w:lineRule="auto"/>
              <w:ind w:left="119" w:right="168" w:hanging="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采用矿山法、盾构法、顶管法施工的隧道、洞</w:t>
            </w:r>
            <w:r>
              <w:rPr>
                <w:rFonts w:hint="eastAsia" w:ascii="宋体" w:hAnsi="宋体" w:eastAsia="宋体" w:cs="宋体"/>
                <w:color w:val="000000" w:themeColor="text1"/>
                <w:spacing w:val="1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室工程。</w:t>
            </w:r>
          </w:p>
        </w:tc>
        <w:tc>
          <w:tcPr>
            <w:tcW w:w="1294" w:type="dxa"/>
            <w:vAlign w:val="top"/>
          </w:tcPr>
          <w:p w14:paraId="41A2393E">
            <w:pPr>
              <w:pStyle w:val="17"/>
              <w:spacing w:line="294" w:lineRule="auto"/>
              <w:rPr>
                <w:rFonts w:hint="eastAsia" w:ascii="宋体" w:hAnsi="宋体" w:eastAsia="宋体" w:cs="宋体"/>
                <w:color w:val="000000" w:themeColor="text1"/>
                <w:highlight w:val="none"/>
                <w14:textFill>
                  <w14:solidFill>
                    <w14:schemeClr w14:val="tx1"/>
                  </w14:solidFill>
                </w14:textFill>
              </w:rPr>
            </w:pPr>
          </w:p>
          <w:p w14:paraId="3183CE4F">
            <w:pPr>
              <w:spacing w:before="78"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2B4F68CC">
            <w:pPr>
              <w:pStyle w:val="17"/>
              <w:spacing w:line="294" w:lineRule="auto"/>
              <w:rPr>
                <w:rFonts w:hint="eastAsia" w:ascii="宋体" w:hAnsi="宋体" w:eastAsia="宋体" w:cs="宋体"/>
                <w:color w:val="000000" w:themeColor="text1"/>
                <w:highlight w:val="none"/>
                <w14:textFill>
                  <w14:solidFill>
                    <w14:schemeClr w14:val="tx1"/>
                  </w14:solidFill>
                </w14:textFill>
              </w:rPr>
            </w:pPr>
          </w:p>
          <w:p w14:paraId="1E79BD64">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2A19A2ED">
            <w:pPr>
              <w:pStyle w:val="17"/>
              <w:rPr>
                <w:rFonts w:hint="eastAsia" w:ascii="宋体" w:hAnsi="宋体" w:eastAsia="宋体" w:cs="宋体"/>
                <w:color w:val="000000" w:themeColor="text1"/>
                <w:highlight w:val="none"/>
                <w14:textFill>
                  <w14:solidFill>
                    <w14:schemeClr w14:val="tx1"/>
                  </w14:solidFill>
                </w14:textFill>
              </w:rPr>
            </w:pPr>
          </w:p>
        </w:tc>
      </w:tr>
      <w:tr w14:paraId="5B294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FE7E493">
            <w:pPr>
              <w:spacing w:before="129" w:line="222" w:lineRule="auto"/>
              <w:ind w:left="11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七、其它</w:t>
            </w:r>
          </w:p>
        </w:tc>
        <w:tc>
          <w:tcPr>
            <w:tcW w:w="1294" w:type="dxa"/>
            <w:vAlign w:val="top"/>
          </w:tcPr>
          <w:p w14:paraId="277DB7A9">
            <w:pPr>
              <w:spacing w:before="129"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45BBDAB4">
            <w:pPr>
              <w:spacing w:before="129"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29140078">
            <w:pPr>
              <w:pStyle w:val="17"/>
              <w:rPr>
                <w:rFonts w:hint="eastAsia" w:ascii="宋体" w:hAnsi="宋体" w:eastAsia="宋体" w:cs="宋体"/>
                <w:color w:val="000000" w:themeColor="text1"/>
                <w:highlight w:val="none"/>
                <w14:textFill>
                  <w14:solidFill>
                    <w14:schemeClr w14:val="tx1"/>
                  </w14:solidFill>
                </w14:textFill>
              </w:rPr>
            </w:pPr>
          </w:p>
        </w:tc>
      </w:tr>
      <w:tr w14:paraId="08706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247EBC8">
            <w:pPr>
              <w:spacing w:before="128" w:line="219" w:lineRule="auto"/>
              <w:ind w:left="1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（一）建筑幕墙安装工程。</w:t>
            </w:r>
          </w:p>
        </w:tc>
        <w:tc>
          <w:tcPr>
            <w:tcW w:w="1294" w:type="dxa"/>
            <w:vAlign w:val="top"/>
          </w:tcPr>
          <w:p w14:paraId="594F7240">
            <w:pPr>
              <w:spacing w:before="127"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63358343">
            <w:pPr>
              <w:spacing w:before="127"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1A6B694E">
            <w:pPr>
              <w:pStyle w:val="17"/>
              <w:rPr>
                <w:rFonts w:hint="eastAsia" w:ascii="宋体" w:hAnsi="宋体" w:eastAsia="宋体" w:cs="宋体"/>
                <w:color w:val="000000" w:themeColor="text1"/>
                <w:highlight w:val="none"/>
                <w14:textFill>
                  <w14:solidFill>
                    <w14:schemeClr w14:val="tx1"/>
                  </w14:solidFill>
                </w14:textFill>
              </w:rPr>
            </w:pPr>
          </w:p>
        </w:tc>
      </w:tr>
      <w:tr w14:paraId="40834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6116876">
            <w:pPr>
              <w:spacing w:before="128" w:line="221" w:lineRule="auto"/>
              <w:ind w:left="1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（二）钢结构、网架和索膜结构安装工程。</w:t>
            </w:r>
          </w:p>
        </w:tc>
        <w:tc>
          <w:tcPr>
            <w:tcW w:w="1294" w:type="dxa"/>
            <w:vAlign w:val="top"/>
          </w:tcPr>
          <w:p w14:paraId="571DD0F6">
            <w:pPr>
              <w:spacing w:before="128"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7B1AA7CA">
            <w:pPr>
              <w:spacing w:before="12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56810C91">
            <w:pPr>
              <w:pStyle w:val="17"/>
              <w:rPr>
                <w:rFonts w:hint="eastAsia" w:ascii="宋体" w:hAnsi="宋体" w:eastAsia="宋体" w:cs="宋体"/>
                <w:color w:val="000000" w:themeColor="text1"/>
                <w:highlight w:val="none"/>
                <w14:textFill>
                  <w14:solidFill>
                    <w14:schemeClr w14:val="tx1"/>
                  </w14:solidFill>
                </w14:textFill>
              </w:rPr>
            </w:pPr>
          </w:p>
        </w:tc>
      </w:tr>
      <w:tr w14:paraId="2E9BE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0279A1D">
            <w:pPr>
              <w:spacing w:before="128" w:line="220" w:lineRule="auto"/>
              <w:ind w:left="1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（三）人工挖孔桩工程。</w:t>
            </w:r>
          </w:p>
        </w:tc>
        <w:tc>
          <w:tcPr>
            <w:tcW w:w="1294" w:type="dxa"/>
            <w:vAlign w:val="top"/>
          </w:tcPr>
          <w:p w14:paraId="68A4C3FD">
            <w:pPr>
              <w:spacing w:before="128"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0D9EDFFA">
            <w:pPr>
              <w:spacing w:before="12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628B0F19">
            <w:pPr>
              <w:pStyle w:val="17"/>
              <w:rPr>
                <w:rFonts w:hint="eastAsia" w:ascii="宋体" w:hAnsi="宋体" w:eastAsia="宋体" w:cs="宋体"/>
                <w:color w:val="000000" w:themeColor="text1"/>
                <w:highlight w:val="none"/>
                <w14:textFill>
                  <w14:solidFill>
                    <w14:schemeClr w14:val="tx1"/>
                  </w14:solidFill>
                </w14:textFill>
              </w:rPr>
            </w:pPr>
          </w:p>
        </w:tc>
      </w:tr>
      <w:tr w14:paraId="38173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7968F35">
            <w:pPr>
              <w:spacing w:before="129" w:line="220" w:lineRule="auto"/>
              <w:ind w:left="1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（四）水下作业工程。</w:t>
            </w:r>
          </w:p>
        </w:tc>
        <w:tc>
          <w:tcPr>
            <w:tcW w:w="1294" w:type="dxa"/>
            <w:vAlign w:val="top"/>
          </w:tcPr>
          <w:p w14:paraId="5BBFC845">
            <w:pPr>
              <w:spacing w:before="129"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211E41E3">
            <w:pPr>
              <w:spacing w:before="129"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2287899C">
            <w:pPr>
              <w:pStyle w:val="17"/>
              <w:rPr>
                <w:rFonts w:hint="eastAsia" w:ascii="宋体" w:hAnsi="宋体" w:eastAsia="宋体" w:cs="宋体"/>
                <w:color w:val="000000" w:themeColor="text1"/>
                <w:highlight w:val="none"/>
                <w14:textFill>
                  <w14:solidFill>
                    <w14:schemeClr w14:val="tx1"/>
                  </w14:solidFill>
                </w14:textFill>
              </w:rPr>
            </w:pPr>
          </w:p>
        </w:tc>
      </w:tr>
      <w:tr w14:paraId="6CE42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E2EB51E">
            <w:pPr>
              <w:spacing w:before="129" w:line="220" w:lineRule="auto"/>
              <w:ind w:left="1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（五）装配式建筑混凝土预制构件安装工程。</w:t>
            </w:r>
          </w:p>
        </w:tc>
        <w:tc>
          <w:tcPr>
            <w:tcW w:w="1294" w:type="dxa"/>
            <w:vAlign w:val="top"/>
          </w:tcPr>
          <w:p w14:paraId="0335193E">
            <w:pPr>
              <w:spacing w:before="129"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288C26DB">
            <w:pPr>
              <w:spacing w:before="129"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0AE26D27">
            <w:pPr>
              <w:pStyle w:val="17"/>
              <w:rPr>
                <w:rFonts w:hint="eastAsia" w:ascii="宋体" w:hAnsi="宋体" w:eastAsia="宋体" w:cs="宋体"/>
                <w:color w:val="000000" w:themeColor="text1"/>
                <w:highlight w:val="none"/>
                <w14:textFill>
                  <w14:solidFill>
                    <w14:schemeClr w14:val="tx1"/>
                  </w14:solidFill>
                </w14:textFill>
              </w:rPr>
            </w:pPr>
          </w:p>
        </w:tc>
      </w:tr>
      <w:tr w14:paraId="60BAC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42918A5">
            <w:pPr>
              <w:spacing w:before="129" w:line="345" w:lineRule="auto"/>
              <w:ind w:left="117" w:right="168" w:firstLine="1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（六）采用新技术、新工艺、新材料、新设备</w:t>
            </w:r>
            <w:r>
              <w:rPr>
                <w:rFonts w:hint="eastAsia" w:ascii="宋体" w:hAnsi="宋体" w:eastAsia="宋体" w:cs="宋体"/>
                <w:color w:val="000000" w:themeColor="text1"/>
                <w:spacing w:val="1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可能影响工程施工安全，尚无国家、行业及地</w:t>
            </w:r>
            <w:r>
              <w:rPr>
                <w:rFonts w:hint="eastAsia" w:ascii="宋体" w:hAnsi="宋体" w:eastAsia="宋体" w:cs="宋体"/>
                <w:color w:val="000000" w:themeColor="text1"/>
                <w:spacing w:val="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方技术标准的分部分项工程。</w:t>
            </w:r>
          </w:p>
        </w:tc>
        <w:tc>
          <w:tcPr>
            <w:tcW w:w="1294" w:type="dxa"/>
            <w:vAlign w:val="top"/>
          </w:tcPr>
          <w:p w14:paraId="496F222B">
            <w:pPr>
              <w:pStyle w:val="17"/>
              <w:spacing w:line="270" w:lineRule="auto"/>
              <w:rPr>
                <w:rFonts w:hint="eastAsia" w:ascii="宋体" w:hAnsi="宋体" w:eastAsia="宋体" w:cs="宋体"/>
                <w:color w:val="000000" w:themeColor="text1"/>
                <w:highlight w:val="none"/>
                <w14:textFill>
                  <w14:solidFill>
                    <w14:schemeClr w14:val="tx1"/>
                  </w14:solidFill>
                </w14:textFill>
              </w:rPr>
            </w:pPr>
          </w:p>
          <w:p w14:paraId="4BE76F41">
            <w:pPr>
              <w:pStyle w:val="17"/>
              <w:spacing w:line="271" w:lineRule="auto"/>
              <w:rPr>
                <w:rFonts w:hint="eastAsia" w:ascii="宋体" w:hAnsi="宋体" w:eastAsia="宋体" w:cs="宋体"/>
                <w:color w:val="000000" w:themeColor="text1"/>
                <w:highlight w:val="none"/>
                <w14:textFill>
                  <w14:solidFill>
                    <w14:schemeClr w14:val="tx1"/>
                  </w14:solidFill>
                </w14:textFill>
              </w:rPr>
            </w:pPr>
          </w:p>
          <w:p w14:paraId="239AC87B">
            <w:pPr>
              <w:spacing w:before="78"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382C1EFD">
            <w:pPr>
              <w:pStyle w:val="17"/>
              <w:spacing w:line="270" w:lineRule="auto"/>
              <w:rPr>
                <w:rFonts w:hint="eastAsia" w:ascii="宋体" w:hAnsi="宋体" w:eastAsia="宋体" w:cs="宋体"/>
                <w:color w:val="000000" w:themeColor="text1"/>
                <w:highlight w:val="none"/>
                <w14:textFill>
                  <w14:solidFill>
                    <w14:schemeClr w14:val="tx1"/>
                  </w14:solidFill>
                </w14:textFill>
              </w:rPr>
            </w:pPr>
          </w:p>
          <w:p w14:paraId="7FBE4FE4">
            <w:pPr>
              <w:pStyle w:val="17"/>
              <w:spacing w:line="271" w:lineRule="auto"/>
              <w:rPr>
                <w:rFonts w:hint="eastAsia" w:ascii="宋体" w:hAnsi="宋体" w:eastAsia="宋体" w:cs="宋体"/>
                <w:color w:val="000000" w:themeColor="text1"/>
                <w:highlight w:val="none"/>
                <w14:textFill>
                  <w14:solidFill>
                    <w14:schemeClr w14:val="tx1"/>
                  </w14:solidFill>
                </w14:textFill>
              </w:rPr>
            </w:pPr>
          </w:p>
          <w:p w14:paraId="232EE85F">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0D9EE8AB">
            <w:pPr>
              <w:pStyle w:val="17"/>
              <w:rPr>
                <w:rFonts w:hint="eastAsia" w:ascii="宋体" w:hAnsi="宋体" w:eastAsia="宋体" w:cs="宋体"/>
                <w:color w:val="000000" w:themeColor="text1"/>
                <w:highlight w:val="none"/>
                <w14:textFill>
                  <w14:solidFill>
                    <w14:schemeClr w14:val="tx1"/>
                  </w14:solidFill>
                </w14:textFill>
              </w:rPr>
            </w:pPr>
          </w:p>
        </w:tc>
      </w:tr>
      <w:tr w14:paraId="113E8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264981E">
            <w:pPr>
              <w:spacing w:before="129" w:line="328" w:lineRule="auto"/>
              <w:ind w:left="115" w:right="108" w:firstLine="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二、超过一定规模的危险性较大的分部分项工</w:t>
            </w:r>
            <w:r>
              <w:rPr>
                <w:rFonts w:hint="eastAsia" w:ascii="宋体" w:hAnsi="宋体" w:eastAsia="宋体" w:cs="宋体"/>
                <w:b/>
                <w:bCs/>
                <w:color w:val="000000" w:themeColor="text1"/>
                <w:spacing w:val="-5"/>
                <w:sz w:val="24"/>
                <w:szCs w:val="24"/>
                <w:highlight w:val="none"/>
                <w14:textFill>
                  <w14:solidFill>
                    <w14:schemeClr w14:val="tx1"/>
                  </w14:solidFill>
                </w14:textFill>
              </w:rPr>
              <w:t>程清单</w:t>
            </w:r>
          </w:p>
        </w:tc>
        <w:tc>
          <w:tcPr>
            <w:tcW w:w="1294" w:type="dxa"/>
            <w:vAlign w:val="top"/>
          </w:tcPr>
          <w:p w14:paraId="52EDDCE6">
            <w:pPr>
              <w:pStyle w:val="17"/>
              <w:spacing w:line="295" w:lineRule="auto"/>
              <w:rPr>
                <w:rFonts w:hint="eastAsia" w:ascii="宋体" w:hAnsi="宋体" w:eastAsia="宋体" w:cs="宋体"/>
                <w:color w:val="000000" w:themeColor="text1"/>
                <w:highlight w:val="none"/>
                <w14:textFill>
                  <w14:solidFill>
                    <w14:schemeClr w14:val="tx1"/>
                  </w14:solidFill>
                </w14:textFill>
              </w:rPr>
            </w:pPr>
          </w:p>
          <w:p w14:paraId="45015D35">
            <w:pPr>
              <w:spacing w:before="78" w:line="221" w:lineRule="auto"/>
              <w:ind w:left="20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建设单位</w:t>
            </w:r>
          </w:p>
        </w:tc>
        <w:tc>
          <w:tcPr>
            <w:tcW w:w="1294" w:type="dxa"/>
            <w:vAlign w:val="top"/>
          </w:tcPr>
          <w:p w14:paraId="7D2CDEE2">
            <w:pPr>
              <w:pStyle w:val="17"/>
              <w:spacing w:line="295" w:lineRule="auto"/>
              <w:rPr>
                <w:rFonts w:hint="eastAsia" w:ascii="宋体" w:hAnsi="宋体" w:eastAsia="宋体" w:cs="宋体"/>
                <w:color w:val="000000" w:themeColor="text1"/>
                <w:highlight w:val="none"/>
                <w14:textFill>
                  <w14:solidFill>
                    <w14:schemeClr w14:val="tx1"/>
                  </w14:solidFill>
                </w14:textFill>
              </w:rPr>
            </w:pPr>
          </w:p>
          <w:p w14:paraId="09D2C904">
            <w:pPr>
              <w:spacing w:before="78" w:line="221" w:lineRule="auto"/>
              <w:ind w:left="11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5"/>
                <w:sz w:val="24"/>
                <w:szCs w:val="24"/>
                <w:highlight w:val="none"/>
                <w14:textFill>
                  <w14:solidFill>
                    <w14:schemeClr w14:val="tx1"/>
                  </w14:solidFill>
                </w14:textFill>
              </w:rPr>
              <w:t>投标单位</w:t>
            </w:r>
          </w:p>
        </w:tc>
        <w:tc>
          <w:tcPr>
            <w:tcW w:w="2428" w:type="dxa"/>
            <w:vAlign w:val="top"/>
          </w:tcPr>
          <w:p w14:paraId="0E9BBCA9">
            <w:pPr>
              <w:pStyle w:val="17"/>
              <w:spacing w:line="295" w:lineRule="auto"/>
              <w:rPr>
                <w:rFonts w:hint="eastAsia" w:ascii="宋体" w:hAnsi="宋体" w:eastAsia="宋体" w:cs="宋体"/>
                <w:color w:val="000000" w:themeColor="text1"/>
                <w:highlight w:val="none"/>
                <w14:textFill>
                  <w14:solidFill>
                    <w14:schemeClr w14:val="tx1"/>
                  </w14:solidFill>
                </w14:textFill>
              </w:rPr>
            </w:pPr>
          </w:p>
          <w:p w14:paraId="562A97E9">
            <w:pPr>
              <w:spacing w:before="78" w:line="222" w:lineRule="auto"/>
              <w:ind w:left="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备注</w:t>
            </w:r>
          </w:p>
        </w:tc>
      </w:tr>
      <w:tr w14:paraId="09383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2FC6A74">
            <w:pPr>
              <w:spacing w:before="129" w:line="221" w:lineRule="auto"/>
              <w:ind w:left="1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一、深基坑工程</w:t>
            </w:r>
          </w:p>
        </w:tc>
        <w:tc>
          <w:tcPr>
            <w:tcW w:w="1294" w:type="dxa"/>
            <w:vAlign w:val="top"/>
          </w:tcPr>
          <w:p w14:paraId="0FD5C757">
            <w:pPr>
              <w:spacing w:before="129" w:line="223" w:lineRule="auto"/>
              <w:ind w:left="3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315D0C9B">
            <w:pPr>
              <w:spacing w:before="129"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1CBB58B3">
            <w:pPr>
              <w:pStyle w:val="17"/>
              <w:rPr>
                <w:rFonts w:hint="eastAsia" w:ascii="宋体" w:hAnsi="宋体" w:eastAsia="宋体" w:cs="宋体"/>
                <w:color w:val="000000" w:themeColor="text1"/>
                <w:highlight w:val="none"/>
                <w14:textFill>
                  <w14:solidFill>
                    <w14:schemeClr w14:val="tx1"/>
                  </w14:solidFill>
                </w14:textFill>
              </w:rPr>
            </w:pPr>
          </w:p>
        </w:tc>
      </w:tr>
      <w:tr w14:paraId="73503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045EE0E">
            <w:pPr>
              <w:spacing w:before="131" w:line="327" w:lineRule="auto"/>
              <w:ind w:left="117" w:right="1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开挖深度超过</w:t>
            </w:r>
            <w:r>
              <w:rPr>
                <w:rFonts w:hint="eastAsia" w:ascii="宋体" w:hAnsi="宋体" w:eastAsia="宋体" w:cs="宋体"/>
                <w:color w:val="000000" w:themeColor="text1"/>
                <w:spacing w:val="-3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5m（含</w:t>
            </w:r>
            <w:r>
              <w:rPr>
                <w:rFonts w:hint="eastAsia" w:ascii="宋体" w:hAnsi="宋体" w:eastAsia="宋体" w:cs="宋体"/>
                <w:color w:val="000000" w:themeColor="text1"/>
                <w:spacing w:val="-4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5m）的基坑（槽）的土方</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开挖、支护、降水工程。</w:t>
            </w:r>
          </w:p>
        </w:tc>
        <w:tc>
          <w:tcPr>
            <w:tcW w:w="1294" w:type="dxa"/>
            <w:vAlign w:val="top"/>
          </w:tcPr>
          <w:p w14:paraId="507AE1DC">
            <w:pPr>
              <w:pStyle w:val="17"/>
              <w:spacing w:line="295" w:lineRule="auto"/>
              <w:rPr>
                <w:rFonts w:hint="eastAsia" w:ascii="宋体" w:hAnsi="宋体" w:eastAsia="宋体" w:cs="宋体"/>
                <w:color w:val="000000" w:themeColor="text1"/>
                <w:highlight w:val="none"/>
                <w14:textFill>
                  <w14:solidFill>
                    <w14:schemeClr w14:val="tx1"/>
                  </w14:solidFill>
                </w14:textFill>
              </w:rPr>
            </w:pPr>
          </w:p>
          <w:p w14:paraId="3F469623">
            <w:pPr>
              <w:spacing w:before="78" w:line="223" w:lineRule="auto"/>
              <w:ind w:left="3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021BD327">
            <w:pPr>
              <w:pStyle w:val="17"/>
              <w:spacing w:line="295" w:lineRule="auto"/>
              <w:rPr>
                <w:rFonts w:hint="eastAsia" w:ascii="宋体" w:hAnsi="宋体" w:eastAsia="宋体" w:cs="宋体"/>
                <w:color w:val="000000" w:themeColor="text1"/>
                <w:highlight w:val="none"/>
                <w14:textFill>
                  <w14:solidFill>
                    <w14:schemeClr w14:val="tx1"/>
                  </w14:solidFill>
                </w14:textFill>
              </w:rPr>
            </w:pPr>
          </w:p>
          <w:p w14:paraId="51AD1680">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5FCDD85F">
            <w:pPr>
              <w:pStyle w:val="17"/>
              <w:rPr>
                <w:rFonts w:hint="eastAsia" w:ascii="宋体" w:hAnsi="宋体" w:eastAsia="宋体" w:cs="宋体"/>
                <w:color w:val="000000" w:themeColor="text1"/>
                <w:highlight w:val="none"/>
                <w14:textFill>
                  <w14:solidFill>
                    <w14:schemeClr w14:val="tx1"/>
                  </w14:solidFill>
                </w14:textFill>
              </w:rPr>
            </w:pPr>
          </w:p>
        </w:tc>
      </w:tr>
      <w:tr w14:paraId="0328A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627481A">
            <w:pPr>
              <w:spacing w:before="130" w:line="219" w:lineRule="auto"/>
              <w:ind w:left="1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二、模板工程及支撑体系</w:t>
            </w:r>
          </w:p>
        </w:tc>
        <w:tc>
          <w:tcPr>
            <w:tcW w:w="1294" w:type="dxa"/>
            <w:vAlign w:val="top"/>
          </w:tcPr>
          <w:p w14:paraId="4297BDAC">
            <w:pPr>
              <w:spacing w:before="129" w:line="223" w:lineRule="auto"/>
              <w:ind w:left="3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default" w:ascii="宋体" w:hAnsi="宋体" w:eastAsia="宋体" w:cs="宋体"/>
                <w:color w:val="000000" w:themeColor="text1"/>
                <w:spacing w:val="2"/>
                <w:sz w:val="24"/>
                <w:szCs w:val="24"/>
                <w:highlight w:val="none"/>
                <w:lang w:val="en-US"/>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1E5FCAEB">
            <w:pPr>
              <w:spacing w:before="129"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63E9C002">
            <w:pPr>
              <w:pStyle w:val="17"/>
              <w:rPr>
                <w:rFonts w:hint="eastAsia" w:ascii="宋体" w:hAnsi="宋体" w:eastAsia="宋体" w:cs="宋体"/>
                <w:color w:val="000000" w:themeColor="text1"/>
                <w:highlight w:val="none"/>
                <w14:textFill>
                  <w14:solidFill>
                    <w14:schemeClr w14:val="tx1"/>
                  </w14:solidFill>
                </w14:textFill>
              </w:rPr>
            </w:pPr>
          </w:p>
        </w:tc>
      </w:tr>
      <w:tr w14:paraId="41D0B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D300C9C">
            <w:pPr>
              <w:spacing w:before="130" w:line="327" w:lineRule="auto"/>
              <w:ind w:left="123" w:right="25" w:firstLine="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（一）各类工具式模板工程：包括滑模、爬模、</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飞模、隧道模等工程。</w:t>
            </w:r>
          </w:p>
        </w:tc>
        <w:tc>
          <w:tcPr>
            <w:tcW w:w="1294" w:type="dxa"/>
            <w:vAlign w:val="top"/>
          </w:tcPr>
          <w:p w14:paraId="01D661E1">
            <w:pPr>
              <w:pStyle w:val="17"/>
              <w:spacing w:line="294" w:lineRule="auto"/>
              <w:rPr>
                <w:rFonts w:hint="eastAsia" w:ascii="宋体" w:hAnsi="宋体" w:eastAsia="宋体" w:cs="宋体"/>
                <w:color w:val="000000" w:themeColor="text1"/>
                <w:highlight w:val="none"/>
                <w14:textFill>
                  <w14:solidFill>
                    <w14:schemeClr w14:val="tx1"/>
                  </w14:solidFill>
                </w14:textFill>
              </w:rPr>
            </w:pPr>
          </w:p>
          <w:p w14:paraId="1DDA3CCD">
            <w:pPr>
              <w:spacing w:before="78" w:line="223" w:lineRule="auto"/>
              <w:ind w:left="3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44A02DEB">
            <w:pPr>
              <w:pStyle w:val="17"/>
              <w:spacing w:line="294" w:lineRule="auto"/>
              <w:rPr>
                <w:rFonts w:hint="eastAsia" w:ascii="宋体" w:hAnsi="宋体" w:eastAsia="宋体" w:cs="宋体"/>
                <w:color w:val="000000" w:themeColor="text1"/>
                <w:highlight w:val="none"/>
                <w14:textFill>
                  <w14:solidFill>
                    <w14:schemeClr w14:val="tx1"/>
                  </w14:solidFill>
                </w14:textFill>
              </w:rPr>
            </w:pPr>
          </w:p>
          <w:p w14:paraId="514A516E">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2E381ED2">
            <w:pPr>
              <w:pStyle w:val="17"/>
              <w:rPr>
                <w:rFonts w:hint="eastAsia" w:ascii="宋体" w:hAnsi="宋体" w:eastAsia="宋体" w:cs="宋体"/>
                <w:color w:val="000000" w:themeColor="text1"/>
                <w:highlight w:val="none"/>
                <w14:textFill>
                  <w14:solidFill>
                    <w14:schemeClr w14:val="tx1"/>
                  </w14:solidFill>
                </w14:textFill>
              </w:rPr>
            </w:pPr>
          </w:p>
        </w:tc>
      </w:tr>
      <w:tr w14:paraId="5FC89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92E50BC">
            <w:pPr>
              <w:spacing w:before="132" w:line="353" w:lineRule="auto"/>
              <w:ind w:left="116" w:right="6" w:firstLine="11"/>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（二）混凝土模板支撑工程：搭设高度8m</w:t>
            </w:r>
            <w:r>
              <w:rPr>
                <w:rFonts w:hint="eastAsia" w:ascii="宋体" w:hAnsi="宋体" w:eastAsia="宋体" w:cs="宋体"/>
                <w:color w:val="000000" w:themeColor="text1"/>
                <w:spacing w:val="-3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及以</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1"/>
                <w:sz w:val="24"/>
                <w:szCs w:val="24"/>
                <w:highlight w:val="none"/>
                <w14:textFill>
                  <w14:solidFill>
                    <w14:schemeClr w14:val="tx1"/>
                  </w14:solidFill>
                </w14:textFill>
              </w:rPr>
              <w:t>上，或搭设跨度</w:t>
            </w:r>
            <w:r>
              <w:rPr>
                <w:rFonts w:hint="eastAsia" w:ascii="宋体" w:hAnsi="宋体" w:eastAsia="宋体" w:cs="宋体"/>
                <w:color w:val="000000" w:themeColor="text1"/>
                <w:spacing w:val="-1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1"/>
                <w:sz w:val="24"/>
                <w:szCs w:val="24"/>
                <w:highlight w:val="none"/>
                <w14:textFill>
                  <w14:solidFill>
                    <w14:schemeClr w14:val="tx1"/>
                  </w14:solidFill>
                </w14:textFill>
              </w:rPr>
              <w:t>18m</w:t>
            </w:r>
            <w:r>
              <w:rPr>
                <w:rFonts w:hint="eastAsia" w:ascii="宋体" w:hAnsi="宋体" w:eastAsia="宋体" w:cs="宋体"/>
                <w:color w:val="000000" w:themeColor="text1"/>
                <w:spacing w:val="-5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1"/>
                <w:sz w:val="24"/>
                <w:szCs w:val="24"/>
                <w:highlight w:val="none"/>
                <w14:textFill>
                  <w14:solidFill>
                    <w14:schemeClr w14:val="tx1"/>
                  </w14:solidFill>
                </w14:textFill>
              </w:rPr>
              <w:t>及以上，或施工总荷载（设</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1"/>
                <w:sz w:val="24"/>
                <w:szCs w:val="24"/>
                <w:highlight w:val="none"/>
                <w14:textFill>
                  <w14:solidFill>
                    <w14:schemeClr w14:val="tx1"/>
                  </w14:solidFill>
                </w14:textFill>
              </w:rPr>
              <w:t>计值）15kN/m2</w:t>
            </w:r>
            <w:r>
              <w:rPr>
                <w:rFonts w:hint="eastAsia" w:ascii="宋体" w:hAnsi="宋体" w:eastAsia="宋体" w:cs="宋体"/>
                <w:color w:val="000000" w:themeColor="text1"/>
                <w:spacing w:val="-5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1"/>
                <w:sz w:val="24"/>
                <w:szCs w:val="24"/>
                <w:highlight w:val="none"/>
                <w14:textFill>
                  <w14:solidFill>
                    <w14:schemeClr w14:val="tx1"/>
                  </w14:solidFill>
                </w14:textFill>
              </w:rPr>
              <w:t>及以上，或集中线荷载（设</w:t>
            </w:r>
            <w:r>
              <w:rPr>
                <w:rFonts w:hint="eastAsia" w:ascii="宋体" w:hAnsi="宋体" w:eastAsia="宋体" w:cs="宋体"/>
                <w:color w:val="000000" w:themeColor="text1"/>
                <w:spacing w:val="-12"/>
                <w:sz w:val="24"/>
                <w:szCs w:val="24"/>
                <w:highlight w:val="none"/>
                <w14:textFill>
                  <w14:solidFill>
                    <w14:schemeClr w14:val="tx1"/>
                  </w14:solidFill>
                </w14:textFill>
              </w:rPr>
              <w:t>计值）</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20kN/m</w:t>
            </w:r>
            <w:r>
              <w:rPr>
                <w:rFonts w:hint="eastAsia" w:ascii="宋体" w:hAnsi="宋体" w:eastAsia="宋体" w:cs="宋体"/>
                <w:color w:val="000000" w:themeColor="text1"/>
                <w:spacing w:val="-5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及以上。</w:t>
            </w:r>
          </w:p>
        </w:tc>
        <w:tc>
          <w:tcPr>
            <w:tcW w:w="1294" w:type="dxa"/>
            <w:vAlign w:val="top"/>
          </w:tcPr>
          <w:p w14:paraId="6C626011">
            <w:pPr>
              <w:pStyle w:val="17"/>
              <w:spacing w:line="262" w:lineRule="auto"/>
              <w:rPr>
                <w:rFonts w:hint="eastAsia" w:ascii="宋体" w:hAnsi="宋体" w:eastAsia="宋体" w:cs="宋体"/>
                <w:color w:val="000000" w:themeColor="text1"/>
                <w:highlight w:val="none"/>
                <w14:textFill>
                  <w14:solidFill>
                    <w14:schemeClr w14:val="tx1"/>
                  </w14:solidFill>
                </w14:textFill>
              </w:rPr>
            </w:pPr>
          </w:p>
          <w:p w14:paraId="63B16BE2">
            <w:pPr>
              <w:pStyle w:val="17"/>
              <w:spacing w:line="263" w:lineRule="auto"/>
              <w:rPr>
                <w:rFonts w:hint="eastAsia" w:ascii="宋体" w:hAnsi="宋体" w:eastAsia="宋体" w:cs="宋体"/>
                <w:color w:val="000000" w:themeColor="text1"/>
                <w:highlight w:val="none"/>
                <w14:textFill>
                  <w14:solidFill>
                    <w14:schemeClr w14:val="tx1"/>
                  </w14:solidFill>
                </w14:textFill>
              </w:rPr>
            </w:pPr>
          </w:p>
          <w:p w14:paraId="2DC2A742">
            <w:pPr>
              <w:pStyle w:val="17"/>
              <w:spacing w:line="263" w:lineRule="auto"/>
              <w:rPr>
                <w:rFonts w:hint="eastAsia" w:ascii="宋体" w:hAnsi="宋体" w:eastAsia="宋体" w:cs="宋体"/>
                <w:color w:val="000000" w:themeColor="text1"/>
                <w:highlight w:val="none"/>
                <w14:textFill>
                  <w14:solidFill>
                    <w14:schemeClr w14:val="tx1"/>
                  </w14:solidFill>
                </w14:textFill>
              </w:rPr>
            </w:pPr>
          </w:p>
          <w:p w14:paraId="2401A348">
            <w:pPr>
              <w:spacing w:before="78"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7D4918F3">
            <w:pPr>
              <w:pStyle w:val="17"/>
              <w:spacing w:line="262" w:lineRule="auto"/>
              <w:rPr>
                <w:rFonts w:hint="eastAsia" w:ascii="宋体" w:hAnsi="宋体" w:eastAsia="宋体" w:cs="宋体"/>
                <w:color w:val="000000" w:themeColor="text1"/>
                <w:highlight w:val="none"/>
                <w14:textFill>
                  <w14:solidFill>
                    <w14:schemeClr w14:val="tx1"/>
                  </w14:solidFill>
                </w14:textFill>
              </w:rPr>
            </w:pPr>
          </w:p>
          <w:p w14:paraId="22A75233">
            <w:pPr>
              <w:pStyle w:val="17"/>
              <w:spacing w:line="263" w:lineRule="auto"/>
              <w:rPr>
                <w:rFonts w:hint="eastAsia" w:ascii="宋体" w:hAnsi="宋体" w:eastAsia="宋体" w:cs="宋体"/>
                <w:color w:val="000000" w:themeColor="text1"/>
                <w:highlight w:val="none"/>
                <w14:textFill>
                  <w14:solidFill>
                    <w14:schemeClr w14:val="tx1"/>
                  </w14:solidFill>
                </w14:textFill>
              </w:rPr>
            </w:pPr>
          </w:p>
          <w:p w14:paraId="6835FC2C">
            <w:pPr>
              <w:pStyle w:val="17"/>
              <w:spacing w:line="263" w:lineRule="auto"/>
              <w:rPr>
                <w:rFonts w:hint="eastAsia" w:ascii="宋体" w:hAnsi="宋体" w:eastAsia="宋体" w:cs="宋体"/>
                <w:color w:val="000000" w:themeColor="text1"/>
                <w:highlight w:val="none"/>
                <w14:textFill>
                  <w14:solidFill>
                    <w14:schemeClr w14:val="tx1"/>
                  </w14:solidFill>
                </w14:textFill>
              </w:rPr>
            </w:pPr>
          </w:p>
          <w:p w14:paraId="065FF7AF">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7B509C14">
            <w:pPr>
              <w:pStyle w:val="17"/>
              <w:rPr>
                <w:rFonts w:hint="eastAsia" w:ascii="宋体" w:hAnsi="宋体" w:eastAsia="宋体" w:cs="宋体"/>
                <w:color w:val="000000" w:themeColor="text1"/>
                <w:highlight w:val="none"/>
                <w14:textFill>
                  <w14:solidFill>
                    <w14:schemeClr w14:val="tx1"/>
                  </w14:solidFill>
                </w14:textFill>
              </w:rPr>
            </w:pPr>
          </w:p>
        </w:tc>
      </w:tr>
      <w:tr w14:paraId="218BD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9E32F9C">
            <w:pPr>
              <w:spacing w:before="131" w:line="220" w:lineRule="auto"/>
              <w:ind w:left="1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（三）承重支撑体系：用于钢结构安装等满堂</w:t>
            </w:r>
          </w:p>
        </w:tc>
        <w:tc>
          <w:tcPr>
            <w:tcW w:w="1294" w:type="dxa"/>
            <w:vAlign w:val="top"/>
          </w:tcPr>
          <w:p w14:paraId="553E2DF0">
            <w:pPr>
              <w:spacing w:before="131"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1C72B68A">
            <w:pPr>
              <w:spacing w:before="131"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1BCEDFE2">
            <w:pPr>
              <w:pStyle w:val="17"/>
              <w:rPr>
                <w:rFonts w:hint="eastAsia" w:ascii="宋体" w:hAnsi="宋体" w:eastAsia="宋体" w:cs="宋体"/>
                <w:color w:val="000000" w:themeColor="text1"/>
                <w:highlight w:val="none"/>
                <w14:textFill>
                  <w14:solidFill>
                    <w14:schemeClr w14:val="tx1"/>
                  </w14:solidFill>
                </w14:textFill>
              </w:rPr>
            </w:pPr>
          </w:p>
        </w:tc>
      </w:tr>
      <w:tr w14:paraId="609EE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19D6929">
            <w:pPr>
              <w:spacing w:before="131" w:line="220" w:lineRule="auto"/>
              <w:ind w:left="11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支撑体系，承受单点集中荷载</w:t>
            </w:r>
            <w:r>
              <w:rPr>
                <w:rFonts w:hint="eastAsia" w:ascii="宋体" w:hAnsi="宋体" w:eastAsia="宋体" w:cs="宋体"/>
                <w:color w:val="000000" w:themeColor="text1"/>
                <w:spacing w:val="-4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7kN</w:t>
            </w:r>
            <w:r>
              <w:rPr>
                <w:rFonts w:hint="eastAsia" w:ascii="宋体" w:hAnsi="宋体" w:eastAsia="宋体" w:cs="宋体"/>
                <w:color w:val="000000" w:themeColor="text1"/>
                <w:spacing w:val="-5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及以上。</w:t>
            </w:r>
          </w:p>
        </w:tc>
        <w:tc>
          <w:tcPr>
            <w:tcW w:w="1294" w:type="dxa"/>
            <w:vAlign w:val="top"/>
          </w:tcPr>
          <w:p w14:paraId="1AFFA412">
            <w:pPr>
              <w:pStyle w:val="17"/>
              <w:rPr>
                <w:rFonts w:hint="eastAsia" w:ascii="宋体" w:hAnsi="宋体" w:eastAsia="宋体" w:cs="宋体"/>
                <w:color w:val="000000" w:themeColor="text1"/>
                <w:highlight w:val="none"/>
                <w14:textFill>
                  <w14:solidFill>
                    <w14:schemeClr w14:val="tx1"/>
                  </w14:solidFill>
                </w14:textFill>
              </w:rPr>
            </w:pPr>
          </w:p>
        </w:tc>
        <w:tc>
          <w:tcPr>
            <w:tcW w:w="1294" w:type="dxa"/>
            <w:vAlign w:val="top"/>
          </w:tcPr>
          <w:p w14:paraId="1061CE5F">
            <w:pPr>
              <w:pStyle w:val="17"/>
              <w:rPr>
                <w:rFonts w:hint="eastAsia" w:ascii="宋体" w:hAnsi="宋体" w:eastAsia="宋体" w:cs="宋体"/>
                <w:color w:val="000000" w:themeColor="text1"/>
                <w:highlight w:val="none"/>
                <w14:textFill>
                  <w14:solidFill>
                    <w14:schemeClr w14:val="tx1"/>
                  </w14:solidFill>
                </w14:textFill>
              </w:rPr>
            </w:pPr>
          </w:p>
        </w:tc>
        <w:tc>
          <w:tcPr>
            <w:tcW w:w="2428" w:type="dxa"/>
            <w:vAlign w:val="top"/>
          </w:tcPr>
          <w:p w14:paraId="4C7C0A35">
            <w:pPr>
              <w:pStyle w:val="17"/>
              <w:rPr>
                <w:rFonts w:hint="eastAsia" w:ascii="宋体" w:hAnsi="宋体" w:eastAsia="宋体" w:cs="宋体"/>
                <w:color w:val="000000" w:themeColor="text1"/>
                <w:highlight w:val="none"/>
                <w14:textFill>
                  <w14:solidFill>
                    <w14:schemeClr w14:val="tx1"/>
                  </w14:solidFill>
                </w14:textFill>
              </w:rPr>
            </w:pPr>
          </w:p>
        </w:tc>
      </w:tr>
      <w:tr w14:paraId="12615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543B4A7F">
            <w:pPr>
              <w:spacing w:before="128" w:line="219" w:lineRule="auto"/>
              <w:ind w:left="35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三、起重吊装及起重机械安装拆卸工程</w:t>
            </w:r>
          </w:p>
        </w:tc>
        <w:tc>
          <w:tcPr>
            <w:tcW w:w="1294" w:type="dxa"/>
            <w:vAlign w:val="top"/>
          </w:tcPr>
          <w:p w14:paraId="7C46839F">
            <w:pPr>
              <w:spacing w:before="127" w:line="223"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1E954BA4">
            <w:pPr>
              <w:spacing w:before="127"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3BEF426E">
            <w:pPr>
              <w:pStyle w:val="17"/>
              <w:rPr>
                <w:rFonts w:hint="eastAsia" w:ascii="宋体" w:hAnsi="宋体" w:eastAsia="宋体" w:cs="宋体"/>
                <w:color w:val="000000" w:themeColor="text1"/>
                <w:highlight w:val="none"/>
                <w14:textFill>
                  <w14:solidFill>
                    <w14:schemeClr w14:val="tx1"/>
                  </w14:solidFill>
                </w14:textFill>
              </w:rPr>
            </w:pPr>
          </w:p>
        </w:tc>
      </w:tr>
      <w:tr w14:paraId="48715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8715B81">
            <w:pPr>
              <w:spacing w:before="129" w:line="328" w:lineRule="auto"/>
              <w:ind w:left="144" w:right="168" w:hanging="1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（一）采用非常规起重设备、方法，且单件起</w:t>
            </w:r>
            <w:r>
              <w:rPr>
                <w:rFonts w:hint="eastAsia" w:ascii="宋体" w:hAnsi="宋体" w:eastAsia="宋体" w:cs="宋体"/>
                <w:color w:val="000000" w:themeColor="text1"/>
                <w:spacing w:val="1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吊重量在</w:t>
            </w:r>
            <w:r>
              <w:rPr>
                <w:rFonts w:hint="eastAsia" w:ascii="宋体" w:hAnsi="宋体" w:eastAsia="宋体" w:cs="宋体"/>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100kN</w:t>
            </w:r>
            <w:r>
              <w:rPr>
                <w:rFonts w:hint="eastAsia" w:ascii="宋体" w:hAnsi="宋体" w:eastAsia="宋体" w:cs="宋体"/>
                <w:color w:val="000000" w:themeColor="text1"/>
                <w:spacing w:val="-5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及以上的起重吊装工程。</w:t>
            </w:r>
          </w:p>
        </w:tc>
        <w:tc>
          <w:tcPr>
            <w:tcW w:w="1294" w:type="dxa"/>
            <w:vAlign w:val="top"/>
          </w:tcPr>
          <w:p w14:paraId="62176862">
            <w:pPr>
              <w:pStyle w:val="17"/>
              <w:spacing w:line="295" w:lineRule="auto"/>
              <w:rPr>
                <w:rFonts w:hint="eastAsia" w:ascii="宋体" w:hAnsi="宋体" w:eastAsia="宋体" w:cs="宋体"/>
                <w:color w:val="000000" w:themeColor="text1"/>
                <w:highlight w:val="none"/>
                <w14:textFill>
                  <w14:solidFill>
                    <w14:schemeClr w14:val="tx1"/>
                  </w14:solidFill>
                </w14:textFill>
              </w:rPr>
            </w:pPr>
          </w:p>
          <w:p w14:paraId="48EFCFE9">
            <w:pPr>
              <w:spacing w:before="78"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323FF28E">
            <w:pPr>
              <w:pStyle w:val="17"/>
              <w:spacing w:line="295" w:lineRule="auto"/>
              <w:rPr>
                <w:rFonts w:hint="eastAsia" w:ascii="宋体" w:hAnsi="宋体" w:eastAsia="宋体" w:cs="宋体"/>
                <w:color w:val="000000" w:themeColor="text1"/>
                <w:highlight w:val="none"/>
                <w14:textFill>
                  <w14:solidFill>
                    <w14:schemeClr w14:val="tx1"/>
                  </w14:solidFill>
                </w14:textFill>
              </w:rPr>
            </w:pPr>
          </w:p>
          <w:p w14:paraId="3385602F">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778E792E">
            <w:pPr>
              <w:pStyle w:val="17"/>
              <w:rPr>
                <w:rFonts w:hint="eastAsia" w:ascii="宋体" w:hAnsi="宋体" w:eastAsia="宋体" w:cs="宋体"/>
                <w:color w:val="000000" w:themeColor="text1"/>
                <w:highlight w:val="none"/>
                <w14:textFill>
                  <w14:solidFill>
                    <w14:schemeClr w14:val="tx1"/>
                  </w14:solidFill>
                </w14:textFill>
              </w:rPr>
            </w:pPr>
          </w:p>
        </w:tc>
      </w:tr>
      <w:tr w14:paraId="3819C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32EB0C9">
            <w:pPr>
              <w:spacing w:before="129" w:line="345" w:lineRule="auto"/>
              <w:ind w:left="115" w:right="105" w:firstLine="12"/>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（二）起重量</w:t>
            </w:r>
            <w:r>
              <w:rPr>
                <w:rFonts w:hint="eastAsia" w:ascii="宋体" w:hAnsi="宋体" w:eastAsia="宋体" w:cs="宋体"/>
                <w:color w:val="000000" w:themeColor="text1"/>
                <w:spacing w:val="-4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14:textFill>
                  <w14:solidFill>
                    <w14:schemeClr w14:val="tx1"/>
                  </w14:solidFill>
                </w14:textFill>
              </w:rPr>
              <w:t>300kN</w:t>
            </w:r>
            <w:r>
              <w:rPr>
                <w:rFonts w:hint="eastAsia" w:ascii="宋体" w:hAnsi="宋体" w:eastAsia="宋体" w:cs="宋体"/>
                <w:color w:val="000000" w:themeColor="text1"/>
                <w:spacing w:val="-5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14:textFill>
                  <w14:solidFill>
                    <w14:schemeClr w14:val="tx1"/>
                  </w14:solidFill>
                </w14:textFill>
              </w:rPr>
              <w:t>及以上，或搭设总高度</w:t>
            </w:r>
            <w:r>
              <w:rPr>
                <w:rFonts w:hint="eastAsia" w:ascii="宋体" w:hAnsi="宋体" w:eastAsia="宋体" w:cs="宋体"/>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14:textFill>
                  <w14:solidFill>
                    <w14:schemeClr w14:val="tx1"/>
                  </w14:solidFill>
                </w14:textFill>
              </w:rPr>
              <w:t>200m</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及以上，或搭设基础标高在</w:t>
            </w:r>
            <w:r>
              <w:rPr>
                <w:rFonts w:hint="eastAsia" w:ascii="宋体" w:hAnsi="宋体" w:eastAsia="宋体" w:cs="宋体"/>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200m</w:t>
            </w:r>
            <w:r>
              <w:rPr>
                <w:rFonts w:hint="eastAsia" w:ascii="宋体" w:hAnsi="宋体" w:eastAsia="宋体" w:cs="宋体"/>
                <w:color w:val="000000" w:themeColor="text1"/>
                <w:spacing w:val="-5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及以上的起重</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机械安装和拆卸工程。</w:t>
            </w:r>
          </w:p>
        </w:tc>
        <w:tc>
          <w:tcPr>
            <w:tcW w:w="1294" w:type="dxa"/>
            <w:vAlign w:val="top"/>
          </w:tcPr>
          <w:p w14:paraId="5762D0E9">
            <w:pPr>
              <w:pStyle w:val="17"/>
              <w:spacing w:line="270" w:lineRule="auto"/>
              <w:rPr>
                <w:rFonts w:hint="eastAsia" w:ascii="宋体" w:hAnsi="宋体" w:eastAsia="宋体" w:cs="宋体"/>
                <w:color w:val="000000" w:themeColor="text1"/>
                <w:highlight w:val="none"/>
                <w14:textFill>
                  <w14:solidFill>
                    <w14:schemeClr w14:val="tx1"/>
                  </w14:solidFill>
                </w14:textFill>
              </w:rPr>
            </w:pPr>
          </w:p>
          <w:p w14:paraId="640C634B">
            <w:pPr>
              <w:pStyle w:val="17"/>
              <w:spacing w:line="270" w:lineRule="auto"/>
              <w:rPr>
                <w:rFonts w:hint="eastAsia" w:ascii="宋体" w:hAnsi="宋体" w:eastAsia="宋体" w:cs="宋体"/>
                <w:color w:val="000000" w:themeColor="text1"/>
                <w:highlight w:val="none"/>
                <w14:textFill>
                  <w14:solidFill>
                    <w14:schemeClr w14:val="tx1"/>
                  </w14:solidFill>
                </w14:textFill>
              </w:rPr>
            </w:pPr>
          </w:p>
          <w:p w14:paraId="685B83EE">
            <w:pPr>
              <w:spacing w:before="78"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529E055E">
            <w:pPr>
              <w:pStyle w:val="17"/>
              <w:spacing w:line="270" w:lineRule="auto"/>
              <w:rPr>
                <w:rFonts w:hint="eastAsia" w:ascii="宋体" w:hAnsi="宋体" w:eastAsia="宋体" w:cs="宋体"/>
                <w:color w:val="000000" w:themeColor="text1"/>
                <w:highlight w:val="none"/>
                <w14:textFill>
                  <w14:solidFill>
                    <w14:schemeClr w14:val="tx1"/>
                  </w14:solidFill>
                </w14:textFill>
              </w:rPr>
            </w:pPr>
          </w:p>
          <w:p w14:paraId="292B70A0">
            <w:pPr>
              <w:pStyle w:val="17"/>
              <w:spacing w:line="270" w:lineRule="auto"/>
              <w:rPr>
                <w:rFonts w:hint="eastAsia" w:ascii="宋体" w:hAnsi="宋体" w:eastAsia="宋体" w:cs="宋体"/>
                <w:color w:val="000000" w:themeColor="text1"/>
                <w:highlight w:val="none"/>
                <w14:textFill>
                  <w14:solidFill>
                    <w14:schemeClr w14:val="tx1"/>
                  </w14:solidFill>
                </w14:textFill>
              </w:rPr>
            </w:pPr>
          </w:p>
          <w:p w14:paraId="06C60C1D">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47ACFA6F">
            <w:pPr>
              <w:pStyle w:val="17"/>
              <w:rPr>
                <w:rFonts w:hint="eastAsia" w:ascii="宋体" w:hAnsi="宋体" w:eastAsia="宋体" w:cs="宋体"/>
                <w:color w:val="000000" w:themeColor="text1"/>
                <w:highlight w:val="none"/>
                <w14:textFill>
                  <w14:solidFill>
                    <w14:schemeClr w14:val="tx1"/>
                  </w14:solidFill>
                </w14:textFill>
              </w:rPr>
            </w:pPr>
          </w:p>
        </w:tc>
      </w:tr>
      <w:tr w14:paraId="11C3B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F30D083">
            <w:pPr>
              <w:spacing w:before="128" w:line="219" w:lineRule="auto"/>
              <w:ind w:left="13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四、脚手架工程</w:t>
            </w:r>
          </w:p>
        </w:tc>
        <w:tc>
          <w:tcPr>
            <w:tcW w:w="1294" w:type="dxa"/>
            <w:vAlign w:val="top"/>
          </w:tcPr>
          <w:p w14:paraId="2881CCAF">
            <w:pPr>
              <w:spacing w:before="127"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7B9B1B91">
            <w:pPr>
              <w:spacing w:before="127"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20DC304E">
            <w:pPr>
              <w:pStyle w:val="17"/>
              <w:rPr>
                <w:rFonts w:hint="eastAsia" w:ascii="宋体" w:hAnsi="宋体" w:eastAsia="宋体" w:cs="宋体"/>
                <w:color w:val="000000" w:themeColor="text1"/>
                <w:highlight w:val="none"/>
                <w14:textFill>
                  <w14:solidFill>
                    <w14:schemeClr w14:val="tx1"/>
                  </w14:solidFill>
                </w14:textFill>
              </w:rPr>
            </w:pPr>
          </w:p>
        </w:tc>
      </w:tr>
      <w:tr w14:paraId="0B14B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8AA96E6">
            <w:pPr>
              <w:spacing w:before="128" w:line="328" w:lineRule="auto"/>
              <w:ind w:left="117" w:right="168" w:firstLine="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（一）搭设高度</w:t>
            </w:r>
            <w:r>
              <w:rPr>
                <w:rFonts w:hint="eastAsia" w:ascii="宋体" w:hAnsi="宋体" w:eastAsia="宋体" w:cs="宋体"/>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50m</w:t>
            </w:r>
            <w:r>
              <w:rPr>
                <w:rFonts w:hint="eastAsia" w:ascii="宋体" w:hAnsi="宋体" w:eastAsia="宋体" w:cs="宋体"/>
                <w:color w:val="000000" w:themeColor="text1"/>
                <w:spacing w:val="-5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及以上的落地式钢管脚手</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架工程。</w:t>
            </w:r>
          </w:p>
        </w:tc>
        <w:tc>
          <w:tcPr>
            <w:tcW w:w="1294" w:type="dxa"/>
            <w:vAlign w:val="top"/>
          </w:tcPr>
          <w:p w14:paraId="38CA0E74">
            <w:pPr>
              <w:pStyle w:val="17"/>
              <w:spacing w:line="296" w:lineRule="auto"/>
              <w:rPr>
                <w:rFonts w:hint="eastAsia" w:ascii="宋体" w:hAnsi="宋体" w:eastAsia="宋体" w:cs="宋体"/>
                <w:color w:val="000000" w:themeColor="text1"/>
                <w:highlight w:val="none"/>
                <w14:textFill>
                  <w14:solidFill>
                    <w14:schemeClr w14:val="tx1"/>
                  </w14:solidFill>
                </w14:textFill>
              </w:rPr>
            </w:pPr>
          </w:p>
          <w:p w14:paraId="14F42D08">
            <w:pPr>
              <w:spacing w:before="78"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3486B799">
            <w:pPr>
              <w:pStyle w:val="17"/>
              <w:spacing w:line="296" w:lineRule="auto"/>
              <w:rPr>
                <w:rFonts w:hint="eastAsia" w:ascii="宋体" w:hAnsi="宋体" w:eastAsia="宋体" w:cs="宋体"/>
                <w:color w:val="000000" w:themeColor="text1"/>
                <w:highlight w:val="none"/>
                <w14:textFill>
                  <w14:solidFill>
                    <w14:schemeClr w14:val="tx1"/>
                  </w14:solidFill>
                </w14:textFill>
              </w:rPr>
            </w:pPr>
          </w:p>
          <w:p w14:paraId="69F43BD7">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0DCFD441">
            <w:pPr>
              <w:pStyle w:val="17"/>
              <w:rPr>
                <w:rFonts w:hint="eastAsia" w:ascii="宋体" w:hAnsi="宋体" w:eastAsia="宋体" w:cs="宋体"/>
                <w:color w:val="000000" w:themeColor="text1"/>
                <w:highlight w:val="none"/>
                <w14:textFill>
                  <w14:solidFill>
                    <w14:schemeClr w14:val="tx1"/>
                  </w14:solidFill>
                </w14:textFill>
              </w:rPr>
            </w:pPr>
          </w:p>
        </w:tc>
      </w:tr>
      <w:tr w14:paraId="5FA03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DA8149A">
            <w:pPr>
              <w:spacing w:before="131" w:line="327" w:lineRule="auto"/>
              <w:ind w:left="116" w:right="105" w:firstLine="1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（二）提升高度在</w:t>
            </w:r>
            <w:r>
              <w:rPr>
                <w:rFonts w:hint="eastAsia" w:ascii="宋体" w:hAnsi="宋体" w:eastAsia="宋体" w:cs="宋体"/>
                <w:color w:val="000000" w:themeColor="text1"/>
                <w:spacing w:val="-1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450</w:t>
            </w:r>
            <w:r>
              <w:rPr>
                <w:rFonts w:hint="eastAsia" w:ascii="宋体" w:hAnsi="宋体" w:eastAsia="宋体" w:cs="宋体"/>
                <w:color w:val="000000" w:themeColor="text1"/>
                <w:spacing w:val="-6"/>
                <w:sz w:val="24"/>
                <w:szCs w:val="24"/>
                <w:highlight w:val="none"/>
                <w14:textFill>
                  <w14:solidFill>
                    <w14:schemeClr w14:val="tx1"/>
                  </w14:solidFill>
                </w14:textFill>
              </w:rPr>
              <w:t>m</w:t>
            </w:r>
            <w:r>
              <w:rPr>
                <w:rFonts w:hint="eastAsia" w:ascii="宋体" w:hAnsi="宋体" w:eastAsia="宋体" w:cs="宋体"/>
                <w:color w:val="000000" w:themeColor="text1"/>
                <w:spacing w:val="-5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及以上的附着式升降脚</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手架工程或附着式升降操作平台工程。</w:t>
            </w:r>
          </w:p>
        </w:tc>
        <w:tc>
          <w:tcPr>
            <w:tcW w:w="1294" w:type="dxa"/>
            <w:vAlign w:val="top"/>
          </w:tcPr>
          <w:p w14:paraId="6C44A919">
            <w:pPr>
              <w:pStyle w:val="17"/>
              <w:spacing w:line="296" w:lineRule="auto"/>
              <w:rPr>
                <w:rFonts w:hint="eastAsia" w:ascii="宋体" w:hAnsi="宋体" w:eastAsia="宋体" w:cs="宋体"/>
                <w:color w:val="000000" w:themeColor="text1"/>
                <w:highlight w:val="none"/>
                <w14:textFill>
                  <w14:solidFill>
                    <w14:schemeClr w14:val="tx1"/>
                  </w14:solidFill>
                </w14:textFill>
              </w:rPr>
            </w:pPr>
          </w:p>
          <w:p w14:paraId="65C3F305">
            <w:pPr>
              <w:spacing w:before="78"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314626CA">
            <w:pPr>
              <w:pStyle w:val="17"/>
              <w:spacing w:line="296" w:lineRule="auto"/>
              <w:rPr>
                <w:rFonts w:hint="eastAsia" w:ascii="宋体" w:hAnsi="宋体" w:eastAsia="宋体" w:cs="宋体"/>
                <w:color w:val="000000" w:themeColor="text1"/>
                <w:highlight w:val="none"/>
                <w14:textFill>
                  <w14:solidFill>
                    <w14:schemeClr w14:val="tx1"/>
                  </w14:solidFill>
                </w14:textFill>
              </w:rPr>
            </w:pPr>
          </w:p>
          <w:p w14:paraId="77E009AF">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6D109652">
            <w:pPr>
              <w:pStyle w:val="17"/>
              <w:rPr>
                <w:rFonts w:hint="eastAsia" w:ascii="宋体" w:hAnsi="宋体" w:eastAsia="宋体" w:cs="宋体"/>
                <w:color w:val="000000" w:themeColor="text1"/>
                <w:highlight w:val="none"/>
                <w14:textFill>
                  <w14:solidFill>
                    <w14:schemeClr w14:val="tx1"/>
                  </w14:solidFill>
                </w14:textFill>
              </w:rPr>
            </w:pPr>
          </w:p>
        </w:tc>
      </w:tr>
      <w:tr w14:paraId="5BD5D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5B1E5B3D">
            <w:pPr>
              <w:spacing w:before="129" w:line="328" w:lineRule="auto"/>
              <w:ind w:left="115" w:right="168" w:firstLine="1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（三）分段架体搭设高度</w:t>
            </w:r>
            <w:r>
              <w:rPr>
                <w:rFonts w:hint="eastAsia" w:ascii="宋体" w:hAnsi="宋体" w:eastAsia="宋体" w:cs="宋体"/>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20m</w:t>
            </w:r>
            <w:r>
              <w:rPr>
                <w:rFonts w:hint="eastAsia" w:ascii="宋体" w:hAnsi="宋体" w:eastAsia="宋体" w:cs="宋体"/>
                <w:color w:val="000000" w:themeColor="text1"/>
                <w:spacing w:val="-5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及以上的悬挑式</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脚手架工程。</w:t>
            </w:r>
          </w:p>
        </w:tc>
        <w:tc>
          <w:tcPr>
            <w:tcW w:w="1294" w:type="dxa"/>
            <w:vAlign w:val="top"/>
          </w:tcPr>
          <w:p w14:paraId="4AB79A12">
            <w:pPr>
              <w:pStyle w:val="17"/>
              <w:spacing w:line="297" w:lineRule="auto"/>
              <w:rPr>
                <w:rFonts w:hint="eastAsia" w:ascii="宋体" w:hAnsi="宋体" w:eastAsia="宋体" w:cs="宋体"/>
                <w:color w:val="000000" w:themeColor="text1"/>
                <w:highlight w:val="none"/>
                <w14:textFill>
                  <w14:solidFill>
                    <w14:schemeClr w14:val="tx1"/>
                  </w14:solidFill>
                </w14:textFill>
              </w:rPr>
            </w:pPr>
          </w:p>
          <w:p w14:paraId="37005039">
            <w:pPr>
              <w:spacing w:before="78"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4ACFD169">
            <w:pPr>
              <w:pStyle w:val="17"/>
              <w:spacing w:line="297" w:lineRule="auto"/>
              <w:rPr>
                <w:rFonts w:hint="eastAsia" w:ascii="宋体" w:hAnsi="宋体" w:eastAsia="宋体" w:cs="宋体"/>
                <w:color w:val="000000" w:themeColor="text1"/>
                <w:highlight w:val="none"/>
                <w14:textFill>
                  <w14:solidFill>
                    <w14:schemeClr w14:val="tx1"/>
                  </w14:solidFill>
                </w14:textFill>
              </w:rPr>
            </w:pPr>
          </w:p>
          <w:p w14:paraId="0F5EF920">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662CF69C">
            <w:pPr>
              <w:pStyle w:val="17"/>
              <w:rPr>
                <w:rFonts w:hint="eastAsia" w:ascii="宋体" w:hAnsi="宋体" w:eastAsia="宋体" w:cs="宋体"/>
                <w:color w:val="000000" w:themeColor="text1"/>
                <w:highlight w:val="none"/>
                <w14:textFill>
                  <w14:solidFill>
                    <w14:schemeClr w14:val="tx1"/>
                  </w14:solidFill>
                </w14:textFill>
              </w:rPr>
            </w:pPr>
          </w:p>
        </w:tc>
      </w:tr>
      <w:tr w14:paraId="04E8E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C785A81">
            <w:pPr>
              <w:spacing w:before="131" w:line="220" w:lineRule="auto"/>
              <w:ind w:left="1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五、拆除工程</w:t>
            </w:r>
          </w:p>
        </w:tc>
        <w:tc>
          <w:tcPr>
            <w:tcW w:w="1294" w:type="dxa"/>
            <w:vAlign w:val="top"/>
          </w:tcPr>
          <w:p w14:paraId="2B410AE1">
            <w:pPr>
              <w:spacing w:before="158" w:line="223"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57B38F25">
            <w:pPr>
              <w:spacing w:before="15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18E3645D">
            <w:pPr>
              <w:pStyle w:val="17"/>
              <w:rPr>
                <w:rFonts w:hint="eastAsia" w:ascii="宋体" w:hAnsi="宋体" w:eastAsia="宋体" w:cs="宋体"/>
                <w:color w:val="000000" w:themeColor="text1"/>
                <w:highlight w:val="none"/>
                <w14:textFill>
                  <w14:solidFill>
                    <w14:schemeClr w14:val="tx1"/>
                  </w14:solidFill>
                </w14:textFill>
              </w:rPr>
            </w:pPr>
          </w:p>
        </w:tc>
      </w:tr>
      <w:tr w14:paraId="33198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D620B92">
            <w:pPr>
              <w:spacing w:before="132" w:line="353" w:lineRule="auto"/>
              <w:ind w:left="115" w:right="168" w:firstLine="1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（一）码头、桥梁、高架、烟囱、水塔或拆除</w:t>
            </w:r>
            <w:r>
              <w:rPr>
                <w:rFonts w:hint="eastAsia" w:ascii="宋体" w:hAnsi="宋体" w:eastAsia="宋体" w:cs="宋体"/>
                <w:color w:val="000000" w:themeColor="text1"/>
                <w:spacing w:val="1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中容易引起有毒有害气（液）体或粉尘扩散、</w:t>
            </w:r>
            <w:r>
              <w:rPr>
                <w:rFonts w:hint="eastAsia" w:ascii="宋体" w:hAnsi="宋体" w:eastAsia="宋体" w:cs="宋体"/>
                <w:color w:val="000000" w:themeColor="text1"/>
                <w:spacing w:val="1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易燃易爆事故发生的特殊建、构筑物的拆除工</w:t>
            </w:r>
            <w:r>
              <w:rPr>
                <w:rFonts w:hint="eastAsia" w:ascii="宋体" w:hAnsi="宋体" w:eastAsia="宋体" w:cs="宋体"/>
                <w:color w:val="000000" w:themeColor="text1"/>
                <w:spacing w:val="1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程。</w:t>
            </w:r>
          </w:p>
        </w:tc>
        <w:tc>
          <w:tcPr>
            <w:tcW w:w="1294" w:type="dxa"/>
            <w:vAlign w:val="top"/>
          </w:tcPr>
          <w:p w14:paraId="62837129">
            <w:pPr>
              <w:pStyle w:val="17"/>
              <w:spacing w:line="262" w:lineRule="auto"/>
              <w:rPr>
                <w:rFonts w:hint="eastAsia" w:ascii="宋体" w:hAnsi="宋体" w:eastAsia="宋体" w:cs="宋体"/>
                <w:color w:val="000000" w:themeColor="text1"/>
                <w:highlight w:val="none"/>
                <w14:textFill>
                  <w14:solidFill>
                    <w14:schemeClr w14:val="tx1"/>
                  </w14:solidFill>
                </w14:textFill>
              </w:rPr>
            </w:pPr>
          </w:p>
          <w:p w14:paraId="5E2C6B65">
            <w:pPr>
              <w:pStyle w:val="17"/>
              <w:spacing w:line="262" w:lineRule="auto"/>
              <w:rPr>
                <w:rFonts w:hint="eastAsia" w:ascii="宋体" w:hAnsi="宋体" w:eastAsia="宋体" w:cs="宋体"/>
                <w:color w:val="000000" w:themeColor="text1"/>
                <w:highlight w:val="none"/>
                <w14:textFill>
                  <w14:solidFill>
                    <w14:schemeClr w14:val="tx1"/>
                  </w14:solidFill>
                </w14:textFill>
              </w:rPr>
            </w:pPr>
          </w:p>
          <w:p w14:paraId="4237685B">
            <w:pPr>
              <w:pStyle w:val="17"/>
              <w:spacing w:line="262" w:lineRule="auto"/>
              <w:rPr>
                <w:rFonts w:hint="eastAsia" w:ascii="宋体" w:hAnsi="宋体" w:eastAsia="宋体" w:cs="宋体"/>
                <w:color w:val="000000" w:themeColor="text1"/>
                <w:highlight w:val="none"/>
                <w14:textFill>
                  <w14:solidFill>
                    <w14:schemeClr w14:val="tx1"/>
                  </w14:solidFill>
                </w14:textFill>
              </w:rPr>
            </w:pPr>
          </w:p>
          <w:p w14:paraId="5E1C9159">
            <w:pPr>
              <w:spacing w:before="78"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42F70B0D">
            <w:pPr>
              <w:pStyle w:val="17"/>
              <w:spacing w:line="262" w:lineRule="auto"/>
              <w:rPr>
                <w:rFonts w:hint="eastAsia" w:ascii="宋体" w:hAnsi="宋体" w:eastAsia="宋体" w:cs="宋体"/>
                <w:color w:val="000000" w:themeColor="text1"/>
                <w:highlight w:val="none"/>
                <w14:textFill>
                  <w14:solidFill>
                    <w14:schemeClr w14:val="tx1"/>
                  </w14:solidFill>
                </w14:textFill>
              </w:rPr>
            </w:pPr>
          </w:p>
          <w:p w14:paraId="1459CE9C">
            <w:pPr>
              <w:pStyle w:val="17"/>
              <w:spacing w:line="262" w:lineRule="auto"/>
              <w:rPr>
                <w:rFonts w:hint="eastAsia" w:ascii="宋体" w:hAnsi="宋体" w:eastAsia="宋体" w:cs="宋体"/>
                <w:color w:val="000000" w:themeColor="text1"/>
                <w:highlight w:val="none"/>
                <w14:textFill>
                  <w14:solidFill>
                    <w14:schemeClr w14:val="tx1"/>
                  </w14:solidFill>
                </w14:textFill>
              </w:rPr>
            </w:pPr>
          </w:p>
          <w:p w14:paraId="7D26B224">
            <w:pPr>
              <w:pStyle w:val="17"/>
              <w:spacing w:line="262" w:lineRule="auto"/>
              <w:rPr>
                <w:rFonts w:hint="eastAsia" w:ascii="宋体" w:hAnsi="宋体" w:eastAsia="宋体" w:cs="宋体"/>
                <w:color w:val="000000" w:themeColor="text1"/>
                <w:highlight w:val="none"/>
                <w14:textFill>
                  <w14:solidFill>
                    <w14:schemeClr w14:val="tx1"/>
                  </w14:solidFill>
                </w14:textFill>
              </w:rPr>
            </w:pPr>
          </w:p>
          <w:p w14:paraId="2ABE716F">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4E13D582">
            <w:pPr>
              <w:pStyle w:val="17"/>
              <w:rPr>
                <w:rFonts w:hint="eastAsia" w:ascii="宋体" w:hAnsi="宋体" w:eastAsia="宋体" w:cs="宋体"/>
                <w:color w:val="000000" w:themeColor="text1"/>
                <w:highlight w:val="none"/>
                <w14:textFill>
                  <w14:solidFill>
                    <w14:schemeClr w14:val="tx1"/>
                  </w14:solidFill>
                </w14:textFill>
              </w:rPr>
            </w:pPr>
          </w:p>
        </w:tc>
      </w:tr>
      <w:tr w14:paraId="47EF3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250F9E3">
            <w:pPr>
              <w:spacing w:before="131" w:line="327" w:lineRule="auto"/>
              <w:ind w:left="117" w:right="168" w:firstLine="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（二）文物保护建筑、优秀历史建筑或历史文</w:t>
            </w:r>
            <w:r>
              <w:rPr>
                <w:rFonts w:hint="eastAsia" w:ascii="宋体" w:hAnsi="宋体" w:eastAsia="宋体" w:cs="宋体"/>
                <w:color w:val="000000" w:themeColor="text1"/>
                <w:spacing w:val="1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化风貌区影响范围内的拆除工程。</w:t>
            </w:r>
          </w:p>
        </w:tc>
        <w:tc>
          <w:tcPr>
            <w:tcW w:w="1294" w:type="dxa"/>
            <w:vAlign w:val="top"/>
          </w:tcPr>
          <w:p w14:paraId="1D4EC9B1">
            <w:pPr>
              <w:pStyle w:val="17"/>
              <w:spacing w:line="297" w:lineRule="auto"/>
              <w:rPr>
                <w:rFonts w:hint="eastAsia" w:ascii="宋体" w:hAnsi="宋体" w:eastAsia="宋体" w:cs="宋体"/>
                <w:color w:val="000000" w:themeColor="text1"/>
                <w:highlight w:val="none"/>
                <w14:textFill>
                  <w14:solidFill>
                    <w14:schemeClr w14:val="tx1"/>
                  </w14:solidFill>
                </w14:textFill>
              </w:rPr>
            </w:pPr>
          </w:p>
          <w:p w14:paraId="63A03CFE">
            <w:pPr>
              <w:spacing w:before="78"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02888C22">
            <w:pPr>
              <w:pStyle w:val="17"/>
              <w:spacing w:line="297" w:lineRule="auto"/>
              <w:rPr>
                <w:rFonts w:hint="eastAsia" w:ascii="宋体" w:hAnsi="宋体" w:eastAsia="宋体" w:cs="宋体"/>
                <w:color w:val="000000" w:themeColor="text1"/>
                <w:highlight w:val="none"/>
                <w14:textFill>
                  <w14:solidFill>
                    <w14:schemeClr w14:val="tx1"/>
                  </w14:solidFill>
                </w14:textFill>
              </w:rPr>
            </w:pPr>
          </w:p>
          <w:p w14:paraId="1B856F29">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43226493">
            <w:pPr>
              <w:pStyle w:val="17"/>
              <w:rPr>
                <w:rFonts w:hint="eastAsia" w:ascii="宋体" w:hAnsi="宋体" w:eastAsia="宋体" w:cs="宋体"/>
                <w:color w:val="000000" w:themeColor="text1"/>
                <w:highlight w:val="none"/>
                <w14:textFill>
                  <w14:solidFill>
                    <w14:schemeClr w14:val="tx1"/>
                  </w14:solidFill>
                </w14:textFill>
              </w:rPr>
            </w:pPr>
          </w:p>
        </w:tc>
      </w:tr>
      <w:tr w14:paraId="4AB33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FB23701">
            <w:pPr>
              <w:spacing w:before="131" w:line="221" w:lineRule="auto"/>
              <w:ind w:left="11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六、暗挖工程</w:t>
            </w:r>
          </w:p>
        </w:tc>
        <w:tc>
          <w:tcPr>
            <w:tcW w:w="1294" w:type="dxa"/>
            <w:vAlign w:val="top"/>
          </w:tcPr>
          <w:p w14:paraId="3B13018B">
            <w:pPr>
              <w:spacing w:before="140"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51E32A96">
            <w:pPr>
              <w:spacing w:before="140"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2BEFE76D">
            <w:pPr>
              <w:pStyle w:val="17"/>
              <w:rPr>
                <w:rFonts w:hint="eastAsia" w:ascii="宋体" w:hAnsi="宋体" w:eastAsia="宋体" w:cs="宋体"/>
                <w:color w:val="000000" w:themeColor="text1"/>
                <w:highlight w:val="none"/>
                <w14:textFill>
                  <w14:solidFill>
                    <w14:schemeClr w14:val="tx1"/>
                  </w14:solidFill>
                </w14:textFill>
              </w:rPr>
            </w:pPr>
          </w:p>
        </w:tc>
      </w:tr>
      <w:tr w14:paraId="25277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C421DB8">
            <w:pPr>
              <w:spacing w:before="131" w:line="327" w:lineRule="auto"/>
              <w:ind w:left="119" w:right="168" w:hanging="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采用矿山法、盾构法、顶管法施工的隧道、洞</w:t>
            </w:r>
            <w:r>
              <w:rPr>
                <w:rFonts w:hint="eastAsia" w:ascii="宋体" w:hAnsi="宋体" w:eastAsia="宋体" w:cs="宋体"/>
                <w:color w:val="000000" w:themeColor="text1"/>
                <w:spacing w:val="1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室工程。</w:t>
            </w:r>
          </w:p>
        </w:tc>
        <w:tc>
          <w:tcPr>
            <w:tcW w:w="1294" w:type="dxa"/>
            <w:vAlign w:val="top"/>
          </w:tcPr>
          <w:p w14:paraId="2955C1FF">
            <w:pPr>
              <w:pStyle w:val="17"/>
              <w:spacing w:line="298" w:lineRule="auto"/>
              <w:rPr>
                <w:rFonts w:hint="eastAsia" w:ascii="宋体" w:hAnsi="宋体" w:eastAsia="宋体" w:cs="宋体"/>
                <w:color w:val="000000" w:themeColor="text1"/>
                <w:highlight w:val="none"/>
                <w14:textFill>
                  <w14:solidFill>
                    <w14:schemeClr w14:val="tx1"/>
                  </w14:solidFill>
                </w14:textFill>
              </w:rPr>
            </w:pPr>
          </w:p>
          <w:p w14:paraId="4C4C9825">
            <w:pPr>
              <w:spacing w:before="78"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337FC5FC">
            <w:pPr>
              <w:pStyle w:val="17"/>
              <w:spacing w:line="298" w:lineRule="auto"/>
              <w:rPr>
                <w:rFonts w:hint="eastAsia" w:ascii="宋体" w:hAnsi="宋体" w:eastAsia="宋体" w:cs="宋体"/>
                <w:color w:val="000000" w:themeColor="text1"/>
                <w:highlight w:val="none"/>
                <w14:textFill>
                  <w14:solidFill>
                    <w14:schemeClr w14:val="tx1"/>
                  </w14:solidFill>
                </w14:textFill>
              </w:rPr>
            </w:pPr>
          </w:p>
          <w:p w14:paraId="7873351B">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0739747C">
            <w:pPr>
              <w:pStyle w:val="17"/>
              <w:rPr>
                <w:rFonts w:hint="eastAsia" w:ascii="宋体" w:hAnsi="宋体" w:eastAsia="宋体" w:cs="宋体"/>
                <w:color w:val="000000" w:themeColor="text1"/>
                <w:highlight w:val="none"/>
                <w14:textFill>
                  <w14:solidFill>
                    <w14:schemeClr w14:val="tx1"/>
                  </w14:solidFill>
                </w14:textFill>
              </w:rPr>
            </w:pPr>
          </w:p>
        </w:tc>
      </w:tr>
      <w:tr w14:paraId="23CBE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F3B8926">
            <w:pPr>
              <w:spacing w:before="130" w:line="222" w:lineRule="auto"/>
              <w:ind w:left="11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七、其它</w:t>
            </w:r>
          </w:p>
        </w:tc>
        <w:tc>
          <w:tcPr>
            <w:tcW w:w="1294" w:type="dxa"/>
            <w:vAlign w:val="top"/>
          </w:tcPr>
          <w:p w14:paraId="4D77A95B">
            <w:pPr>
              <w:spacing w:before="130"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2185F8E5">
            <w:pPr>
              <w:spacing w:before="130"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28A326B1">
            <w:pPr>
              <w:pStyle w:val="17"/>
              <w:rPr>
                <w:rFonts w:hint="eastAsia" w:ascii="宋体" w:hAnsi="宋体" w:eastAsia="宋体" w:cs="宋体"/>
                <w:color w:val="000000" w:themeColor="text1"/>
                <w:highlight w:val="none"/>
                <w14:textFill>
                  <w14:solidFill>
                    <w14:schemeClr w14:val="tx1"/>
                  </w14:solidFill>
                </w14:textFill>
              </w:rPr>
            </w:pPr>
          </w:p>
        </w:tc>
      </w:tr>
      <w:tr w14:paraId="36214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FF8FAEC">
            <w:pPr>
              <w:spacing w:before="130" w:line="327" w:lineRule="auto"/>
              <w:ind w:left="115" w:right="168" w:firstLine="1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（一）施工高度</w:t>
            </w:r>
            <w:r>
              <w:rPr>
                <w:rFonts w:hint="eastAsia" w:ascii="宋体" w:hAnsi="宋体" w:eastAsia="宋体" w:cs="宋体"/>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50m</w:t>
            </w:r>
            <w:r>
              <w:rPr>
                <w:rFonts w:hint="eastAsia" w:ascii="宋体" w:hAnsi="宋体" w:eastAsia="宋体" w:cs="宋体"/>
                <w:color w:val="000000" w:themeColor="text1"/>
                <w:spacing w:val="-5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及以上的建筑幕墙安装工</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程。</w:t>
            </w:r>
          </w:p>
        </w:tc>
        <w:tc>
          <w:tcPr>
            <w:tcW w:w="1294" w:type="dxa"/>
            <w:vAlign w:val="top"/>
          </w:tcPr>
          <w:p w14:paraId="79731486">
            <w:pPr>
              <w:pStyle w:val="17"/>
              <w:spacing w:line="297" w:lineRule="auto"/>
              <w:rPr>
                <w:rFonts w:hint="eastAsia" w:ascii="宋体" w:hAnsi="宋体" w:eastAsia="宋体" w:cs="宋体"/>
                <w:color w:val="000000" w:themeColor="text1"/>
                <w:highlight w:val="none"/>
                <w14:textFill>
                  <w14:solidFill>
                    <w14:schemeClr w14:val="tx1"/>
                  </w14:solidFill>
                </w14:textFill>
              </w:rPr>
            </w:pPr>
          </w:p>
          <w:p w14:paraId="06B1EF7E">
            <w:pPr>
              <w:spacing w:before="78"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0F023B34">
            <w:pPr>
              <w:pStyle w:val="17"/>
              <w:spacing w:line="297" w:lineRule="auto"/>
              <w:rPr>
                <w:rFonts w:hint="eastAsia" w:ascii="宋体" w:hAnsi="宋体" w:eastAsia="宋体" w:cs="宋体"/>
                <w:color w:val="000000" w:themeColor="text1"/>
                <w:highlight w:val="none"/>
                <w14:textFill>
                  <w14:solidFill>
                    <w14:schemeClr w14:val="tx1"/>
                  </w14:solidFill>
                </w14:textFill>
              </w:rPr>
            </w:pPr>
          </w:p>
          <w:p w14:paraId="0642A23D">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39FC3417">
            <w:pPr>
              <w:pStyle w:val="17"/>
              <w:rPr>
                <w:rFonts w:hint="eastAsia" w:ascii="宋体" w:hAnsi="宋体" w:eastAsia="宋体" w:cs="宋体"/>
                <w:color w:val="000000" w:themeColor="text1"/>
                <w:highlight w:val="none"/>
                <w14:textFill>
                  <w14:solidFill>
                    <w14:schemeClr w14:val="tx1"/>
                  </w14:solidFill>
                </w14:textFill>
              </w:rPr>
            </w:pPr>
          </w:p>
        </w:tc>
      </w:tr>
      <w:tr w14:paraId="3255E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5A9370B">
            <w:pPr>
              <w:spacing w:before="130" w:line="221" w:lineRule="auto"/>
              <w:ind w:left="1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（二）跨度</w:t>
            </w:r>
            <w:r>
              <w:rPr>
                <w:rFonts w:hint="eastAsia" w:ascii="宋体" w:hAnsi="宋体" w:eastAsia="宋体" w:cs="宋体"/>
                <w:color w:val="000000" w:themeColor="text1"/>
                <w:spacing w:val="-3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36m</w:t>
            </w:r>
            <w:r>
              <w:rPr>
                <w:rFonts w:hint="eastAsia" w:ascii="宋体" w:hAnsi="宋体" w:eastAsia="宋体" w:cs="宋体"/>
                <w:color w:val="000000" w:themeColor="text1"/>
                <w:spacing w:val="-5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及以上的钢结构安装工程，或</w:t>
            </w:r>
          </w:p>
        </w:tc>
        <w:tc>
          <w:tcPr>
            <w:tcW w:w="1294" w:type="dxa"/>
            <w:vAlign w:val="top"/>
          </w:tcPr>
          <w:p w14:paraId="0E28B8BF">
            <w:pPr>
              <w:spacing w:before="130"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65DB057B">
            <w:pPr>
              <w:spacing w:before="130"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23DB903A">
            <w:pPr>
              <w:pStyle w:val="17"/>
              <w:rPr>
                <w:rFonts w:hint="eastAsia" w:ascii="宋体" w:hAnsi="宋体" w:eastAsia="宋体" w:cs="宋体"/>
                <w:color w:val="000000" w:themeColor="text1"/>
                <w:highlight w:val="none"/>
                <w14:textFill>
                  <w14:solidFill>
                    <w14:schemeClr w14:val="tx1"/>
                  </w14:solidFill>
                </w14:textFill>
              </w:rPr>
            </w:pPr>
          </w:p>
        </w:tc>
      </w:tr>
      <w:tr w14:paraId="648D8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41E2AF4">
            <w:pPr>
              <w:spacing w:before="131" w:line="221" w:lineRule="auto"/>
              <w:ind w:left="11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跨度</w:t>
            </w:r>
            <w:r>
              <w:rPr>
                <w:rFonts w:hint="eastAsia" w:ascii="宋体" w:hAnsi="宋体" w:eastAsia="宋体" w:cs="宋体"/>
                <w:color w:val="000000" w:themeColor="text1"/>
                <w:spacing w:val="-3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60m</w:t>
            </w:r>
            <w:r>
              <w:rPr>
                <w:rFonts w:hint="eastAsia" w:ascii="宋体" w:hAnsi="宋体" w:eastAsia="宋体" w:cs="宋体"/>
                <w:color w:val="000000" w:themeColor="text1"/>
                <w:spacing w:val="-5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及以上的网架和索膜结构安装工程。</w:t>
            </w:r>
          </w:p>
        </w:tc>
        <w:tc>
          <w:tcPr>
            <w:tcW w:w="1294" w:type="dxa"/>
            <w:vAlign w:val="top"/>
          </w:tcPr>
          <w:p w14:paraId="64B97050">
            <w:pPr>
              <w:pStyle w:val="17"/>
              <w:rPr>
                <w:rFonts w:hint="eastAsia" w:ascii="宋体" w:hAnsi="宋体" w:eastAsia="宋体" w:cs="宋体"/>
                <w:color w:val="000000" w:themeColor="text1"/>
                <w:highlight w:val="none"/>
                <w14:textFill>
                  <w14:solidFill>
                    <w14:schemeClr w14:val="tx1"/>
                  </w14:solidFill>
                </w14:textFill>
              </w:rPr>
            </w:pPr>
          </w:p>
        </w:tc>
        <w:tc>
          <w:tcPr>
            <w:tcW w:w="1294" w:type="dxa"/>
            <w:vAlign w:val="top"/>
          </w:tcPr>
          <w:p w14:paraId="002E0645">
            <w:pPr>
              <w:pStyle w:val="17"/>
              <w:rPr>
                <w:rFonts w:hint="eastAsia" w:ascii="宋体" w:hAnsi="宋体" w:eastAsia="宋体" w:cs="宋体"/>
                <w:color w:val="000000" w:themeColor="text1"/>
                <w:highlight w:val="none"/>
                <w14:textFill>
                  <w14:solidFill>
                    <w14:schemeClr w14:val="tx1"/>
                  </w14:solidFill>
                </w14:textFill>
              </w:rPr>
            </w:pPr>
          </w:p>
        </w:tc>
        <w:tc>
          <w:tcPr>
            <w:tcW w:w="2428" w:type="dxa"/>
            <w:vAlign w:val="top"/>
          </w:tcPr>
          <w:p w14:paraId="044C4BAC">
            <w:pPr>
              <w:pStyle w:val="17"/>
              <w:rPr>
                <w:rFonts w:hint="eastAsia" w:ascii="宋体" w:hAnsi="宋体" w:eastAsia="宋体" w:cs="宋体"/>
                <w:color w:val="000000" w:themeColor="text1"/>
                <w:highlight w:val="none"/>
                <w14:textFill>
                  <w14:solidFill>
                    <w14:schemeClr w14:val="tx1"/>
                  </w14:solidFill>
                </w14:textFill>
              </w:rPr>
            </w:pPr>
          </w:p>
        </w:tc>
      </w:tr>
      <w:tr w14:paraId="6EB4F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1B8FBFF">
            <w:pPr>
              <w:spacing w:before="127" w:line="220" w:lineRule="auto"/>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（三）开挖深度</w:t>
            </w:r>
            <w:r>
              <w:rPr>
                <w:rFonts w:hint="eastAsia" w:ascii="宋体" w:hAnsi="宋体" w:eastAsia="宋体" w:cs="宋体"/>
                <w:color w:val="000000" w:themeColor="text1"/>
                <w:spacing w:val="-3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16m</w:t>
            </w:r>
            <w:r>
              <w:rPr>
                <w:rFonts w:hint="eastAsia" w:ascii="宋体" w:hAnsi="宋体" w:eastAsia="宋体" w:cs="宋体"/>
                <w:color w:val="000000" w:themeColor="text1"/>
                <w:spacing w:val="-5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及以上的人工挖孔桩工程。</w:t>
            </w:r>
          </w:p>
        </w:tc>
        <w:tc>
          <w:tcPr>
            <w:tcW w:w="1294" w:type="dxa"/>
            <w:vAlign w:val="top"/>
          </w:tcPr>
          <w:p w14:paraId="62C02099">
            <w:pPr>
              <w:spacing w:before="127"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241BE568">
            <w:pPr>
              <w:spacing w:before="127"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1B3ECDA4">
            <w:pPr>
              <w:pStyle w:val="17"/>
              <w:rPr>
                <w:rFonts w:hint="eastAsia" w:ascii="宋体" w:hAnsi="宋体" w:eastAsia="宋体" w:cs="宋体"/>
                <w:color w:val="000000" w:themeColor="text1"/>
                <w:highlight w:val="none"/>
                <w14:textFill>
                  <w14:solidFill>
                    <w14:schemeClr w14:val="tx1"/>
                  </w14:solidFill>
                </w14:textFill>
              </w:rPr>
            </w:pPr>
          </w:p>
        </w:tc>
      </w:tr>
      <w:tr w14:paraId="0A9F4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C8AFDA4">
            <w:pPr>
              <w:spacing w:before="129" w:line="220" w:lineRule="auto"/>
              <w:ind w:left="1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（四）水下作业工程。</w:t>
            </w:r>
          </w:p>
        </w:tc>
        <w:tc>
          <w:tcPr>
            <w:tcW w:w="1294" w:type="dxa"/>
            <w:vAlign w:val="top"/>
          </w:tcPr>
          <w:p w14:paraId="3067C02F">
            <w:pPr>
              <w:spacing w:before="163"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52CEF54C">
            <w:pPr>
              <w:spacing w:before="163"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4B56A100">
            <w:pPr>
              <w:pStyle w:val="17"/>
              <w:rPr>
                <w:rFonts w:hint="eastAsia" w:ascii="宋体" w:hAnsi="宋体" w:eastAsia="宋体" w:cs="宋体"/>
                <w:color w:val="000000" w:themeColor="text1"/>
                <w:highlight w:val="none"/>
                <w14:textFill>
                  <w14:solidFill>
                    <w14:schemeClr w14:val="tx1"/>
                  </w14:solidFill>
                </w14:textFill>
              </w:rPr>
            </w:pPr>
          </w:p>
        </w:tc>
      </w:tr>
      <w:tr w14:paraId="7A1F8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BCC59C5">
            <w:pPr>
              <w:spacing w:before="130" w:line="327" w:lineRule="auto"/>
              <w:ind w:left="115" w:right="25" w:firstLine="1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（五）重量</w:t>
            </w:r>
            <w:r>
              <w:rPr>
                <w:rFonts w:hint="eastAsia" w:ascii="宋体" w:hAnsi="宋体" w:eastAsia="宋体" w:cs="宋体"/>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1000kN及以上的大型结构整体顶升、</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平移、转体等施工工艺。</w:t>
            </w:r>
          </w:p>
        </w:tc>
        <w:tc>
          <w:tcPr>
            <w:tcW w:w="1294" w:type="dxa"/>
            <w:vAlign w:val="top"/>
          </w:tcPr>
          <w:p w14:paraId="3F86B10F">
            <w:pPr>
              <w:pStyle w:val="17"/>
              <w:spacing w:line="296" w:lineRule="auto"/>
              <w:rPr>
                <w:rFonts w:hint="eastAsia" w:ascii="宋体" w:hAnsi="宋体" w:eastAsia="宋体" w:cs="宋体"/>
                <w:color w:val="000000" w:themeColor="text1"/>
                <w:highlight w:val="none"/>
                <w14:textFill>
                  <w14:solidFill>
                    <w14:schemeClr w14:val="tx1"/>
                  </w14:solidFill>
                </w14:textFill>
              </w:rPr>
            </w:pPr>
          </w:p>
          <w:p w14:paraId="3DAFD05C">
            <w:pPr>
              <w:spacing w:before="78"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77CFDEAB">
            <w:pPr>
              <w:pStyle w:val="17"/>
              <w:spacing w:line="296" w:lineRule="auto"/>
              <w:rPr>
                <w:rFonts w:hint="eastAsia" w:ascii="宋体" w:hAnsi="宋体" w:eastAsia="宋体" w:cs="宋体"/>
                <w:color w:val="000000" w:themeColor="text1"/>
                <w:highlight w:val="none"/>
                <w14:textFill>
                  <w14:solidFill>
                    <w14:schemeClr w14:val="tx1"/>
                  </w14:solidFill>
                </w14:textFill>
              </w:rPr>
            </w:pPr>
          </w:p>
          <w:p w14:paraId="283652C7">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4FC5E233">
            <w:pPr>
              <w:pStyle w:val="17"/>
              <w:rPr>
                <w:rFonts w:hint="eastAsia" w:ascii="宋体" w:hAnsi="宋体" w:eastAsia="宋体" w:cs="宋体"/>
                <w:color w:val="000000" w:themeColor="text1"/>
                <w:highlight w:val="none"/>
                <w14:textFill>
                  <w14:solidFill>
                    <w14:schemeClr w14:val="tx1"/>
                  </w14:solidFill>
                </w14:textFill>
              </w:rPr>
            </w:pPr>
          </w:p>
        </w:tc>
      </w:tr>
      <w:tr w14:paraId="06CCF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9C5CBEE">
            <w:pPr>
              <w:spacing w:before="129" w:line="346" w:lineRule="auto"/>
              <w:ind w:left="117" w:right="168" w:firstLine="1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（六）采用新技术、新工艺、新材料、新设备</w:t>
            </w:r>
            <w:r>
              <w:rPr>
                <w:rFonts w:hint="eastAsia" w:ascii="宋体" w:hAnsi="宋体" w:eastAsia="宋体" w:cs="宋体"/>
                <w:color w:val="000000" w:themeColor="text1"/>
                <w:spacing w:val="1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可能影响工程施工安全，尚无国家、行业及地</w:t>
            </w:r>
            <w:r>
              <w:rPr>
                <w:rFonts w:hint="eastAsia" w:ascii="宋体" w:hAnsi="宋体" w:eastAsia="宋体" w:cs="宋体"/>
                <w:color w:val="000000" w:themeColor="text1"/>
                <w:spacing w:val="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方技术标准的分部分项工程。</w:t>
            </w:r>
          </w:p>
        </w:tc>
        <w:tc>
          <w:tcPr>
            <w:tcW w:w="1294" w:type="dxa"/>
            <w:vAlign w:val="top"/>
          </w:tcPr>
          <w:p w14:paraId="7BFE5A71">
            <w:pPr>
              <w:pStyle w:val="17"/>
              <w:spacing w:line="272" w:lineRule="auto"/>
              <w:rPr>
                <w:rFonts w:hint="eastAsia" w:ascii="宋体" w:hAnsi="宋体" w:eastAsia="宋体" w:cs="宋体"/>
                <w:color w:val="000000" w:themeColor="text1"/>
                <w:highlight w:val="none"/>
                <w14:textFill>
                  <w14:solidFill>
                    <w14:schemeClr w14:val="tx1"/>
                  </w14:solidFill>
                </w14:textFill>
              </w:rPr>
            </w:pPr>
          </w:p>
          <w:p w14:paraId="56661FE2">
            <w:pPr>
              <w:pStyle w:val="17"/>
              <w:spacing w:line="272" w:lineRule="auto"/>
              <w:rPr>
                <w:rFonts w:hint="eastAsia" w:ascii="宋体" w:hAnsi="宋体" w:eastAsia="宋体" w:cs="宋体"/>
                <w:color w:val="000000" w:themeColor="text1"/>
                <w:highlight w:val="none"/>
                <w14:textFill>
                  <w14:solidFill>
                    <w14:schemeClr w14:val="tx1"/>
                  </w14:solidFill>
                </w14:textFill>
              </w:rPr>
            </w:pPr>
          </w:p>
          <w:p w14:paraId="41A5B130">
            <w:pPr>
              <w:spacing w:before="78" w:line="223" w:lineRule="auto"/>
              <w:ind w:left="3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1294" w:type="dxa"/>
            <w:vAlign w:val="top"/>
          </w:tcPr>
          <w:p w14:paraId="3094A60A">
            <w:pPr>
              <w:pStyle w:val="17"/>
              <w:spacing w:line="272" w:lineRule="auto"/>
              <w:rPr>
                <w:rFonts w:hint="eastAsia" w:ascii="宋体" w:hAnsi="宋体" w:eastAsia="宋体" w:cs="宋体"/>
                <w:color w:val="000000" w:themeColor="text1"/>
                <w:highlight w:val="none"/>
                <w14:textFill>
                  <w14:solidFill>
                    <w14:schemeClr w14:val="tx1"/>
                  </w14:solidFill>
                </w14:textFill>
              </w:rPr>
            </w:pPr>
          </w:p>
          <w:p w14:paraId="38F5358C">
            <w:pPr>
              <w:pStyle w:val="17"/>
              <w:spacing w:line="272" w:lineRule="auto"/>
              <w:rPr>
                <w:rFonts w:hint="eastAsia" w:ascii="宋体" w:hAnsi="宋体" w:eastAsia="宋体" w:cs="宋体"/>
                <w:color w:val="000000" w:themeColor="text1"/>
                <w:highlight w:val="none"/>
                <w14:textFill>
                  <w14:solidFill>
                    <w14:schemeClr w14:val="tx1"/>
                  </w14:solidFill>
                </w14:textFill>
              </w:rPr>
            </w:pPr>
          </w:p>
          <w:p w14:paraId="133F0501">
            <w:pPr>
              <w:spacing w:before="78" w:line="223" w:lineRule="auto"/>
              <w:ind w:left="3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w w:val="94"/>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9"/>
                <w:w w:val="94"/>
                <w:sz w:val="24"/>
                <w:szCs w:val="24"/>
                <w:highlight w:val="none"/>
                <w14:textFill>
                  <w14:solidFill>
                    <w14:schemeClr w14:val="tx1"/>
                  </w14:solidFill>
                </w14:textFill>
              </w:rPr>
              <w:t>)</w:t>
            </w:r>
          </w:p>
        </w:tc>
        <w:tc>
          <w:tcPr>
            <w:tcW w:w="2428" w:type="dxa"/>
            <w:vAlign w:val="top"/>
          </w:tcPr>
          <w:p w14:paraId="0B0949F0">
            <w:pPr>
              <w:pStyle w:val="17"/>
              <w:rPr>
                <w:rFonts w:hint="eastAsia" w:ascii="宋体" w:hAnsi="宋体" w:eastAsia="宋体" w:cs="宋体"/>
                <w:color w:val="000000" w:themeColor="text1"/>
                <w:highlight w:val="none"/>
                <w14:textFill>
                  <w14:solidFill>
                    <w14:schemeClr w14:val="tx1"/>
                  </w14:solidFill>
                </w14:textFill>
              </w:rPr>
            </w:pPr>
          </w:p>
        </w:tc>
      </w:tr>
    </w:tbl>
    <w:p w14:paraId="6E7F6BBB">
      <w:pPr>
        <w:pStyle w:val="5"/>
        <w:spacing w:line="288" w:lineRule="auto"/>
        <w:rPr>
          <w:rFonts w:hint="eastAsia" w:ascii="宋体" w:hAnsi="宋体" w:eastAsia="宋体" w:cs="宋体"/>
          <w:color w:val="000000" w:themeColor="text1"/>
          <w:highlight w:val="none"/>
          <w14:textFill>
            <w14:solidFill>
              <w14:schemeClr w14:val="tx1"/>
            </w14:solidFill>
          </w14:textFill>
        </w:rPr>
      </w:pPr>
    </w:p>
    <w:p w14:paraId="548C332F">
      <w:pPr>
        <w:pStyle w:val="5"/>
        <w:spacing w:line="288" w:lineRule="auto"/>
        <w:rPr>
          <w:rFonts w:hint="eastAsia" w:ascii="宋体" w:hAnsi="宋体" w:eastAsia="宋体" w:cs="宋体"/>
          <w:color w:val="000000" w:themeColor="text1"/>
          <w:highlight w:val="none"/>
          <w14:textFill>
            <w14:solidFill>
              <w14:schemeClr w14:val="tx1"/>
            </w14:solidFill>
          </w14:textFill>
        </w:rPr>
      </w:pPr>
    </w:p>
    <w:p w14:paraId="4D9ADF52">
      <w:pPr>
        <w:spacing w:before="21" w:line="376" w:lineRule="exact"/>
        <w:ind w:firstLine="520" w:firstLineChars="200"/>
        <w:rPr>
          <w:rFonts w:hint="eastAsia" w:ascii="宋体" w:hAnsi="宋体" w:eastAsia="宋体" w:cs="宋体"/>
          <w:color w:val="000000" w:themeColor="text1"/>
          <w:spacing w:val="9"/>
          <w:sz w:val="24"/>
          <w:szCs w:val="24"/>
          <w:highlight w:val="none"/>
          <w:lang w:eastAsia="zh-CN"/>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备注：1.根据《危险性较大的分部分项工程安全管理</w:t>
      </w:r>
      <w:r>
        <w:rPr>
          <w:rFonts w:hint="eastAsia" w:ascii="宋体" w:hAnsi="宋体" w:eastAsia="宋体" w:cs="宋体"/>
          <w:color w:val="000000" w:themeColor="text1"/>
          <w:spacing w:val="9"/>
          <w:sz w:val="24"/>
          <w:szCs w:val="24"/>
          <w:highlight w:val="none"/>
          <w14:textFill>
            <w14:solidFill>
              <w14:schemeClr w14:val="tx1"/>
            </w14:solidFill>
          </w14:textFill>
        </w:rPr>
        <w:t>规定》，该《危险性较大的分部分项工程清单及超</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过一定规模的危险性较大的分部分项工程清单》</w:t>
      </w:r>
      <w:r>
        <w:rPr>
          <w:rFonts w:hint="eastAsia" w:ascii="宋体" w:hAnsi="宋体" w:eastAsia="宋体" w:cs="宋体"/>
          <w:color w:val="000000" w:themeColor="text1"/>
          <w:spacing w:val="9"/>
          <w:sz w:val="24"/>
          <w:szCs w:val="24"/>
          <w:highlight w:val="none"/>
          <w:lang w:eastAsia="zh-CN"/>
          <w14:textFill>
            <w14:solidFill>
              <w14:schemeClr w14:val="tx1"/>
            </w14:solidFill>
          </w14:textFill>
        </w:rPr>
        <w:t>应由建设单位组织勘察、设计等单位在招标文件中“勾选（对应项打“√”标识”危险性较大的分部分项工程。</w:t>
      </w:r>
    </w:p>
    <w:p w14:paraId="0C4D1AF6">
      <w:pPr>
        <w:spacing w:before="21" w:line="376" w:lineRule="exact"/>
        <w:ind w:firstLine="51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2.该《危险性较大的分部分项工程清单及超过一定规模的危险性较</w:t>
      </w:r>
      <w:r>
        <w:rPr>
          <w:rFonts w:hint="eastAsia" w:ascii="宋体" w:hAnsi="宋体" w:eastAsia="宋体" w:cs="宋体"/>
          <w:color w:val="000000" w:themeColor="text1"/>
          <w:spacing w:val="7"/>
          <w:sz w:val="24"/>
          <w:szCs w:val="24"/>
          <w:highlight w:val="none"/>
          <w14:textFill>
            <w14:solidFill>
              <w14:schemeClr w14:val="tx1"/>
            </w14:solidFill>
          </w14:textFill>
        </w:rPr>
        <w:t>大的分部分项工程清单》在办理</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建设项目施工许可时必须提供，且各地建设行政主管部门可按照《广东省建设工</w:t>
      </w:r>
      <w:r>
        <w:rPr>
          <w:rFonts w:hint="eastAsia" w:ascii="宋体" w:hAnsi="宋体" w:eastAsia="宋体" w:cs="宋体"/>
          <w:color w:val="000000" w:themeColor="text1"/>
          <w:spacing w:val="9"/>
          <w:sz w:val="24"/>
          <w:szCs w:val="24"/>
          <w:highlight w:val="none"/>
          <w14:textFill>
            <w14:solidFill>
              <w14:schemeClr w14:val="tx1"/>
            </w14:solidFill>
          </w14:textFill>
        </w:rPr>
        <w:t>程项目招标中标后监督</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检查办法》相关规定开展检查。</w:t>
      </w:r>
    </w:p>
    <w:p w14:paraId="631FDCC1">
      <w:pPr>
        <w:spacing w:before="28" w:line="228" w:lineRule="auto"/>
        <w:ind w:left="553" w:leftChars="244" w:hanging="41" w:hangingChars="16"/>
        <w:rPr>
          <w:rFonts w:hint="eastAsia" w:ascii="宋体" w:hAnsi="宋体" w:eastAsia="宋体" w:cs="宋体"/>
          <w:color w:val="000000" w:themeColor="text1"/>
          <w:spacing w:val="8"/>
          <w:sz w:val="24"/>
          <w:szCs w:val="24"/>
          <w:highlight w:val="none"/>
          <w:lang w:eastAsia="zh-CN"/>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3.如果需要（如需要通过计算编制专项方案，或者需要专家论证</w:t>
      </w:r>
      <w:r>
        <w:rPr>
          <w:rFonts w:hint="eastAsia" w:ascii="宋体" w:hAnsi="宋体" w:eastAsia="宋体" w:cs="宋体"/>
          <w:color w:val="000000" w:themeColor="text1"/>
          <w:spacing w:val="15"/>
          <w:sz w:val="24"/>
          <w:szCs w:val="24"/>
          <w:highlight w:val="none"/>
          <w14:textFill>
            <w14:solidFill>
              <w14:schemeClr w14:val="tx1"/>
            </w14:solidFill>
          </w14:textFill>
        </w:rPr>
        <w:t>），</w:t>
      </w:r>
      <w:r>
        <w:rPr>
          <w:rFonts w:hint="eastAsia" w:ascii="宋体" w:hAnsi="宋体" w:eastAsia="宋体" w:cs="宋体"/>
          <w:color w:val="000000" w:themeColor="text1"/>
          <w:spacing w:val="9"/>
          <w:sz w:val="24"/>
          <w:szCs w:val="24"/>
          <w:highlight w:val="none"/>
          <w14:textFill>
            <w14:solidFill>
              <w14:schemeClr w14:val="tx1"/>
            </w14:solidFill>
          </w14:textFill>
        </w:rPr>
        <w:t>可中</w:t>
      </w:r>
      <w:r>
        <w:rPr>
          <w:rFonts w:hint="eastAsia" w:ascii="宋体" w:hAnsi="宋体" w:eastAsia="宋体" w:cs="宋体"/>
          <w:color w:val="000000" w:themeColor="text1"/>
          <w:spacing w:val="8"/>
          <w:sz w:val="24"/>
          <w:szCs w:val="24"/>
          <w:highlight w:val="none"/>
          <w14:textFill>
            <w14:solidFill>
              <w14:schemeClr w14:val="tx1"/>
            </w14:solidFill>
          </w14:textFill>
        </w:rPr>
        <w:t>标后提供</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详细版。</w:t>
      </w:r>
    </w:p>
    <w:p w14:paraId="1A65673B">
      <w:pPr>
        <w:rPr>
          <w:color w:val="000000" w:themeColor="text1"/>
          <w:highlight w:val="none"/>
          <w14:textFill>
            <w14:solidFill>
              <w14:schemeClr w14:val="tx1"/>
            </w14:solidFill>
          </w14:textFill>
        </w:rPr>
      </w:pPr>
    </w:p>
    <w:p w14:paraId="7AA2BB1E">
      <w:pPr>
        <w:pStyle w:val="11"/>
        <w:rPr>
          <w:rFonts w:hint="eastAsia" w:ascii="宋体" w:hAnsi="宋体" w:eastAsia="宋体" w:cs="宋体"/>
          <w:b/>
          <w:bCs/>
          <w:color w:val="000000" w:themeColor="text1"/>
          <w:spacing w:val="-4"/>
          <w:sz w:val="24"/>
          <w:szCs w:val="24"/>
          <w:highlight w:val="none"/>
          <w14:textFill>
            <w14:solidFill>
              <w14:schemeClr w14:val="tx1"/>
            </w14:solidFill>
          </w14:textFill>
        </w:rPr>
      </w:pPr>
    </w:p>
    <w:p w14:paraId="073D28DD">
      <w:pPr>
        <w:pStyle w:val="11"/>
        <w:rPr>
          <w:rFonts w:hint="eastAsia" w:ascii="宋体" w:hAnsi="宋体" w:eastAsia="宋体" w:cs="宋体"/>
          <w:b/>
          <w:bCs/>
          <w:color w:val="000000" w:themeColor="text1"/>
          <w:spacing w:val="-4"/>
          <w:sz w:val="24"/>
          <w:szCs w:val="24"/>
          <w:highlight w:val="none"/>
          <w14:textFill>
            <w14:solidFill>
              <w14:schemeClr w14:val="tx1"/>
            </w14:solidFill>
          </w14:textFill>
        </w:rPr>
      </w:pPr>
    </w:p>
    <w:p w14:paraId="4DC72CC0">
      <w:pPr>
        <w:pStyle w:val="11"/>
        <w:rPr>
          <w:rFonts w:hint="eastAsia" w:ascii="宋体" w:hAnsi="宋体" w:eastAsia="宋体" w:cs="宋体"/>
          <w:b/>
          <w:bCs/>
          <w:color w:val="000000" w:themeColor="text1"/>
          <w:spacing w:val="-4"/>
          <w:sz w:val="24"/>
          <w:szCs w:val="24"/>
          <w:highlight w:val="none"/>
          <w14:textFill>
            <w14:solidFill>
              <w14:schemeClr w14:val="tx1"/>
            </w14:solidFill>
          </w14:textFill>
        </w:rPr>
      </w:pPr>
    </w:p>
    <w:p w14:paraId="27DD3F1F">
      <w:pPr>
        <w:pStyle w:val="11"/>
        <w:rPr>
          <w:rFonts w:hint="eastAsia" w:ascii="宋体" w:hAnsi="宋体" w:eastAsia="宋体" w:cs="宋体"/>
          <w:b/>
          <w:bCs/>
          <w:color w:val="000000" w:themeColor="text1"/>
          <w:spacing w:val="-4"/>
          <w:sz w:val="24"/>
          <w:szCs w:val="24"/>
          <w:highlight w:val="none"/>
          <w14:textFill>
            <w14:solidFill>
              <w14:schemeClr w14:val="tx1"/>
            </w14:solidFill>
          </w14:textFill>
        </w:rPr>
      </w:pPr>
    </w:p>
    <w:p w14:paraId="1E32D782">
      <w:pPr>
        <w:pStyle w:val="11"/>
        <w:rPr>
          <w:rFonts w:hint="eastAsia" w:ascii="宋体" w:hAnsi="宋体" w:eastAsia="宋体" w:cs="宋体"/>
          <w:b/>
          <w:bCs/>
          <w:color w:val="000000" w:themeColor="text1"/>
          <w:spacing w:val="-4"/>
          <w:sz w:val="24"/>
          <w:szCs w:val="24"/>
          <w:highlight w:val="none"/>
          <w14:textFill>
            <w14:solidFill>
              <w14:schemeClr w14:val="tx1"/>
            </w14:solidFill>
          </w14:textFill>
        </w:rPr>
      </w:pPr>
    </w:p>
    <w:p w14:paraId="70934D26">
      <w:pPr>
        <w:pStyle w:val="11"/>
        <w:ind w:left="0" w:leftChars="0" w:firstLine="0" w:firstLineChars="0"/>
        <w:rPr>
          <w:rFonts w:hint="eastAsia" w:ascii="宋体" w:hAnsi="宋体" w:eastAsia="宋体" w:cs="宋体"/>
          <w:b/>
          <w:bCs/>
          <w:color w:val="000000" w:themeColor="text1"/>
          <w:spacing w:val="-4"/>
          <w:sz w:val="24"/>
          <w:szCs w:val="24"/>
          <w:highlight w:val="none"/>
          <w14:textFill>
            <w14:solidFill>
              <w14:schemeClr w14:val="tx1"/>
            </w14:solidFill>
          </w14:textFill>
        </w:rPr>
      </w:pPr>
    </w:p>
    <w:p w14:paraId="5CBF3AC1">
      <w:pPr>
        <w:spacing w:before="78" w:line="220" w:lineRule="auto"/>
        <w:jc w:val="left"/>
        <w:outlineLvl w:val="9"/>
        <w:rPr>
          <w:rFonts w:hint="eastAsia" w:ascii="宋体" w:hAnsi="宋体" w:eastAsia="宋体" w:cs="宋体"/>
          <w:b/>
          <w:bCs/>
          <w:color w:val="000000" w:themeColor="text1"/>
          <w:spacing w:val="-4"/>
          <w:sz w:val="24"/>
          <w:szCs w:val="24"/>
          <w:highlight w:val="none"/>
          <w14:textFill>
            <w14:solidFill>
              <w14:schemeClr w14:val="tx1"/>
            </w14:solidFill>
          </w14:textFill>
        </w:rPr>
      </w:pPr>
    </w:p>
    <w:p w14:paraId="4F0F2A5C">
      <w:pPr>
        <w:rPr>
          <w:rFonts w:hint="eastAsia" w:ascii="宋体" w:hAnsi="宋体" w:eastAsia="宋体" w:cs="宋体"/>
          <w:b/>
          <w:bCs/>
          <w:color w:val="000000" w:themeColor="text1"/>
          <w:spacing w:val="-4"/>
          <w:sz w:val="24"/>
          <w:szCs w:val="24"/>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14:textFill>
            <w14:solidFill>
              <w14:schemeClr w14:val="tx1"/>
            </w14:solidFill>
          </w14:textFill>
        </w:rPr>
        <w:br w:type="page"/>
      </w:r>
    </w:p>
    <w:p w14:paraId="749D726F">
      <w:pPr>
        <w:spacing w:before="78" w:line="220" w:lineRule="auto"/>
        <w:jc w:val="both"/>
        <w:outlineLvl w:val="2"/>
        <w:rPr>
          <w:rFonts w:hint="default" w:ascii="宋体" w:hAnsi="宋体" w:eastAsia="宋体" w:cs="宋体"/>
          <w:b/>
          <w:bCs/>
          <w:color w:val="000000" w:themeColor="text1"/>
          <w:spacing w:val="-4"/>
          <w:sz w:val="24"/>
          <w:szCs w:val="24"/>
          <w:highlight w:val="none"/>
          <w:lang w:val="en-US" w:eastAsia="zh-CN"/>
          <w14:textFill>
            <w14:solidFill>
              <w14:schemeClr w14:val="tx1"/>
            </w14:solidFill>
          </w14:textFill>
        </w:rPr>
      </w:pPr>
      <w:bookmarkStart w:id="270" w:name="_Toc2618"/>
      <w:r>
        <w:rPr>
          <w:rFonts w:hint="eastAsia" w:ascii="宋体" w:hAnsi="宋体" w:eastAsia="宋体" w:cs="宋体"/>
          <w:b/>
          <w:bCs/>
          <w:color w:val="000000" w:themeColor="text1"/>
          <w:spacing w:val="-4"/>
          <w:sz w:val="24"/>
          <w:szCs w:val="24"/>
          <w:highlight w:val="none"/>
          <w14:textFill>
            <w14:solidFill>
              <w14:schemeClr w14:val="tx1"/>
            </w14:solidFill>
          </w14:textFill>
        </w:rPr>
        <w:t>格式十四</w:t>
      </w:r>
      <w:r>
        <w:rPr>
          <w:rFonts w:hint="eastAsia" w:ascii="宋体" w:hAnsi="宋体" w:eastAsia="宋体" w:cs="宋体"/>
          <w:b/>
          <w:bCs/>
          <w:color w:val="000000" w:themeColor="text1"/>
          <w:spacing w:val="-4"/>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4"/>
          <w:position w:val="3"/>
          <w:sz w:val="21"/>
          <w:szCs w:val="21"/>
          <w:highlight w:val="none"/>
          <w14:textFill>
            <w14:solidFill>
              <w14:schemeClr w14:val="tx1"/>
            </w14:solidFill>
          </w14:textFill>
        </w:rPr>
        <w:t>投标保证金信用承诺函</w:t>
      </w:r>
      <w:bookmarkEnd w:id="270"/>
    </w:p>
    <w:p w14:paraId="0C4BB798">
      <w:pPr>
        <w:spacing w:before="140" w:line="604"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pacing w:val="4"/>
          <w:position w:val="3"/>
          <w:sz w:val="28"/>
          <w:szCs w:val="28"/>
          <w:highlight w:val="none"/>
          <w14:textFill>
            <w14:solidFill>
              <w14:schemeClr w14:val="tx1"/>
            </w14:solidFill>
          </w14:textFill>
        </w:rPr>
        <w:t>投标保证金信用承诺函</w:t>
      </w:r>
    </w:p>
    <w:p w14:paraId="63DA26AC">
      <w:pPr>
        <w:pStyle w:val="5"/>
        <w:spacing w:line="408" w:lineRule="auto"/>
        <w:rPr>
          <w:rFonts w:hint="eastAsia" w:ascii="宋体" w:hAnsi="宋体" w:eastAsia="宋体" w:cs="宋体"/>
          <w:color w:val="000000" w:themeColor="text1"/>
          <w:highlight w:val="none"/>
          <w14:textFill>
            <w14:solidFill>
              <w14:schemeClr w14:val="tx1"/>
            </w14:solidFill>
          </w14:textFill>
        </w:rPr>
      </w:pPr>
    </w:p>
    <w:p w14:paraId="2318544C">
      <w:pPr>
        <w:spacing w:before="101" w:line="257" w:lineRule="auto"/>
        <w:ind w:left="3" w:firstLine="96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7"/>
          <w:sz w:val="24"/>
          <w:szCs w:val="24"/>
          <w:highlight w:val="none"/>
          <w14:textFill>
            <w14:solidFill>
              <w14:schemeClr w14:val="tx1"/>
            </w14:solidFill>
          </w14:textFill>
        </w:rPr>
        <w:t>一、</w:t>
      </w:r>
      <w:r>
        <w:rPr>
          <w:rFonts w:hint="eastAsia" w:ascii="宋体" w:hAnsi="宋体" w:eastAsia="宋体" w:cs="宋体"/>
          <w:color w:val="000000" w:themeColor="text1"/>
          <w:spacing w:val="7"/>
          <w:sz w:val="24"/>
          <w:szCs w:val="24"/>
          <w:highlight w:val="none"/>
          <w14:textFill>
            <w14:solidFill>
              <w14:schemeClr w14:val="tx1"/>
            </w14:solidFill>
          </w14:textFill>
        </w:rPr>
        <w:t>我单位参加</w:t>
      </w:r>
      <w:r>
        <w:rPr>
          <w:rFonts w:hint="eastAsia" w:ascii="宋体" w:hAnsi="宋体" w:eastAsia="宋体" w:cs="宋体"/>
          <w:color w:val="000000" w:themeColor="text1"/>
          <w:spacing w:val="7"/>
          <w:sz w:val="24"/>
          <w:szCs w:val="24"/>
          <w:highlight w:val="none"/>
          <w:u w:val="single"/>
          <w14:textFill>
            <w14:solidFill>
              <w14:schemeClr w14:val="tx1"/>
            </w14:solidFill>
          </w14:textFill>
        </w:rPr>
        <w:t xml:space="preserve">  （工程项目名称）  </w:t>
      </w:r>
      <w:r>
        <w:rPr>
          <w:rFonts w:hint="eastAsia" w:ascii="宋体" w:hAnsi="宋体" w:eastAsia="宋体" w:cs="宋体"/>
          <w:color w:val="000000" w:themeColor="text1"/>
          <w:spacing w:val="-11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的投标活动，</w:t>
      </w:r>
      <w:r>
        <w:rPr>
          <w:rFonts w:hint="eastAsia" w:ascii="宋体" w:hAnsi="宋体" w:eastAsia="宋体" w:cs="宋体"/>
          <w:color w:val="000000" w:themeColor="text1"/>
          <w:spacing w:val="6"/>
          <w:sz w:val="24"/>
          <w:szCs w:val="24"/>
          <w:highlight w:val="none"/>
          <w14:textFill>
            <w14:solidFill>
              <w14:schemeClr w14:val="tx1"/>
            </w14:solidFill>
          </w14:textFill>
        </w:rPr>
        <w:t>现承</w:t>
      </w:r>
      <w:r>
        <w:rPr>
          <w:rFonts w:hint="eastAsia" w:ascii="宋体" w:hAnsi="宋体" w:eastAsia="宋体" w:cs="宋体"/>
          <w:color w:val="000000" w:themeColor="text1"/>
          <w:spacing w:val="9"/>
          <w:sz w:val="24"/>
          <w:szCs w:val="24"/>
          <w:highlight w:val="none"/>
          <w14:textFill>
            <w14:solidFill>
              <w14:schemeClr w14:val="tx1"/>
            </w14:solidFill>
          </w14:textFill>
        </w:rPr>
        <w:t>诺：将严格按照法律法规规定参与交易活动，按照招标文件要求</w:t>
      </w:r>
      <w:r>
        <w:rPr>
          <w:rFonts w:hint="eastAsia" w:ascii="宋体" w:hAnsi="宋体" w:eastAsia="宋体" w:cs="宋体"/>
          <w:color w:val="000000" w:themeColor="text1"/>
          <w:spacing w:val="1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依法履行投标人义务；我方若出现违反《中华人民共和国招标投</w:t>
      </w:r>
      <w:r>
        <w:rPr>
          <w:rFonts w:hint="eastAsia" w:ascii="宋体" w:hAnsi="宋体" w:eastAsia="宋体" w:cs="宋体"/>
          <w:color w:val="000000" w:themeColor="text1"/>
          <w:spacing w:val="1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标法》、《中华人民共和国招标投标法实施条例》、《电子招标</w:t>
      </w:r>
      <w:r>
        <w:rPr>
          <w:rFonts w:hint="eastAsia" w:ascii="宋体" w:hAnsi="宋体" w:eastAsia="宋体" w:cs="宋体"/>
          <w:color w:val="000000" w:themeColor="text1"/>
          <w:spacing w:val="1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投标办法》等有关法律法规的行为，将于投标有效期内全额付清</w:t>
      </w:r>
      <w:r>
        <w:rPr>
          <w:rFonts w:hint="eastAsia" w:ascii="宋体" w:hAnsi="宋体" w:eastAsia="宋体" w:cs="宋体"/>
          <w:color w:val="000000" w:themeColor="text1"/>
          <w:spacing w:val="1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招标文件规定的投标保证金</w:t>
      </w:r>
      <w:r>
        <w:rPr>
          <w:rFonts w:hint="eastAsia" w:ascii="宋体" w:hAnsi="宋体" w:eastAsia="宋体" w:cs="宋体"/>
          <w:color w:val="000000" w:themeColor="text1"/>
          <w:spacing w:val="-15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3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元。</w:t>
      </w:r>
    </w:p>
    <w:p w14:paraId="2B9D0EA5">
      <w:pPr>
        <w:spacing w:before="48" w:line="252" w:lineRule="auto"/>
        <w:ind w:left="1" w:firstLine="647"/>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二、至投标文件提交当天，本公司无严重不良信用记录或存</w:t>
      </w:r>
      <w:r>
        <w:rPr>
          <w:rFonts w:hint="eastAsia" w:ascii="宋体" w:hAnsi="宋体" w:eastAsia="宋体" w:cs="宋体"/>
          <w:color w:val="000000" w:themeColor="text1"/>
          <w:spacing w:val="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在曾作出虚假承诺的情形，且不属于韶关市建筑市场信用管理平</w:t>
      </w:r>
      <w:r>
        <w:rPr>
          <w:rFonts w:hint="eastAsia" w:ascii="宋体" w:hAnsi="宋体" w:eastAsia="宋体" w:cs="宋体"/>
          <w:color w:val="000000" w:themeColor="text1"/>
          <w:spacing w:val="1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台公布的信用等级为</w:t>
      </w:r>
      <w:r>
        <w:rPr>
          <w:rFonts w:hint="eastAsia" w:ascii="宋体" w:hAnsi="宋体" w:eastAsia="宋体" w:cs="宋体"/>
          <w:color w:val="000000" w:themeColor="text1"/>
          <w:spacing w:val="-6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B</w:t>
      </w:r>
      <w:r>
        <w:rPr>
          <w:rFonts w:hint="eastAsia" w:ascii="宋体" w:hAnsi="宋体" w:eastAsia="宋体" w:cs="宋体"/>
          <w:color w:val="000000" w:themeColor="text1"/>
          <w:spacing w:val="-5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级、C</w:t>
      </w:r>
      <w:r>
        <w:rPr>
          <w:rFonts w:hint="eastAsia" w:ascii="宋体" w:hAnsi="宋体" w:eastAsia="宋体" w:cs="宋体"/>
          <w:color w:val="000000" w:themeColor="text1"/>
          <w:spacing w:val="-5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级、D</w:t>
      </w:r>
      <w:r>
        <w:rPr>
          <w:rFonts w:hint="eastAsia" w:ascii="宋体" w:hAnsi="宋体" w:eastAsia="宋体" w:cs="宋体"/>
          <w:color w:val="000000" w:themeColor="text1"/>
          <w:spacing w:val="-5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级的企业。</w:t>
      </w:r>
    </w:p>
    <w:p w14:paraId="1EFDE8F2">
      <w:pPr>
        <w:spacing w:before="52" w:line="247" w:lineRule="auto"/>
        <w:ind w:left="6" w:right="2" w:firstLine="63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 xml:space="preserve">本企业对以上承诺和声明负责。如有虚假，愿接受行政主管 </w:t>
      </w:r>
      <w:r>
        <w:rPr>
          <w:rFonts w:hint="eastAsia" w:ascii="宋体" w:hAnsi="宋体" w:eastAsia="宋体" w:cs="宋体"/>
          <w:color w:val="000000" w:themeColor="text1"/>
          <w:spacing w:val="8"/>
          <w:sz w:val="24"/>
          <w:szCs w:val="24"/>
          <w:highlight w:val="none"/>
          <w14:textFill>
            <w14:solidFill>
              <w14:schemeClr w14:val="tx1"/>
            </w14:solidFill>
          </w14:textFill>
        </w:rPr>
        <w:t>部门作出的处罚，并承担以下后果：</w:t>
      </w:r>
    </w:p>
    <w:p w14:paraId="28F04F87">
      <w:pPr>
        <w:spacing w:before="48" w:line="225" w:lineRule="auto"/>
        <w:ind w:left="65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（一）取消本单位在本项目中的投标资格或中标资格；</w:t>
      </w:r>
    </w:p>
    <w:p w14:paraId="64420808">
      <w:pPr>
        <w:spacing w:before="64" w:line="225" w:lineRule="auto"/>
        <w:ind w:left="65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（二）将本单位不良行为纳入信用信息管理系统；</w:t>
      </w:r>
    </w:p>
    <w:p w14:paraId="30729E54">
      <w:pPr>
        <w:spacing w:before="60" w:line="244" w:lineRule="auto"/>
        <w:ind w:left="41" w:right="2" w:firstLine="61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（三）主动在产生不良行为所在的各县（市、区）行</w:t>
      </w:r>
      <w:r>
        <w:rPr>
          <w:rFonts w:hint="eastAsia" w:ascii="宋体" w:hAnsi="宋体" w:eastAsia="宋体" w:cs="宋体"/>
          <w:color w:val="000000" w:themeColor="text1"/>
          <w:spacing w:val="8"/>
          <w:sz w:val="24"/>
          <w:szCs w:val="24"/>
          <w:highlight w:val="none"/>
          <w14:textFill>
            <w14:solidFill>
              <w14:schemeClr w14:val="tx1"/>
            </w14:solidFill>
          </w14:textFill>
        </w:rPr>
        <w:t>政区域</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内不参加房建市政工程项目的投标活动一年；</w:t>
      </w:r>
    </w:p>
    <w:p w14:paraId="0761697F">
      <w:pPr>
        <w:spacing w:before="63" w:line="225" w:lineRule="auto"/>
        <w:ind w:left="65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（四）应付的赔偿责任和相应法律责任。</w:t>
      </w:r>
    </w:p>
    <w:p w14:paraId="71665105">
      <w:pPr>
        <w:pStyle w:val="5"/>
        <w:spacing w:line="329" w:lineRule="auto"/>
        <w:rPr>
          <w:rFonts w:hint="eastAsia" w:ascii="宋体" w:hAnsi="宋体" w:eastAsia="宋体" w:cs="宋体"/>
          <w:color w:val="000000" w:themeColor="text1"/>
          <w:sz w:val="24"/>
          <w:szCs w:val="24"/>
          <w:highlight w:val="none"/>
          <w14:textFill>
            <w14:solidFill>
              <w14:schemeClr w14:val="tx1"/>
            </w14:solidFill>
          </w14:textFill>
        </w:rPr>
      </w:pPr>
    </w:p>
    <w:p w14:paraId="301930B0">
      <w:pPr>
        <w:spacing w:before="102" w:line="225" w:lineRule="auto"/>
        <w:ind w:left="8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单位名称（公章</w:t>
      </w:r>
      <w:r>
        <w:rPr>
          <w:rFonts w:hint="eastAsia" w:ascii="宋体" w:hAnsi="宋体" w:eastAsia="宋体" w:cs="宋体"/>
          <w:color w:val="000000" w:themeColor="text1"/>
          <w:spacing w:val="1"/>
          <w:sz w:val="24"/>
          <w:szCs w:val="24"/>
          <w:highlight w:val="none"/>
          <w14:textFill>
            <w14:solidFill>
              <w14:schemeClr w14:val="tx1"/>
            </w14:solidFill>
          </w14:textFill>
        </w:rPr>
        <w:t>）：</w:t>
      </w:r>
    </w:p>
    <w:p w14:paraId="2C853675">
      <w:pPr>
        <w:pStyle w:val="5"/>
        <w:spacing w:line="457" w:lineRule="auto"/>
        <w:rPr>
          <w:rFonts w:hint="eastAsia" w:ascii="宋体" w:hAnsi="宋体" w:eastAsia="宋体" w:cs="宋体"/>
          <w:color w:val="000000" w:themeColor="text1"/>
          <w:sz w:val="24"/>
          <w:szCs w:val="24"/>
          <w:highlight w:val="none"/>
          <w14:textFill>
            <w14:solidFill>
              <w14:schemeClr w14:val="tx1"/>
            </w14:solidFill>
          </w14:textFill>
        </w:rPr>
      </w:pPr>
    </w:p>
    <w:p w14:paraId="1304A271">
      <w:pPr>
        <w:spacing w:before="100" w:line="225" w:lineRule="auto"/>
        <w:ind w:left="8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统一社会信用代码：</w:t>
      </w:r>
    </w:p>
    <w:p w14:paraId="1892BA66">
      <w:pPr>
        <w:pStyle w:val="5"/>
        <w:spacing w:line="457" w:lineRule="auto"/>
        <w:rPr>
          <w:rFonts w:hint="eastAsia" w:ascii="宋体" w:hAnsi="宋体" w:eastAsia="宋体" w:cs="宋体"/>
          <w:color w:val="000000" w:themeColor="text1"/>
          <w:sz w:val="24"/>
          <w:szCs w:val="24"/>
          <w:highlight w:val="none"/>
          <w14:textFill>
            <w14:solidFill>
              <w14:schemeClr w14:val="tx1"/>
            </w14:solidFill>
          </w14:textFill>
        </w:rPr>
      </w:pPr>
    </w:p>
    <w:p w14:paraId="5DBB6F71">
      <w:pPr>
        <w:spacing w:before="102" w:line="543" w:lineRule="auto"/>
        <w:ind w:left="844" w:right="5000"/>
        <w:rPr>
          <w:rFonts w:hint="eastAsia" w:ascii="宋体" w:hAnsi="宋体" w:eastAsia="宋体" w:cs="宋体"/>
          <w:color w:val="000000" w:themeColor="text1"/>
          <w:spacing w:val="-29"/>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法定代表人（签字</w:t>
      </w:r>
      <w:r>
        <w:rPr>
          <w:rFonts w:hint="eastAsia" w:ascii="宋体" w:hAnsi="宋体" w:eastAsia="宋体" w:cs="宋体"/>
          <w:color w:val="000000" w:themeColor="text1"/>
          <w:spacing w:val="-29"/>
          <w:sz w:val="24"/>
          <w:szCs w:val="24"/>
          <w:highlight w:val="none"/>
          <w14:textFill>
            <w14:solidFill>
              <w14:schemeClr w14:val="tx1"/>
            </w14:solidFill>
          </w14:textFill>
        </w:rPr>
        <w:t>）：</w:t>
      </w:r>
    </w:p>
    <w:p w14:paraId="2D5FF0AE">
      <w:pPr>
        <w:spacing w:before="102" w:line="543" w:lineRule="auto"/>
        <w:ind w:left="844" w:right="5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年</w:t>
      </w:r>
      <w:r>
        <w:rPr>
          <w:rFonts w:hint="eastAsia" w:ascii="宋体" w:hAnsi="宋体" w:eastAsia="宋体" w:cs="宋体"/>
          <w:color w:val="000000" w:themeColor="text1"/>
          <w:spacing w:val="1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月</w:t>
      </w:r>
      <w:r>
        <w:rPr>
          <w:rFonts w:hint="eastAsia" w:ascii="宋体" w:hAnsi="宋体" w:eastAsia="宋体" w:cs="宋体"/>
          <w:color w:val="000000" w:themeColor="text1"/>
          <w:spacing w:val="3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9"/>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日</w:t>
      </w:r>
    </w:p>
    <w:p w14:paraId="0CF3EB86">
      <w:pPr>
        <w:pStyle w:val="11"/>
        <w:rPr>
          <w:rFonts w:hint="eastAsia" w:ascii="宋体" w:hAnsi="宋体" w:eastAsia="宋体" w:cs="宋体"/>
          <w:color w:val="000000" w:themeColor="text1"/>
          <w:highlight w:val="none"/>
          <w14:textFill>
            <w14:solidFill>
              <w14:schemeClr w14:val="tx1"/>
            </w14:solidFill>
          </w14:textFill>
        </w:rPr>
      </w:pPr>
    </w:p>
    <w:p w14:paraId="6ADCBE48">
      <w:pPr>
        <w:pStyle w:val="11"/>
        <w:rPr>
          <w:rFonts w:hint="eastAsia" w:ascii="宋体" w:hAnsi="宋体" w:eastAsia="宋体" w:cs="宋体"/>
          <w:color w:val="000000" w:themeColor="text1"/>
          <w:spacing w:val="8"/>
          <w:sz w:val="24"/>
          <w:szCs w:val="24"/>
          <w:highlight w:val="none"/>
          <w:lang w:eastAsia="zh-CN"/>
          <w14:textFill>
            <w14:solidFill>
              <w14:schemeClr w14:val="tx1"/>
            </w14:solidFill>
          </w14:textFill>
        </w:rPr>
        <w:sectPr>
          <w:footerReference r:id="rId27"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5367075C">
      <w:pPr>
        <w:spacing w:before="78" w:line="220" w:lineRule="auto"/>
        <w:outlineLvl w:val="2"/>
        <w:rPr>
          <w:rFonts w:hint="eastAsia" w:ascii="宋体" w:hAnsi="宋体" w:eastAsia="宋体" w:cs="宋体"/>
          <w:b/>
          <w:bCs/>
          <w:color w:val="000000" w:themeColor="text1"/>
          <w:spacing w:val="-4"/>
          <w:sz w:val="24"/>
          <w:szCs w:val="24"/>
          <w:highlight w:val="none"/>
          <w14:textFill>
            <w14:solidFill>
              <w14:schemeClr w14:val="tx1"/>
            </w14:solidFill>
          </w14:textFill>
        </w:rPr>
      </w:pPr>
      <w:bookmarkStart w:id="271" w:name="_Toc22936"/>
      <w:r>
        <w:rPr>
          <w:rFonts w:hint="eastAsia" w:ascii="宋体" w:hAnsi="宋体" w:eastAsia="宋体" w:cs="宋体"/>
          <w:b/>
          <w:bCs/>
          <w:color w:val="000000" w:themeColor="text1"/>
          <w:spacing w:val="-4"/>
          <w:sz w:val="24"/>
          <w:szCs w:val="24"/>
          <w:highlight w:val="none"/>
          <w14:textFill>
            <w14:solidFill>
              <w14:schemeClr w14:val="tx1"/>
            </w14:solidFill>
          </w14:textFill>
        </w:rPr>
        <w:t>格式十</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五</w:t>
      </w:r>
      <w:r>
        <w:rPr>
          <w:rFonts w:hint="eastAsia" w:ascii="宋体" w:hAnsi="宋体" w:eastAsia="宋体" w:cs="宋体"/>
          <w:b/>
          <w:bCs/>
          <w:color w:val="000000" w:themeColor="text1"/>
          <w:spacing w:val="-4"/>
          <w:sz w:val="24"/>
          <w:szCs w:val="24"/>
          <w:highlight w:val="none"/>
          <w14:textFill>
            <w14:solidFill>
              <w14:schemeClr w14:val="tx1"/>
            </w14:solidFill>
          </w14:textFill>
        </w:rPr>
        <w:t xml:space="preserve">  原件一览表</w:t>
      </w:r>
      <w:bookmarkEnd w:id="271"/>
    </w:p>
    <w:tbl>
      <w:tblPr>
        <w:tblStyle w:val="12"/>
        <w:tblW w:w="9440"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896"/>
        <w:gridCol w:w="1725"/>
        <w:gridCol w:w="964"/>
        <w:gridCol w:w="719"/>
        <w:gridCol w:w="780"/>
        <w:gridCol w:w="991"/>
        <w:gridCol w:w="1637"/>
      </w:tblGrid>
      <w:tr w14:paraId="5F244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440" w:type="dxa"/>
            <w:gridSpan w:val="8"/>
            <w:vAlign w:val="top"/>
          </w:tcPr>
          <w:p w14:paraId="2B40EF1C">
            <w:pPr>
              <w:spacing w:before="132" w:line="220" w:lineRule="auto"/>
              <w:ind w:left="39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5"/>
                <w:sz w:val="24"/>
                <w:szCs w:val="24"/>
                <w:highlight w:val="none"/>
                <w14:textFill>
                  <w14:solidFill>
                    <w14:schemeClr w14:val="tx1"/>
                  </w14:solidFill>
                </w14:textFill>
              </w:rPr>
              <w:t>原件一览表</w:t>
            </w:r>
          </w:p>
        </w:tc>
      </w:tr>
      <w:tr w14:paraId="6C17C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624" w:type="dxa"/>
            <w:gridSpan w:val="2"/>
            <w:vAlign w:val="top"/>
          </w:tcPr>
          <w:p w14:paraId="1153461E">
            <w:pPr>
              <w:pStyle w:val="17"/>
              <w:spacing w:line="253" w:lineRule="auto"/>
              <w:rPr>
                <w:rFonts w:hint="eastAsia" w:ascii="宋体" w:hAnsi="宋体" w:eastAsia="宋体" w:cs="宋体"/>
                <w:color w:val="000000" w:themeColor="text1"/>
                <w:sz w:val="24"/>
                <w:szCs w:val="24"/>
                <w:highlight w:val="none"/>
                <w14:textFill>
                  <w14:solidFill>
                    <w14:schemeClr w14:val="tx1"/>
                  </w14:solidFill>
                </w14:textFill>
              </w:rPr>
            </w:pPr>
          </w:p>
          <w:p w14:paraId="03FBA86E">
            <w:pPr>
              <w:spacing w:before="62" w:line="23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工程名称</w:t>
            </w:r>
          </w:p>
        </w:tc>
        <w:tc>
          <w:tcPr>
            <w:tcW w:w="6816" w:type="dxa"/>
            <w:gridSpan w:val="6"/>
            <w:vAlign w:val="top"/>
          </w:tcPr>
          <w:p w14:paraId="5F792F2C">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487BE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2624" w:type="dxa"/>
            <w:gridSpan w:val="2"/>
            <w:vAlign w:val="top"/>
          </w:tcPr>
          <w:p w14:paraId="254D3CCA">
            <w:pPr>
              <w:spacing w:before="150" w:line="23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投标人名称</w:t>
            </w:r>
            <w:r>
              <w:rPr>
                <w:rFonts w:hint="eastAsia" w:ascii="宋体" w:hAnsi="宋体" w:eastAsia="宋体" w:cs="宋体"/>
                <w:color w:val="000000" w:themeColor="text1"/>
                <w:spacing w:val="5"/>
                <w:sz w:val="24"/>
                <w:szCs w:val="24"/>
                <w:highlight w:val="none"/>
                <w14:textFill>
                  <w14:solidFill>
                    <w14:schemeClr w14:val="tx1"/>
                  </w14:solidFill>
                </w14:textFill>
              </w:rPr>
              <w:t>(请务必填写单位全称)</w:t>
            </w:r>
          </w:p>
        </w:tc>
        <w:tc>
          <w:tcPr>
            <w:tcW w:w="6816" w:type="dxa"/>
            <w:gridSpan w:val="6"/>
            <w:vAlign w:val="top"/>
          </w:tcPr>
          <w:p w14:paraId="0F353D01">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22EC7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624" w:type="dxa"/>
            <w:gridSpan w:val="2"/>
            <w:vAlign w:val="top"/>
          </w:tcPr>
          <w:p w14:paraId="6683BB0E">
            <w:pPr>
              <w:spacing w:before="151"/>
              <w:ind w:right="14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投标人法定代表人或其委托代理人签名</w:t>
            </w:r>
          </w:p>
        </w:tc>
        <w:tc>
          <w:tcPr>
            <w:tcW w:w="2689" w:type="dxa"/>
            <w:gridSpan w:val="2"/>
            <w:vAlign w:val="top"/>
          </w:tcPr>
          <w:p w14:paraId="79697200">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499" w:type="dxa"/>
            <w:gridSpan w:val="2"/>
            <w:vAlign w:val="top"/>
          </w:tcPr>
          <w:p w14:paraId="58C1E63A">
            <w:pPr>
              <w:spacing w:before="151" w:line="312" w:lineRule="auto"/>
              <w:ind w:right="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手机</w:t>
            </w:r>
            <w:r>
              <w:rPr>
                <w:rFonts w:hint="eastAsia" w:ascii="宋体" w:hAnsi="宋体" w:eastAsia="宋体" w:cs="宋体"/>
                <w:color w:val="000000" w:themeColor="text1"/>
                <w:spacing w:val="2"/>
                <w:sz w:val="24"/>
                <w:szCs w:val="24"/>
                <w:highlight w:val="none"/>
                <w14:textFill>
                  <w14:solidFill>
                    <w14:schemeClr w14:val="tx1"/>
                  </w14:solidFill>
                </w14:textFill>
              </w:rPr>
              <w:t>号码</w:t>
            </w:r>
          </w:p>
        </w:tc>
        <w:tc>
          <w:tcPr>
            <w:tcW w:w="2628" w:type="dxa"/>
            <w:gridSpan w:val="2"/>
            <w:vAlign w:val="top"/>
          </w:tcPr>
          <w:p w14:paraId="460A230E">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1064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440" w:type="dxa"/>
            <w:gridSpan w:val="8"/>
            <w:vAlign w:val="top"/>
          </w:tcPr>
          <w:p w14:paraId="5B16BEA7">
            <w:pPr>
              <w:spacing w:before="62" w:line="228" w:lineRule="auto"/>
              <w:ind w:left="336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递交的证明材料原件如下：</w:t>
            </w:r>
          </w:p>
        </w:tc>
      </w:tr>
      <w:tr w14:paraId="6562F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28" w:type="dxa"/>
            <w:vAlign w:val="top"/>
          </w:tcPr>
          <w:p w14:paraId="47F8E8A8">
            <w:pPr>
              <w:pStyle w:val="17"/>
              <w:spacing w:line="257" w:lineRule="auto"/>
              <w:rPr>
                <w:rFonts w:hint="eastAsia" w:ascii="宋体" w:hAnsi="宋体" w:eastAsia="宋体" w:cs="宋体"/>
                <w:color w:val="000000" w:themeColor="text1"/>
                <w:sz w:val="24"/>
                <w:szCs w:val="24"/>
                <w:highlight w:val="none"/>
                <w14:textFill>
                  <w14:solidFill>
                    <w14:schemeClr w14:val="tx1"/>
                  </w14:solidFill>
                </w14:textFill>
              </w:rPr>
            </w:pPr>
          </w:p>
          <w:p w14:paraId="6022230E">
            <w:pPr>
              <w:spacing w:before="62" w:line="230" w:lineRule="auto"/>
              <w:ind w:left="15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序号</w:t>
            </w:r>
          </w:p>
        </w:tc>
        <w:tc>
          <w:tcPr>
            <w:tcW w:w="5304" w:type="dxa"/>
            <w:gridSpan w:val="4"/>
            <w:vAlign w:val="top"/>
          </w:tcPr>
          <w:p w14:paraId="35D769FC">
            <w:pPr>
              <w:pStyle w:val="17"/>
              <w:spacing w:line="257" w:lineRule="auto"/>
              <w:rPr>
                <w:rFonts w:hint="eastAsia" w:ascii="宋体" w:hAnsi="宋体" w:eastAsia="宋体" w:cs="宋体"/>
                <w:color w:val="000000" w:themeColor="text1"/>
                <w:sz w:val="24"/>
                <w:szCs w:val="24"/>
                <w:highlight w:val="none"/>
                <w14:textFill>
                  <w14:solidFill>
                    <w14:schemeClr w14:val="tx1"/>
                  </w14:solidFill>
                </w14:textFill>
              </w:rPr>
            </w:pPr>
          </w:p>
          <w:p w14:paraId="3EEA02B2">
            <w:pPr>
              <w:spacing w:before="61" w:line="228" w:lineRule="auto"/>
              <w:ind w:left="17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证明材料原件名称</w:t>
            </w:r>
          </w:p>
        </w:tc>
        <w:tc>
          <w:tcPr>
            <w:tcW w:w="1771" w:type="dxa"/>
            <w:gridSpan w:val="2"/>
            <w:vAlign w:val="top"/>
          </w:tcPr>
          <w:p w14:paraId="66A03B25">
            <w:pPr>
              <w:pStyle w:val="17"/>
              <w:spacing w:line="256" w:lineRule="auto"/>
              <w:rPr>
                <w:rFonts w:hint="eastAsia" w:ascii="宋体" w:hAnsi="宋体" w:eastAsia="宋体" w:cs="宋体"/>
                <w:color w:val="000000" w:themeColor="text1"/>
                <w:sz w:val="24"/>
                <w:szCs w:val="24"/>
                <w:highlight w:val="none"/>
                <w14:textFill>
                  <w14:solidFill>
                    <w14:schemeClr w14:val="tx1"/>
                  </w14:solidFill>
                </w14:textFill>
              </w:rPr>
            </w:pPr>
          </w:p>
          <w:p w14:paraId="692559B5">
            <w:pPr>
              <w:spacing w:before="62" w:line="230" w:lineRule="auto"/>
              <w:ind w:left="66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单位</w:t>
            </w:r>
          </w:p>
        </w:tc>
        <w:tc>
          <w:tcPr>
            <w:tcW w:w="1637" w:type="dxa"/>
            <w:vAlign w:val="top"/>
          </w:tcPr>
          <w:p w14:paraId="3BEEA542">
            <w:pPr>
              <w:pStyle w:val="17"/>
              <w:spacing w:line="256" w:lineRule="auto"/>
              <w:rPr>
                <w:rFonts w:hint="eastAsia" w:ascii="宋体" w:hAnsi="宋体" w:eastAsia="宋体" w:cs="宋体"/>
                <w:color w:val="000000" w:themeColor="text1"/>
                <w:sz w:val="24"/>
                <w:szCs w:val="24"/>
                <w:highlight w:val="none"/>
                <w14:textFill>
                  <w14:solidFill>
                    <w14:schemeClr w14:val="tx1"/>
                  </w14:solidFill>
                </w14:textFill>
              </w:rPr>
            </w:pPr>
          </w:p>
          <w:p w14:paraId="6CE3B1D0">
            <w:pPr>
              <w:spacing w:before="62" w:line="229" w:lineRule="auto"/>
              <w:ind w:left="5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数量</w:t>
            </w:r>
          </w:p>
        </w:tc>
      </w:tr>
      <w:tr w14:paraId="4F82D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3BE58E00">
            <w:pPr>
              <w:spacing w:before="287" w:line="184" w:lineRule="auto"/>
              <w:ind w:left="31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5304" w:type="dxa"/>
            <w:gridSpan w:val="4"/>
            <w:vAlign w:val="top"/>
          </w:tcPr>
          <w:p w14:paraId="48BEE8B0">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771" w:type="dxa"/>
            <w:gridSpan w:val="2"/>
            <w:vAlign w:val="top"/>
          </w:tcPr>
          <w:p w14:paraId="69FF32C9">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637" w:type="dxa"/>
            <w:vAlign w:val="top"/>
          </w:tcPr>
          <w:p w14:paraId="23FE9655">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2DB2F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439F9AE2">
            <w:pPr>
              <w:spacing w:before="288" w:line="183" w:lineRule="auto"/>
              <w:ind w:left="30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5304" w:type="dxa"/>
            <w:gridSpan w:val="4"/>
            <w:vAlign w:val="top"/>
          </w:tcPr>
          <w:p w14:paraId="4F70EA65">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771" w:type="dxa"/>
            <w:gridSpan w:val="2"/>
            <w:vAlign w:val="top"/>
          </w:tcPr>
          <w:p w14:paraId="72C3C76C">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637" w:type="dxa"/>
            <w:vAlign w:val="top"/>
          </w:tcPr>
          <w:p w14:paraId="1969C218">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73152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4F34003A">
            <w:pPr>
              <w:spacing w:before="287" w:line="183" w:lineRule="auto"/>
              <w:ind w:left="30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5304" w:type="dxa"/>
            <w:gridSpan w:val="4"/>
            <w:vAlign w:val="top"/>
          </w:tcPr>
          <w:p w14:paraId="32F8469F">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771" w:type="dxa"/>
            <w:gridSpan w:val="2"/>
            <w:vAlign w:val="top"/>
          </w:tcPr>
          <w:p w14:paraId="7AD8029B">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637" w:type="dxa"/>
            <w:vAlign w:val="top"/>
          </w:tcPr>
          <w:p w14:paraId="6E7CE753">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00948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336DFC70">
            <w:pPr>
              <w:pStyle w:val="17"/>
              <w:spacing w:line="348" w:lineRule="auto"/>
              <w:rPr>
                <w:rFonts w:hint="eastAsia" w:ascii="宋体" w:hAnsi="宋体" w:eastAsia="宋体" w:cs="宋体"/>
                <w:color w:val="000000" w:themeColor="text1"/>
                <w:sz w:val="24"/>
                <w:szCs w:val="24"/>
                <w:highlight w:val="none"/>
                <w14:textFill>
                  <w14:solidFill>
                    <w14:schemeClr w14:val="tx1"/>
                  </w14:solidFill>
                </w14:textFill>
              </w:rPr>
            </w:pPr>
          </w:p>
          <w:p w14:paraId="6EBABEED">
            <w:pPr>
              <w:spacing w:before="78" w:line="99" w:lineRule="exact"/>
              <w:ind w:left="18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position w:val="1"/>
                <w:sz w:val="24"/>
                <w:szCs w:val="24"/>
                <w:highlight w:val="none"/>
                <w14:textFill>
                  <w14:solidFill>
                    <w14:schemeClr w14:val="tx1"/>
                  </w14:solidFill>
                </w14:textFill>
              </w:rPr>
              <w:t>...</w:t>
            </w:r>
          </w:p>
        </w:tc>
        <w:tc>
          <w:tcPr>
            <w:tcW w:w="5304" w:type="dxa"/>
            <w:gridSpan w:val="4"/>
            <w:vAlign w:val="top"/>
          </w:tcPr>
          <w:p w14:paraId="78AEE5FA">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771" w:type="dxa"/>
            <w:gridSpan w:val="2"/>
            <w:vAlign w:val="top"/>
          </w:tcPr>
          <w:p w14:paraId="56A6BE9F">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637" w:type="dxa"/>
            <w:vAlign w:val="top"/>
          </w:tcPr>
          <w:p w14:paraId="15AD4B06">
            <w:pPr>
              <w:pStyle w:val="17"/>
              <w:rPr>
                <w:rFonts w:hint="eastAsia" w:ascii="宋体" w:hAnsi="宋体" w:eastAsia="宋体" w:cs="宋体"/>
                <w:color w:val="000000" w:themeColor="text1"/>
                <w:sz w:val="24"/>
                <w:szCs w:val="24"/>
                <w:highlight w:val="none"/>
                <w14:textFill>
                  <w14:solidFill>
                    <w14:schemeClr w14:val="tx1"/>
                  </w14:solidFill>
                </w14:textFill>
              </w:rPr>
            </w:pPr>
          </w:p>
        </w:tc>
      </w:tr>
      <w:tr w14:paraId="44067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28" w:type="dxa"/>
            <w:vAlign w:val="top"/>
          </w:tcPr>
          <w:p w14:paraId="5E70F2C3">
            <w:pPr>
              <w:pStyle w:val="17"/>
              <w:spacing w:line="274" w:lineRule="auto"/>
              <w:rPr>
                <w:rFonts w:hint="eastAsia" w:ascii="宋体" w:hAnsi="宋体" w:eastAsia="宋体" w:cs="宋体"/>
                <w:color w:val="000000" w:themeColor="text1"/>
                <w:sz w:val="24"/>
                <w:szCs w:val="24"/>
                <w:highlight w:val="none"/>
                <w14:textFill>
                  <w14:solidFill>
                    <w14:schemeClr w14:val="tx1"/>
                  </w14:solidFill>
                </w14:textFill>
              </w:rPr>
            </w:pPr>
          </w:p>
          <w:p w14:paraId="12A84F17">
            <w:pPr>
              <w:pStyle w:val="17"/>
              <w:spacing w:line="275" w:lineRule="auto"/>
              <w:rPr>
                <w:rFonts w:hint="eastAsia" w:ascii="宋体" w:hAnsi="宋体" w:eastAsia="宋体" w:cs="宋体"/>
                <w:color w:val="000000" w:themeColor="text1"/>
                <w:sz w:val="24"/>
                <w:szCs w:val="24"/>
                <w:highlight w:val="none"/>
                <w14:textFill>
                  <w14:solidFill>
                    <w14:schemeClr w14:val="tx1"/>
                  </w14:solidFill>
                </w14:textFill>
              </w:rPr>
            </w:pPr>
          </w:p>
          <w:p w14:paraId="4DCB2179">
            <w:pPr>
              <w:pStyle w:val="17"/>
              <w:spacing w:line="275" w:lineRule="auto"/>
              <w:rPr>
                <w:rFonts w:hint="eastAsia" w:ascii="宋体" w:hAnsi="宋体" w:eastAsia="宋体" w:cs="宋体"/>
                <w:color w:val="000000" w:themeColor="text1"/>
                <w:sz w:val="24"/>
                <w:szCs w:val="24"/>
                <w:highlight w:val="none"/>
                <w14:textFill>
                  <w14:solidFill>
                    <w14:schemeClr w14:val="tx1"/>
                  </w14:solidFill>
                </w14:textFill>
              </w:rPr>
            </w:pPr>
          </w:p>
          <w:p w14:paraId="0A613965">
            <w:pPr>
              <w:spacing w:before="62" w:line="233" w:lineRule="auto"/>
              <w:ind w:left="2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注意：</w:t>
            </w:r>
          </w:p>
        </w:tc>
        <w:tc>
          <w:tcPr>
            <w:tcW w:w="8712" w:type="dxa"/>
            <w:gridSpan w:val="7"/>
            <w:vAlign w:val="top"/>
          </w:tcPr>
          <w:p w14:paraId="04434907">
            <w:pPr>
              <w:spacing w:before="148"/>
              <w:ind w:left="111" w:right="107" w:firstLine="483"/>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该表一式两份，两份表格投标人均需如实填写各项内容，两份表格的填写内容应一致。一</w:t>
            </w:r>
            <w:r>
              <w:rPr>
                <w:rFonts w:hint="eastAsia" w:ascii="宋体" w:hAnsi="宋体" w:eastAsia="宋体" w:cs="宋体"/>
                <w:color w:val="000000" w:themeColor="text1"/>
                <w:spacing w:val="1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份贴于装纳原件的文件袋（箱</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pacing w:val="9"/>
                <w:sz w:val="24"/>
                <w:szCs w:val="24"/>
                <w:highlight w:val="none"/>
                <w14:textFill>
                  <w14:solidFill>
                    <w14:schemeClr w14:val="tx1"/>
                  </w14:solidFill>
                </w14:textFill>
              </w:rPr>
              <w:t>一份在递交文件袋（箱）时由招标代理机构、投标人签字后</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交招标代理机构。招标代理机构仅代签收装纳原件的文件袋（箱</w:t>
            </w:r>
            <w:r>
              <w:rPr>
                <w:rFonts w:hint="eastAsia" w:ascii="宋体" w:hAnsi="宋体" w:eastAsia="宋体" w:cs="宋体"/>
                <w:color w:val="000000" w:themeColor="text1"/>
                <w:spacing w:val="19"/>
                <w:sz w:val="24"/>
                <w:szCs w:val="24"/>
                <w:highlight w:val="none"/>
                <w14:textFill>
                  <w14:solidFill>
                    <w14:schemeClr w14:val="tx1"/>
                  </w14:solidFill>
                </w14:textFill>
              </w:rPr>
              <w:t>），</w:t>
            </w:r>
            <w:r>
              <w:rPr>
                <w:rFonts w:hint="eastAsia" w:ascii="宋体" w:hAnsi="宋体" w:eastAsia="宋体" w:cs="宋体"/>
                <w:color w:val="000000" w:themeColor="text1"/>
                <w:spacing w:val="9"/>
                <w:sz w:val="24"/>
                <w:szCs w:val="24"/>
                <w:highlight w:val="none"/>
                <w14:textFill>
                  <w14:solidFill>
                    <w14:schemeClr w14:val="tx1"/>
                  </w14:solidFill>
                </w14:textFill>
              </w:rPr>
              <w:t>而不对文件袋（箱）中资</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料的数量、</w:t>
            </w:r>
            <w:r>
              <w:rPr>
                <w:rFonts w:hint="eastAsia" w:ascii="宋体" w:hAnsi="宋体" w:eastAsia="宋体" w:cs="宋体"/>
                <w:color w:val="000000" w:themeColor="text1"/>
                <w:spacing w:val="-4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内容及真实性负责。</w:t>
            </w:r>
          </w:p>
        </w:tc>
      </w:tr>
      <w:tr w14:paraId="1CF26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624" w:type="dxa"/>
            <w:gridSpan w:val="2"/>
            <w:vAlign w:val="top"/>
          </w:tcPr>
          <w:p w14:paraId="761E9651">
            <w:pPr>
              <w:pStyle w:val="17"/>
              <w:spacing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2A419AAE">
            <w:pPr>
              <w:spacing w:before="61" w:line="240" w:lineRule="auto"/>
              <w:ind w:left="760" w:right="153" w:hanging="600"/>
              <w:rPr>
                <w:rFonts w:hint="eastAsia" w:ascii="宋体" w:hAnsi="宋体" w:eastAsia="宋体" w:cs="宋体"/>
                <w:color w:val="000000" w:themeColor="text1"/>
                <w:spacing w:val="8"/>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接收原件经办人</w:t>
            </w:r>
          </w:p>
          <w:p w14:paraId="1690E6DB">
            <w:pPr>
              <w:spacing w:before="61" w:line="240" w:lineRule="auto"/>
              <w:ind w:left="760" w:right="153" w:hanging="6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(招标</w:t>
            </w:r>
            <w:r>
              <w:rPr>
                <w:rFonts w:hint="eastAsia" w:ascii="宋体" w:hAnsi="宋体" w:eastAsia="宋体" w:cs="宋体"/>
                <w:color w:val="000000" w:themeColor="text1"/>
                <w:spacing w:val="3"/>
                <w:sz w:val="24"/>
                <w:szCs w:val="24"/>
                <w:highlight w:val="none"/>
                <w14:textFill>
                  <w14:solidFill>
                    <w14:schemeClr w14:val="tx1"/>
                  </w14:solidFill>
                </w14:textFill>
              </w:rPr>
              <w:t>代理)：</w:t>
            </w:r>
          </w:p>
        </w:tc>
        <w:tc>
          <w:tcPr>
            <w:tcW w:w="1725" w:type="dxa"/>
            <w:vAlign w:val="top"/>
          </w:tcPr>
          <w:p w14:paraId="275A8985">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683" w:type="dxa"/>
            <w:gridSpan w:val="2"/>
            <w:vAlign w:val="top"/>
          </w:tcPr>
          <w:p w14:paraId="1474D634">
            <w:pPr>
              <w:pStyle w:val="17"/>
              <w:spacing w:line="288" w:lineRule="auto"/>
              <w:rPr>
                <w:rFonts w:hint="eastAsia" w:ascii="宋体" w:hAnsi="宋体" w:eastAsia="宋体" w:cs="宋体"/>
                <w:color w:val="000000" w:themeColor="text1"/>
                <w:sz w:val="24"/>
                <w:szCs w:val="24"/>
                <w:highlight w:val="none"/>
                <w14:textFill>
                  <w14:solidFill>
                    <w14:schemeClr w14:val="tx1"/>
                  </w14:solidFill>
                </w14:textFill>
              </w:rPr>
            </w:pPr>
          </w:p>
          <w:p w14:paraId="6DC3DCF2">
            <w:pPr>
              <w:pStyle w:val="17"/>
              <w:spacing w:line="289" w:lineRule="auto"/>
              <w:rPr>
                <w:rFonts w:hint="eastAsia" w:ascii="宋体" w:hAnsi="宋体" w:eastAsia="宋体" w:cs="宋体"/>
                <w:color w:val="000000" w:themeColor="text1"/>
                <w:sz w:val="24"/>
                <w:szCs w:val="24"/>
                <w:highlight w:val="none"/>
                <w14:textFill>
                  <w14:solidFill>
                    <w14:schemeClr w14:val="tx1"/>
                  </w14:solidFill>
                </w14:textFill>
              </w:rPr>
            </w:pPr>
          </w:p>
          <w:p w14:paraId="6674EC6F">
            <w:pPr>
              <w:spacing w:before="62" w:line="229" w:lineRule="auto"/>
              <w:ind w:left="31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接收时间：</w:t>
            </w:r>
          </w:p>
        </w:tc>
        <w:tc>
          <w:tcPr>
            <w:tcW w:w="3408" w:type="dxa"/>
            <w:gridSpan w:val="3"/>
            <w:vAlign w:val="top"/>
          </w:tcPr>
          <w:p w14:paraId="14CF6FE5">
            <w:pPr>
              <w:pStyle w:val="17"/>
              <w:spacing w:line="288" w:lineRule="auto"/>
              <w:rPr>
                <w:rFonts w:hint="eastAsia" w:ascii="宋体" w:hAnsi="宋体" w:eastAsia="宋体" w:cs="宋体"/>
                <w:color w:val="000000" w:themeColor="text1"/>
                <w:sz w:val="24"/>
                <w:szCs w:val="24"/>
                <w:highlight w:val="none"/>
                <w14:textFill>
                  <w14:solidFill>
                    <w14:schemeClr w14:val="tx1"/>
                  </w14:solidFill>
                </w14:textFill>
              </w:rPr>
            </w:pPr>
          </w:p>
          <w:p w14:paraId="4D2D58A7">
            <w:pPr>
              <w:pStyle w:val="17"/>
              <w:spacing w:line="289" w:lineRule="auto"/>
              <w:rPr>
                <w:rFonts w:hint="eastAsia" w:ascii="宋体" w:hAnsi="宋体" w:eastAsia="宋体" w:cs="宋体"/>
                <w:color w:val="000000" w:themeColor="text1"/>
                <w:sz w:val="24"/>
                <w:szCs w:val="24"/>
                <w:highlight w:val="none"/>
                <w14:textFill>
                  <w14:solidFill>
                    <w14:schemeClr w14:val="tx1"/>
                  </w14:solidFill>
                </w14:textFill>
              </w:rPr>
            </w:pPr>
          </w:p>
          <w:p w14:paraId="705600D0">
            <w:pPr>
              <w:spacing w:before="62" w:line="229" w:lineRule="auto"/>
              <w:ind w:firstLine="444"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年</w:t>
            </w:r>
            <w:r>
              <w:rPr>
                <w:rFonts w:hint="eastAsia" w:ascii="宋体" w:hAnsi="宋体" w:eastAsia="宋体" w:cs="宋体"/>
                <w:color w:val="000000" w:themeColor="text1"/>
                <w:spacing w:val="1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月</w:t>
            </w:r>
            <w:r>
              <w:rPr>
                <w:rFonts w:hint="eastAsia" w:ascii="宋体" w:hAnsi="宋体" w:eastAsia="宋体" w:cs="宋体"/>
                <w:color w:val="000000" w:themeColor="text1"/>
                <w:spacing w:val="1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日</w:t>
            </w:r>
            <w:r>
              <w:rPr>
                <w:rFonts w:hint="eastAsia" w:ascii="宋体" w:hAnsi="宋体" w:eastAsia="宋体" w:cs="宋体"/>
                <w:color w:val="000000" w:themeColor="text1"/>
                <w:spacing w:val="1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时</w:t>
            </w:r>
            <w:r>
              <w:rPr>
                <w:rFonts w:hint="eastAsia" w:ascii="宋体" w:hAnsi="宋体" w:eastAsia="宋体" w:cs="宋体"/>
                <w:color w:val="000000" w:themeColor="text1"/>
                <w:spacing w:val="1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分</w:t>
            </w:r>
          </w:p>
        </w:tc>
      </w:tr>
      <w:tr w14:paraId="25E6C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2624" w:type="dxa"/>
            <w:gridSpan w:val="2"/>
            <w:vAlign w:val="top"/>
          </w:tcPr>
          <w:p w14:paraId="2EB55666">
            <w:pPr>
              <w:spacing w:before="155" w:line="240" w:lineRule="auto"/>
              <w:ind w:left="861" w:right="153" w:hanging="699"/>
              <w:rPr>
                <w:rFonts w:hint="eastAsia" w:ascii="宋体" w:hAnsi="宋体" w:eastAsia="宋体" w:cs="宋体"/>
                <w:color w:val="000000" w:themeColor="text1"/>
                <w:spacing w:val="8"/>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退还原件接收人</w:t>
            </w:r>
          </w:p>
          <w:p w14:paraId="1CDD5251">
            <w:pPr>
              <w:spacing w:before="155" w:line="240" w:lineRule="auto"/>
              <w:ind w:left="861" w:right="153" w:hanging="6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(投标</w:t>
            </w:r>
            <w:r>
              <w:rPr>
                <w:rFonts w:hint="eastAsia" w:ascii="宋体" w:hAnsi="宋体" w:eastAsia="宋体" w:cs="宋体"/>
                <w:color w:val="000000" w:themeColor="text1"/>
                <w:spacing w:val="2"/>
                <w:sz w:val="24"/>
                <w:szCs w:val="24"/>
                <w:highlight w:val="none"/>
                <w14:textFill>
                  <w14:solidFill>
                    <w14:schemeClr w14:val="tx1"/>
                  </w14:solidFill>
                </w14:textFill>
              </w:rPr>
              <w:t>人)：</w:t>
            </w:r>
          </w:p>
        </w:tc>
        <w:tc>
          <w:tcPr>
            <w:tcW w:w="1725" w:type="dxa"/>
            <w:vAlign w:val="top"/>
          </w:tcPr>
          <w:p w14:paraId="66FA3EB1">
            <w:pPr>
              <w:pStyle w:val="17"/>
              <w:rPr>
                <w:rFonts w:hint="eastAsia" w:ascii="宋体" w:hAnsi="宋体" w:eastAsia="宋体" w:cs="宋体"/>
                <w:color w:val="000000" w:themeColor="text1"/>
                <w:sz w:val="24"/>
                <w:szCs w:val="24"/>
                <w:highlight w:val="none"/>
                <w14:textFill>
                  <w14:solidFill>
                    <w14:schemeClr w14:val="tx1"/>
                  </w14:solidFill>
                </w14:textFill>
              </w:rPr>
            </w:pPr>
          </w:p>
        </w:tc>
        <w:tc>
          <w:tcPr>
            <w:tcW w:w="1683" w:type="dxa"/>
            <w:gridSpan w:val="2"/>
            <w:vAlign w:val="top"/>
          </w:tcPr>
          <w:p w14:paraId="37AC43BC">
            <w:pPr>
              <w:pStyle w:val="17"/>
              <w:spacing w:line="336" w:lineRule="auto"/>
              <w:rPr>
                <w:rFonts w:hint="eastAsia" w:ascii="宋体" w:hAnsi="宋体" w:eastAsia="宋体" w:cs="宋体"/>
                <w:color w:val="000000" w:themeColor="text1"/>
                <w:sz w:val="24"/>
                <w:szCs w:val="24"/>
                <w:highlight w:val="none"/>
                <w14:textFill>
                  <w14:solidFill>
                    <w14:schemeClr w14:val="tx1"/>
                  </w14:solidFill>
                </w14:textFill>
              </w:rPr>
            </w:pPr>
          </w:p>
          <w:p w14:paraId="3C24FA50">
            <w:pPr>
              <w:spacing w:before="61" w:line="231" w:lineRule="auto"/>
              <w:ind w:left="31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退还时间：</w:t>
            </w:r>
          </w:p>
        </w:tc>
        <w:tc>
          <w:tcPr>
            <w:tcW w:w="3408" w:type="dxa"/>
            <w:gridSpan w:val="3"/>
            <w:vAlign w:val="top"/>
          </w:tcPr>
          <w:p w14:paraId="7DD435CD">
            <w:pPr>
              <w:pStyle w:val="17"/>
              <w:spacing w:line="335" w:lineRule="auto"/>
              <w:rPr>
                <w:rFonts w:hint="eastAsia" w:ascii="宋体" w:hAnsi="宋体" w:eastAsia="宋体" w:cs="宋体"/>
                <w:color w:val="000000" w:themeColor="text1"/>
                <w:sz w:val="24"/>
                <w:szCs w:val="24"/>
                <w:highlight w:val="none"/>
                <w14:textFill>
                  <w14:solidFill>
                    <w14:schemeClr w14:val="tx1"/>
                  </w14:solidFill>
                </w14:textFill>
              </w:rPr>
            </w:pPr>
          </w:p>
          <w:p w14:paraId="683946A7">
            <w:pPr>
              <w:spacing w:before="62" w:line="229" w:lineRule="auto"/>
              <w:ind w:firstLine="444"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年</w:t>
            </w:r>
            <w:r>
              <w:rPr>
                <w:rFonts w:hint="eastAsia" w:ascii="宋体" w:hAnsi="宋体" w:eastAsia="宋体" w:cs="宋体"/>
                <w:color w:val="000000" w:themeColor="text1"/>
                <w:spacing w:val="1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月</w:t>
            </w:r>
            <w:r>
              <w:rPr>
                <w:rFonts w:hint="eastAsia" w:ascii="宋体" w:hAnsi="宋体" w:eastAsia="宋体" w:cs="宋体"/>
                <w:color w:val="000000" w:themeColor="text1"/>
                <w:spacing w:val="1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日</w:t>
            </w:r>
            <w:r>
              <w:rPr>
                <w:rFonts w:hint="eastAsia" w:ascii="宋体" w:hAnsi="宋体" w:eastAsia="宋体" w:cs="宋体"/>
                <w:color w:val="000000" w:themeColor="text1"/>
                <w:spacing w:val="1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时</w:t>
            </w:r>
            <w:r>
              <w:rPr>
                <w:rFonts w:hint="eastAsia" w:ascii="宋体" w:hAnsi="宋体" w:eastAsia="宋体" w:cs="宋体"/>
                <w:color w:val="000000" w:themeColor="text1"/>
                <w:spacing w:val="1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分</w:t>
            </w:r>
          </w:p>
        </w:tc>
      </w:tr>
    </w:tbl>
    <w:p w14:paraId="74E2BD89">
      <w:pPr>
        <w:spacing w:before="78" w:line="219" w:lineRule="auto"/>
        <w:jc w:val="center"/>
        <w:outlineLvl w:val="9"/>
        <w:rPr>
          <w:rFonts w:hint="eastAsia" w:ascii="宋体" w:hAnsi="宋体" w:eastAsia="宋体" w:cs="宋体"/>
          <w:b/>
          <w:bCs/>
          <w:color w:val="000000" w:themeColor="text1"/>
          <w:spacing w:val="-3"/>
          <w:sz w:val="24"/>
          <w:szCs w:val="24"/>
          <w:highlight w:val="none"/>
          <w14:textFill>
            <w14:solidFill>
              <w14:schemeClr w14:val="tx1"/>
            </w14:solidFill>
          </w14:textFill>
        </w:rPr>
      </w:pPr>
      <w:bookmarkStart w:id="272" w:name="bookmark107"/>
      <w:bookmarkEnd w:id="272"/>
    </w:p>
    <w:p w14:paraId="1EEB5BD6">
      <w:pPr>
        <w:spacing w:before="78" w:line="219" w:lineRule="auto"/>
        <w:jc w:val="center"/>
        <w:outlineLvl w:val="9"/>
        <w:rPr>
          <w:rFonts w:hint="eastAsia" w:ascii="宋体" w:hAnsi="宋体" w:eastAsia="宋体" w:cs="宋体"/>
          <w:b/>
          <w:bCs/>
          <w:color w:val="000000" w:themeColor="text1"/>
          <w:spacing w:val="-3"/>
          <w:sz w:val="24"/>
          <w:szCs w:val="24"/>
          <w:highlight w:val="none"/>
          <w14:textFill>
            <w14:solidFill>
              <w14:schemeClr w14:val="tx1"/>
            </w14:solidFill>
          </w14:textFill>
        </w:rPr>
      </w:pPr>
    </w:p>
    <w:p w14:paraId="78A15AAE">
      <w:pPr>
        <w:spacing w:before="78" w:line="219" w:lineRule="auto"/>
        <w:jc w:val="center"/>
        <w:outlineLvl w:val="9"/>
        <w:rPr>
          <w:rFonts w:hint="eastAsia" w:ascii="宋体" w:hAnsi="宋体" w:eastAsia="宋体" w:cs="宋体"/>
          <w:b/>
          <w:bCs/>
          <w:color w:val="000000" w:themeColor="text1"/>
          <w:spacing w:val="-3"/>
          <w:sz w:val="24"/>
          <w:szCs w:val="24"/>
          <w:highlight w:val="none"/>
          <w14:textFill>
            <w14:solidFill>
              <w14:schemeClr w14:val="tx1"/>
            </w14:solidFill>
          </w14:textFill>
        </w:rPr>
      </w:pPr>
    </w:p>
    <w:p w14:paraId="78B8561E">
      <w:pPr>
        <w:spacing w:before="78" w:line="219" w:lineRule="auto"/>
        <w:jc w:val="center"/>
        <w:outlineLvl w:val="9"/>
        <w:rPr>
          <w:rFonts w:hint="eastAsia" w:ascii="宋体" w:hAnsi="宋体" w:eastAsia="宋体" w:cs="宋体"/>
          <w:b/>
          <w:bCs/>
          <w:color w:val="000000" w:themeColor="text1"/>
          <w:spacing w:val="-3"/>
          <w:sz w:val="24"/>
          <w:szCs w:val="24"/>
          <w:highlight w:val="none"/>
          <w14:textFill>
            <w14:solidFill>
              <w14:schemeClr w14:val="tx1"/>
            </w14:solidFill>
          </w14:textFill>
        </w:rPr>
      </w:pPr>
    </w:p>
    <w:p w14:paraId="288CC27B">
      <w:pPr>
        <w:spacing w:before="78" w:line="219" w:lineRule="auto"/>
        <w:jc w:val="center"/>
        <w:outlineLvl w:val="9"/>
        <w:rPr>
          <w:rFonts w:hint="eastAsia" w:ascii="宋体" w:hAnsi="宋体" w:eastAsia="宋体" w:cs="宋体"/>
          <w:b/>
          <w:bCs/>
          <w:color w:val="000000" w:themeColor="text1"/>
          <w:spacing w:val="-3"/>
          <w:sz w:val="24"/>
          <w:szCs w:val="24"/>
          <w:highlight w:val="none"/>
          <w14:textFill>
            <w14:solidFill>
              <w14:schemeClr w14:val="tx1"/>
            </w14:solidFill>
          </w14:textFill>
        </w:rPr>
      </w:pPr>
    </w:p>
    <w:p w14:paraId="69AB718B">
      <w:pPr>
        <w:spacing w:before="78" w:line="219" w:lineRule="auto"/>
        <w:jc w:val="center"/>
        <w:outlineLvl w:val="9"/>
        <w:rPr>
          <w:rFonts w:hint="eastAsia" w:ascii="宋体" w:hAnsi="宋体" w:eastAsia="宋体" w:cs="宋体"/>
          <w:b/>
          <w:bCs/>
          <w:color w:val="000000" w:themeColor="text1"/>
          <w:spacing w:val="-3"/>
          <w:sz w:val="24"/>
          <w:szCs w:val="24"/>
          <w:highlight w:val="none"/>
          <w14:textFill>
            <w14:solidFill>
              <w14:schemeClr w14:val="tx1"/>
            </w14:solidFill>
          </w14:textFill>
        </w:rPr>
      </w:pPr>
    </w:p>
    <w:p w14:paraId="7293FE45">
      <w:pPr>
        <w:spacing w:before="78" w:line="219" w:lineRule="auto"/>
        <w:jc w:val="center"/>
        <w:outlineLvl w:val="9"/>
        <w:rPr>
          <w:rFonts w:hint="eastAsia" w:ascii="宋体" w:hAnsi="宋体" w:eastAsia="宋体" w:cs="宋体"/>
          <w:b/>
          <w:bCs/>
          <w:color w:val="000000" w:themeColor="text1"/>
          <w:spacing w:val="-3"/>
          <w:sz w:val="24"/>
          <w:szCs w:val="24"/>
          <w:highlight w:val="none"/>
          <w14:textFill>
            <w14:solidFill>
              <w14:schemeClr w14:val="tx1"/>
            </w14:solidFill>
          </w14:textFill>
        </w:rPr>
      </w:pPr>
    </w:p>
    <w:p w14:paraId="3E6F5849">
      <w:pPr>
        <w:spacing w:before="78" w:line="219" w:lineRule="auto"/>
        <w:jc w:val="center"/>
        <w:outlineLvl w:val="9"/>
        <w:rPr>
          <w:rFonts w:hint="eastAsia" w:ascii="宋体" w:hAnsi="宋体" w:eastAsia="宋体" w:cs="宋体"/>
          <w:b/>
          <w:bCs/>
          <w:color w:val="000000" w:themeColor="text1"/>
          <w:spacing w:val="-3"/>
          <w:sz w:val="24"/>
          <w:szCs w:val="24"/>
          <w:highlight w:val="none"/>
          <w14:textFill>
            <w14:solidFill>
              <w14:schemeClr w14:val="tx1"/>
            </w14:solidFill>
          </w14:textFill>
        </w:rPr>
      </w:pPr>
    </w:p>
    <w:p w14:paraId="4DEB9D8A">
      <w:pPr>
        <w:spacing w:before="78" w:line="219" w:lineRule="auto"/>
        <w:jc w:val="center"/>
        <w:outlineLvl w:val="9"/>
        <w:rPr>
          <w:rFonts w:hint="eastAsia" w:ascii="宋体" w:hAnsi="宋体" w:eastAsia="宋体" w:cs="宋体"/>
          <w:b/>
          <w:bCs/>
          <w:color w:val="000000" w:themeColor="text1"/>
          <w:spacing w:val="-3"/>
          <w:sz w:val="24"/>
          <w:szCs w:val="24"/>
          <w:highlight w:val="none"/>
          <w14:textFill>
            <w14:solidFill>
              <w14:schemeClr w14:val="tx1"/>
            </w14:solidFill>
          </w14:textFill>
        </w:rPr>
      </w:pPr>
    </w:p>
    <w:p w14:paraId="2CE58F1B">
      <w:pPr>
        <w:spacing w:before="78" w:line="219" w:lineRule="auto"/>
        <w:jc w:val="center"/>
        <w:outlineLvl w:val="9"/>
        <w:rPr>
          <w:rFonts w:hint="eastAsia" w:ascii="宋体" w:hAnsi="宋体" w:eastAsia="宋体" w:cs="宋体"/>
          <w:b/>
          <w:bCs/>
          <w:color w:val="000000" w:themeColor="text1"/>
          <w:spacing w:val="-3"/>
          <w:sz w:val="24"/>
          <w:szCs w:val="24"/>
          <w:highlight w:val="none"/>
          <w14:textFill>
            <w14:solidFill>
              <w14:schemeClr w14:val="tx1"/>
            </w14:solidFill>
          </w14:textFill>
        </w:rPr>
      </w:pPr>
    </w:p>
    <w:p w14:paraId="6DA5E31F">
      <w:pPr>
        <w:spacing w:before="78" w:line="219" w:lineRule="auto"/>
        <w:jc w:val="center"/>
        <w:outlineLvl w:val="9"/>
        <w:rPr>
          <w:rFonts w:hint="eastAsia" w:ascii="宋体" w:hAnsi="宋体" w:eastAsia="宋体" w:cs="宋体"/>
          <w:b/>
          <w:bCs/>
          <w:color w:val="000000" w:themeColor="text1"/>
          <w:spacing w:val="-3"/>
          <w:sz w:val="24"/>
          <w:szCs w:val="24"/>
          <w:highlight w:val="none"/>
          <w14:textFill>
            <w14:solidFill>
              <w14:schemeClr w14:val="tx1"/>
            </w14:solidFill>
          </w14:textFill>
        </w:rPr>
      </w:pPr>
    </w:p>
    <w:p w14:paraId="7F50B227">
      <w:pPr>
        <w:spacing w:before="78" w:line="219" w:lineRule="auto"/>
        <w:jc w:val="center"/>
        <w:outlineLvl w:val="9"/>
        <w:rPr>
          <w:rFonts w:hint="eastAsia" w:ascii="宋体" w:hAnsi="宋体" w:eastAsia="宋体" w:cs="宋体"/>
          <w:b/>
          <w:bCs/>
          <w:color w:val="000000" w:themeColor="text1"/>
          <w:spacing w:val="-3"/>
          <w:sz w:val="24"/>
          <w:szCs w:val="24"/>
          <w:highlight w:val="none"/>
          <w14:textFill>
            <w14:solidFill>
              <w14:schemeClr w14:val="tx1"/>
            </w14:solidFill>
          </w14:textFill>
        </w:rPr>
      </w:pPr>
    </w:p>
    <w:p w14:paraId="5EB9CB6C">
      <w:pPr>
        <w:spacing w:before="78" w:line="219" w:lineRule="auto"/>
        <w:jc w:val="center"/>
        <w:outlineLvl w:val="9"/>
        <w:rPr>
          <w:rFonts w:hint="eastAsia" w:ascii="宋体" w:hAnsi="宋体" w:eastAsia="宋体" w:cs="宋体"/>
          <w:b/>
          <w:bCs/>
          <w:color w:val="000000" w:themeColor="text1"/>
          <w:spacing w:val="-3"/>
          <w:sz w:val="24"/>
          <w:szCs w:val="24"/>
          <w:highlight w:val="none"/>
          <w14:textFill>
            <w14:solidFill>
              <w14:schemeClr w14:val="tx1"/>
            </w14:solidFill>
          </w14:textFill>
        </w:rPr>
      </w:pPr>
    </w:p>
    <w:p w14:paraId="3E438A30">
      <w:pPr>
        <w:spacing w:before="78" w:line="219" w:lineRule="auto"/>
        <w:jc w:val="center"/>
        <w:outlineLvl w:val="1"/>
        <w:rPr>
          <w:rFonts w:hint="eastAsia" w:ascii="宋体" w:hAnsi="宋体" w:eastAsia="宋体" w:cs="宋体"/>
          <w:color w:val="000000" w:themeColor="text1"/>
          <w:highlight w:val="none"/>
          <w14:textFill>
            <w14:solidFill>
              <w14:schemeClr w14:val="tx1"/>
            </w14:solidFill>
          </w14:textFill>
        </w:rPr>
      </w:pPr>
      <w:bookmarkStart w:id="273" w:name="_Toc28712"/>
      <w:r>
        <w:rPr>
          <w:rFonts w:hint="eastAsia" w:ascii="宋体" w:hAnsi="宋体" w:eastAsia="宋体" w:cs="宋体"/>
          <w:b/>
          <w:bCs/>
          <w:color w:val="000000" w:themeColor="text1"/>
          <w:spacing w:val="-3"/>
          <w:sz w:val="24"/>
          <w:szCs w:val="24"/>
          <w:highlight w:val="none"/>
          <w14:textFill>
            <w14:solidFill>
              <w14:schemeClr w14:val="tx1"/>
            </w14:solidFill>
          </w14:textFill>
        </w:rPr>
        <w:t>第七章</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14:textFill>
            <w14:solidFill>
              <w14:schemeClr w14:val="tx1"/>
            </w14:solidFill>
          </w14:textFill>
        </w:rPr>
        <w:t>建设工程施工合同</w:t>
      </w:r>
      <w:bookmarkEnd w:id="273"/>
    </w:p>
    <w:p w14:paraId="0F14ACDF">
      <w:pPr>
        <w:pStyle w:val="5"/>
        <w:spacing w:line="257" w:lineRule="auto"/>
        <w:rPr>
          <w:rFonts w:hint="eastAsia" w:ascii="宋体" w:hAnsi="宋体" w:eastAsia="宋体" w:cs="宋体"/>
          <w:color w:val="000000" w:themeColor="text1"/>
          <w:highlight w:val="none"/>
          <w14:textFill>
            <w14:solidFill>
              <w14:schemeClr w14:val="tx1"/>
            </w14:solidFill>
          </w14:textFill>
        </w:rPr>
      </w:pPr>
    </w:p>
    <w:p w14:paraId="151CC36E">
      <w:pPr>
        <w:spacing w:before="78" w:line="324"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（略</w:t>
      </w:r>
      <w:r>
        <w:rPr>
          <w:rFonts w:hint="eastAsia" w:ascii="宋体" w:hAnsi="宋体" w:eastAsia="宋体" w:cs="宋体"/>
          <w:color w:val="000000" w:themeColor="text1"/>
          <w:spacing w:val="-10"/>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按《广东省建设工程标准施工合同》（2009 年版）或《建设工程施工合同</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（示范文本）》（GF—2017—0201）执行。</w:t>
      </w:r>
    </w:p>
    <w:p w14:paraId="01801F5B">
      <w:pPr>
        <w:rPr>
          <w:rFonts w:hint="eastAsia" w:ascii="宋体" w:hAnsi="宋体" w:eastAsia="宋体" w:cs="宋体"/>
          <w:color w:val="000000" w:themeColor="text1"/>
          <w:highlight w:val="none"/>
          <w14:textFill>
            <w14:solidFill>
              <w14:schemeClr w14:val="tx1"/>
            </w14:solidFill>
          </w14:textFill>
        </w:rPr>
      </w:pPr>
    </w:p>
    <w:sectPr>
      <w:footerReference r:id="rId28"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0A288">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0724">
    <w:pPr>
      <w:pStyle w:val="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377C3">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78377C3">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7EE6">
    <w:pPr>
      <w:pStyle w:val="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67661">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F867661">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11AF">
    <w:pPr>
      <w:pStyle w:val="7"/>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522E6">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79522E6">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B3D4B">
    <w:pPr>
      <w:pStyle w:val="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96848">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A296848">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CA7E8">
    <w:pPr>
      <w:pStyle w:val="7"/>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F3DE9">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9FF3DE9">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6E0A">
    <w:pPr>
      <w:pStyle w:val="7"/>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51B45">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BE51B45">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D6CBA">
    <w:pPr>
      <w:pStyle w:val="7"/>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FEAD4">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17FEAD4">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F25A">
    <w:pPr>
      <w:pStyle w:val="7"/>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6AAA9">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EB6AAA9">
                    <w:pPr>
                      <w:pStyle w:val="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3A765">
    <w:pPr>
      <w:pStyle w:val="7"/>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CB8C2">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E9CB8C2">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0510">
    <w:pPr>
      <w:pStyle w:val="7"/>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13FD3">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D913FD3">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C3652">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4815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3C4815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073A">
    <w:pPr>
      <w:pStyle w:val="7"/>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C9082">
                          <w:pPr>
                            <w:pStyle w:val="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D7C9082">
                    <w:pPr>
                      <w:pStyle w:val="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FF30B">
    <w:pPr>
      <w:pStyle w:val="7"/>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B0618">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6CB0618">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F5C4">
    <w:pPr>
      <w:pStyle w:val="7"/>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190B5">
                          <w:pPr>
                            <w:pStyle w:val="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07B190B5">
                    <w:pPr>
                      <w:pStyle w:val="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722C6">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40213">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BA40213">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A2642">
    <w:pPr>
      <w:spacing w:line="179" w:lineRule="auto"/>
      <w:ind w:left="4353"/>
      <w:rPr>
        <w:rFonts w:ascii="宋体" w:hAnsi="宋体" w:eastAsia="宋体" w:cs="宋体"/>
        <w:sz w:val="19"/>
        <w:szCs w:val="19"/>
      </w:rPr>
    </w:pPr>
    <w:r>
      <w:rPr>
        <w:sz w:val="19"/>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8D2CF">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088D2CF">
                    <w:pPr>
                      <w:pStyle w:val="7"/>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宋体" w:hAnsi="宋体" w:eastAsia="宋体" w:cs="宋体"/>
        <w:sz w:val="19"/>
        <w:szCs w:val="19"/>
        <w:lang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6D71C">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66D46">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5B66D46">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3137">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E7016">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D8E7016">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1E147">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F66CF">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F7F66CF">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FC2D">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30B2B">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8330B2B">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DF844">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496ED">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A2496ED">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2A64E">
    <w:pPr>
      <w:pStyle w:val="5"/>
      <w:spacing w:line="50"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A3C7A">
    <w:pPr>
      <w:pStyle w:val="5"/>
      <w:spacing w:line="50"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2D440">
    <w:pPr>
      <w:pStyle w:val="5"/>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978D7">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DFFD4"/>
    <w:multiLevelType w:val="singleLevel"/>
    <w:tmpl w:val="B21DFFD4"/>
    <w:lvl w:ilvl="0" w:tentative="0">
      <w:start w:val="1"/>
      <w:numFmt w:val="decimal"/>
      <w:suff w:val="nothing"/>
      <w:lvlText w:val="%1．"/>
      <w:lvlJc w:val="left"/>
    </w:lvl>
  </w:abstractNum>
  <w:abstractNum w:abstractNumId="1">
    <w:nsid w:val="E6C9BDCA"/>
    <w:multiLevelType w:val="singleLevel"/>
    <w:tmpl w:val="E6C9BDCA"/>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lvlText w:val="%1."/>
      <w:lvlJc w:val="left"/>
      <w:pPr>
        <w:tabs>
          <w:tab w:val="left" w:pos="312"/>
        </w:tabs>
      </w:pPr>
    </w:lvl>
  </w:abstractNum>
  <w:abstractNum w:abstractNumId="3">
    <w:nsid w:val="0C1928B3"/>
    <w:multiLevelType w:val="singleLevel"/>
    <w:tmpl w:val="0C1928B3"/>
    <w:lvl w:ilvl="0" w:tentative="0">
      <w:start w:val="1"/>
      <w:numFmt w:val="decimal"/>
      <w:lvlText w:val="%1."/>
      <w:lvlJc w:val="left"/>
      <w:pPr>
        <w:tabs>
          <w:tab w:val="left" w:pos="312"/>
        </w:tabs>
      </w:pPr>
    </w:lvl>
  </w:abstractNum>
  <w:abstractNum w:abstractNumId="4">
    <w:nsid w:val="2A188D02"/>
    <w:multiLevelType w:val="singleLevel"/>
    <w:tmpl w:val="2A188D02"/>
    <w:lvl w:ilvl="0" w:tentative="0">
      <w:start w:val="1"/>
      <w:numFmt w:val="decimal"/>
      <w:suff w:val="space"/>
      <w:lvlText w:val="%1."/>
      <w:lvlJc w:val="left"/>
    </w:lvl>
  </w:abstractNum>
  <w:abstractNum w:abstractNumId="5">
    <w:nsid w:val="609EB8A8"/>
    <w:multiLevelType w:val="singleLevel"/>
    <w:tmpl w:val="609EB8A8"/>
    <w:lvl w:ilvl="0" w:tentative="0">
      <w:start w:val="1"/>
      <w:numFmt w:val="decimal"/>
      <w:lvlText w:val="%1."/>
      <w:lvlJc w:val="left"/>
      <w:pPr>
        <w:tabs>
          <w:tab w:val="left" w:pos="312"/>
        </w:tabs>
      </w:pPr>
    </w:lvl>
  </w:abstractNum>
  <w:abstractNum w:abstractNumId="6">
    <w:nsid w:val="79BCF700"/>
    <w:multiLevelType w:val="singleLevel"/>
    <w:tmpl w:val="79BCF700"/>
    <w:lvl w:ilvl="0" w:tentative="0">
      <w:start w:val="1"/>
      <w:numFmt w:val="decimal"/>
      <w:lvlText w:val="%1."/>
      <w:lvlJc w:val="left"/>
      <w:pPr>
        <w:tabs>
          <w:tab w:val="left" w:pos="312"/>
        </w:tabs>
      </w:pPr>
    </w:lvl>
  </w:abstractNum>
  <w:num w:numId="1">
    <w:abstractNumId w:val="5"/>
  </w:num>
  <w:num w:numId="2">
    <w:abstractNumId w:val="4"/>
  </w:num>
  <w:num w:numId="3">
    <w:abstractNumId w:val="0"/>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NTI0NDYxZjI1YTM1OTc0YmRhZjI0YTk3MzBhOTIifQ=="/>
  </w:docVars>
  <w:rsids>
    <w:rsidRoot w:val="4F582EF7"/>
    <w:rsid w:val="001315D9"/>
    <w:rsid w:val="00473031"/>
    <w:rsid w:val="00D61DC8"/>
    <w:rsid w:val="013F232E"/>
    <w:rsid w:val="014C6B51"/>
    <w:rsid w:val="02337D11"/>
    <w:rsid w:val="028F464D"/>
    <w:rsid w:val="02A72EF0"/>
    <w:rsid w:val="02BF0C55"/>
    <w:rsid w:val="0358304C"/>
    <w:rsid w:val="039E06FB"/>
    <w:rsid w:val="04021749"/>
    <w:rsid w:val="04B67F25"/>
    <w:rsid w:val="04BF763A"/>
    <w:rsid w:val="05E732EC"/>
    <w:rsid w:val="05EC614B"/>
    <w:rsid w:val="063C112F"/>
    <w:rsid w:val="069B537E"/>
    <w:rsid w:val="06C70A28"/>
    <w:rsid w:val="06C929F2"/>
    <w:rsid w:val="07133987"/>
    <w:rsid w:val="07A1396F"/>
    <w:rsid w:val="07A71DAB"/>
    <w:rsid w:val="08007710"/>
    <w:rsid w:val="08EB6C4F"/>
    <w:rsid w:val="08F8136C"/>
    <w:rsid w:val="092D5890"/>
    <w:rsid w:val="09F06AB0"/>
    <w:rsid w:val="09FA34EB"/>
    <w:rsid w:val="0A62467A"/>
    <w:rsid w:val="0A7D4664"/>
    <w:rsid w:val="0AD33307"/>
    <w:rsid w:val="0B3866B7"/>
    <w:rsid w:val="0B6704EB"/>
    <w:rsid w:val="0BD240F7"/>
    <w:rsid w:val="0BF4406D"/>
    <w:rsid w:val="0BF96151"/>
    <w:rsid w:val="0C120997"/>
    <w:rsid w:val="0C4153D2"/>
    <w:rsid w:val="0CA07D76"/>
    <w:rsid w:val="0D03679A"/>
    <w:rsid w:val="0DCB0DFD"/>
    <w:rsid w:val="0DF525DE"/>
    <w:rsid w:val="0E1E1875"/>
    <w:rsid w:val="0E8E37ED"/>
    <w:rsid w:val="0EAF2E14"/>
    <w:rsid w:val="0ED87D67"/>
    <w:rsid w:val="0EDB59B8"/>
    <w:rsid w:val="0EEF2DB9"/>
    <w:rsid w:val="105858FC"/>
    <w:rsid w:val="108403E2"/>
    <w:rsid w:val="109275A9"/>
    <w:rsid w:val="10C15734"/>
    <w:rsid w:val="11533574"/>
    <w:rsid w:val="11785740"/>
    <w:rsid w:val="11862732"/>
    <w:rsid w:val="11A47985"/>
    <w:rsid w:val="11D80D88"/>
    <w:rsid w:val="12C10955"/>
    <w:rsid w:val="12E7492B"/>
    <w:rsid w:val="12E74FC1"/>
    <w:rsid w:val="12F27F6E"/>
    <w:rsid w:val="137361BF"/>
    <w:rsid w:val="14141B79"/>
    <w:rsid w:val="150D2643"/>
    <w:rsid w:val="156F1A6B"/>
    <w:rsid w:val="15DC13FE"/>
    <w:rsid w:val="16005D04"/>
    <w:rsid w:val="16737FC1"/>
    <w:rsid w:val="1722468F"/>
    <w:rsid w:val="17C50FB3"/>
    <w:rsid w:val="18100480"/>
    <w:rsid w:val="18226406"/>
    <w:rsid w:val="182A472E"/>
    <w:rsid w:val="190B3062"/>
    <w:rsid w:val="1963464B"/>
    <w:rsid w:val="197764F6"/>
    <w:rsid w:val="1A3A6836"/>
    <w:rsid w:val="1A5B5BFF"/>
    <w:rsid w:val="1A7D7923"/>
    <w:rsid w:val="1AE57555"/>
    <w:rsid w:val="1BDD2D6F"/>
    <w:rsid w:val="1C2A3ADB"/>
    <w:rsid w:val="1C324211"/>
    <w:rsid w:val="1C7F3E27"/>
    <w:rsid w:val="1CF97BD4"/>
    <w:rsid w:val="1D4B3D09"/>
    <w:rsid w:val="1E3B5B2B"/>
    <w:rsid w:val="1E545F78"/>
    <w:rsid w:val="1E5D49E3"/>
    <w:rsid w:val="1E7948A6"/>
    <w:rsid w:val="1EE15A6C"/>
    <w:rsid w:val="1F487665"/>
    <w:rsid w:val="1F683A66"/>
    <w:rsid w:val="20CB1F07"/>
    <w:rsid w:val="21244F9D"/>
    <w:rsid w:val="222C2B90"/>
    <w:rsid w:val="22457E73"/>
    <w:rsid w:val="22AC5CA2"/>
    <w:rsid w:val="22F866E1"/>
    <w:rsid w:val="233953DA"/>
    <w:rsid w:val="23931F66"/>
    <w:rsid w:val="24782AD4"/>
    <w:rsid w:val="24973CD7"/>
    <w:rsid w:val="24982468"/>
    <w:rsid w:val="249C3951"/>
    <w:rsid w:val="251E1D03"/>
    <w:rsid w:val="254C2D14"/>
    <w:rsid w:val="256D06AE"/>
    <w:rsid w:val="2582242A"/>
    <w:rsid w:val="258F5D03"/>
    <w:rsid w:val="25B20381"/>
    <w:rsid w:val="264763B7"/>
    <w:rsid w:val="264D6D44"/>
    <w:rsid w:val="268B2A3A"/>
    <w:rsid w:val="268B3DAD"/>
    <w:rsid w:val="26A61FB0"/>
    <w:rsid w:val="26B835EE"/>
    <w:rsid w:val="26CF59AB"/>
    <w:rsid w:val="28240DBA"/>
    <w:rsid w:val="282B4E63"/>
    <w:rsid w:val="283261F1"/>
    <w:rsid w:val="28884FF7"/>
    <w:rsid w:val="28E00995"/>
    <w:rsid w:val="28EE2D15"/>
    <w:rsid w:val="290F389D"/>
    <w:rsid w:val="29345F99"/>
    <w:rsid w:val="2962542C"/>
    <w:rsid w:val="2B367172"/>
    <w:rsid w:val="2B784A6E"/>
    <w:rsid w:val="2B7F6702"/>
    <w:rsid w:val="2B9A7B07"/>
    <w:rsid w:val="2BAE2033"/>
    <w:rsid w:val="2BB37649"/>
    <w:rsid w:val="2BFD3113"/>
    <w:rsid w:val="2C0003B4"/>
    <w:rsid w:val="2C15160E"/>
    <w:rsid w:val="2C37319A"/>
    <w:rsid w:val="2CA156F3"/>
    <w:rsid w:val="2D906B09"/>
    <w:rsid w:val="2E9A689E"/>
    <w:rsid w:val="2EDD4BB1"/>
    <w:rsid w:val="2F2729AC"/>
    <w:rsid w:val="2F3C0F4C"/>
    <w:rsid w:val="2FB82F9F"/>
    <w:rsid w:val="2FD94EFF"/>
    <w:rsid w:val="2FE5383E"/>
    <w:rsid w:val="30EA4338"/>
    <w:rsid w:val="321A2D0F"/>
    <w:rsid w:val="324D664C"/>
    <w:rsid w:val="32BE6EB2"/>
    <w:rsid w:val="32C7154E"/>
    <w:rsid w:val="3317207A"/>
    <w:rsid w:val="331A6B7B"/>
    <w:rsid w:val="33643EF5"/>
    <w:rsid w:val="33D80BF4"/>
    <w:rsid w:val="34335520"/>
    <w:rsid w:val="348F605A"/>
    <w:rsid w:val="35233259"/>
    <w:rsid w:val="36B60605"/>
    <w:rsid w:val="37704A11"/>
    <w:rsid w:val="37C45ACE"/>
    <w:rsid w:val="37E335F2"/>
    <w:rsid w:val="3835053A"/>
    <w:rsid w:val="38BE1535"/>
    <w:rsid w:val="397A7B42"/>
    <w:rsid w:val="39B4157B"/>
    <w:rsid w:val="3A5E69D2"/>
    <w:rsid w:val="3AA34100"/>
    <w:rsid w:val="3B2C2F74"/>
    <w:rsid w:val="3B351E28"/>
    <w:rsid w:val="3B78218B"/>
    <w:rsid w:val="3BAE3989"/>
    <w:rsid w:val="3C242530"/>
    <w:rsid w:val="3CE62383"/>
    <w:rsid w:val="3CEC7A2A"/>
    <w:rsid w:val="3D0433A8"/>
    <w:rsid w:val="3DCE35B6"/>
    <w:rsid w:val="3DD136B5"/>
    <w:rsid w:val="3E083824"/>
    <w:rsid w:val="3E2609B2"/>
    <w:rsid w:val="3E7F6463"/>
    <w:rsid w:val="3ECB4852"/>
    <w:rsid w:val="3EEB0292"/>
    <w:rsid w:val="3F281B00"/>
    <w:rsid w:val="3F930BE9"/>
    <w:rsid w:val="3F952DC8"/>
    <w:rsid w:val="3FE15005"/>
    <w:rsid w:val="3FE77469"/>
    <w:rsid w:val="400E2C48"/>
    <w:rsid w:val="41F65F15"/>
    <w:rsid w:val="428D039F"/>
    <w:rsid w:val="42FC0E58"/>
    <w:rsid w:val="437454B8"/>
    <w:rsid w:val="43947908"/>
    <w:rsid w:val="43D25E53"/>
    <w:rsid w:val="440138A0"/>
    <w:rsid w:val="44246EDE"/>
    <w:rsid w:val="44692B43"/>
    <w:rsid w:val="44983428"/>
    <w:rsid w:val="44C47D79"/>
    <w:rsid w:val="4504286C"/>
    <w:rsid w:val="451A208F"/>
    <w:rsid w:val="4612476D"/>
    <w:rsid w:val="468F5CB4"/>
    <w:rsid w:val="46C027C2"/>
    <w:rsid w:val="46DC5111"/>
    <w:rsid w:val="474820C5"/>
    <w:rsid w:val="475B13E7"/>
    <w:rsid w:val="47DD7AD0"/>
    <w:rsid w:val="481D611E"/>
    <w:rsid w:val="48604DA3"/>
    <w:rsid w:val="48B545A9"/>
    <w:rsid w:val="48D34790"/>
    <w:rsid w:val="498C348F"/>
    <w:rsid w:val="49DA3B9B"/>
    <w:rsid w:val="4A62606A"/>
    <w:rsid w:val="4B380D6F"/>
    <w:rsid w:val="4BBC29D4"/>
    <w:rsid w:val="4C560DCF"/>
    <w:rsid w:val="4D24354A"/>
    <w:rsid w:val="4D4E6D7A"/>
    <w:rsid w:val="4DDC390F"/>
    <w:rsid w:val="4E437F61"/>
    <w:rsid w:val="4F411EB6"/>
    <w:rsid w:val="4F582EF7"/>
    <w:rsid w:val="4F8B3476"/>
    <w:rsid w:val="4FBA24A4"/>
    <w:rsid w:val="4FF9121F"/>
    <w:rsid w:val="5135755A"/>
    <w:rsid w:val="517B73AD"/>
    <w:rsid w:val="518A5306"/>
    <w:rsid w:val="51C62A38"/>
    <w:rsid w:val="52534816"/>
    <w:rsid w:val="52634928"/>
    <w:rsid w:val="53277999"/>
    <w:rsid w:val="5341311F"/>
    <w:rsid w:val="534327B1"/>
    <w:rsid w:val="547F2325"/>
    <w:rsid w:val="554967A4"/>
    <w:rsid w:val="564725B8"/>
    <w:rsid w:val="56652099"/>
    <w:rsid w:val="56680EAC"/>
    <w:rsid w:val="569B3338"/>
    <w:rsid w:val="5765355C"/>
    <w:rsid w:val="57CA1153"/>
    <w:rsid w:val="58947716"/>
    <w:rsid w:val="58B66C06"/>
    <w:rsid w:val="5AAE69DB"/>
    <w:rsid w:val="5AC643F3"/>
    <w:rsid w:val="5AF0582F"/>
    <w:rsid w:val="5B1B6AA6"/>
    <w:rsid w:val="5B224E28"/>
    <w:rsid w:val="5BAF7B56"/>
    <w:rsid w:val="5BF611E3"/>
    <w:rsid w:val="5C313AEE"/>
    <w:rsid w:val="5C86208C"/>
    <w:rsid w:val="5CAC7619"/>
    <w:rsid w:val="5D3C274B"/>
    <w:rsid w:val="5D457A1A"/>
    <w:rsid w:val="5D7C18C6"/>
    <w:rsid w:val="5F0537AA"/>
    <w:rsid w:val="5F2B3E04"/>
    <w:rsid w:val="5F760F40"/>
    <w:rsid w:val="60673F83"/>
    <w:rsid w:val="606E1F64"/>
    <w:rsid w:val="60CE0B25"/>
    <w:rsid w:val="61555832"/>
    <w:rsid w:val="61A30FEA"/>
    <w:rsid w:val="61DB6D9C"/>
    <w:rsid w:val="623C3CCB"/>
    <w:rsid w:val="6277131B"/>
    <w:rsid w:val="62894736"/>
    <w:rsid w:val="63964B41"/>
    <w:rsid w:val="647C3D75"/>
    <w:rsid w:val="64CC5E52"/>
    <w:rsid w:val="65B768E4"/>
    <w:rsid w:val="66043DF1"/>
    <w:rsid w:val="661D46CA"/>
    <w:rsid w:val="66887A48"/>
    <w:rsid w:val="66B94E0C"/>
    <w:rsid w:val="66BB1AFB"/>
    <w:rsid w:val="673D6A15"/>
    <w:rsid w:val="67960780"/>
    <w:rsid w:val="682E5386"/>
    <w:rsid w:val="688D47A2"/>
    <w:rsid w:val="68CD623B"/>
    <w:rsid w:val="68FD36D6"/>
    <w:rsid w:val="69562DE6"/>
    <w:rsid w:val="69642093"/>
    <w:rsid w:val="69CA6B08"/>
    <w:rsid w:val="69FA7CF9"/>
    <w:rsid w:val="6A042666"/>
    <w:rsid w:val="6A9040D6"/>
    <w:rsid w:val="6A9736F0"/>
    <w:rsid w:val="6B680BAF"/>
    <w:rsid w:val="6B6C68F1"/>
    <w:rsid w:val="6BA17D14"/>
    <w:rsid w:val="6C360CAD"/>
    <w:rsid w:val="6CF3436B"/>
    <w:rsid w:val="6D5B6316"/>
    <w:rsid w:val="6D9143ED"/>
    <w:rsid w:val="6DC74A88"/>
    <w:rsid w:val="6DD15C03"/>
    <w:rsid w:val="6DEA2117"/>
    <w:rsid w:val="6E8C1058"/>
    <w:rsid w:val="6EAE7221"/>
    <w:rsid w:val="6EBF142E"/>
    <w:rsid w:val="702A0B29"/>
    <w:rsid w:val="70651B61"/>
    <w:rsid w:val="70E51DA8"/>
    <w:rsid w:val="71946BA2"/>
    <w:rsid w:val="71A843FB"/>
    <w:rsid w:val="71FD3425"/>
    <w:rsid w:val="721E450C"/>
    <w:rsid w:val="7262278F"/>
    <w:rsid w:val="73976E5B"/>
    <w:rsid w:val="73A429A0"/>
    <w:rsid w:val="74CF1255"/>
    <w:rsid w:val="74FB54A4"/>
    <w:rsid w:val="750E27C7"/>
    <w:rsid w:val="751A7B05"/>
    <w:rsid w:val="75611CC1"/>
    <w:rsid w:val="7568017A"/>
    <w:rsid w:val="75DD731F"/>
    <w:rsid w:val="768014A2"/>
    <w:rsid w:val="768D4B1F"/>
    <w:rsid w:val="77120FDD"/>
    <w:rsid w:val="775C2950"/>
    <w:rsid w:val="77610F13"/>
    <w:rsid w:val="779C67B0"/>
    <w:rsid w:val="779D7E32"/>
    <w:rsid w:val="77AD4519"/>
    <w:rsid w:val="77D46CD2"/>
    <w:rsid w:val="77D83D50"/>
    <w:rsid w:val="781D0CC1"/>
    <w:rsid w:val="7823193A"/>
    <w:rsid w:val="782E61C7"/>
    <w:rsid w:val="783B33E4"/>
    <w:rsid w:val="78534B66"/>
    <w:rsid w:val="787B0197"/>
    <w:rsid w:val="787E1A12"/>
    <w:rsid w:val="78BE10F6"/>
    <w:rsid w:val="78D43D28"/>
    <w:rsid w:val="79135223"/>
    <w:rsid w:val="794672BF"/>
    <w:rsid w:val="79B9661A"/>
    <w:rsid w:val="7A3C1D44"/>
    <w:rsid w:val="7ABB5863"/>
    <w:rsid w:val="7ADD5362"/>
    <w:rsid w:val="7B1A0118"/>
    <w:rsid w:val="7B6E2211"/>
    <w:rsid w:val="7C3C2310"/>
    <w:rsid w:val="7C85264B"/>
    <w:rsid w:val="7CC76395"/>
    <w:rsid w:val="7D7A30EF"/>
    <w:rsid w:val="7D9D293A"/>
    <w:rsid w:val="7E1E7F1F"/>
    <w:rsid w:val="7E321E60"/>
    <w:rsid w:val="7E493D4F"/>
    <w:rsid w:val="7E5356EF"/>
    <w:rsid w:val="7E9B65C0"/>
    <w:rsid w:val="7F6B3277"/>
    <w:rsid w:val="7F7C3A97"/>
    <w:rsid w:val="7FC351BF"/>
    <w:rsid w:val="7FFA6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2">
    <w:name w:val="heading 4"/>
    <w:basedOn w:val="1"/>
    <w:next w:val="1"/>
    <w:qFormat/>
    <w:uiPriority w:val="0"/>
    <w:pPr>
      <w:keepNext/>
      <w:keepLines/>
      <w:spacing w:line="374" w:lineRule="auto"/>
      <w:outlineLvl w:val="3"/>
    </w:pPr>
    <w:rPr>
      <w:rFonts w:ascii="Arial" w:hAnsi="Arial"/>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next w:val="1"/>
    <w:qFormat/>
    <w:uiPriority w:val="0"/>
    <w:pPr>
      <w:adjustRightInd w:val="0"/>
      <w:spacing w:line="360" w:lineRule="atLeast"/>
      <w:jc w:val="left"/>
      <w:textAlignment w:val="baseline"/>
    </w:pPr>
    <w:rPr>
      <w:kern w:val="0"/>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5"/>
    <w:qFormat/>
    <w:uiPriority w:val="99"/>
    <w:pPr>
      <w:spacing w:line="240" w:lineRule="auto"/>
      <w:ind w:firstLine="420" w:firstLineChars="100"/>
    </w:pPr>
    <w:rPr>
      <w:rFonts w:ascii="Times New Roman" w:cs="Times New Roman"/>
      <w:sz w:val="20"/>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UserStyle_43"/>
    <w:qFormat/>
    <w:uiPriority w:val="99"/>
    <w:pPr>
      <w:spacing w:line="360" w:lineRule="auto"/>
      <w:jc w:val="both"/>
      <w:textAlignment w:val="baseline"/>
    </w:pPr>
    <w:rPr>
      <w:rFonts w:ascii="宋体" w:hAnsi="Times New Roman" w:eastAsia="宋体" w:cs="宋体"/>
      <w:kern w:val="2"/>
      <w:sz w:val="24"/>
      <w:szCs w:val="24"/>
      <w:lang w:val="en-US" w:eastAsia="zh-CN" w:bidi="ar-SA"/>
    </w:rPr>
  </w:style>
  <w:style w:type="character" w:customStyle="1" w:styleId="16">
    <w:name w:val="NormalCharacter"/>
    <w:qFormat/>
    <w:uiPriority w:val="99"/>
  </w:style>
  <w:style w:type="paragraph" w:customStyle="1" w:styleId="17">
    <w:name w:val="Table Text"/>
    <w:basedOn w:val="1"/>
    <w:semiHidden/>
    <w:qFormat/>
    <w:uiPriority w:val="0"/>
    <w:rPr>
      <w:rFonts w:ascii="Arial" w:hAnsi="Arial" w:eastAsia="Arial" w:cs="Arial"/>
      <w:sz w:val="21"/>
      <w:szCs w:val="21"/>
      <w:lang w:val="en-US" w:eastAsia="en-US" w:bidi="ar-SA"/>
    </w:rPr>
  </w:style>
  <w:style w:type="paragraph" w:customStyle="1" w:styleId="1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缩进1"/>
    <w:basedOn w:val="1"/>
    <w:qFormat/>
    <w:uiPriority w:val="0"/>
    <w:pPr>
      <w:widowControl/>
      <w:ind w:firstLine="420"/>
      <w:jc w:val="left"/>
    </w:pPr>
    <w:rPr>
      <w:kern w:val="0"/>
    </w:rPr>
  </w:style>
  <w:style w:type="paragraph" w:customStyle="1" w:styleId="20">
    <w:name w:val="UserStyle_19"/>
    <w:qFormat/>
    <w:uiPriority w:val="99"/>
    <w:pPr>
      <w:jc w:val="both"/>
      <w:textAlignment w:val="baseline"/>
    </w:pPr>
    <w:rPr>
      <w:rFonts w:ascii="Times New Roman" w:hAnsi="Times New Roman" w:eastAsia="宋体" w:cs="Times New Roman"/>
      <w:kern w:val="2"/>
      <w:sz w:val="21"/>
      <w:szCs w:val="21"/>
      <w:lang w:val="en-US" w:eastAsia="zh-CN" w:bidi="ar-SA"/>
    </w:rPr>
  </w:style>
  <w:style w:type="paragraph" w:customStyle="1" w:styleId="21">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2">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3">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4">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5">
    <w:name w:val="Heading2"/>
    <w:basedOn w:val="1"/>
    <w:next w:val="1"/>
    <w:qFormat/>
    <w:uiPriority w:val="99"/>
    <w:pPr>
      <w:jc w:val="left"/>
    </w:pPr>
    <w:rPr>
      <w:kern w:val="0"/>
    </w:rPr>
  </w:style>
  <w:style w:type="paragraph" w:customStyle="1" w:styleId="26">
    <w:name w:val="AnnotationText"/>
    <w:basedOn w:val="1"/>
    <w:qFormat/>
    <w:uiPriority w:val="99"/>
    <w:pPr>
      <w:spacing w:line="360" w:lineRule="atLeast"/>
      <w:jc w:val="left"/>
    </w:pPr>
    <w:rPr>
      <w:kern w:val="0"/>
    </w:rPr>
  </w:style>
  <w:style w:type="paragraph" w:customStyle="1" w:styleId="27">
    <w:name w:val="UserStyle_44"/>
    <w:basedOn w:val="28"/>
    <w:qFormat/>
    <w:uiPriority w:val="99"/>
    <w:rPr>
      <w:sz w:val="24"/>
      <w:szCs w:val="24"/>
    </w:rPr>
  </w:style>
  <w:style w:type="paragraph" w:customStyle="1" w:styleId="28">
    <w:name w:val="UserStyle_33"/>
    <w:qFormat/>
    <w:uiPriority w:val="99"/>
    <w:pPr>
      <w:jc w:val="both"/>
      <w:textAlignment w:val="baseline"/>
    </w:pPr>
    <w:rPr>
      <w:rFonts w:ascii="Times New Roman" w:hAnsi="Times New Roman" w:eastAsia="宋体" w:cs="Times New Roman"/>
      <w:kern w:val="2"/>
      <w:sz w:val="21"/>
      <w:szCs w:val="21"/>
      <w:lang w:val="en-US" w:eastAsia="zh-CN" w:bidi="ar-SA"/>
    </w:rPr>
  </w:style>
  <w:style w:type="paragraph" w:customStyle="1" w:styleId="29">
    <w:name w:val="UserStyle_45"/>
    <w:qFormat/>
    <w:uiPriority w:val="99"/>
    <w:pPr>
      <w:spacing w:line="360" w:lineRule="auto"/>
      <w:jc w:val="both"/>
      <w:textAlignment w:val="baseline"/>
    </w:pPr>
    <w:rPr>
      <w:rFonts w:ascii="宋体" w:hAnsi="Times New Roman" w:eastAsia="宋体" w:cs="宋体"/>
      <w:kern w:val="2"/>
      <w:sz w:val="24"/>
      <w:szCs w:val="24"/>
      <w:lang w:val="en-US" w:eastAsia="zh-CN" w:bidi="ar-SA"/>
    </w:rPr>
  </w:style>
  <w:style w:type="paragraph" w:customStyle="1" w:styleId="30">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31">
    <w:name w:val="文一"/>
    <w:basedOn w:val="1"/>
    <w:qFormat/>
    <w:uiPriority w:val="0"/>
    <w:pPr>
      <w:topLinePunct/>
      <w:adjustRightInd w:val="0"/>
      <w:snapToGrid w:val="0"/>
      <w:ind w:firstLine="200" w:firstLineChars="200"/>
    </w:pPr>
    <w:rPr>
      <w:rFonts w:ascii="Calibri" w:hAnsi="Calibri"/>
      <w:snapToGrid w:val="0"/>
      <w:spacing w:val="4"/>
      <w:kern w:val="0"/>
      <w:szCs w:val="22"/>
    </w:rPr>
  </w:style>
  <w:style w:type="paragraph" w:customStyle="1" w:styleId="32">
    <w:name w:val="BodyText"/>
    <w:basedOn w:val="1"/>
    <w:next w:val="33"/>
    <w:qFormat/>
    <w:uiPriority w:val="99"/>
    <w:pPr>
      <w:spacing w:after="120"/>
    </w:pPr>
  </w:style>
  <w:style w:type="paragraph" w:customStyle="1" w:styleId="33">
    <w:name w:val="BodyText2"/>
    <w:basedOn w:val="1"/>
    <w:qFormat/>
    <w:uiPriority w:val="99"/>
    <w:pPr>
      <w:spacing w:line="500" w:lineRule="exact"/>
    </w:pPr>
  </w:style>
  <w:style w:type="paragraph" w:customStyle="1" w:styleId="34">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5">
    <w:name w:val="正文缩进 New"/>
    <w:basedOn w:val="36"/>
    <w:qFormat/>
    <w:uiPriority w:val="0"/>
    <w:pPr>
      <w:widowControl/>
      <w:ind w:firstLine="420"/>
      <w:jc w:val="left"/>
    </w:pPr>
    <w:rPr>
      <w:kern w:val="0"/>
      <w:sz w:val="20"/>
    </w:rPr>
  </w:style>
  <w:style w:type="paragraph" w:customStyle="1" w:styleId="36">
    <w:name w:val="正文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footer" Target="footer2.xml"/><Relationship Id="rId59" Type="http://schemas.openxmlformats.org/officeDocument/2006/relationships/customXml" Target="../customXml/item1.xml"/><Relationship Id="rId58" Type="http://schemas.openxmlformats.org/officeDocument/2006/relationships/image" Target="media/image17.png"/><Relationship Id="rId57" Type="http://schemas.openxmlformats.org/officeDocument/2006/relationships/image" Target="media/image16.jpeg"/><Relationship Id="rId56" Type="http://schemas.openxmlformats.org/officeDocument/2006/relationships/image" Target="media/image15.png"/><Relationship Id="rId55" Type="http://schemas.openxmlformats.org/officeDocument/2006/relationships/image" Target="media/image14.png"/><Relationship Id="rId54" Type="http://schemas.openxmlformats.org/officeDocument/2006/relationships/image" Target="media/image13.wmf"/><Relationship Id="rId53" Type="http://schemas.openxmlformats.org/officeDocument/2006/relationships/oleObject" Target="embeddings/oleObject12.bin"/><Relationship Id="rId52" Type="http://schemas.openxmlformats.org/officeDocument/2006/relationships/image" Target="media/image12.wmf"/><Relationship Id="rId51" Type="http://schemas.openxmlformats.org/officeDocument/2006/relationships/oleObject" Target="embeddings/oleObject11.bin"/><Relationship Id="rId50" Type="http://schemas.openxmlformats.org/officeDocument/2006/relationships/image" Target="media/image11.wmf"/><Relationship Id="rId5" Type="http://schemas.openxmlformats.org/officeDocument/2006/relationships/footer" Target="footer1.xml"/><Relationship Id="rId49" Type="http://schemas.openxmlformats.org/officeDocument/2006/relationships/oleObject" Target="embeddings/oleObject10.bin"/><Relationship Id="rId48" Type="http://schemas.openxmlformats.org/officeDocument/2006/relationships/image" Target="media/image10.wmf"/><Relationship Id="rId47" Type="http://schemas.openxmlformats.org/officeDocument/2006/relationships/oleObject" Target="embeddings/oleObject9.bin"/><Relationship Id="rId46" Type="http://schemas.openxmlformats.org/officeDocument/2006/relationships/image" Target="media/image9.wmf"/><Relationship Id="rId45" Type="http://schemas.openxmlformats.org/officeDocument/2006/relationships/oleObject" Target="embeddings/oleObject8.bin"/><Relationship Id="rId44" Type="http://schemas.openxmlformats.org/officeDocument/2006/relationships/image" Target="media/image8.wmf"/><Relationship Id="rId43" Type="http://schemas.openxmlformats.org/officeDocument/2006/relationships/oleObject" Target="embeddings/oleObject7.bin"/><Relationship Id="rId42" Type="http://schemas.openxmlformats.org/officeDocument/2006/relationships/image" Target="media/image7.wmf"/><Relationship Id="rId41" Type="http://schemas.openxmlformats.org/officeDocument/2006/relationships/oleObject" Target="embeddings/oleObject6.bin"/><Relationship Id="rId40" Type="http://schemas.openxmlformats.org/officeDocument/2006/relationships/image" Target="media/image6.wmf"/><Relationship Id="rId4" Type="http://schemas.openxmlformats.org/officeDocument/2006/relationships/header" Target="header2.xml"/><Relationship Id="rId39" Type="http://schemas.openxmlformats.org/officeDocument/2006/relationships/oleObject" Target="embeddings/oleObject5.bin"/><Relationship Id="rId38" Type="http://schemas.openxmlformats.org/officeDocument/2006/relationships/image" Target="media/image5.wmf"/><Relationship Id="rId37" Type="http://schemas.openxmlformats.org/officeDocument/2006/relationships/oleObject" Target="embeddings/oleObject4.bin"/><Relationship Id="rId36" Type="http://schemas.openxmlformats.org/officeDocument/2006/relationships/image" Target="media/image4.wmf"/><Relationship Id="rId35" Type="http://schemas.openxmlformats.org/officeDocument/2006/relationships/oleObject" Target="embeddings/oleObject3.bin"/><Relationship Id="rId34" Type="http://schemas.openxmlformats.org/officeDocument/2006/relationships/image" Target="media/image3.wmf"/><Relationship Id="rId33" Type="http://schemas.openxmlformats.org/officeDocument/2006/relationships/oleObject" Target="embeddings/oleObject2.bin"/><Relationship Id="rId32" Type="http://schemas.openxmlformats.org/officeDocument/2006/relationships/image" Target="media/image2.wmf"/><Relationship Id="rId31" Type="http://schemas.openxmlformats.org/officeDocument/2006/relationships/oleObject" Target="embeddings/oleObject1.bin"/><Relationship Id="rId30" Type="http://schemas.openxmlformats.org/officeDocument/2006/relationships/image" Target="media/image1.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27833</Words>
  <Characters>30004</Characters>
  <Lines>0</Lines>
  <Paragraphs>0</Paragraphs>
  <TotalTime>68</TotalTime>
  <ScaleCrop>false</ScaleCrop>
  <LinksUpToDate>false</LinksUpToDate>
  <CharactersWithSpaces>30932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2024-09-28T04:36:00Z</dcterms:created>
  <dc:creator>Administrator</dc:creator>
  <cp:lastModifiedBy>Administrator</cp:lastModifiedBy>
  <cp:lastPrinted>2024-11-06T00:59:00Z</cp:lastPrinted>
  <dcterms:modified xsi:type="dcterms:W3CDTF">2024-11-08T05:08:52Z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FA6F3D7CC40442FEA48298AF602B2B63_11</vt:lpwstr>
  </property>
</Properties>
</file>