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lang w:eastAsia="zh-CN"/>
        </w:rPr>
      </w:pPr>
      <w:bookmarkStart w:id="0" w:name="_Toc17109"/>
      <w:bookmarkStart w:id="1" w:name="_Toc16993"/>
      <w:bookmarkStart w:id="2" w:name="_Toc26819"/>
      <w:bookmarkStart w:id="3" w:name="_Toc10866"/>
    </w:p>
    <w:p>
      <w:pPr>
        <w:spacing w:line="360" w:lineRule="auto"/>
        <w:rPr>
          <w:rFonts w:hint="eastAsia" w:ascii="宋体" w:hAnsi="宋体" w:eastAsia="宋体" w:cs="宋体"/>
          <w:lang w:eastAsia="zh-CN"/>
        </w:rPr>
      </w:pPr>
    </w:p>
    <w:p>
      <w:pPr>
        <w:spacing w:line="360" w:lineRule="auto"/>
        <w:rPr>
          <w:rFonts w:hint="eastAsia" w:ascii="宋体" w:hAnsi="宋体" w:eastAsia="宋体" w:cs="宋体"/>
          <w:lang w:eastAsia="zh-CN"/>
        </w:rPr>
      </w:pPr>
    </w:p>
    <w:p>
      <w:pPr>
        <w:spacing w:line="360" w:lineRule="auto"/>
        <w:rPr>
          <w:rFonts w:hint="eastAsia" w:ascii="宋体" w:hAnsi="宋体" w:eastAsia="宋体" w:cs="宋体"/>
          <w:lang w:eastAsia="zh-CN"/>
        </w:rPr>
      </w:pPr>
    </w:p>
    <w:p>
      <w:pPr>
        <w:spacing w:line="360" w:lineRule="auto"/>
        <w:jc w:val="center"/>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仁化县董塘镇典型镇建设项目（一期）勘察设计、施工总承包</w:t>
      </w:r>
      <w:bookmarkEnd w:id="0"/>
      <w:bookmarkEnd w:id="1"/>
      <w:bookmarkEnd w:id="2"/>
      <w:bookmarkEnd w:id="3"/>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jc w:val="center"/>
        <w:rPr>
          <w:rFonts w:hint="eastAsia" w:ascii="宋体" w:hAnsi="宋体" w:eastAsia="宋体" w:cs="宋体"/>
          <w:b/>
          <w:bCs/>
          <w:sz w:val="72"/>
          <w:szCs w:val="72"/>
          <w:lang w:eastAsia="zh-CN"/>
        </w:rPr>
      </w:pPr>
      <w:bookmarkStart w:id="4" w:name="_Toc4304"/>
      <w:bookmarkStart w:id="5" w:name="_Toc513"/>
      <w:bookmarkStart w:id="6" w:name="_Toc5888"/>
      <w:bookmarkStart w:id="7" w:name="_Toc7257"/>
      <w:r>
        <w:rPr>
          <w:rFonts w:hint="eastAsia" w:ascii="宋体" w:hAnsi="宋体" w:eastAsia="宋体" w:cs="宋体"/>
          <w:b/>
          <w:bCs/>
          <w:sz w:val="72"/>
          <w:szCs w:val="72"/>
          <w:lang w:eastAsia="zh-CN"/>
        </w:rPr>
        <w:t>招标文件</w:t>
      </w:r>
      <w:bookmarkEnd w:id="4"/>
      <w:bookmarkEnd w:id="5"/>
      <w:bookmarkEnd w:id="6"/>
      <w:bookmarkEnd w:id="7"/>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tbl>
      <w:tblPr>
        <w:tblStyle w:val="15"/>
        <w:tblW w:w="9853" w:type="dxa"/>
        <w:jc w:val="center"/>
        <w:tblLayout w:type="fixed"/>
        <w:tblCellMar>
          <w:top w:w="0" w:type="dxa"/>
          <w:left w:w="0" w:type="dxa"/>
          <w:bottom w:w="0" w:type="dxa"/>
          <w:right w:w="0" w:type="dxa"/>
        </w:tblCellMar>
      </w:tblPr>
      <w:tblGrid>
        <w:gridCol w:w="5330"/>
        <w:gridCol w:w="4523"/>
      </w:tblGrid>
      <w:tr>
        <w:tblPrEx>
          <w:tblCellMar>
            <w:top w:w="0" w:type="dxa"/>
            <w:left w:w="0" w:type="dxa"/>
            <w:bottom w:w="0" w:type="dxa"/>
            <w:right w:w="0" w:type="dxa"/>
          </w:tblCellMar>
        </w:tblPrEx>
        <w:trPr>
          <w:trHeight w:val="1020" w:hRule="exact"/>
          <w:jc w:val="center"/>
        </w:trPr>
        <w:tc>
          <w:tcPr>
            <w:tcW w:w="5330" w:type="dxa"/>
            <w:noWrap w:val="0"/>
            <w:vAlign w:val="center"/>
          </w:tcPr>
          <w:p>
            <w:pPr>
              <w:pStyle w:val="18"/>
              <w:wordWrap w:val="0"/>
              <w:adjustRightInd w:val="0"/>
              <w:snapToGrid w:val="0"/>
              <w:spacing w:line="360" w:lineRule="auto"/>
              <w:jc w:val="distribute"/>
              <w:rPr>
                <w:rFonts w:hint="eastAsia" w:ascii="宋体" w:hAnsi="宋体" w:eastAsia="宋体" w:cs="宋体"/>
                <w:snapToGrid w:val="0"/>
                <w:color w:val="auto"/>
                <w:kern w:val="0"/>
                <w:sz w:val="28"/>
                <w:highlight w:val="none"/>
              </w:rPr>
            </w:pPr>
            <w:r>
              <w:rPr>
                <w:rFonts w:hint="eastAsia" w:ascii="宋体" w:hAnsi="宋体" w:eastAsia="宋体" w:cs="宋体"/>
                <w:snapToGrid w:val="0"/>
                <w:color w:val="auto"/>
                <w:kern w:val="0"/>
                <w:sz w:val="28"/>
                <w:highlight w:val="none"/>
              </w:rPr>
              <w:t xml:space="preserve"> 招     标     人（盖单位章）：</w:t>
            </w:r>
          </w:p>
        </w:tc>
        <w:tc>
          <w:tcPr>
            <w:tcW w:w="4523" w:type="dxa"/>
            <w:noWrap w:val="0"/>
            <w:vAlign w:val="center"/>
          </w:tcPr>
          <w:p>
            <w:pPr>
              <w:pStyle w:val="18"/>
              <w:spacing w:line="360" w:lineRule="auto"/>
              <w:rPr>
                <w:rFonts w:hint="eastAsia" w:ascii="宋体" w:hAnsi="宋体" w:eastAsia="宋体" w:cs="宋体"/>
                <w:snapToGrid w:val="0"/>
                <w:color w:val="auto"/>
                <w:kern w:val="0"/>
                <w:sz w:val="28"/>
                <w:szCs w:val="28"/>
                <w:highlight w:val="none"/>
              </w:rPr>
            </w:pPr>
            <w:r>
              <w:rPr>
                <w:rFonts w:hint="eastAsia" w:ascii="宋体" w:hAnsi="宋体" w:eastAsia="宋体" w:cs="宋体"/>
                <w:color w:val="auto"/>
                <w:sz w:val="28"/>
                <w:szCs w:val="28"/>
                <w:lang w:eastAsia="zh-CN"/>
              </w:rPr>
              <w:t>仁化县董塘镇人民政府</w:t>
            </w:r>
          </w:p>
        </w:tc>
      </w:tr>
      <w:tr>
        <w:tblPrEx>
          <w:tblCellMar>
            <w:top w:w="0" w:type="dxa"/>
            <w:left w:w="0" w:type="dxa"/>
            <w:bottom w:w="0" w:type="dxa"/>
            <w:right w:w="0" w:type="dxa"/>
          </w:tblCellMar>
        </w:tblPrEx>
        <w:trPr>
          <w:trHeight w:val="1020" w:hRule="exact"/>
          <w:jc w:val="center"/>
        </w:trPr>
        <w:tc>
          <w:tcPr>
            <w:tcW w:w="5330" w:type="dxa"/>
            <w:noWrap w:val="0"/>
            <w:vAlign w:val="center"/>
          </w:tcPr>
          <w:p>
            <w:pPr>
              <w:pStyle w:val="18"/>
              <w:wordWrap w:val="0"/>
              <w:adjustRightInd w:val="0"/>
              <w:snapToGrid w:val="0"/>
              <w:spacing w:line="360" w:lineRule="auto"/>
              <w:jc w:val="distribute"/>
              <w:rPr>
                <w:rFonts w:hint="eastAsia" w:ascii="宋体" w:hAnsi="宋体" w:eastAsia="宋体" w:cs="宋体"/>
                <w:snapToGrid w:val="0"/>
                <w:color w:val="auto"/>
                <w:kern w:val="0"/>
                <w:sz w:val="28"/>
                <w:highlight w:val="none"/>
              </w:rPr>
            </w:pPr>
            <w:r>
              <w:rPr>
                <w:rFonts w:hint="eastAsia" w:ascii="宋体" w:hAnsi="宋体" w:eastAsia="宋体" w:cs="宋体"/>
                <w:snapToGrid w:val="0"/>
                <w:color w:val="auto"/>
                <w:kern w:val="0"/>
                <w:sz w:val="28"/>
                <w:highlight w:val="none"/>
              </w:rPr>
              <w:t xml:space="preserve"> 招标人工作领导小组负责人（签字）：</w:t>
            </w:r>
          </w:p>
        </w:tc>
        <w:tc>
          <w:tcPr>
            <w:tcW w:w="4523" w:type="dxa"/>
            <w:noWrap w:val="0"/>
            <w:vAlign w:val="center"/>
          </w:tcPr>
          <w:p>
            <w:pPr>
              <w:pStyle w:val="18"/>
              <w:spacing w:line="360" w:lineRule="auto"/>
              <w:rPr>
                <w:rFonts w:hint="eastAsia" w:ascii="宋体" w:hAnsi="宋体" w:eastAsia="宋体" w:cs="宋体"/>
                <w:snapToGrid w:val="0"/>
                <w:color w:val="auto"/>
                <w:kern w:val="0"/>
                <w:sz w:val="28"/>
                <w:szCs w:val="28"/>
                <w:highlight w:val="none"/>
              </w:rPr>
            </w:pPr>
          </w:p>
        </w:tc>
      </w:tr>
      <w:tr>
        <w:tblPrEx>
          <w:tblCellMar>
            <w:top w:w="0" w:type="dxa"/>
            <w:left w:w="0" w:type="dxa"/>
            <w:bottom w:w="0" w:type="dxa"/>
            <w:right w:w="0" w:type="dxa"/>
          </w:tblCellMar>
        </w:tblPrEx>
        <w:trPr>
          <w:trHeight w:val="1020" w:hRule="exact"/>
          <w:jc w:val="center"/>
        </w:trPr>
        <w:tc>
          <w:tcPr>
            <w:tcW w:w="5330" w:type="dxa"/>
            <w:noWrap w:val="0"/>
            <w:vAlign w:val="center"/>
          </w:tcPr>
          <w:p>
            <w:pPr>
              <w:pStyle w:val="18"/>
              <w:wordWrap w:val="0"/>
              <w:adjustRightInd w:val="0"/>
              <w:snapToGrid w:val="0"/>
              <w:spacing w:line="360" w:lineRule="auto"/>
              <w:jc w:val="distribute"/>
              <w:rPr>
                <w:rFonts w:hint="eastAsia" w:ascii="宋体" w:hAnsi="宋体" w:eastAsia="宋体" w:cs="宋体"/>
                <w:snapToGrid w:val="0"/>
                <w:color w:val="auto"/>
                <w:kern w:val="0"/>
                <w:sz w:val="28"/>
                <w:highlight w:val="none"/>
              </w:rPr>
            </w:pPr>
            <w:r>
              <w:rPr>
                <w:rFonts w:hint="eastAsia" w:ascii="宋体" w:hAnsi="宋体" w:eastAsia="宋体" w:cs="宋体"/>
                <w:snapToGrid w:val="0"/>
                <w:color w:val="auto"/>
                <w:kern w:val="0"/>
                <w:sz w:val="28"/>
                <w:highlight w:val="none"/>
              </w:rPr>
              <w:t xml:space="preserve"> 招 标 代 理 机 构 （盖单位章）：</w:t>
            </w:r>
          </w:p>
        </w:tc>
        <w:tc>
          <w:tcPr>
            <w:tcW w:w="4523" w:type="dxa"/>
            <w:noWrap w:val="0"/>
            <w:vAlign w:val="center"/>
          </w:tcPr>
          <w:p>
            <w:pPr>
              <w:pStyle w:val="18"/>
              <w:spacing w:line="360" w:lineRule="auto"/>
              <w:rPr>
                <w:rFonts w:hint="eastAsia" w:ascii="宋体" w:hAnsi="宋体" w:eastAsia="宋体" w:cs="宋体"/>
                <w:snapToGrid w:val="0"/>
                <w:color w:val="auto"/>
                <w:kern w:val="0"/>
                <w:sz w:val="28"/>
                <w:szCs w:val="28"/>
                <w:highlight w:val="none"/>
              </w:rPr>
            </w:pPr>
            <w:r>
              <w:rPr>
                <w:rFonts w:hint="eastAsia" w:ascii="宋体" w:hAnsi="宋体" w:eastAsia="宋体" w:cs="宋体"/>
                <w:snapToGrid w:val="0"/>
                <w:color w:val="auto"/>
                <w:kern w:val="0"/>
                <w:sz w:val="28"/>
                <w:szCs w:val="28"/>
                <w:lang w:eastAsia="zh-CN"/>
              </w:rPr>
              <w:t>广东明正项目管理有限公司</w:t>
            </w:r>
          </w:p>
        </w:tc>
      </w:tr>
      <w:tr>
        <w:tblPrEx>
          <w:tblCellMar>
            <w:top w:w="0" w:type="dxa"/>
            <w:left w:w="0" w:type="dxa"/>
            <w:bottom w:w="0" w:type="dxa"/>
            <w:right w:w="0" w:type="dxa"/>
          </w:tblCellMar>
        </w:tblPrEx>
        <w:trPr>
          <w:trHeight w:val="1020" w:hRule="exact"/>
          <w:jc w:val="center"/>
        </w:trPr>
        <w:tc>
          <w:tcPr>
            <w:tcW w:w="5330" w:type="dxa"/>
            <w:noWrap w:val="0"/>
            <w:vAlign w:val="center"/>
          </w:tcPr>
          <w:p>
            <w:pPr>
              <w:pStyle w:val="18"/>
              <w:wordWrap w:val="0"/>
              <w:adjustRightInd w:val="0"/>
              <w:snapToGrid w:val="0"/>
              <w:spacing w:line="360" w:lineRule="auto"/>
              <w:jc w:val="distribute"/>
              <w:rPr>
                <w:rFonts w:hint="eastAsia" w:ascii="宋体" w:hAnsi="宋体" w:eastAsia="宋体" w:cs="宋体"/>
                <w:snapToGrid w:val="0"/>
                <w:color w:val="auto"/>
                <w:kern w:val="0"/>
                <w:sz w:val="28"/>
                <w:highlight w:val="none"/>
              </w:rPr>
            </w:pPr>
            <w:r>
              <w:rPr>
                <w:rFonts w:hint="eastAsia" w:ascii="宋体" w:hAnsi="宋体" w:eastAsia="宋体" w:cs="宋体"/>
                <w:snapToGrid w:val="0"/>
                <w:color w:val="auto"/>
                <w:kern w:val="0"/>
                <w:sz w:val="28"/>
                <w:highlight w:val="none"/>
              </w:rPr>
              <w:t xml:space="preserve"> 招标文件编制人（签字）：</w:t>
            </w:r>
          </w:p>
        </w:tc>
        <w:tc>
          <w:tcPr>
            <w:tcW w:w="4523" w:type="dxa"/>
            <w:noWrap w:val="0"/>
            <w:vAlign w:val="center"/>
          </w:tcPr>
          <w:p>
            <w:pPr>
              <w:pStyle w:val="18"/>
              <w:spacing w:line="360" w:lineRule="auto"/>
              <w:rPr>
                <w:rFonts w:hint="eastAsia" w:ascii="宋体" w:hAnsi="宋体" w:eastAsia="宋体" w:cs="宋体"/>
                <w:snapToGrid w:val="0"/>
                <w:color w:val="auto"/>
                <w:kern w:val="0"/>
                <w:sz w:val="28"/>
                <w:szCs w:val="28"/>
                <w:highlight w:val="none"/>
              </w:rPr>
            </w:pPr>
          </w:p>
        </w:tc>
      </w:tr>
      <w:tr>
        <w:tblPrEx>
          <w:tblCellMar>
            <w:top w:w="0" w:type="dxa"/>
            <w:left w:w="0" w:type="dxa"/>
            <w:bottom w:w="0" w:type="dxa"/>
            <w:right w:w="0" w:type="dxa"/>
          </w:tblCellMar>
        </w:tblPrEx>
        <w:trPr>
          <w:trHeight w:val="1020" w:hRule="exact"/>
          <w:jc w:val="center"/>
        </w:trPr>
        <w:tc>
          <w:tcPr>
            <w:tcW w:w="5330" w:type="dxa"/>
            <w:noWrap w:val="0"/>
            <w:vAlign w:val="center"/>
          </w:tcPr>
          <w:p>
            <w:pPr>
              <w:pStyle w:val="18"/>
              <w:wordWrap w:val="0"/>
              <w:adjustRightInd w:val="0"/>
              <w:snapToGrid w:val="0"/>
              <w:spacing w:line="360" w:lineRule="auto"/>
              <w:jc w:val="distribute"/>
              <w:rPr>
                <w:rFonts w:hint="eastAsia" w:ascii="宋体" w:hAnsi="宋体" w:eastAsia="宋体" w:cs="宋体"/>
                <w:snapToGrid w:val="0"/>
                <w:color w:val="auto"/>
                <w:kern w:val="0"/>
                <w:sz w:val="28"/>
                <w:highlight w:val="none"/>
              </w:rPr>
            </w:pPr>
            <w:r>
              <w:rPr>
                <w:rFonts w:hint="eastAsia" w:ascii="宋体" w:hAnsi="宋体" w:eastAsia="宋体" w:cs="宋体"/>
                <w:snapToGrid w:val="0"/>
                <w:color w:val="auto"/>
                <w:kern w:val="0"/>
                <w:sz w:val="28"/>
                <w:highlight w:val="none"/>
              </w:rPr>
              <w:t xml:space="preserve"> 招标代理机构项目负责人（签字）：</w:t>
            </w:r>
          </w:p>
        </w:tc>
        <w:tc>
          <w:tcPr>
            <w:tcW w:w="4523" w:type="dxa"/>
            <w:noWrap w:val="0"/>
            <w:vAlign w:val="center"/>
          </w:tcPr>
          <w:p>
            <w:pPr>
              <w:pStyle w:val="18"/>
              <w:spacing w:line="360" w:lineRule="auto"/>
              <w:rPr>
                <w:rFonts w:hint="eastAsia" w:ascii="宋体" w:hAnsi="宋体" w:eastAsia="宋体" w:cs="宋体"/>
                <w:snapToGrid w:val="0"/>
                <w:color w:val="auto"/>
                <w:kern w:val="0"/>
                <w:sz w:val="28"/>
                <w:szCs w:val="28"/>
                <w:highlight w:val="none"/>
              </w:rPr>
            </w:pPr>
          </w:p>
        </w:tc>
      </w:tr>
      <w:tr>
        <w:tblPrEx>
          <w:tblCellMar>
            <w:top w:w="0" w:type="dxa"/>
            <w:left w:w="0" w:type="dxa"/>
            <w:bottom w:w="0" w:type="dxa"/>
            <w:right w:w="0" w:type="dxa"/>
          </w:tblCellMar>
        </w:tblPrEx>
        <w:trPr>
          <w:trHeight w:val="1020" w:hRule="exact"/>
          <w:jc w:val="center"/>
        </w:trPr>
        <w:tc>
          <w:tcPr>
            <w:tcW w:w="5330" w:type="dxa"/>
            <w:noWrap w:val="0"/>
            <w:vAlign w:val="center"/>
          </w:tcPr>
          <w:p>
            <w:pPr>
              <w:pStyle w:val="18"/>
              <w:wordWrap w:val="0"/>
              <w:adjustRightInd w:val="0"/>
              <w:snapToGrid w:val="0"/>
              <w:spacing w:line="360" w:lineRule="auto"/>
              <w:jc w:val="distribute"/>
              <w:rPr>
                <w:rFonts w:hint="eastAsia" w:ascii="宋体" w:hAnsi="宋体" w:eastAsia="宋体" w:cs="宋体"/>
                <w:snapToGrid w:val="0"/>
                <w:color w:val="auto"/>
                <w:kern w:val="0"/>
                <w:sz w:val="28"/>
                <w:highlight w:val="none"/>
              </w:rPr>
            </w:pPr>
            <w:r>
              <w:rPr>
                <w:rFonts w:hint="eastAsia" w:ascii="宋体" w:hAnsi="宋体" w:eastAsia="宋体" w:cs="宋体"/>
                <w:snapToGrid w:val="0"/>
                <w:color w:val="auto"/>
                <w:kern w:val="0"/>
                <w:sz w:val="28"/>
                <w:highlight w:val="none"/>
              </w:rPr>
              <w:t xml:space="preserve"> 招标文件编制日期：</w:t>
            </w:r>
          </w:p>
        </w:tc>
        <w:tc>
          <w:tcPr>
            <w:tcW w:w="4523" w:type="dxa"/>
            <w:noWrap w:val="0"/>
            <w:vAlign w:val="center"/>
          </w:tcPr>
          <w:p>
            <w:pPr>
              <w:pStyle w:val="18"/>
              <w:spacing w:line="360" w:lineRule="auto"/>
              <w:rPr>
                <w:rFonts w:hint="eastAsia" w:ascii="宋体" w:hAnsi="宋体" w:eastAsia="宋体" w:cs="宋体"/>
                <w:snapToGrid w:val="0"/>
                <w:color w:val="auto"/>
                <w:kern w:val="0"/>
                <w:sz w:val="28"/>
                <w:highlight w:val="none"/>
              </w:rPr>
            </w:pPr>
            <w:r>
              <w:rPr>
                <w:rFonts w:hint="eastAsia" w:ascii="宋体" w:hAnsi="宋体" w:eastAsia="宋体" w:cs="宋体"/>
                <w:color w:val="auto"/>
                <w:sz w:val="28"/>
                <w:szCs w:val="22"/>
              </w:rPr>
              <w:t>2024年</w:t>
            </w:r>
            <w:r>
              <w:rPr>
                <w:rFonts w:hint="eastAsia" w:ascii="宋体" w:hAnsi="宋体" w:eastAsia="宋体" w:cs="宋体"/>
                <w:color w:val="auto"/>
                <w:sz w:val="28"/>
                <w:szCs w:val="22"/>
                <w:lang w:val="en-US" w:eastAsia="zh-CN"/>
              </w:rPr>
              <w:t>06</w:t>
            </w:r>
            <w:r>
              <w:rPr>
                <w:rFonts w:hint="eastAsia" w:ascii="宋体" w:hAnsi="宋体" w:eastAsia="宋体" w:cs="宋体"/>
                <w:color w:val="auto"/>
                <w:sz w:val="28"/>
                <w:szCs w:val="22"/>
              </w:rPr>
              <w:t>月</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4935"/>
        </w:tabs>
        <w:wordWrap w:val="0"/>
        <w:adjustRightInd w:val="0"/>
        <w:snapToGrid w:val="0"/>
        <w:spacing w:line="360" w:lineRule="auto"/>
        <w:jc w:val="center"/>
        <w:rPr>
          <w:rFonts w:hint="eastAsia" w:ascii="宋体" w:hAnsi="宋体" w:eastAsia="宋体" w:cs="宋体"/>
          <w:kern w:val="2"/>
          <w:sz w:val="21"/>
          <w:lang w:val="en-US" w:eastAsia="zh-CN" w:bidi="ar-SA"/>
        </w:rPr>
      </w:pPr>
      <w:r>
        <w:rPr>
          <w:rFonts w:hint="eastAsia" w:ascii="宋体" w:hAnsi="宋体" w:eastAsia="宋体" w:cs="宋体"/>
          <w:b/>
          <w:snapToGrid w:val="0"/>
          <w:color w:val="auto"/>
          <w:kern w:val="0"/>
          <w:sz w:val="36"/>
          <w:szCs w:val="36"/>
          <w:highlight w:val="none"/>
        </w:rPr>
        <w:t>目录</w:t>
      </w:r>
      <w:bookmarkStart w:id="8" w:name="_Hlt68775471"/>
      <w:bookmarkStart w:id="9" w:name="_Hlt69333523"/>
      <w:r>
        <w:rPr>
          <w:rFonts w:hint="eastAsia" w:ascii="宋体" w:hAnsi="宋体" w:eastAsia="宋体" w:cs="宋体"/>
          <w:snapToGrid w:val="0"/>
          <w:color w:val="auto"/>
          <w:kern w:val="0"/>
          <w:highlight w:val="none"/>
        </w:rPr>
        <w:fldChar w:fldCharType="begin"/>
      </w:r>
      <w:r>
        <w:rPr>
          <w:rFonts w:hint="eastAsia" w:ascii="宋体" w:hAnsi="宋体" w:eastAsia="宋体" w:cs="宋体"/>
          <w:snapToGrid w:val="0"/>
          <w:color w:val="auto"/>
          <w:kern w:val="0"/>
          <w:highlight w:val="none"/>
        </w:rPr>
        <w:instrText xml:space="preserve"> TOC \o "1-4" \h \z </w:instrText>
      </w:r>
      <w:r>
        <w:rPr>
          <w:rFonts w:hint="eastAsia" w:ascii="宋体" w:hAnsi="宋体" w:eastAsia="宋体" w:cs="宋体"/>
          <w:snapToGrid w:val="0"/>
          <w:color w:val="auto"/>
          <w:kern w:val="0"/>
          <w:highlight w:val="none"/>
        </w:rPr>
        <w:fldChar w:fldCharType="separate"/>
      </w:r>
    </w:p>
    <w:p>
      <w:pPr>
        <w:pStyle w:val="11"/>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_Toc29926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第一章</w:t>
      </w:r>
      <w:r>
        <w:rPr>
          <w:rFonts w:hint="eastAsia" w:ascii="宋体" w:hAnsi="宋体" w:eastAsia="宋体" w:cs="宋体"/>
          <w:snapToGrid w:val="0"/>
          <w:sz w:val="24"/>
          <w:szCs w:val="24"/>
          <w:lang w:val="en-US" w:eastAsia="zh-CN"/>
        </w:rPr>
        <w:t xml:space="preserve">   </w:t>
      </w:r>
      <w:r>
        <w:rPr>
          <w:rFonts w:hint="eastAsia" w:ascii="宋体" w:hAnsi="宋体" w:eastAsia="宋体" w:cs="宋体"/>
          <w:snapToGrid w:val="0"/>
          <w:sz w:val="24"/>
          <w:szCs w:val="24"/>
        </w:rPr>
        <w:t>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_Toc29926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_Toc29263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第一节</w:t>
      </w:r>
      <w:r>
        <w:rPr>
          <w:rFonts w:hint="eastAsia" w:ascii="宋体" w:hAnsi="宋体" w:eastAsia="宋体" w:cs="宋体"/>
          <w:snapToGrid w:val="0"/>
          <w:sz w:val="24"/>
          <w:szCs w:val="24"/>
          <w:lang w:val="en-US" w:eastAsia="zh-CN"/>
        </w:rPr>
        <w:t xml:space="preserve">   </w:t>
      </w:r>
      <w:r>
        <w:rPr>
          <w:rFonts w:hint="eastAsia" w:ascii="宋体" w:hAnsi="宋体" w:eastAsia="宋体" w:cs="宋体"/>
          <w:snapToGrid w:val="0"/>
          <w:sz w:val="24"/>
          <w:szCs w:val="24"/>
        </w:rPr>
        <w:t>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_Toc29263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_Toc15714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eastAsia="zh-CN"/>
        </w:rPr>
        <w:t>第二节</w:t>
      </w:r>
      <w:r>
        <w:rPr>
          <w:rFonts w:hint="eastAsia" w:ascii="宋体" w:hAnsi="宋体" w:eastAsia="宋体" w:cs="宋体"/>
          <w:snapToGrid w:val="0"/>
          <w:sz w:val="24"/>
          <w:szCs w:val="24"/>
          <w:lang w:val="en-US" w:eastAsia="zh-CN"/>
        </w:rPr>
        <w:t xml:space="preserve">   </w:t>
      </w:r>
      <w:r>
        <w:rPr>
          <w:rFonts w:hint="eastAsia" w:ascii="宋体" w:hAnsi="宋体" w:eastAsia="宋体" w:cs="宋体"/>
          <w:snapToGrid w:val="0"/>
          <w:sz w:val="24"/>
          <w:szCs w:val="24"/>
        </w:rPr>
        <w:t>重要事项时间地点一览表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_Toc15714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_Toc6963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1．工程概况、招标范围和标段划分、投标费用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_Toc6963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_Toc27097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2</w:t>
      </w:r>
      <w:r>
        <w:rPr>
          <w:rFonts w:hint="eastAsia" w:ascii="宋体" w:hAnsi="宋体" w:eastAsia="宋体" w:cs="宋体"/>
          <w:bCs/>
          <w:snapToGrid w:val="0"/>
          <w:kern w:val="0"/>
          <w:sz w:val="24"/>
          <w:szCs w:val="24"/>
          <w:highlight w:val="none"/>
        </w:rPr>
        <w:t>．</w:t>
      </w:r>
      <w:r>
        <w:rPr>
          <w:rFonts w:hint="eastAsia" w:ascii="宋体" w:hAnsi="宋体" w:eastAsia="宋体" w:cs="宋体"/>
          <w:kern w:val="2"/>
          <w:sz w:val="24"/>
          <w:szCs w:val="24"/>
        </w:rPr>
        <w:t>投标人资格要求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_Toc27097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_Toc5643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3</w:t>
      </w:r>
      <w:r>
        <w:rPr>
          <w:rFonts w:hint="eastAsia" w:ascii="宋体" w:hAnsi="宋体" w:eastAsia="宋体" w:cs="宋体"/>
          <w:bCs/>
          <w:snapToGrid w:val="0"/>
          <w:kern w:val="0"/>
          <w:sz w:val="24"/>
          <w:szCs w:val="24"/>
          <w:highlight w:val="none"/>
        </w:rPr>
        <w:t>．</w:t>
      </w:r>
      <w:r>
        <w:rPr>
          <w:rFonts w:hint="eastAsia" w:ascii="宋体" w:hAnsi="宋体" w:eastAsia="宋体" w:cs="宋体"/>
          <w:kern w:val="2"/>
          <w:sz w:val="24"/>
          <w:szCs w:val="24"/>
        </w:rPr>
        <w:t>招标文件的获取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_Toc5643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_Toc6073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4．工期要求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_Toc6073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_Toc21457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5．本次设计工程的内容及要求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_Toc21457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_Toc8271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6．招标工程施工条件及现场踏勘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_Toc8271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_Toc11250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7．</w:t>
      </w:r>
      <w:r>
        <w:rPr>
          <w:rFonts w:hint="eastAsia" w:ascii="宋体" w:hAnsi="宋体" w:eastAsia="宋体" w:cs="宋体"/>
          <w:kern w:val="2"/>
          <w:sz w:val="24"/>
          <w:szCs w:val="24"/>
          <w:lang w:eastAsia="zh-CN"/>
        </w:rPr>
        <w:t>招标文件的</w:t>
      </w:r>
      <w:r>
        <w:rPr>
          <w:rFonts w:hint="eastAsia" w:ascii="宋体" w:hAnsi="宋体" w:eastAsia="宋体" w:cs="宋体"/>
          <w:kern w:val="2"/>
          <w:sz w:val="24"/>
          <w:szCs w:val="24"/>
        </w:rPr>
        <w:t>提问和答疑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_Toc11250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_Toc7010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8</w:t>
      </w:r>
      <w:r>
        <w:rPr>
          <w:rFonts w:hint="eastAsia" w:ascii="宋体" w:hAnsi="宋体" w:eastAsia="宋体" w:cs="宋体"/>
          <w:kern w:val="2"/>
          <w:sz w:val="24"/>
          <w:szCs w:val="24"/>
        </w:rPr>
        <w:t>．纪律与保密要求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_Toc7010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_Toc9469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9．语言、计量及投标费用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_Toc9469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_Toc5019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10</w:t>
      </w: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知识产权和专利权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_Toc5019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_Toc11236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11</w:t>
      </w: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最高投标限价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_Toc11236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_Toc25421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12</w:t>
      </w: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投标报价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_Toc25421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_Toc30257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13．投标文件的编制要求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_Toc30257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_Toc9307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14．电子投标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_Toc9307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_Toc28369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15．电子投标及投标解密失败及突发情况的补救方案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_Toc28369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_Toc13376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16．投标文件的递交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_Toc13376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_Toc19056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17．开标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_Toc19056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_Toc5525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18．评标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_Toc5525 \h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_Toc1913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19．推荐中标候选人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_Toc1913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_Toc644 </w:instrText>
      </w:r>
      <w:r>
        <w:rPr>
          <w:rFonts w:hint="eastAsia" w:ascii="宋体" w:hAnsi="宋体" w:eastAsia="宋体" w:cs="宋体"/>
          <w:sz w:val="24"/>
          <w:szCs w:val="24"/>
        </w:rPr>
        <w:fldChar w:fldCharType="separate"/>
      </w:r>
      <w:r>
        <w:rPr>
          <w:rFonts w:hint="eastAsia" w:ascii="宋体" w:hAnsi="宋体" w:eastAsia="宋体" w:cs="宋体"/>
          <w:kern w:val="2"/>
          <w:sz w:val="24"/>
          <w:szCs w:val="24"/>
          <w:lang w:val="en-US" w:eastAsia="zh-CN"/>
        </w:rPr>
        <w:t>20．中标候选人公示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_Toc644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_Toc32556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第四节   否决投标条件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_Toc32556 \h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_Toc24582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1．资格评审环节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_Toc24582 \h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_Toc6262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2．形式评审环节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_Toc6262 \h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_Toc32735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3．响应性评审环节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_Toc32735 \h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_Toc29288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4．其他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_Toc29288 \h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_Toc20406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第二章</w:t>
      </w:r>
      <w:r>
        <w:rPr>
          <w:rFonts w:hint="eastAsia" w:ascii="宋体" w:hAnsi="宋体" w:eastAsia="宋体" w:cs="宋体"/>
          <w:snapToGrid w:val="0"/>
          <w:sz w:val="24"/>
          <w:szCs w:val="24"/>
          <w:lang w:val="en-US" w:eastAsia="zh-CN"/>
        </w:rPr>
        <w:t xml:space="preserve">   </w:t>
      </w:r>
      <w:r>
        <w:rPr>
          <w:rFonts w:hint="eastAsia" w:ascii="宋体" w:hAnsi="宋体" w:eastAsia="宋体" w:cs="宋体"/>
          <w:snapToGrid w:val="0"/>
          <w:sz w:val="24"/>
          <w:szCs w:val="24"/>
        </w:rPr>
        <w:t>中标人须知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_Toc20406 \h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_Toc19325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1．中标通知书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_Toc19325 \h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_Toc17858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2．中标结果公示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_Toc17858 \h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_Toc21530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3．履约保证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_Toc21530 \h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_Toc8144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4．合同订立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_Toc8144 \h </w:instrText>
      </w:r>
      <w:r>
        <w:rPr>
          <w:rFonts w:hint="eastAsia" w:ascii="宋体" w:hAnsi="宋体" w:eastAsia="宋体" w:cs="宋体"/>
          <w:sz w:val="24"/>
          <w:szCs w:val="24"/>
        </w:rPr>
        <w:fldChar w:fldCharType="separate"/>
      </w:r>
      <w:r>
        <w:rPr>
          <w:rFonts w:hint="eastAsia" w:ascii="宋体" w:hAnsi="宋体" w:eastAsia="宋体" w:cs="宋体"/>
          <w:sz w:val="24"/>
          <w:szCs w:val="24"/>
        </w:rPr>
        <w:t>51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_Toc19937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5．放弃中标的处理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_Toc19937 \h </w:instrText>
      </w:r>
      <w:r>
        <w:rPr>
          <w:rFonts w:hint="eastAsia" w:ascii="宋体" w:hAnsi="宋体" w:eastAsia="宋体" w:cs="宋体"/>
          <w:sz w:val="24"/>
          <w:szCs w:val="24"/>
        </w:rPr>
        <w:fldChar w:fldCharType="separate"/>
      </w:r>
      <w:r>
        <w:rPr>
          <w:rFonts w:hint="eastAsia" w:ascii="宋体" w:hAnsi="宋体" w:eastAsia="宋体" w:cs="宋体"/>
          <w:sz w:val="24"/>
          <w:szCs w:val="24"/>
        </w:rPr>
        <w:t>51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_Toc28610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6．专业工程分包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_Toc28610 \h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_Toc9939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7．工人工资支付专用账户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_Toc9939 \h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_Toc2225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8．诚信登记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_Toc2225 \h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_Toc30296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9．工期进度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_Toc30296 \h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_Toc14924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10．项目管理机构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_Toc14924 \h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_Toc13217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11．现场管理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_Toc13217 \h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_Toc29759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12．监督实施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_Toc29759 \h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_Toc30722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13．主材的采购和使用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_Toc30722 \h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_Toc31125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14．竣工资料移交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_Toc31125 \h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_Toc30005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15．质量保证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_Toc30005 \h </w:instrText>
      </w:r>
      <w:r>
        <w:rPr>
          <w:rFonts w:hint="eastAsia" w:ascii="宋体" w:hAnsi="宋体" w:eastAsia="宋体" w:cs="宋体"/>
          <w:sz w:val="24"/>
          <w:szCs w:val="24"/>
        </w:rPr>
        <w:fldChar w:fldCharType="separate"/>
      </w:r>
      <w:r>
        <w:rPr>
          <w:rFonts w:hint="eastAsia" w:ascii="宋体" w:hAnsi="宋体" w:eastAsia="宋体" w:cs="宋体"/>
          <w:sz w:val="24"/>
          <w:szCs w:val="24"/>
        </w:rPr>
        <w:t>54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_Toc19580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16．不良行为处理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_Toc19580 \h </w:instrText>
      </w:r>
      <w:r>
        <w:rPr>
          <w:rFonts w:hint="eastAsia" w:ascii="宋体" w:hAnsi="宋体" w:eastAsia="宋体" w:cs="宋体"/>
          <w:sz w:val="24"/>
          <w:szCs w:val="24"/>
        </w:rPr>
        <w:fldChar w:fldCharType="separate"/>
      </w:r>
      <w:r>
        <w:rPr>
          <w:rFonts w:hint="eastAsia" w:ascii="宋体" w:hAnsi="宋体" w:eastAsia="宋体" w:cs="宋体"/>
          <w:sz w:val="24"/>
          <w:szCs w:val="24"/>
        </w:rPr>
        <w:t>54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_Toc18087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17．信用评价条款内容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_Toc18087 \h </w:instrText>
      </w:r>
      <w:r>
        <w:rPr>
          <w:rFonts w:hint="eastAsia" w:ascii="宋体" w:hAnsi="宋体" w:eastAsia="宋体" w:cs="宋体"/>
          <w:sz w:val="24"/>
          <w:szCs w:val="24"/>
        </w:rPr>
        <w:fldChar w:fldCharType="separate"/>
      </w:r>
      <w:r>
        <w:rPr>
          <w:rFonts w:hint="eastAsia" w:ascii="宋体" w:hAnsi="宋体" w:eastAsia="宋体" w:cs="宋体"/>
          <w:sz w:val="24"/>
          <w:szCs w:val="24"/>
        </w:rPr>
        <w:t>55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_Toc31953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18．其他事项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_Toc31953 \h </w:instrText>
      </w:r>
      <w:r>
        <w:rPr>
          <w:rFonts w:hint="eastAsia" w:ascii="宋体" w:hAnsi="宋体" w:eastAsia="宋体" w:cs="宋体"/>
          <w:sz w:val="24"/>
          <w:szCs w:val="24"/>
        </w:rPr>
        <w:fldChar w:fldCharType="separate"/>
      </w:r>
      <w:r>
        <w:rPr>
          <w:rFonts w:hint="eastAsia" w:ascii="宋体" w:hAnsi="宋体" w:eastAsia="宋体" w:cs="宋体"/>
          <w:sz w:val="24"/>
          <w:szCs w:val="24"/>
        </w:rPr>
        <w:t>55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_Toc15937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第三章   拟签订合同的主要条款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_Toc15937 \h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_Toc6235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rPr>
        <w:t>1</w:t>
      </w:r>
      <w:r>
        <w:rPr>
          <w:rFonts w:hint="eastAsia" w:ascii="宋体" w:hAnsi="宋体" w:eastAsia="宋体" w:cs="宋体"/>
          <w:snapToGrid w:val="0"/>
          <w:sz w:val="24"/>
          <w:szCs w:val="24"/>
          <w:lang w:val="en-US" w:eastAsia="zh-CN"/>
        </w:rPr>
        <w:t>．</w:t>
      </w:r>
      <w:r>
        <w:rPr>
          <w:rFonts w:hint="eastAsia" w:ascii="宋体" w:hAnsi="宋体" w:eastAsia="宋体" w:cs="宋体"/>
          <w:snapToGrid w:val="0"/>
          <w:sz w:val="24"/>
          <w:szCs w:val="24"/>
        </w:rPr>
        <w:t>工程承包方式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_Toc6235 \h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_Toc4161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2．</w:t>
      </w:r>
      <w:r>
        <w:rPr>
          <w:rFonts w:hint="eastAsia" w:ascii="宋体" w:hAnsi="宋体" w:eastAsia="宋体" w:cs="宋体"/>
          <w:snapToGrid w:val="0"/>
          <w:sz w:val="24"/>
          <w:szCs w:val="24"/>
        </w:rPr>
        <w:t>施工图工程量清单预算的编制原则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_Toc4161 \h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_Toc12709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3．勘察、设计费结算原则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_Toc12709 \h </w:instrText>
      </w:r>
      <w:r>
        <w:rPr>
          <w:rFonts w:hint="eastAsia" w:ascii="宋体" w:hAnsi="宋体" w:eastAsia="宋体" w:cs="宋体"/>
          <w:sz w:val="24"/>
          <w:szCs w:val="24"/>
        </w:rPr>
        <w:fldChar w:fldCharType="separate"/>
      </w:r>
      <w:r>
        <w:rPr>
          <w:rFonts w:hint="eastAsia" w:ascii="宋体" w:hAnsi="宋体" w:eastAsia="宋体" w:cs="宋体"/>
          <w:sz w:val="24"/>
          <w:szCs w:val="24"/>
        </w:rPr>
        <w:t>67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_Toc7972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4．建安工程结算原则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_Toc7972 \h </w:instrText>
      </w:r>
      <w:r>
        <w:rPr>
          <w:rFonts w:hint="eastAsia" w:ascii="宋体" w:hAnsi="宋体" w:eastAsia="宋体" w:cs="宋体"/>
          <w:sz w:val="24"/>
          <w:szCs w:val="24"/>
        </w:rPr>
        <w:fldChar w:fldCharType="separate"/>
      </w:r>
      <w:r>
        <w:rPr>
          <w:rFonts w:hint="eastAsia" w:ascii="宋体" w:hAnsi="宋体" w:eastAsia="宋体" w:cs="宋体"/>
          <w:sz w:val="24"/>
          <w:szCs w:val="24"/>
        </w:rPr>
        <w:t>67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_Toc23250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5. 工程付款办法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_Toc23250 \h </w:instrText>
      </w:r>
      <w:r>
        <w:rPr>
          <w:rFonts w:hint="eastAsia" w:ascii="宋体" w:hAnsi="宋体" w:eastAsia="宋体" w:cs="宋体"/>
          <w:sz w:val="24"/>
          <w:szCs w:val="24"/>
        </w:rPr>
        <w:fldChar w:fldCharType="separate"/>
      </w:r>
      <w:r>
        <w:rPr>
          <w:rFonts w:hint="eastAsia" w:ascii="宋体" w:hAnsi="宋体" w:eastAsia="宋体" w:cs="宋体"/>
          <w:sz w:val="24"/>
          <w:szCs w:val="24"/>
        </w:rPr>
        <w:t>70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_Toc28602 </w:instrText>
      </w:r>
      <w:r>
        <w:rPr>
          <w:rFonts w:hint="eastAsia" w:ascii="宋体" w:hAnsi="宋体" w:eastAsia="宋体" w:cs="宋体"/>
          <w:sz w:val="24"/>
          <w:szCs w:val="24"/>
        </w:rPr>
        <w:fldChar w:fldCharType="separate"/>
      </w:r>
      <w:r>
        <w:rPr>
          <w:rFonts w:hint="eastAsia" w:ascii="宋体" w:hAnsi="宋体" w:eastAsia="宋体" w:cs="宋体"/>
          <w:snapToGrid w:val="0"/>
          <w:kern w:val="0"/>
          <w:sz w:val="24"/>
          <w:szCs w:val="24"/>
          <w:lang w:val="en-US" w:eastAsia="zh-CN" w:bidi="ar-SA"/>
        </w:rPr>
        <w:t>第四章   招标工程的技术要求和前期文件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_Toc28602 \h </w:instrText>
      </w:r>
      <w:r>
        <w:rPr>
          <w:rFonts w:hint="eastAsia" w:ascii="宋体" w:hAnsi="宋体" w:eastAsia="宋体" w:cs="宋体"/>
          <w:sz w:val="24"/>
          <w:szCs w:val="24"/>
        </w:rPr>
        <w:fldChar w:fldCharType="separate"/>
      </w:r>
      <w:r>
        <w:rPr>
          <w:rFonts w:hint="eastAsia" w:ascii="宋体" w:hAnsi="宋体" w:eastAsia="宋体" w:cs="宋体"/>
          <w:sz w:val="24"/>
          <w:szCs w:val="24"/>
        </w:rPr>
        <w:t>73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_Toc7134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1．工程勘察标准规范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_Toc7134 \h </w:instrText>
      </w:r>
      <w:r>
        <w:rPr>
          <w:rFonts w:hint="eastAsia" w:ascii="宋体" w:hAnsi="宋体" w:eastAsia="宋体" w:cs="宋体"/>
          <w:sz w:val="24"/>
          <w:szCs w:val="24"/>
        </w:rPr>
        <w:fldChar w:fldCharType="separate"/>
      </w:r>
      <w:r>
        <w:rPr>
          <w:rFonts w:hint="eastAsia" w:ascii="宋体" w:hAnsi="宋体" w:eastAsia="宋体" w:cs="宋体"/>
          <w:sz w:val="24"/>
          <w:szCs w:val="24"/>
        </w:rPr>
        <w:t>73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_Toc20169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2．工程设计标准规范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_Toc20169 \h </w:instrText>
      </w:r>
      <w:r>
        <w:rPr>
          <w:rFonts w:hint="eastAsia" w:ascii="宋体" w:hAnsi="宋体" w:eastAsia="宋体" w:cs="宋体"/>
          <w:sz w:val="24"/>
          <w:szCs w:val="24"/>
        </w:rPr>
        <w:fldChar w:fldCharType="separate"/>
      </w:r>
      <w:r>
        <w:rPr>
          <w:rFonts w:hint="eastAsia" w:ascii="宋体" w:hAnsi="宋体" w:eastAsia="宋体" w:cs="宋体"/>
          <w:sz w:val="24"/>
          <w:szCs w:val="24"/>
        </w:rPr>
        <w:t>73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_Toc26672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3．房屋建筑工程建设项目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_Toc26672 \h </w:instrText>
      </w:r>
      <w:r>
        <w:rPr>
          <w:rFonts w:hint="eastAsia" w:ascii="宋体" w:hAnsi="宋体" w:eastAsia="宋体" w:cs="宋体"/>
          <w:sz w:val="24"/>
          <w:szCs w:val="24"/>
        </w:rPr>
        <w:fldChar w:fldCharType="separate"/>
      </w:r>
      <w:r>
        <w:rPr>
          <w:rFonts w:hint="eastAsia" w:ascii="宋体" w:hAnsi="宋体" w:eastAsia="宋体" w:cs="宋体"/>
          <w:sz w:val="24"/>
          <w:szCs w:val="24"/>
        </w:rPr>
        <w:t>74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_Toc15606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4．市政基础设施工程建设项目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_Toc15606 \h </w:instrText>
      </w:r>
      <w:r>
        <w:rPr>
          <w:rFonts w:hint="eastAsia" w:ascii="宋体" w:hAnsi="宋体" w:eastAsia="宋体" w:cs="宋体"/>
          <w:sz w:val="24"/>
          <w:szCs w:val="24"/>
        </w:rPr>
        <w:fldChar w:fldCharType="separate"/>
      </w:r>
      <w:r>
        <w:rPr>
          <w:rFonts w:hint="eastAsia" w:ascii="宋体" w:hAnsi="宋体" w:eastAsia="宋体" w:cs="宋体"/>
          <w:sz w:val="24"/>
          <w:szCs w:val="24"/>
        </w:rPr>
        <w:t>75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_Toc30051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5．备查要求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_Toc30051 \h </w:instrText>
      </w:r>
      <w:r>
        <w:rPr>
          <w:rFonts w:hint="eastAsia" w:ascii="宋体" w:hAnsi="宋体" w:eastAsia="宋体" w:cs="宋体"/>
          <w:sz w:val="24"/>
          <w:szCs w:val="24"/>
        </w:rPr>
        <w:fldChar w:fldCharType="separate"/>
      </w:r>
      <w:r>
        <w:rPr>
          <w:rFonts w:hint="eastAsia" w:ascii="宋体" w:hAnsi="宋体" w:eastAsia="宋体" w:cs="宋体"/>
          <w:sz w:val="24"/>
          <w:szCs w:val="24"/>
        </w:rPr>
        <w:t>76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_Toc6860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第五章   招标文件格式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_Toc6860 \h </w:instrText>
      </w:r>
      <w:r>
        <w:rPr>
          <w:rFonts w:hint="eastAsia" w:ascii="宋体" w:hAnsi="宋体" w:eastAsia="宋体" w:cs="宋体"/>
          <w:sz w:val="24"/>
          <w:szCs w:val="24"/>
        </w:rPr>
        <w:fldChar w:fldCharType="separate"/>
      </w:r>
      <w:r>
        <w:rPr>
          <w:rFonts w:hint="eastAsia" w:ascii="宋体" w:hAnsi="宋体" w:eastAsia="宋体" w:cs="宋体"/>
          <w:sz w:val="24"/>
          <w:szCs w:val="24"/>
        </w:rPr>
        <w:t>77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_Toc9649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格式一   封面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_Toc9649 \h </w:instrText>
      </w:r>
      <w:r>
        <w:rPr>
          <w:rFonts w:hint="eastAsia" w:ascii="宋体" w:hAnsi="宋体" w:eastAsia="宋体" w:cs="宋体"/>
          <w:sz w:val="24"/>
          <w:szCs w:val="24"/>
        </w:rPr>
        <w:fldChar w:fldCharType="separate"/>
      </w:r>
      <w:r>
        <w:rPr>
          <w:rFonts w:hint="eastAsia" w:ascii="宋体" w:hAnsi="宋体" w:eastAsia="宋体" w:cs="宋体"/>
          <w:sz w:val="24"/>
          <w:szCs w:val="24"/>
        </w:rPr>
        <w:t>77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_Toc7700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格式二   《投标函》及《工程项目总价表》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_Toc7700 \h </w:instrText>
      </w:r>
      <w:r>
        <w:rPr>
          <w:rFonts w:hint="eastAsia" w:ascii="宋体" w:hAnsi="宋体" w:eastAsia="宋体" w:cs="宋体"/>
          <w:sz w:val="24"/>
          <w:szCs w:val="24"/>
        </w:rPr>
        <w:fldChar w:fldCharType="separate"/>
      </w:r>
      <w:r>
        <w:rPr>
          <w:rFonts w:hint="eastAsia" w:ascii="宋体" w:hAnsi="宋体" w:eastAsia="宋体" w:cs="宋体"/>
          <w:sz w:val="24"/>
          <w:szCs w:val="24"/>
        </w:rPr>
        <w:t>78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_Toc2664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格式三   各项承诺一览表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_Toc2664 \h </w:instrText>
      </w:r>
      <w:r>
        <w:rPr>
          <w:rFonts w:hint="eastAsia" w:ascii="宋体" w:hAnsi="宋体" w:eastAsia="宋体" w:cs="宋体"/>
          <w:sz w:val="24"/>
          <w:szCs w:val="24"/>
        </w:rPr>
        <w:fldChar w:fldCharType="separate"/>
      </w:r>
      <w:r>
        <w:rPr>
          <w:rFonts w:hint="eastAsia" w:ascii="宋体" w:hAnsi="宋体" w:eastAsia="宋体" w:cs="宋体"/>
          <w:sz w:val="24"/>
          <w:szCs w:val="24"/>
        </w:rPr>
        <w:t>80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_Toc8927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格式四   授权委托书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_Toc8927 \h </w:instrText>
      </w:r>
      <w:r>
        <w:rPr>
          <w:rFonts w:hint="eastAsia" w:ascii="宋体" w:hAnsi="宋体" w:eastAsia="宋体" w:cs="宋体"/>
          <w:sz w:val="24"/>
          <w:szCs w:val="24"/>
        </w:rPr>
        <w:fldChar w:fldCharType="separate"/>
      </w:r>
      <w:r>
        <w:rPr>
          <w:rFonts w:hint="eastAsia" w:ascii="宋体" w:hAnsi="宋体" w:eastAsia="宋体" w:cs="宋体"/>
          <w:sz w:val="24"/>
          <w:szCs w:val="24"/>
        </w:rPr>
        <w:t>86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_Toc26447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格式五   法定代表人身份证明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_Toc26447 \h </w:instrText>
      </w:r>
      <w:r>
        <w:rPr>
          <w:rFonts w:hint="eastAsia" w:ascii="宋体" w:hAnsi="宋体" w:eastAsia="宋体" w:cs="宋体"/>
          <w:sz w:val="24"/>
          <w:szCs w:val="24"/>
        </w:rPr>
        <w:fldChar w:fldCharType="separate"/>
      </w:r>
      <w:r>
        <w:rPr>
          <w:rFonts w:hint="eastAsia" w:ascii="宋体" w:hAnsi="宋体" w:eastAsia="宋体" w:cs="宋体"/>
          <w:sz w:val="24"/>
          <w:szCs w:val="24"/>
        </w:rPr>
        <w:t>87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_Toc15857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格式六   联合体协议书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_Toc15857 \h </w:instrText>
      </w:r>
      <w:r>
        <w:rPr>
          <w:rFonts w:hint="eastAsia" w:ascii="宋体" w:hAnsi="宋体" w:eastAsia="宋体" w:cs="宋体"/>
          <w:sz w:val="24"/>
          <w:szCs w:val="24"/>
        </w:rPr>
        <w:fldChar w:fldCharType="separate"/>
      </w:r>
      <w:r>
        <w:rPr>
          <w:rFonts w:hint="eastAsia" w:ascii="宋体" w:hAnsi="宋体" w:eastAsia="宋体" w:cs="宋体"/>
          <w:sz w:val="24"/>
          <w:szCs w:val="24"/>
        </w:rPr>
        <w:t>88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_Toc9701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格式七   投标人基本情况表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_Toc9701 \h </w:instrText>
      </w:r>
      <w:r>
        <w:rPr>
          <w:rFonts w:hint="eastAsia" w:ascii="宋体" w:hAnsi="宋体" w:eastAsia="宋体" w:cs="宋体"/>
          <w:sz w:val="24"/>
          <w:szCs w:val="24"/>
        </w:rPr>
        <w:fldChar w:fldCharType="separate"/>
      </w:r>
      <w:r>
        <w:rPr>
          <w:rFonts w:hint="eastAsia" w:ascii="宋体" w:hAnsi="宋体" w:eastAsia="宋体" w:cs="宋体"/>
          <w:sz w:val="24"/>
          <w:szCs w:val="24"/>
        </w:rPr>
        <w:t>90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_Toc25453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格式八   项目经理简历表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_Toc25453 \h </w:instrText>
      </w:r>
      <w:r>
        <w:rPr>
          <w:rFonts w:hint="eastAsia" w:ascii="宋体" w:hAnsi="宋体" w:eastAsia="宋体" w:cs="宋体"/>
          <w:sz w:val="24"/>
          <w:szCs w:val="24"/>
        </w:rPr>
        <w:fldChar w:fldCharType="separate"/>
      </w:r>
      <w:r>
        <w:rPr>
          <w:rFonts w:hint="eastAsia" w:ascii="宋体" w:hAnsi="宋体" w:eastAsia="宋体" w:cs="宋体"/>
          <w:sz w:val="24"/>
          <w:szCs w:val="24"/>
        </w:rPr>
        <w:t>91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_Toc24540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格式九   项目经理任职声明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_Toc24540 \h </w:instrText>
      </w:r>
      <w:r>
        <w:rPr>
          <w:rFonts w:hint="eastAsia" w:ascii="宋体" w:hAnsi="宋体" w:eastAsia="宋体" w:cs="宋体"/>
          <w:sz w:val="24"/>
          <w:szCs w:val="24"/>
        </w:rPr>
        <w:fldChar w:fldCharType="separate"/>
      </w:r>
      <w:r>
        <w:rPr>
          <w:rFonts w:hint="eastAsia" w:ascii="宋体" w:hAnsi="宋体" w:eastAsia="宋体" w:cs="宋体"/>
          <w:sz w:val="24"/>
          <w:szCs w:val="24"/>
        </w:rPr>
        <w:t>92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_Toc19438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格式十   项目技术负责人简历表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_Toc19438 \h </w:instrText>
      </w:r>
      <w:r>
        <w:rPr>
          <w:rFonts w:hint="eastAsia" w:ascii="宋体" w:hAnsi="宋体" w:eastAsia="宋体" w:cs="宋体"/>
          <w:sz w:val="24"/>
          <w:szCs w:val="24"/>
        </w:rPr>
        <w:fldChar w:fldCharType="separate"/>
      </w:r>
      <w:r>
        <w:rPr>
          <w:rFonts w:hint="eastAsia" w:ascii="宋体" w:hAnsi="宋体" w:eastAsia="宋体" w:cs="宋体"/>
          <w:sz w:val="24"/>
          <w:szCs w:val="24"/>
        </w:rPr>
        <w:t>93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_Toc8775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格式十一   项目设计负责人简历表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_Toc8775 \h </w:instrText>
      </w:r>
      <w:r>
        <w:rPr>
          <w:rFonts w:hint="eastAsia" w:ascii="宋体" w:hAnsi="宋体" w:eastAsia="宋体" w:cs="宋体"/>
          <w:sz w:val="24"/>
          <w:szCs w:val="24"/>
        </w:rPr>
        <w:fldChar w:fldCharType="separate"/>
      </w:r>
      <w:r>
        <w:rPr>
          <w:rFonts w:hint="eastAsia" w:ascii="宋体" w:hAnsi="宋体" w:eastAsia="宋体" w:cs="宋体"/>
          <w:sz w:val="24"/>
          <w:szCs w:val="24"/>
        </w:rPr>
        <w:t>94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_Toc21373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格式十二   项目勘察负责人简历表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_Toc21373 \h </w:instrText>
      </w:r>
      <w:r>
        <w:rPr>
          <w:rFonts w:hint="eastAsia" w:ascii="宋体" w:hAnsi="宋体" w:eastAsia="宋体" w:cs="宋体"/>
          <w:sz w:val="24"/>
          <w:szCs w:val="24"/>
        </w:rPr>
        <w:fldChar w:fldCharType="separate"/>
      </w:r>
      <w:r>
        <w:rPr>
          <w:rFonts w:hint="eastAsia" w:ascii="宋体" w:hAnsi="宋体" w:eastAsia="宋体" w:cs="宋体"/>
          <w:sz w:val="24"/>
          <w:szCs w:val="24"/>
        </w:rPr>
        <w:t>95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9"/>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_Toc22350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格式十三   项目管理机构组成表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_Toc22350 \h </w:instrText>
      </w:r>
      <w:r>
        <w:rPr>
          <w:rFonts w:hint="eastAsia" w:ascii="宋体" w:hAnsi="宋体" w:eastAsia="宋体" w:cs="宋体"/>
          <w:sz w:val="24"/>
          <w:szCs w:val="24"/>
        </w:rPr>
        <w:fldChar w:fldCharType="separate"/>
      </w:r>
      <w:r>
        <w:rPr>
          <w:rFonts w:hint="eastAsia" w:ascii="宋体" w:hAnsi="宋体" w:eastAsia="宋体" w:cs="宋体"/>
          <w:sz w:val="24"/>
          <w:szCs w:val="24"/>
        </w:rPr>
        <w:t>96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9639"/>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_Toc10484 </w:instrText>
      </w:r>
      <w:r>
        <w:rPr>
          <w:rFonts w:hint="eastAsia" w:ascii="宋体" w:hAnsi="宋体" w:eastAsia="宋体" w:cs="宋体"/>
          <w:sz w:val="24"/>
          <w:szCs w:val="24"/>
        </w:rPr>
        <w:fldChar w:fldCharType="separate"/>
      </w:r>
      <w:r>
        <w:rPr>
          <w:rFonts w:hint="eastAsia" w:ascii="宋体" w:hAnsi="宋体" w:eastAsia="宋体" w:cs="宋体"/>
          <w:snapToGrid w:val="0"/>
          <w:sz w:val="24"/>
          <w:szCs w:val="24"/>
          <w:lang w:val="en-US" w:eastAsia="zh-CN"/>
        </w:rPr>
        <w:t>第六章   建设工程合同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_Toc10484 \h </w:instrText>
      </w:r>
      <w:r>
        <w:rPr>
          <w:rFonts w:hint="eastAsia" w:ascii="宋体" w:hAnsi="宋体" w:eastAsia="宋体" w:cs="宋体"/>
          <w:sz w:val="24"/>
          <w:szCs w:val="24"/>
        </w:rPr>
        <w:fldChar w:fldCharType="separate"/>
      </w:r>
      <w:r>
        <w:rPr>
          <w:rFonts w:hint="eastAsia" w:ascii="宋体" w:hAnsi="宋体" w:eastAsia="宋体" w:cs="宋体"/>
          <w:sz w:val="24"/>
          <w:szCs w:val="24"/>
        </w:rPr>
        <w:t>97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tabs>
          <w:tab w:val="left" w:pos="4935"/>
        </w:tabs>
        <w:wordWrap w:val="0"/>
        <w:adjustRightInd w:val="0"/>
        <w:snapToGrid w:val="0"/>
        <w:spacing w:line="360" w:lineRule="auto"/>
        <w:jc w:val="both"/>
        <w:rPr>
          <w:rFonts w:hint="eastAsia" w:ascii="宋体" w:hAnsi="宋体" w:eastAsia="宋体" w:cs="宋体"/>
        </w:rPr>
      </w:pPr>
      <w:r>
        <w:rPr>
          <w:rFonts w:hint="eastAsia" w:ascii="宋体" w:hAnsi="宋体" w:eastAsia="宋体" w:cs="宋体"/>
        </w:rPr>
        <w:fldChar w:fldCharType="end"/>
      </w:r>
      <w:bookmarkEnd w:id="8"/>
      <w:bookmarkEnd w:id="9"/>
    </w:p>
    <w:p>
      <w:pPr>
        <w:pStyle w:val="7"/>
        <w:rPr>
          <w:rFonts w:hint="eastAsia" w:ascii="宋体" w:hAnsi="宋体" w:eastAsia="宋体" w:cs="宋体"/>
        </w:rPr>
      </w:pPr>
    </w:p>
    <w:p>
      <w:pPr>
        <w:rPr>
          <w:rFonts w:hint="eastAsia" w:ascii="宋体" w:hAnsi="宋体" w:eastAsia="宋体" w:cs="宋体"/>
        </w:rPr>
      </w:pPr>
    </w:p>
    <w:p>
      <w:pPr>
        <w:spacing w:line="360" w:lineRule="auto"/>
        <w:rPr>
          <w:rFonts w:hint="eastAsia" w:ascii="宋体" w:hAnsi="宋体" w:eastAsia="宋体" w:cs="宋体"/>
        </w:rPr>
      </w:pPr>
    </w:p>
    <w:p>
      <w:pPr>
        <w:pStyle w:val="3"/>
        <w:wordWrap w:val="0"/>
        <w:autoSpaceDE/>
        <w:autoSpaceDN/>
        <w:snapToGrid w:val="0"/>
        <w:spacing w:line="360" w:lineRule="auto"/>
        <w:jc w:val="center"/>
        <w:rPr>
          <w:rFonts w:hint="eastAsia" w:ascii="宋体" w:hAnsi="宋体" w:eastAsia="宋体" w:cs="宋体"/>
          <w:b/>
          <w:snapToGrid w:val="0"/>
          <w:color w:val="auto"/>
          <w:sz w:val="24"/>
          <w:szCs w:val="24"/>
        </w:rPr>
      </w:pPr>
      <w:bookmarkStart w:id="10" w:name="_Toc31694"/>
      <w:bookmarkStart w:id="11" w:name="_Toc29926"/>
      <w:bookmarkStart w:id="12" w:name="_Toc27334"/>
      <w:bookmarkStart w:id="13" w:name="_Toc14094"/>
      <w:bookmarkStart w:id="14" w:name="_Toc5203"/>
      <w:bookmarkStart w:id="15" w:name="_Hlt111690251"/>
      <w:r>
        <w:rPr>
          <w:rFonts w:hint="eastAsia" w:ascii="宋体" w:hAnsi="宋体" w:eastAsia="宋体" w:cs="宋体"/>
          <w:b/>
          <w:snapToGrid w:val="0"/>
          <w:color w:val="auto"/>
          <w:sz w:val="24"/>
          <w:szCs w:val="24"/>
        </w:rPr>
        <w:t>第一章</w:t>
      </w:r>
      <w:r>
        <w:rPr>
          <w:rFonts w:hint="eastAsia" w:ascii="宋体" w:hAnsi="宋体" w:eastAsia="宋体" w:cs="宋体"/>
          <w:b/>
          <w:snapToGrid w:val="0"/>
          <w:color w:val="auto"/>
          <w:sz w:val="24"/>
          <w:szCs w:val="24"/>
          <w:lang w:val="en-US" w:eastAsia="zh-CN"/>
        </w:rPr>
        <w:t xml:space="preserve">   </w:t>
      </w:r>
      <w:r>
        <w:rPr>
          <w:rFonts w:hint="eastAsia" w:ascii="宋体" w:hAnsi="宋体" w:eastAsia="宋体" w:cs="宋体"/>
          <w:b/>
          <w:snapToGrid w:val="0"/>
          <w:color w:val="auto"/>
          <w:sz w:val="24"/>
          <w:szCs w:val="24"/>
        </w:rPr>
        <w:t>投标人须知</w:t>
      </w:r>
      <w:bookmarkEnd w:id="10"/>
      <w:bookmarkEnd w:id="11"/>
      <w:bookmarkEnd w:id="12"/>
      <w:bookmarkEnd w:id="13"/>
      <w:bookmarkEnd w:id="14"/>
    </w:p>
    <w:p>
      <w:pPr>
        <w:pStyle w:val="3"/>
        <w:wordWrap w:val="0"/>
        <w:autoSpaceDE/>
        <w:autoSpaceDN/>
        <w:snapToGrid w:val="0"/>
        <w:spacing w:before="260" w:after="260" w:line="360" w:lineRule="auto"/>
        <w:jc w:val="both"/>
        <w:outlineLvl w:val="1"/>
        <w:rPr>
          <w:rFonts w:hint="eastAsia" w:ascii="宋体" w:hAnsi="宋体" w:eastAsia="宋体" w:cs="宋体"/>
          <w:b/>
          <w:snapToGrid w:val="0"/>
          <w:color w:val="auto"/>
          <w:sz w:val="24"/>
          <w:szCs w:val="24"/>
        </w:rPr>
      </w:pPr>
      <w:bookmarkStart w:id="16" w:name="_Toc29263"/>
      <w:bookmarkStart w:id="17" w:name="_Toc9573"/>
      <w:bookmarkStart w:id="18" w:name="_Toc24209"/>
      <w:bookmarkStart w:id="19" w:name="_Toc25916"/>
      <w:r>
        <w:rPr>
          <w:rFonts w:hint="eastAsia" w:ascii="宋体" w:hAnsi="宋体" w:eastAsia="宋体" w:cs="宋体"/>
          <w:b/>
          <w:snapToGrid w:val="0"/>
          <w:color w:val="auto"/>
          <w:sz w:val="24"/>
          <w:szCs w:val="24"/>
        </w:rPr>
        <w:t>第一节</w:t>
      </w:r>
      <w:r>
        <w:rPr>
          <w:rFonts w:hint="eastAsia" w:ascii="宋体" w:hAnsi="宋体" w:eastAsia="宋体" w:cs="宋体"/>
          <w:b/>
          <w:snapToGrid w:val="0"/>
          <w:color w:val="auto"/>
          <w:sz w:val="24"/>
          <w:szCs w:val="24"/>
          <w:lang w:val="en-US" w:eastAsia="zh-CN"/>
        </w:rPr>
        <w:t xml:space="preserve">   </w:t>
      </w:r>
      <w:r>
        <w:rPr>
          <w:rFonts w:hint="eastAsia" w:ascii="宋体" w:hAnsi="宋体" w:eastAsia="宋体" w:cs="宋体"/>
          <w:b/>
          <w:snapToGrid w:val="0"/>
          <w:color w:val="auto"/>
          <w:sz w:val="24"/>
          <w:szCs w:val="24"/>
        </w:rPr>
        <w:t>投标人须知前附表</w:t>
      </w:r>
      <w:bookmarkEnd w:id="16"/>
      <w:bookmarkEnd w:id="17"/>
      <w:bookmarkEnd w:id="18"/>
      <w:bookmarkEnd w:id="19"/>
    </w:p>
    <w:tbl>
      <w:tblPr>
        <w:tblStyle w:val="16"/>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2072"/>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序号</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内容</w:t>
            </w:r>
          </w:p>
        </w:tc>
        <w:tc>
          <w:tcPr>
            <w:tcW w:w="7176" w:type="dxa"/>
            <w:vAlign w:val="center"/>
          </w:tcPr>
          <w:p>
            <w:pPr>
              <w:pStyle w:val="20"/>
              <w:tabs>
                <w:tab w:val="left" w:pos="1180"/>
              </w:tabs>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工程名称</w:t>
            </w:r>
          </w:p>
        </w:tc>
        <w:tc>
          <w:tcPr>
            <w:tcW w:w="7176"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仁化县董塘镇典型镇建设项目（一期）勘察设计、施工总承包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项目业主</w:t>
            </w:r>
          </w:p>
        </w:tc>
        <w:tc>
          <w:tcPr>
            <w:tcW w:w="7176"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仁化县董塘镇人民政府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3</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snapToGrid w:val="0"/>
                <w:color w:val="auto"/>
                <w:kern w:val="0"/>
                <w:sz w:val="24"/>
                <w:szCs w:val="24"/>
              </w:rPr>
              <w:t>项目批准部门</w:t>
            </w:r>
          </w:p>
        </w:tc>
        <w:tc>
          <w:tcPr>
            <w:tcW w:w="7176"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仁化县发展和改革局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4</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项目批准文号</w:t>
            </w:r>
          </w:p>
        </w:tc>
        <w:tc>
          <w:tcPr>
            <w:tcW w:w="7176"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仁发改投审[2024]32号、仁发改投审[2024]</w:t>
            </w:r>
            <w:r>
              <w:rPr>
                <w:rFonts w:hint="eastAsia" w:ascii="宋体" w:hAnsi="宋体" w:eastAsia="宋体" w:cs="宋体"/>
                <w:sz w:val="24"/>
                <w:szCs w:val="24"/>
                <w:lang w:val="en-US" w:eastAsia="zh-CN"/>
              </w:rPr>
              <w:t>42</w:t>
            </w:r>
            <w:r>
              <w:rPr>
                <w:rFonts w:hint="eastAsia" w:ascii="宋体" w:hAnsi="宋体" w:eastAsia="宋体" w:cs="宋体"/>
                <w:sz w:val="24"/>
                <w:szCs w:val="24"/>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5</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项目代码</w:t>
            </w:r>
          </w:p>
        </w:tc>
        <w:tc>
          <w:tcPr>
            <w:tcW w:w="7176"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2405-440224-04-01-395592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6</w:t>
            </w:r>
          </w:p>
        </w:tc>
        <w:tc>
          <w:tcPr>
            <w:tcW w:w="2072" w:type="dxa"/>
            <w:vAlign w:val="center"/>
          </w:tcPr>
          <w:p>
            <w:pPr>
              <w:pStyle w:val="2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资金来源</w:t>
            </w:r>
          </w:p>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及出资比例</w:t>
            </w:r>
          </w:p>
        </w:tc>
        <w:tc>
          <w:tcPr>
            <w:tcW w:w="7176"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由上级资金和县级财政资金安排解决100%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7</w:t>
            </w:r>
          </w:p>
        </w:tc>
        <w:tc>
          <w:tcPr>
            <w:tcW w:w="2072" w:type="dxa"/>
            <w:vAlign w:val="center"/>
          </w:tcPr>
          <w:p>
            <w:pPr>
              <w:wordWrap w:val="0"/>
              <w:adjustRightInd w:val="0"/>
              <w:snapToGrid w:val="0"/>
              <w:spacing w:line="360" w:lineRule="auto"/>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snapToGrid w:val="0"/>
                <w:color w:val="auto"/>
                <w:kern w:val="0"/>
                <w:sz w:val="24"/>
                <w:szCs w:val="24"/>
                <w:lang w:eastAsia="zh-CN"/>
              </w:rPr>
              <w:t>招标人</w:t>
            </w:r>
          </w:p>
        </w:tc>
        <w:tc>
          <w:tcPr>
            <w:tcW w:w="7176"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仁化县董塘镇人民政府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8</w:t>
            </w:r>
          </w:p>
        </w:tc>
        <w:tc>
          <w:tcPr>
            <w:tcW w:w="2072" w:type="dxa"/>
            <w:vAlign w:val="center"/>
          </w:tcPr>
          <w:p>
            <w:pPr>
              <w:wordWrap w:val="0"/>
              <w:adjustRightInd w:val="0"/>
              <w:snapToGrid w:val="0"/>
              <w:spacing w:line="360" w:lineRule="auto"/>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snapToGrid w:val="0"/>
                <w:color w:val="auto"/>
                <w:kern w:val="0"/>
                <w:sz w:val="24"/>
                <w:szCs w:val="24"/>
              </w:rPr>
              <w:t>招标代理机构</w:t>
            </w:r>
          </w:p>
        </w:tc>
        <w:tc>
          <w:tcPr>
            <w:tcW w:w="7176"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广东明正项目管理有限公司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9</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建设地点</w:t>
            </w:r>
          </w:p>
        </w:tc>
        <w:tc>
          <w:tcPr>
            <w:tcW w:w="7176" w:type="dxa"/>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仁化县董塘镇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10</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项目建设内容和规模</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本项目根据董塘镇典型镇建设规划的“1+4+7+9+N”实施计划，建设内容包括人居环境整治、风貌品质提升、公共基础设施提升、N项具体任务四大类共计17个子项目。主要包括董塘镇主街三线整治（4500m）、城镇污水提升（3000m²）、董塘镇镇区垃圾收集设施提升项目（25个）、镇区主街沿线整治提升项目（场地及绿化提升3500m²、景观小品20个、入口镇标改造2个）、主街外立面改造（280户）、圩镇美丽客厅建设（场地及绿植改造2300m²、新建圩镇客厅485m²、连廊改造180m²）、镇区节点提升及绿化提升项目、老旧市场改造提升项目（4000m²）、凡口两个农贸市场改造提升（2500m²）、董塘河美丽河道建设（1200m）、镇区长者饭堂建设（54m²）、镇区停车场改造提升（24个充电桩）、新旧客运站置换建设（1300m²）、特色夜市街建设（新建集装箱 1000个、场地及绿植改造2600m²）、高莲村文旅康养项目（21300m²）、乡村振兴共富车间建设项目（3500m²）、安岗技校研学产业项目（5219m²）等。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w:t>
            </w:r>
          </w:p>
        </w:tc>
        <w:tc>
          <w:tcPr>
            <w:tcW w:w="2072" w:type="dxa"/>
            <w:vAlign w:val="center"/>
          </w:tcPr>
          <w:p>
            <w:pPr>
              <w:wordWrap w:val="0"/>
              <w:adjustRightInd w:val="0"/>
              <w:snapToGrid w:val="0"/>
              <w:spacing w:line="360" w:lineRule="auto"/>
              <w:ind w:left="216" w:leftChars="103"/>
              <w:jc w:val="center"/>
              <w:rPr>
                <w:rFonts w:hint="eastAsia" w:ascii="宋体" w:hAnsi="宋体" w:eastAsia="宋体" w:cs="宋体"/>
                <w:bCs/>
                <w:snapToGrid w:val="0"/>
                <w:color w:val="auto"/>
                <w:kern w:val="0"/>
                <w:sz w:val="24"/>
                <w:szCs w:val="24"/>
                <w:lang w:val="en-US" w:eastAsia="zh-CN" w:bidi="ar-SA"/>
              </w:rPr>
            </w:pPr>
            <w:r>
              <w:rPr>
                <w:rFonts w:hint="eastAsia" w:ascii="宋体" w:hAnsi="宋体" w:eastAsia="宋体" w:cs="宋体"/>
                <w:bCs/>
                <w:snapToGrid w:val="0"/>
                <w:color w:val="auto"/>
                <w:kern w:val="0"/>
                <w:sz w:val="24"/>
                <w:szCs w:val="24"/>
              </w:rPr>
              <w:t>项目总投资</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项目估算总投资6140.15万元，其中:工程费4993.11万元、工程建设其他费用854.65万元、预备费292.39万元。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12</w:t>
            </w:r>
          </w:p>
        </w:tc>
        <w:tc>
          <w:tcPr>
            <w:tcW w:w="2072" w:type="dxa"/>
            <w:vAlign w:val="center"/>
          </w:tcPr>
          <w:p>
            <w:pPr>
              <w:pStyle w:val="20"/>
              <w:spacing w:line="360" w:lineRule="auto"/>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color w:val="auto"/>
                <w:sz w:val="24"/>
                <w:szCs w:val="24"/>
              </w:rPr>
              <w:t>招标范围</w:t>
            </w:r>
          </w:p>
        </w:tc>
        <w:tc>
          <w:tcPr>
            <w:tcW w:w="7176" w:type="dxa"/>
            <w:vAlign w:val="center"/>
          </w:tcPr>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本工程所涉及的内容包括但不限于（具体以项目主管部门批准的建设内容为准）：</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（1）勘察部分：项目建设内容的相关工程勘察、地下管线物探及项目地形现状测量。</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本项目的设计范围：确保项目顺利实施的规划、报建、施工等所需的所有建安工程等设计文件。包括：初步设计、施工图设计、加固方案设计、工地现场服务、验收过程中的设计指导及配合阶段验收及档案整理、协助施工单位编制竣工图及后续设计服务工作。</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（3）本项目的施工范围：施工图设计文件范围的所有工程施工。</w:t>
            </w:r>
            <w:r>
              <w:rPr>
                <w:rFonts w:hint="eastAsia" w:ascii="宋体" w:hAnsi="宋体" w:eastAsia="宋体" w:cs="宋体"/>
                <w:sz w:val="24"/>
                <w:szCs w:val="24"/>
              </w:rPr>
              <w:t>（具体详见本项目可行性研究报告）。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13</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标段划分</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本工程不分标段。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14</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工期</w:t>
            </w:r>
          </w:p>
        </w:tc>
        <w:tc>
          <w:tcPr>
            <w:tcW w:w="7176" w:type="dxa"/>
            <w:vAlign w:val="center"/>
          </w:tcPr>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本项目</w:t>
            </w:r>
            <w:r>
              <w:rPr>
                <w:rFonts w:hint="eastAsia" w:ascii="宋体" w:hAnsi="宋体" w:eastAsia="宋体" w:cs="宋体"/>
                <w:color w:val="auto"/>
                <w:sz w:val="24"/>
                <w:szCs w:val="24"/>
                <w:lang w:val="zh-CN" w:eastAsia="zh-CN"/>
              </w:rPr>
              <w:t>勘察</w:t>
            </w:r>
            <w:r>
              <w:rPr>
                <w:rFonts w:hint="eastAsia" w:ascii="宋体" w:hAnsi="宋体" w:eastAsia="宋体" w:cs="宋体"/>
                <w:color w:val="auto"/>
                <w:sz w:val="24"/>
                <w:szCs w:val="24"/>
                <w:lang w:val="zh-CN"/>
              </w:rPr>
              <w:t>设计、施工工期：共</w:t>
            </w:r>
            <w:r>
              <w:rPr>
                <w:rFonts w:hint="eastAsia" w:ascii="宋体" w:hAnsi="宋体" w:eastAsia="宋体" w:cs="宋体"/>
                <w:color w:val="auto"/>
                <w:sz w:val="24"/>
                <w:szCs w:val="24"/>
                <w:lang w:val="en-US" w:eastAsia="zh-CN"/>
              </w:rPr>
              <w:t>330</w:t>
            </w:r>
            <w:r>
              <w:rPr>
                <w:rFonts w:hint="eastAsia" w:ascii="宋体" w:hAnsi="宋体" w:eastAsia="宋体" w:cs="宋体"/>
                <w:color w:val="auto"/>
                <w:sz w:val="24"/>
                <w:szCs w:val="24"/>
                <w:lang w:val="zh-CN"/>
              </w:rPr>
              <w:t>日历天（其中：</w:t>
            </w:r>
            <w:r>
              <w:rPr>
                <w:rFonts w:hint="eastAsia" w:ascii="宋体" w:hAnsi="宋体" w:eastAsia="宋体" w:cs="宋体"/>
                <w:color w:val="auto"/>
                <w:sz w:val="24"/>
                <w:szCs w:val="24"/>
                <w:lang w:val="zh-CN" w:eastAsia="zh-CN"/>
              </w:rPr>
              <w:t>勘察、</w:t>
            </w:r>
            <w:r>
              <w:rPr>
                <w:rFonts w:hint="eastAsia" w:ascii="宋体" w:hAnsi="宋体" w:eastAsia="宋体" w:cs="宋体"/>
                <w:color w:val="auto"/>
                <w:sz w:val="24"/>
                <w:szCs w:val="24"/>
                <w:lang w:val="zh-CN"/>
              </w:rPr>
              <w:t>设计工期为</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lang w:val="zh-CN"/>
              </w:rPr>
              <w:t>日历天；施工工期</w:t>
            </w:r>
            <w:r>
              <w:rPr>
                <w:rFonts w:hint="eastAsia" w:ascii="宋体" w:hAnsi="宋体" w:eastAsia="宋体" w:cs="宋体"/>
                <w:color w:val="auto"/>
                <w:sz w:val="24"/>
                <w:szCs w:val="24"/>
                <w:lang w:val="en-US" w:eastAsia="zh-CN"/>
              </w:rPr>
              <w:t>240</w:t>
            </w:r>
            <w:r>
              <w:rPr>
                <w:rFonts w:hint="eastAsia" w:ascii="宋体" w:hAnsi="宋体" w:eastAsia="宋体" w:cs="宋体"/>
                <w:color w:val="auto"/>
                <w:sz w:val="24"/>
                <w:szCs w:val="24"/>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15</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质量标准</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勘察设计要求：符合建设部颁布的有关规划、房屋建筑等勘察设计的规范要求，并必须通过有关部门的审查及经有资质的审图公司审图合格</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设计要求的质量标准：符合现行的国家及地方的有关设计规范等，并必须通过有关部门的审查及经有资质的审图机构审查合格</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施工要求的质量标准：施工质量必须达到合格标准。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16</w:t>
            </w:r>
          </w:p>
        </w:tc>
        <w:tc>
          <w:tcPr>
            <w:tcW w:w="2072" w:type="dxa"/>
            <w:vAlign w:val="center"/>
          </w:tcPr>
          <w:p>
            <w:pPr>
              <w:pStyle w:val="20"/>
              <w:spacing w:beforeLines="0" w:afterLines="0" w:line="36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房屋建筑工程</w:t>
            </w:r>
          </w:p>
          <w:p>
            <w:pPr>
              <w:pStyle w:val="20"/>
              <w:spacing w:beforeLines="0" w:afterLines="0" w:line="360" w:lineRule="auto"/>
              <w:ind w:firstLine="0" w:firstLineChars="0"/>
              <w:jc w:val="center"/>
              <w:rPr>
                <w:rFonts w:hint="eastAsia" w:ascii="宋体" w:hAnsi="宋体" w:eastAsia="宋体" w:cs="宋体"/>
                <w:bCs/>
                <w:color w:val="auto"/>
                <w:kern w:val="2"/>
                <w:sz w:val="24"/>
                <w:szCs w:val="24"/>
                <w:lang w:val="en-US" w:eastAsia="zh-CN" w:bidi="ar-SA"/>
              </w:rPr>
            </w:pPr>
            <w:r>
              <w:rPr>
                <w:rFonts w:hint="eastAsia" w:ascii="宋体" w:hAnsi="宋体" w:eastAsia="宋体" w:cs="宋体"/>
                <w:color w:val="auto"/>
                <w:szCs w:val="24"/>
                <w:highlight w:val="none"/>
              </w:rPr>
              <w:t>绿色建筑标准</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本招标项目纳入绿色建设实施范围。要求达到《绿色建筑评价标准》(GB/T50378-2019)规定的</w:t>
            </w:r>
            <w:r>
              <w:rPr>
                <w:rFonts w:hint="eastAsia" w:ascii="宋体" w:hAnsi="宋体" w:eastAsia="宋体" w:cs="宋体"/>
                <w:sz w:val="24"/>
                <w:szCs w:val="24"/>
                <w:lang w:val="en-US" w:eastAsia="zh-CN"/>
              </w:rPr>
              <w:t>基本级</w:t>
            </w:r>
            <w:r>
              <w:rPr>
                <w:rFonts w:hint="eastAsia" w:ascii="宋体" w:hAnsi="宋体" w:eastAsia="宋体" w:cs="宋体"/>
                <w:sz w:val="24"/>
                <w:szCs w:val="24"/>
                <w:lang w:val="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16.1</w:t>
            </w:r>
          </w:p>
        </w:tc>
        <w:tc>
          <w:tcPr>
            <w:tcW w:w="2072" w:type="dxa"/>
            <w:vAlign w:val="center"/>
          </w:tcPr>
          <w:p>
            <w:pPr>
              <w:wordWrap w:val="0"/>
              <w:adjustRightInd w:val="0"/>
              <w:snapToGrid w:val="0"/>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装配式建筑</w:t>
            </w:r>
          </w:p>
          <w:p>
            <w:pPr>
              <w:wordWrap w:val="0"/>
              <w:adjustRightInd w:val="0"/>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kern w:val="0"/>
                <w:sz w:val="24"/>
                <w:szCs w:val="24"/>
                <w:highlight w:val="none"/>
              </w:rPr>
              <w:t>标准</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本招标项目</w:t>
            </w:r>
            <w:r>
              <w:rPr>
                <w:rFonts w:hint="eastAsia" w:ascii="宋体" w:hAnsi="宋体" w:eastAsia="宋体" w:cs="宋体"/>
                <w:sz w:val="24"/>
                <w:szCs w:val="24"/>
                <w:lang w:val="en-US" w:eastAsia="zh-CN"/>
              </w:rPr>
              <w:t>不</w:t>
            </w:r>
            <w:r>
              <w:rPr>
                <w:rFonts w:hint="eastAsia" w:ascii="宋体" w:hAnsi="宋体" w:eastAsia="宋体" w:cs="宋体"/>
                <w:sz w:val="24"/>
                <w:szCs w:val="24"/>
                <w:lang w:val="zh-CN"/>
              </w:rPr>
              <w:t>纳入装配式建造建设实施范围。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17</w:t>
            </w:r>
          </w:p>
        </w:tc>
        <w:tc>
          <w:tcPr>
            <w:tcW w:w="2072" w:type="dxa"/>
            <w:vAlign w:val="center"/>
          </w:tcPr>
          <w:p>
            <w:pPr>
              <w:wordWrap w:val="0"/>
              <w:adjustRightInd w:val="0"/>
              <w:snapToGrid w:val="0"/>
              <w:spacing w:line="360" w:lineRule="auto"/>
              <w:jc w:val="center"/>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sz w:val="24"/>
                <w:szCs w:val="24"/>
              </w:rPr>
              <w:t>最高投标限价</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详见招标文件本章第三节“11点 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18</w:t>
            </w:r>
          </w:p>
        </w:tc>
        <w:tc>
          <w:tcPr>
            <w:tcW w:w="2072"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投标人资质</w:t>
            </w:r>
          </w:p>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及条件要求</w:t>
            </w:r>
          </w:p>
        </w:tc>
        <w:tc>
          <w:tcPr>
            <w:tcW w:w="7176" w:type="dxa"/>
            <w:vAlign w:val="center"/>
          </w:tcPr>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1．本次招标接受联合体投标，联合体以一个投标人的身份共同投标。</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1.1联合体成员数量</w:t>
            </w:r>
            <w:r>
              <w:rPr>
                <w:rFonts w:hint="eastAsia" w:ascii="宋体" w:hAnsi="宋体" w:eastAsia="宋体" w:cs="宋体"/>
                <w:sz w:val="24"/>
                <w:szCs w:val="24"/>
                <w:lang w:val="en-US" w:eastAsia="zh-CN"/>
              </w:rPr>
              <w:t>不超过4</w:t>
            </w:r>
            <w:r>
              <w:rPr>
                <w:rFonts w:hint="eastAsia" w:ascii="宋体" w:hAnsi="宋体" w:eastAsia="宋体" w:cs="宋体"/>
                <w:sz w:val="24"/>
                <w:szCs w:val="24"/>
                <w:lang w:val="zh-CN"/>
              </w:rPr>
              <w:t>个。</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1.2联合体各方应按招标文件提供的格式签订联合体协议书，明确联合体牵头人和各方权利义务，并承诺就中标项目向招标人承担连带责任。《联合体协议书》作为投标文件的组成部分向招标人提交。</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1.3联合体成员单位均应具备拟承担的工作内容（以《联合体协议书》的约定为准）所规定的资格条件。若同一工作内容由两个或两个以上单位共同承担，该项工作内容按照资质等级较低的单位确定联合体资质等级。</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1.4联合体各方不得再以自己名义单独或参加其他联合体在本招标项目中投标，否则各相关投标均无效。</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2.资质要求</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2.1投标人须具备独立法人资格，按国家法律经营。</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2.2投标人须持有行政主管部门颁发的企业资质证书。</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2.3参加投标的投标人可以是单一独立法人或由不超过</w:t>
            </w:r>
            <w:r>
              <w:rPr>
                <w:rFonts w:hint="eastAsia" w:ascii="宋体" w:hAnsi="宋体" w:eastAsia="宋体" w:cs="宋体"/>
                <w:sz w:val="24"/>
                <w:szCs w:val="24"/>
                <w:lang w:val="en-US" w:eastAsia="zh-CN"/>
              </w:rPr>
              <w:t>四</w:t>
            </w:r>
            <w:r>
              <w:rPr>
                <w:rFonts w:hint="eastAsia" w:ascii="宋体" w:hAnsi="宋体" w:eastAsia="宋体" w:cs="宋体"/>
                <w:sz w:val="24"/>
                <w:szCs w:val="24"/>
                <w:lang w:val="zh-CN"/>
              </w:rPr>
              <w:t>家独立法人组成的联合体，联合体各方不得再以自己的名义单独申请，也不得同时参加两个或两个以上的联合体进行本项目的投标。单一独立法人必须至少同时具备以下①～</w:t>
            </w:r>
            <w:r>
              <w:rPr>
                <w:rFonts w:hint="eastAsia" w:ascii="宋体" w:hAnsi="宋体" w:eastAsia="宋体" w:cs="宋体"/>
                <w:sz w:val="24"/>
                <w:szCs w:val="24"/>
                <w:lang w:val="zh-CN" w:eastAsia="zh-CN"/>
              </w:rPr>
              <w:t>④</w:t>
            </w:r>
            <w:r>
              <w:rPr>
                <w:rFonts w:hint="eastAsia" w:ascii="宋体" w:hAnsi="宋体" w:eastAsia="宋体" w:cs="宋体"/>
                <w:sz w:val="24"/>
                <w:szCs w:val="24"/>
                <w:lang w:val="zh-CN"/>
              </w:rPr>
              <w:t>资质，组成联合体投标的，联合后必须至少具备以下①～</w:t>
            </w:r>
            <w:r>
              <w:rPr>
                <w:rFonts w:hint="eastAsia" w:ascii="宋体" w:hAnsi="宋体" w:eastAsia="宋体" w:cs="宋体"/>
                <w:sz w:val="24"/>
                <w:szCs w:val="24"/>
                <w:lang w:val="zh-CN" w:eastAsia="zh-CN"/>
              </w:rPr>
              <w:t>④</w:t>
            </w:r>
            <w:r>
              <w:rPr>
                <w:rFonts w:hint="eastAsia" w:ascii="宋体" w:hAnsi="宋体" w:eastAsia="宋体" w:cs="宋体"/>
                <w:sz w:val="24"/>
                <w:szCs w:val="24"/>
                <w:lang w:val="zh-CN"/>
              </w:rPr>
              <w:t>资质，联合体牵头人必须具备①</w:t>
            </w:r>
            <w:r>
              <w:rPr>
                <w:rFonts w:hint="eastAsia" w:ascii="宋体" w:hAnsi="宋体" w:eastAsia="宋体" w:cs="宋体"/>
                <w:sz w:val="24"/>
                <w:szCs w:val="24"/>
                <w:lang w:val="en-US" w:eastAsia="zh-CN"/>
              </w:rPr>
              <w:t>和</w:t>
            </w:r>
            <w:r>
              <w:rPr>
                <w:rFonts w:hint="eastAsia" w:ascii="宋体" w:hAnsi="宋体" w:eastAsia="宋体" w:cs="宋体"/>
                <w:sz w:val="24"/>
                <w:szCs w:val="24"/>
                <w:lang w:val="zh-CN"/>
              </w:rPr>
              <w:t>②资质：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①施工资质：具备建设行政主管部门颁发的建筑工程施工总承包三级以上（含三级）资质，并获得安全生产许可证的独立法人。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②施工资质：具备建设行政主管部门颁发的市政公用工程施工总承包三级或以上(含三级)资质，并获得有效安全生产许的独立法人。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③设计资质必须具备建设行政主管部门颁发的以下资质之一：（1）、（2）和（5）、（2）和（6）、（2）和（7）、（3）和（5）、（3）和（6）、（3）和（7）、（4）和（5）、（4）和（6）、（4）和（7）：</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（1）工程设计综合甲级资质；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（2）工程设计市政行业丙级以上（含丙级）资质；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（3）工程设计市政行业丙级（燃气工程、轨道交通工程除外）以上（含丙级）资质；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（4）工程设计市政行业（排水工程）专业丙级以上（含丙级）资质；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（5）工程设计建筑行业丙级以上（含丙级）资质；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（6）工程设计建筑行业（建筑工程）专业丙级以上（含丙级）资质；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（7）建设行政主管部门颁发的建筑设计事务所资质；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设计单位仅具备建筑设计事务所资质的，应当自行完成招标范围内的建筑专业设计业务，并在保证整个建筑工程项目完整性的前提下，经招标人同意，将其他专业设计业务发包给具有相应资质的分包方。</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④勘察企业必须具备建设行政主管部门颁发的以下资质之一：</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（1）工程勘察综合类甲级资质；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（2）工程勘察专业（岩土工程）乙级以上（含乙级）资质；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（3）工程勘察专业（岩土工程（岩土工程勘察））乙级以上（含乙级）资质。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2.4根据有关文件精神，投标人的企业相关证书到期的，均按该证书的发证机构相关行政主管部门最新文件执行（如自动顺延或推迟办理延期业务的通知等）投标人须提供相关证明材料附在该证书后面，证明在开标日继续有效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3．相关人员要求</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3.1拟派项目经理为具有建筑工程</w:t>
            </w:r>
            <w:r>
              <w:rPr>
                <w:rFonts w:hint="eastAsia" w:ascii="宋体" w:hAnsi="宋体" w:eastAsia="宋体" w:cs="宋体"/>
                <w:sz w:val="24"/>
                <w:szCs w:val="24"/>
                <w:lang w:val="zh-CN" w:eastAsia="zh-CN"/>
              </w:rPr>
              <w:t>或市政公用工程</w:t>
            </w:r>
            <w:r>
              <w:rPr>
                <w:rFonts w:hint="eastAsia" w:ascii="宋体" w:hAnsi="宋体" w:eastAsia="宋体" w:cs="宋体"/>
                <w:sz w:val="24"/>
                <w:szCs w:val="24"/>
                <w:lang w:val="zh-CN"/>
              </w:rPr>
              <w:t>专业一级或二级注册建造师，应持有住建部门印发的在使用有效期内的有效电子注册证书（根据广东省住房和城乡建设厅（粤建市函〔2023〕469号）文件精神，二级注册建造师可随注册企业在全国范围内执业）。同时均须具备有效安全生产考核合格证明（B证，安全生产考核合格证书或“建筑施工企业管理人员安全生产考核信息系统”考核合格信息截图），且未担任其他在施（包括已中标未开工、已开工未竣工）建设工程项目的项目经理。</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3.2拟派项目技术负责人须具备建筑工程</w:t>
            </w:r>
            <w:r>
              <w:rPr>
                <w:rFonts w:hint="eastAsia" w:ascii="宋体" w:hAnsi="宋体" w:eastAsia="宋体" w:cs="宋体"/>
                <w:sz w:val="24"/>
                <w:szCs w:val="24"/>
                <w:lang w:val="zh-CN" w:eastAsia="zh-CN"/>
              </w:rPr>
              <w:t>或市政公用工程</w:t>
            </w:r>
            <w:r>
              <w:rPr>
                <w:rFonts w:hint="eastAsia" w:ascii="宋体" w:hAnsi="宋体" w:eastAsia="宋体" w:cs="宋体"/>
                <w:sz w:val="24"/>
                <w:szCs w:val="24"/>
                <w:lang w:val="zh-CN"/>
              </w:rPr>
              <w:t>专业类</w:t>
            </w:r>
            <w:r>
              <w:rPr>
                <w:rFonts w:hint="eastAsia" w:ascii="宋体" w:hAnsi="宋体" w:eastAsia="宋体" w:cs="宋体"/>
                <w:sz w:val="24"/>
                <w:szCs w:val="24"/>
                <w:lang w:val="en-US" w:eastAsia="zh-CN"/>
              </w:rPr>
              <w:t>中</w:t>
            </w:r>
            <w:r>
              <w:rPr>
                <w:rFonts w:hint="eastAsia" w:ascii="宋体" w:hAnsi="宋体" w:eastAsia="宋体" w:cs="宋体"/>
                <w:sz w:val="24"/>
                <w:szCs w:val="24"/>
                <w:lang w:val="zh-CN"/>
              </w:rPr>
              <w:t>级（或以上）技术职称。</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sz w:val="24"/>
                <w:szCs w:val="24"/>
                <w:lang w:val="zh-CN"/>
              </w:rPr>
              <w:t>3.3投标人拟委派担任本工程的设计负责人必须持有</w:t>
            </w:r>
            <w:r>
              <w:rPr>
                <w:rFonts w:hint="eastAsia" w:ascii="宋体" w:hAnsi="宋体" w:eastAsia="宋体" w:cs="宋体"/>
                <w:color w:val="auto"/>
                <w:sz w:val="24"/>
                <w:highlight w:val="none"/>
              </w:rPr>
              <w:t>一级或</w:t>
            </w:r>
            <w:r>
              <w:rPr>
                <w:rFonts w:hint="eastAsia" w:ascii="宋体" w:hAnsi="宋体" w:eastAsia="宋体" w:cs="宋体"/>
                <w:color w:val="auto"/>
                <w:sz w:val="24"/>
                <w:szCs w:val="24"/>
                <w:lang w:val="zh-CN"/>
              </w:rPr>
              <w:t>二级注册建筑师注册证书。</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3.4投标人拟派项目勘察负责人须具备国家注册土木工程师（岩土）资格。</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3.5</w:t>
            </w:r>
            <w:r>
              <w:rPr>
                <w:rFonts w:hint="eastAsia" w:ascii="宋体" w:hAnsi="宋体" w:eastAsia="宋体" w:cs="宋体"/>
                <w:sz w:val="24"/>
                <w:szCs w:val="24"/>
                <w:lang w:val="zh-CN"/>
              </w:rPr>
              <w:t>拟派专职安全生产管理人员须具备有效安全生产考核合格证明（C证，安全生产考核合格证书或广东省建筑施工企业管理人员安全生产考核系统考核合格信息打印页），且不少于2人。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6</w:t>
            </w:r>
            <w:r>
              <w:rPr>
                <w:rFonts w:hint="eastAsia" w:ascii="宋体" w:hAnsi="宋体" w:eastAsia="宋体" w:cs="宋体"/>
                <w:sz w:val="24"/>
                <w:szCs w:val="24"/>
                <w:lang w:val="zh-CN"/>
              </w:rPr>
              <w:t>投标人（包括组成联合体的所有成员单位）与其拟派往本项目管理机构的所有人员之间必须具备合法、唯一的劳动聘用关系。拟派人员中具备注册执业资格的，其注册单位须与投标人保持一致。</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4．禁止投标条款：</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4.1投标人不得存在下列情形之一：</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（1）为招标人不具有独立法人资格的附属机构（单位）；</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（2）为本招标项目前期准备提供咨询服务的；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（3）与本招标项目的其他投标人为同一个单位负责人；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（4）与本招标项目的其他投标人存在控股、管理关系；</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（5）为本招标项目的监理人；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（6）为本招标项目的代建人；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（7）为本招标项目的招标代理机构；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（8）与本招标项目的监理人或代建人或招标代理机构同为一个法定代表人；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（9）与本招标项目的监理人或代建人或招标代理机构存在控股或参股关系；</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（10）与本招标项目的监理人或代建人或招标代理机构存在相互任职或工作关系；</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（11）被依法暂停或者取消投标资格；</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（12）被责令停产停业、暂扣或者吊销许可证、暂扣或者吊销执照；</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（13）进入清算程序，或被宣告破产，或其他丧失履约能力的情形；</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（14）在最近三年内发生重大工程质量或安全问题（以相关行业主管部门的行政处罚决定或司法机关出具的有关法律文书为准）；</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（15）被“信用中国”网站（https://www.creditchina.gov.cn）发布的《法人和非法人组织公共信用信息报告》列入严重失信主体名单的。</w:t>
            </w:r>
          </w:p>
          <w:p>
            <w:pPr>
              <w:spacing w:line="360" w:lineRule="auto"/>
              <w:ind w:firstLine="480" w:firstLineChars="200"/>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4.2招标人拒绝以下名单中的单位参加本次投标：</w:t>
            </w:r>
          </w:p>
          <w:tbl>
            <w:tblPr>
              <w:tblStyle w:val="15"/>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3117"/>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17"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序号</w:t>
                  </w:r>
                </w:p>
              </w:tc>
              <w:tc>
                <w:tcPr>
                  <w:tcW w:w="3117"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单位名称</w:t>
                  </w:r>
                </w:p>
              </w:tc>
              <w:tc>
                <w:tcPr>
                  <w:tcW w:w="3066"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拒绝原因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17"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1</w:t>
                  </w:r>
                </w:p>
              </w:tc>
              <w:tc>
                <w:tcPr>
                  <w:tcW w:w="3117"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中誉恒信工程咨询有限公司</w:t>
                  </w:r>
                </w:p>
              </w:tc>
              <w:tc>
                <w:tcPr>
                  <w:tcW w:w="3066"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为本招标项目的可行性研究报告编制单位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17"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lang w:eastAsia="zh-CN"/>
                    </w:rPr>
                  </w:pPr>
                  <w:r>
                    <w:rPr>
                      <w:rFonts w:hint="eastAsia" w:ascii="宋体" w:hAnsi="宋体" w:eastAsia="宋体" w:cs="宋体"/>
                      <w:snapToGrid w:val="0"/>
                      <w:kern w:val="0"/>
                      <w:sz w:val="24"/>
                      <w:szCs w:val="24"/>
                      <w:highlight w:val="none"/>
                      <w:lang w:val="en-US" w:eastAsia="zh-CN"/>
                    </w:rPr>
                    <w:t>2</w:t>
                  </w:r>
                </w:p>
              </w:tc>
              <w:tc>
                <w:tcPr>
                  <w:tcW w:w="3117"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lang w:eastAsia="zh-CN"/>
                    </w:rPr>
                  </w:pPr>
                  <w:r>
                    <w:rPr>
                      <w:rFonts w:hint="eastAsia" w:ascii="宋体" w:hAnsi="宋体" w:eastAsia="宋体" w:cs="宋体"/>
                      <w:snapToGrid w:val="0"/>
                      <w:kern w:val="0"/>
                      <w:sz w:val="24"/>
                      <w:szCs w:val="24"/>
                      <w:highlight w:val="none"/>
                      <w:lang w:eastAsia="zh-CN"/>
                    </w:rPr>
                    <w:t>广东明正项目管理有限公司</w:t>
                  </w:r>
                </w:p>
              </w:tc>
              <w:tc>
                <w:tcPr>
                  <w:tcW w:w="3066"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为本招标项目的招标代理机构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17"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lang w:eastAsia="zh-CN"/>
                    </w:rPr>
                  </w:pPr>
                  <w:r>
                    <w:rPr>
                      <w:rFonts w:hint="eastAsia" w:ascii="宋体" w:hAnsi="宋体" w:eastAsia="宋体" w:cs="宋体"/>
                      <w:snapToGrid w:val="0"/>
                      <w:kern w:val="0"/>
                      <w:sz w:val="24"/>
                      <w:szCs w:val="24"/>
                      <w:highlight w:val="none"/>
                      <w:lang w:val="en-US" w:eastAsia="zh-CN"/>
                    </w:rPr>
                    <w:t>3</w:t>
                  </w:r>
                </w:p>
              </w:tc>
              <w:tc>
                <w:tcPr>
                  <w:tcW w:w="3117" w:type="dxa"/>
                  <w:noWrap w:val="0"/>
                  <w:vAlign w:val="center"/>
                </w:tcPr>
                <w:p>
                  <w:pPr>
                    <w:keepNext w:val="0"/>
                    <w:keepLines w:val="0"/>
                    <w:pageBreakBefore w:val="0"/>
                    <w:widowControl w:val="0"/>
                    <w:kinsoku/>
                    <w:overflowPunct/>
                    <w:topLinePunct w:val="0"/>
                    <w:autoSpaceDE/>
                    <w:autoSpaceDN/>
                    <w:bidi w:val="0"/>
                    <w:spacing w:beforeLines="0" w:afterLines="0" w:line="360" w:lineRule="auto"/>
                    <w:ind w:left="0" w:leftChars="0" w:firstLine="0" w:firstLineChars="0"/>
                    <w:jc w:val="left"/>
                    <w:textAlignment w:val="auto"/>
                    <w:rPr>
                      <w:rFonts w:hint="eastAsia" w:ascii="宋体" w:hAnsi="宋体" w:eastAsia="宋体" w:cs="宋体"/>
                      <w:snapToGrid w:val="0"/>
                      <w:kern w:val="0"/>
                      <w:sz w:val="24"/>
                      <w:szCs w:val="24"/>
                      <w:highlight w:val="none"/>
                      <w:lang w:eastAsia="zh-CN"/>
                    </w:rPr>
                  </w:pPr>
                  <w:r>
                    <w:rPr>
                      <w:rFonts w:hint="eastAsia" w:ascii="宋体" w:hAnsi="宋体" w:eastAsia="宋体" w:cs="宋体"/>
                      <w:snapToGrid w:val="0"/>
                      <w:color w:val="auto"/>
                      <w:kern w:val="0"/>
                      <w:sz w:val="24"/>
                      <w:szCs w:val="24"/>
                      <w:highlight w:val="none"/>
                      <w:lang w:val="en-US" w:eastAsia="zh-CN"/>
                    </w:rPr>
                    <w:t>仁化县董塘镇人民政府</w:t>
                  </w:r>
                </w:p>
              </w:tc>
              <w:tc>
                <w:tcPr>
                  <w:tcW w:w="3066"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rPr>
                  </w:pPr>
                  <w:r>
                    <w:rPr>
                      <w:rFonts w:hint="eastAsia" w:ascii="宋体" w:hAnsi="宋体" w:eastAsia="宋体" w:cs="宋体"/>
                      <w:kern w:val="0"/>
                      <w:sz w:val="24"/>
                      <w:szCs w:val="24"/>
                      <w:highlight w:val="none"/>
                    </w:rPr>
                    <w:t>为本招标项目的业主单位</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招标人</w:t>
                  </w:r>
                </w:p>
              </w:tc>
            </w:tr>
          </w:tbl>
          <w:p>
            <w:pPr>
              <w:pStyle w:val="14"/>
              <w:spacing w:beforeAutospacing="0" w:after="150" w:afterAutospacing="0" w:line="360" w:lineRule="auto"/>
              <w:ind w:firstLine="480" w:firstLineChars="0"/>
              <w:rPr>
                <w:rFonts w:hint="eastAsia" w:ascii="宋体" w:hAnsi="宋体" w:eastAsia="宋体" w:cs="宋体"/>
                <w:b/>
                <w:color w:val="auto"/>
                <w:kern w:val="0"/>
                <w:sz w:val="24"/>
                <w:szCs w:val="24"/>
                <w:lang w:val="en-US" w:eastAsia="zh-CN" w:bidi="ar-SA"/>
              </w:rPr>
            </w:pPr>
            <w:r>
              <w:rPr>
                <w:rFonts w:hint="eastAsia" w:ascii="宋体" w:hAnsi="宋体" w:eastAsia="宋体" w:cs="宋体"/>
                <w:color w:val="auto"/>
                <w:kern w:val="2"/>
                <w:sz w:val="24"/>
                <w:szCs w:val="24"/>
                <w:lang w:val="zh-CN" w:eastAsia="zh-CN" w:bidi="ar-SA"/>
              </w:rPr>
              <w:t>5.省外企业（包括组成联合体的所有成员单位）须按照《广东省住房和城乡建设厅关于取消省外建筑企业和人员进粤信息备案有关工作的通知》（粤建市﹝2015﹞52号）规定在“进粤企业和人员诚信信息登记平台”录入相关信息并通过数据规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19</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投标保证</w:t>
            </w:r>
          </w:p>
        </w:tc>
        <w:tc>
          <w:tcPr>
            <w:tcW w:w="7176" w:type="dxa"/>
            <w:vAlign w:val="center"/>
          </w:tcPr>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1．投标人须缴纳金额为：人民币50万元的投标保证。联合体投标的，由联合体牵头人缴纳。</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2.投标保证的形式包括投标保证金、投标保证担保、投标保证保险三种，由投标人自主选择。</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采用投标保证金的，投标人在建设工程交易系统获取招标文件完毕后，即可在系统申请缴纳投标保证金，获取本次招标投标保证金缴纳账号。投标人须于投标保证金到账截止时间（见本公告“重要事项时间地点一览表”）前，从其基本账户将投标保证金转账到指定的缴纳账号。逾期到账的、从非投标人基本账户转出的，其投标无效。</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采用投标保证担保的，投标人应提交有效的银行保函，银行保函的有效期不得短于投标有效期。投标人必须在投标保证担保截止时间（见本章第二节“重要事项时间地点一览表”）前，使用工程建设交易系统完成网上办理电子保函。</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采用投标保证保险的，投标人须在投标保证保险投保截止时间（详见“重要事项时间地点一览表”）前，使用建设工程交易系统完成网上投保。投标人可在系统选择保险机构、录入投保信息、支付保费、打印电子保单，电子保单的有效期不得短于投标有效期。投标人可登录全国公共资源交易平台 （广东省·韶关市）（https://ygp.gdzwfw.gov.cn/ggzy-portal/#/440200/index），在【交易指引】栏目中下载《建设工程网上交易系统保险保证金缴纳操作指南》，了解网上投保具体操作流程。逾期投保的，其投标无效。</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温馨提醒：投标人采用投标保证担保或投标保证保险的，为避免在评标过程中因有效期发生争议，建议投标人将银行保函或电子保单有效期设置为较招标文件规定的投标有效期延长不少于20个日历天。</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3.若投标人因自身原因未能正确完成招标文件的获取、电子投标、缴纳投标保证的，其投标无效。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20</w:t>
            </w:r>
          </w:p>
        </w:tc>
        <w:tc>
          <w:tcPr>
            <w:tcW w:w="2072" w:type="dxa"/>
            <w:vAlign w:val="center"/>
          </w:tcPr>
          <w:p>
            <w:pPr>
              <w:wordWrap w:val="0"/>
              <w:adjustRightInd w:val="0"/>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snapToGrid w:val="0"/>
                <w:color w:val="auto"/>
                <w:kern w:val="0"/>
                <w:sz w:val="24"/>
                <w:szCs w:val="24"/>
              </w:rPr>
              <w:t>投标有效期</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本次招标的投标有效期为90个日历天。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21</w:t>
            </w:r>
          </w:p>
        </w:tc>
        <w:tc>
          <w:tcPr>
            <w:tcW w:w="2072" w:type="dxa"/>
            <w:vAlign w:val="center"/>
          </w:tcPr>
          <w:p>
            <w:pPr>
              <w:wordWrap w:val="0"/>
              <w:adjustRightInd w:val="0"/>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投标文件</w:t>
            </w:r>
          </w:p>
          <w:p>
            <w:pPr>
              <w:wordWrap w:val="0"/>
              <w:adjustRightInd w:val="0"/>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snapToGrid w:val="0"/>
                <w:color w:val="auto"/>
                <w:kern w:val="0"/>
                <w:sz w:val="24"/>
                <w:szCs w:val="24"/>
              </w:rPr>
              <w:t>组成及份数</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电子投标文件1份。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22</w:t>
            </w:r>
          </w:p>
        </w:tc>
        <w:tc>
          <w:tcPr>
            <w:tcW w:w="2072" w:type="dxa"/>
            <w:vAlign w:val="center"/>
          </w:tcPr>
          <w:p>
            <w:pPr>
              <w:pStyle w:val="20"/>
              <w:keepLines w:val="0"/>
              <w:pageBreakBefore w:val="0"/>
              <w:kinsoku/>
              <w:overflowPunct/>
              <w:topLinePunct w:val="0"/>
              <w:autoSpaceDE/>
              <w:autoSpaceDN/>
              <w:bidi w:val="0"/>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技术标书</w:t>
            </w:r>
          </w:p>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highlight w:val="none"/>
              </w:rPr>
              <w:t>评审方式</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本次招标技术标书 不采用 “暗标”方式进行评审。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23</w:t>
            </w:r>
          </w:p>
        </w:tc>
        <w:tc>
          <w:tcPr>
            <w:tcW w:w="2072" w:type="dxa"/>
            <w:vAlign w:val="center"/>
          </w:tcPr>
          <w:p>
            <w:pPr>
              <w:pStyle w:val="20"/>
              <w:keepLines w:val="0"/>
              <w:pageBreakBefore w:val="0"/>
              <w:kinsoku/>
              <w:overflowPunct/>
              <w:topLinePunct w:val="0"/>
              <w:autoSpaceDE/>
              <w:autoSpaceDN/>
              <w:bidi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highlight w:val="none"/>
              </w:rPr>
              <w:t>履约保证金</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中标人须在领取中标通知书之日起</w:t>
            </w:r>
            <w:r>
              <w:rPr>
                <w:rFonts w:hint="eastAsia" w:ascii="宋体" w:hAnsi="宋体" w:eastAsia="宋体" w:cs="宋体"/>
                <w:sz w:val="24"/>
                <w:szCs w:val="24"/>
                <w:lang w:val="en-US" w:eastAsia="zh-CN"/>
              </w:rPr>
              <w:t>10</w:t>
            </w:r>
            <w:r>
              <w:rPr>
                <w:rFonts w:hint="eastAsia" w:ascii="宋体" w:hAnsi="宋体" w:eastAsia="宋体" w:cs="宋体"/>
                <w:sz w:val="24"/>
                <w:szCs w:val="24"/>
                <w:lang w:val="zh-CN"/>
              </w:rPr>
              <w:t xml:space="preserve">个工作日内、签订合同前向招标人提交金额为中标价 </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的履约保证</w:t>
            </w:r>
            <w:r>
              <w:rPr>
                <w:rFonts w:hint="eastAsia" w:ascii="宋体" w:hAnsi="宋体" w:eastAsia="宋体" w:cs="宋体"/>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评标委员会组成</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评标委员会由7人组成，其中招标人代表0人，专家7人。专家从广东省综合评标评审专家库-韶关区域中随机抽取，其中技术类专家5人，经济类专家2人。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5</w:t>
            </w:r>
          </w:p>
        </w:tc>
        <w:tc>
          <w:tcPr>
            <w:tcW w:w="2072"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评标定标方法</w:t>
            </w:r>
          </w:p>
        </w:tc>
        <w:tc>
          <w:tcPr>
            <w:tcW w:w="7176" w:type="dxa"/>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6</w:t>
            </w:r>
          </w:p>
        </w:tc>
        <w:tc>
          <w:tcPr>
            <w:tcW w:w="2072" w:type="dxa"/>
            <w:vAlign w:val="center"/>
          </w:tcPr>
          <w:p>
            <w:pPr>
              <w:wordWrap w:val="0"/>
              <w:adjustRightInd w:val="0"/>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招标人</w:t>
            </w:r>
          </w:p>
          <w:p>
            <w:pPr>
              <w:wordWrap w:val="0"/>
              <w:adjustRightInd w:val="0"/>
              <w:snapToGrid w:val="0"/>
              <w:spacing w:line="360" w:lineRule="auto"/>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snapToGrid w:val="0"/>
                <w:color w:val="auto"/>
                <w:kern w:val="0"/>
                <w:sz w:val="24"/>
                <w:szCs w:val="24"/>
              </w:rPr>
              <w:t>联系方式</w:t>
            </w:r>
          </w:p>
        </w:tc>
        <w:tc>
          <w:tcPr>
            <w:tcW w:w="7176" w:type="dxa"/>
            <w:vAlign w:val="center"/>
          </w:tcPr>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zh-CN"/>
              </w:rPr>
              <w:t>单位名称：</w:t>
            </w:r>
            <w:r>
              <w:rPr>
                <w:rFonts w:hint="eastAsia" w:ascii="宋体" w:hAnsi="宋体" w:eastAsia="宋体" w:cs="宋体"/>
                <w:sz w:val="24"/>
                <w:szCs w:val="24"/>
                <w:lang w:val="zh-CN" w:eastAsia="zh-CN"/>
              </w:rPr>
              <w:t>仁化县董塘镇人民政府</w:t>
            </w:r>
          </w:p>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zh-CN"/>
              </w:rPr>
              <w:t>办公地址：</w:t>
            </w:r>
            <w:r>
              <w:rPr>
                <w:rFonts w:hint="eastAsia" w:ascii="宋体" w:hAnsi="宋体" w:eastAsia="宋体" w:cs="宋体"/>
                <w:sz w:val="24"/>
                <w:szCs w:val="24"/>
                <w:lang w:val="zh-CN" w:eastAsia="zh-CN"/>
              </w:rPr>
              <w:t>广东省韶关市仁化县董塘镇繁塘一路30号</w:t>
            </w:r>
          </w:p>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zh-CN"/>
              </w:rPr>
              <w:t>联系人（部门）：陈工</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lang w:val="en-US" w:eastAsia="zh-CN"/>
              </w:rPr>
              <w:t>0751-6361054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7</w:t>
            </w:r>
          </w:p>
        </w:tc>
        <w:tc>
          <w:tcPr>
            <w:tcW w:w="2072" w:type="dxa"/>
            <w:vAlign w:val="center"/>
          </w:tcPr>
          <w:p>
            <w:pPr>
              <w:wordWrap w:val="0"/>
              <w:adjustRightInd w:val="0"/>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招标代理机构</w:t>
            </w:r>
          </w:p>
          <w:p>
            <w:pPr>
              <w:wordWrap w:val="0"/>
              <w:adjustRightInd w:val="0"/>
              <w:snapToGrid w:val="0"/>
              <w:spacing w:line="360" w:lineRule="auto"/>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snapToGrid w:val="0"/>
                <w:color w:val="auto"/>
                <w:kern w:val="0"/>
                <w:sz w:val="24"/>
                <w:szCs w:val="24"/>
              </w:rPr>
              <w:t>联系方式</w:t>
            </w:r>
          </w:p>
        </w:tc>
        <w:tc>
          <w:tcPr>
            <w:tcW w:w="7176" w:type="dxa"/>
            <w:vAlign w:val="center"/>
          </w:tcPr>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zh-CN"/>
              </w:rPr>
              <w:t>单位名称：</w:t>
            </w:r>
            <w:r>
              <w:rPr>
                <w:rFonts w:hint="eastAsia" w:ascii="宋体" w:hAnsi="宋体" w:eastAsia="宋体" w:cs="宋体"/>
                <w:sz w:val="24"/>
                <w:szCs w:val="24"/>
                <w:lang w:val="zh-CN" w:eastAsia="zh-CN"/>
              </w:rPr>
              <w:t>广东明正项目管理有限公司</w:t>
            </w:r>
          </w:p>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zh-CN"/>
              </w:rPr>
              <w:t>办公地址：</w:t>
            </w:r>
            <w:r>
              <w:rPr>
                <w:rFonts w:hint="eastAsia" w:ascii="宋体" w:hAnsi="宋体" w:eastAsia="宋体" w:cs="宋体"/>
                <w:sz w:val="24"/>
                <w:szCs w:val="24"/>
                <w:lang w:val="zh-CN" w:eastAsia="zh-CN"/>
              </w:rPr>
              <w:t>广东省韶关市武江区惠民北路428号7楼</w:t>
            </w:r>
          </w:p>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zh-CN"/>
              </w:rPr>
              <w:t>联系人(部门)：</w:t>
            </w:r>
            <w:r>
              <w:rPr>
                <w:rFonts w:hint="eastAsia" w:ascii="宋体" w:hAnsi="宋体" w:eastAsia="宋体" w:cs="宋体"/>
                <w:sz w:val="24"/>
                <w:szCs w:val="24"/>
                <w:lang w:val="zh-CN" w:eastAsia="zh-CN"/>
              </w:rPr>
              <w:t>杨工、潘工</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lang w:val="zh-CN" w:eastAsia="zh-CN"/>
              </w:rPr>
              <w:t>0751-8606998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28</w:t>
            </w:r>
          </w:p>
        </w:tc>
        <w:tc>
          <w:tcPr>
            <w:tcW w:w="2072" w:type="dxa"/>
            <w:vAlign w:val="center"/>
          </w:tcPr>
          <w:p>
            <w:pPr>
              <w:wordWrap w:val="0"/>
              <w:adjustRightInd w:val="0"/>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交易场所</w:t>
            </w:r>
          </w:p>
          <w:p>
            <w:pPr>
              <w:wordWrap w:val="0"/>
              <w:adjustRightInd w:val="0"/>
              <w:snapToGrid w:val="0"/>
              <w:spacing w:line="360" w:lineRule="auto"/>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snapToGrid w:val="0"/>
                <w:color w:val="auto"/>
                <w:kern w:val="0"/>
                <w:sz w:val="24"/>
                <w:szCs w:val="24"/>
              </w:rPr>
              <w:t>联系方式</w:t>
            </w:r>
          </w:p>
        </w:tc>
        <w:tc>
          <w:tcPr>
            <w:tcW w:w="7176" w:type="dxa"/>
            <w:vAlign w:val="center"/>
          </w:tcPr>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单位名称：韶关市公共资源交易中心仁化分中心</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办公地址：仁化县丹霞大道228号1</w:t>
            </w:r>
            <w:r>
              <w:rPr>
                <w:rFonts w:hint="eastAsia" w:ascii="宋体" w:hAnsi="宋体" w:cs="宋体"/>
                <w:sz w:val="24"/>
                <w:szCs w:val="24"/>
                <w:lang w:val="en-US" w:eastAsia="zh-CN"/>
              </w:rPr>
              <w:t>2</w:t>
            </w:r>
            <w:r>
              <w:rPr>
                <w:rFonts w:hint="eastAsia" w:ascii="宋体" w:hAnsi="宋体" w:eastAsia="宋体" w:cs="宋体"/>
                <w:sz w:val="24"/>
                <w:szCs w:val="24"/>
                <w:lang w:val="zh-CN"/>
              </w:rPr>
              <w:t>楼韶关市公共资源交易中心仁化分中心</w:t>
            </w:r>
          </w:p>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zh-CN"/>
              </w:rPr>
              <w:t>联系人（部门）：</w:t>
            </w:r>
            <w:r>
              <w:rPr>
                <w:rFonts w:hint="eastAsia" w:ascii="宋体" w:hAnsi="宋体" w:eastAsia="宋体" w:cs="宋体"/>
                <w:sz w:val="24"/>
                <w:szCs w:val="24"/>
                <w:lang w:val="zh-CN" w:eastAsia="zh-CN"/>
              </w:rPr>
              <w:t>吴工</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联系电话：0751—6354032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vAlign w:val="center"/>
          </w:tcPr>
          <w:p>
            <w:pPr>
              <w:pStyle w:val="2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29</w:t>
            </w:r>
          </w:p>
        </w:tc>
        <w:tc>
          <w:tcPr>
            <w:tcW w:w="2072" w:type="dxa"/>
            <w:vAlign w:val="center"/>
          </w:tcPr>
          <w:p>
            <w:pPr>
              <w:wordWrap w:val="0"/>
              <w:adjustRightInd w:val="0"/>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行政监督部门</w:t>
            </w:r>
          </w:p>
          <w:p>
            <w:pPr>
              <w:wordWrap w:val="0"/>
              <w:adjustRightInd w:val="0"/>
              <w:snapToGrid w:val="0"/>
              <w:spacing w:line="360" w:lineRule="auto"/>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snapToGrid w:val="0"/>
                <w:color w:val="auto"/>
                <w:kern w:val="0"/>
                <w:sz w:val="24"/>
                <w:szCs w:val="24"/>
              </w:rPr>
              <w:t>联系方式</w:t>
            </w:r>
          </w:p>
        </w:tc>
        <w:tc>
          <w:tcPr>
            <w:tcW w:w="7176" w:type="dxa"/>
            <w:vAlign w:val="center"/>
          </w:tcPr>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zh-CN"/>
              </w:rPr>
              <w:t>单位名称：</w:t>
            </w:r>
            <w:r>
              <w:rPr>
                <w:rFonts w:hint="eastAsia" w:ascii="宋体" w:hAnsi="宋体" w:eastAsia="宋体" w:cs="宋体"/>
                <w:sz w:val="24"/>
                <w:szCs w:val="24"/>
                <w:lang w:val="zh-CN" w:eastAsia="zh-CN"/>
              </w:rPr>
              <w:t>仁化县住房和城乡建设管理局</w:t>
            </w:r>
          </w:p>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zh-CN"/>
              </w:rPr>
              <w:t>办公地址：</w:t>
            </w:r>
            <w:r>
              <w:rPr>
                <w:rFonts w:hint="eastAsia" w:ascii="宋体" w:hAnsi="宋体" w:eastAsia="宋体" w:cs="宋体"/>
                <w:sz w:val="24"/>
                <w:szCs w:val="24"/>
                <w:lang w:val="zh-CN" w:eastAsia="zh-CN"/>
              </w:rPr>
              <w:t>仁化县丹霞大道228号仁化县行政服务中心6楼</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联系人（部门）：建筑业监督管理股</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联系电话：0751-6354573</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
        <w:wordWrap w:val="0"/>
        <w:autoSpaceDE/>
        <w:autoSpaceDN/>
        <w:snapToGrid w:val="0"/>
        <w:spacing w:before="260" w:after="260" w:line="360" w:lineRule="auto"/>
        <w:jc w:val="both"/>
        <w:outlineLvl w:val="1"/>
        <w:rPr>
          <w:rFonts w:hint="eastAsia" w:ascii="宋体" w:hAnsi="宋体" w:eastAsia="宋体" w:cs="宋体"/>
          <w:b/>
          <w:snapToGrid w:val="0"/>
          <w:color w:val="auto"/>
          <w:sz w:val="24"/>
          <w:szCs w:val="24"/>
        </w:rPr>
      </w:pPr>
      <w:bookmarkStart w:id="20" w:name="_Toc26107"/>
      <w:bookmarkStart w:id="21" w:name="_Toc28425"/>
      <w:bookmarkStart w:id="22" w:name="_Toc32617"/>
      <w:bookmarkStart w:id="23" w:name="_Toc39136331"/>
      <w:bookmarkStart w:id="24" w:name="_Toc29060"/>
      <w:bookmarkStart w:id="25" w:name="_Toc15714"/>
      <w:bookmarkStart w:id="26" w:name="_Toc13214"/>
      <w:bookmarkStart w:id="27" w:name="_Toc16560"/>
      <w:bookmarkStart w:id="28" w:name="_Toc19323"/>
      <w:bookmarkStart w:id="29" w:name="_Toc122769943"/>
      <w:bookmarkStart w:id="30" w:name="_Toc122859103"/>
      <w:bookmarkStart w:id="31" w:name="_Toc122671103"/>
      <w:r>
        <w:rPr>
          <w:rFonts w:hint="eastAsia" w:ascii="宋体" w:hAnsi="宋体" w:eastAsia="宋体" w:cs="宋体"/>
          <w:b/>
          <w:snapToGrid w:val="0"/>
          <w:color w:val="auto"/>
          <w:sz w:val="24"/>
          <w:szCs w:val="24"/>
          <w:lang w:eastAsia="zh-CN"/>
        </w:rPr>
        <w:t>第二节</w:t>
      </w:r>
      <w:r>
        <w:rPr>
          <w:rFonts w:hint="eastAsia" w:ascii="宋体" w:hAnsi="宋体" w:eastAsia="宋体" w:cs="宋体"/>
          <w:b/>
          <w:snapToGrid w:val="0"/>
          <w:color w:val="auto"/>
          <w:sz w:val="24"/>
          <w:szCs w:val="24"/>
          <w:lang w:val="en-US" w:eastAsia="zh-CN"/>
        </w:rPr>
        <w:t xml:space="preserve">   </w:t>
      </w:r>
      <w:r>
        <w:rPr>
          <w:rFonts w:hint="eastAsia" w:ascii="宋体" w:hAnsi="宋体" w:eastAsia="宋体" w:cs="宋体"/>
          <w:b/>
          <w:snapToGrid w:val="0"/>
          <w:color w:val="auto"/>
          <w:sz w:val="24"/>
          <w:szCs w:val="24"/>
        </w:rPr>
        <w:t>重要事项时间地点一览表</w:t>
      </w:r>
      <w:bookmarkEnd w:id="20"/>
      <w:bookmarkEnd w:id="21"/>
      <w:bookmarkEnd w:id="22"/>
      <w:bookmarkEnd w:id="23"/>
      <w:bookmarkEnd w:id="24"/>
      <w:bookmarkEnd w:id="25"/>
      <w:bookmarkEnd w:id="26"/>
      <w:bookmarkEnd w:id="27"/>
      <w:bookmarkEnd w:id="28"/>
    </w:p>
    <w:bookmarkEnd w:id="29"/>
    <w:bookmarkEnd w:id="30"/>
    <w:bookmarkEnd w:id="31"/>
    <w:tbl>
      <w:tblPr>
        <w:tblStyle w:val="15"/>
        <w:tblW w:w="9712" w:type="dxa"/>
        <w:tblInd w:w="-13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06"/>
        <w:gridCol w:w="1566"/>
        <w:gridCol w:w="76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0"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招标公告</w:t>
            </w:r>
          </w:p>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highlight w:val="none"/>
              </w:rPr>
              <w:t>发布时间</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21"/>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02</w:t>
            </w:r>
            <w:r>
              <w:rPr>
                <w:rFonts w:hint="eastAsia" w:ascii="宋体" w:hAnsi="宋体" w:eastAsia="宋体" w:cs="宋体"/>
                <w:snapToGrid w:val="0"/>
                <w:color w:val="auto"/>
                <w:kern w:val="0"/>
                <w:sz w:val="24"/>
                <w:highlight w:val="none"/>
              </w:rPr>
              <w:t>日</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rPr>
              <w:t>时</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0"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highlight w:val="none"/>
                <w:lang w:val="en-US" w:eastAsia="zh-CN"/>
              </w:rPr>
              <w:t>获取招标文件截止时间</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21"/>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23</w:t>
            </w:r>
            <w:r>
              <w:rPr>
                <w:rFonts w:hint="eastAsia" w:ascii="宋体" w:hAnsi="宋体" w:eastAsia="宋体" w:cs="宋体"/>
                <w:snapToGrid w:val="0"/>
                <w:color w:val="auto"/>
                <w:kern w:val="0"/>
                <w:sz w:val="24"/>
                <w:highlight w:val="none"/>
              </w:rPr>
              <w:t>日</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rPr>
              <w:t>时</w:t>
            </w:r>
            <w:r>
              <w:rPr>
                <w:rFonts w:hint="eastAsia" w:ascii="宋体" w:hAnsi="宋体" w:cs="宋体"/>
                <w:color w:val="auto"/>
                <w:sz w:val="24"/>
                <w:highlight w:val="none"/>
                <w:u w:val="single"/>
                <w:lang w:val="en-US" w:eastAsia="zh-CN"/>
              </w:rPr>
              <w:t>0</w:t>
            </w:r>
            <w:bookmarkStart w:id="469" w:name="_GoBack"/>
            <w:bookmarkEnd w:id="469"/>
            <w:r>
              <w:rPr>
                <w:rFonts w:hint="eastAsia" w:ascii="宋体" w:hAnsi="宋体" w:cs="宋体"/>
                <w:color w:val="auto"/>
                <w:sz w:val="24"/>
                <w:highlight w:val="none"/>
                <w:u w:val="single"/>
                <w:lang w:val="en-US" w:eastAsia="zh-CN"/>
              </w:rPr>
              <w:t>0</w:t>
            </w:r>
            <w:r>
              <w:rPr>
                <w:rFonts w:hint="eastAsia" w:ascii="宋体" w:hAnsi="宋体" w:eastAsia="宋体" w:cs="宋体"/>
                <w:color w:val="auto"/>
                <w:sz w:val="24"/>
                <w:highlight w:val="none"/>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0"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网上提问</w:t>
            </w:r>
          </w:p>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截止时间</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21"/>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13</w:t>
            </w:r>
            <w:r>
              <w:rPr>
                <w:rFonts w:hint="eastAsia" w:ascii="宋体" w:hAnsi="宋体" w:eastAsia="宋体" w:cs="宋体"/>
                <w:snapToGrid w:val="0"/>
                <w:color w:val="auto"/>
                <w:kern w:val="0"/>
                <w:sz w:val="24"/>
                <w:highlight w:val="none"/>
              </w:rPr>
              <w:t>日</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rPr>
              <w:t>时</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0"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网上答疑</w:t>
            </w:r>
          </w:p>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时间</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21"/>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13</w:t>
            </w:r>
            <w:r>
              <w:rPr>
                <w:rFonts w:hint="eastAsia" w:ascii="宋体" w:hAnsi="宋体" w:eastAsia="宋体" w:cs="宋体"/>
                <w:snapToGrid w:val="0"/>
                <w:color w:val="auto"/>
                <w:kern w:val="0"/>
                <w:sz w:val="24"/>
                <w:highlight w:val="none"/>
              </w:rPr>
              <w:t>日</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rPr>
              <w:t>时</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rPr>
              <w:t>分</w:t>
            </w:r>
            <w:r>
              <w:rPr>
                <w:rFonts w:hint="eastAsia" w:ascii="宋体" w:hAnsi="宋体" w:eastAsia="宋体" w:cs="宋体"/>
                <w:snapToGrid w:val="0"/>
                <w:color w:val="auto"/>
                <w:kern w:val="0"/>
                <w:sz w:val="24"/>
                <w:szCs w:val="24"/>
                <w:highlight w:val="none"/>
              </w:rPr>
              <w:t>至</w:t>
            </w: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16</w:t>
            </w:r>
            <w:r>
              <w:rPr>
                <w:rFonts w:hint="eastAsia" w:ascii="宋体" w:hAnsi="宋体" w:eastAsia="宋体" w:cs="宋体"/>
                <w:snapToGrid w:val="0"/>
                <w:color w:val="auto"/>
                <w:kern w:val="0"/>
                <w:sz w:val="24"/>
                <w:highlight w:val="none"/>
              </w:rPr>
              <w:t>日</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rPr>
              <w:t>时</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36"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5</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投标保证缴</w:t>
            </w:r>
          </w:p>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纳截止时间</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21"/>
              <w:keepNext w:val="0"/>
              <w:keepLines w:val="0"/>
              <w:pageBreakBefore w:val="0"/>
              <w:widowControl w:val="0"/>
              <w:kinsoku/>
              <w:wordWrap w:val="0"/>
              <w:overflowPunct/>
              <w:topLinePunct w:val="0"/>
              <w:autoSpaceDE/>
              <w:autoSpaceDN/>
              <w:bidi w:val="0"/>
              <w:adjustRightInd w:val="0"/>
              <w:snapToGrid w:val="0"/>
              <w:spacing w:line="360" w:lineRule="auto"/>
              <w:ind w:left="105" w:leftChars="50"/>
              <w:textAlignment w:val="auto"/>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投标保证金到账截止时间：</w:t>
            </w: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22</w:t>
            </w:r>
            <w:r>
              <w:rPr>
                <w:rFonts w:hint="eastAsia" w:ascii="宋体" w:hAnsi="宋体" w:eastAsia="宋体" w:cs="宋体"/>
                <w:snapToGrid w:val="0"/>
                <w:color w:val="auto"/>
                <w:kern w:val="0"/>
                <w:sz w:val="24"/>
                <w:highlight w:val="none"/>
              </w:rPr>
              <w:t>日</w:t>
            </w:r>
            <w:r>
              <w:rPr>
                <w:rFonts w:hint="eastAsia" w:ascii="宋体" w:hAnsi="宋体" w:eastAsia="宋体" w:cs="宋体"/>
                <w:snapToGrid w:val="0"/>
                <w:color w:val="auto"/>
                <w:kern w:val="0"/>
                <w:sz w:val="24"/>
                <w:szCs w:val="24"/>
                <w:highlight w:val="none"/>
                <w:u w:val="single"/>
                <w:lang w:val="en-US" w:eastAsia="zh-CN"/>
              </w:rPr>
              <w:t>15</w:t>
            </w:r>
            <w:r>
              <w:rPr>
                <w:rFonts w:hint="eastAsia" w:ascii="宋体" w:hAnsi="宋体" w:eastAsia="宋体" w:cs="宋体"/>
                <w:snapToGrid w:val="0"/>
                <w:color w:val="auto"/>
                <w:kern w:val="0"/>
                <w:sz w:val="24"/>
                <w:szCs w:val="24"/>
                <w:highlight w:val="none"/>
              </w:rPr>
              <w:t>时</w:t>
            </w:r>
            <w:r>
              <w:rPr>
                <w:rFonts w:hint="eastAsia" w:ascii="宋体" w:hAnsi="宋体" w:eastAsia="宋体" w:cs="宋体"/>
                <w:snapToGrid w:val="0"/>
                <w:color w:val="auto"/>
                <w:kern w:val="0"/>
                <w:sz w:val="24"/>
                <w:szCs w:val="24"/>
                <w:highlight w:val="none"/>
                <w:u w:val="single"/>
                <w:lang w:val="en-US" w:eastAsia="zh-CN"/>
              </w:rPr>
              <w:t>00</w:t>
            </w:r>
            <w:r>
              <w:rPr>
                <w:rFonts w:hint="eastAsia" w:ascii="宋体" w:hAnsi="宋体" w:eastAsia="宋体" w:cs="宋体"/>
                <w:snapToGrid w:val="0"/>
                <w:color w:val="auto"/>
                <w:kern w:val="0"/>
                <w:sz w:val="24"/>
                <w:szCs w:val="24"/>
                <w:highlight w:val="none"/>
              </w:rPr>
              <w:t>分；</w:t>
            </w:r>
          </w:p>
          <w:p>
            <w:pPr>
              <w:pStyle w:val="21"/>
              <w:keepNext w:val="0"/>
              <w:keepLines w:val="0"/>
              <w:pageBreakBefore w:val="0"/>
              <w:widowControl w:val="0"/>
              <w:kinsoku/>
              <w:wordWrap w:val="0"/>
              <w:overflowPunct/>
              <w:topLinePunct w:val="0"/>
              <w:autoSpaceDE/>
              <w:autoSpaceDN/>
              <w:bidi w:val="0"/>
              <w:adjustRightInd w:val="0"/>
              <w:snapToGrid w:val="0"/>
              <w:spacing w:line="360" w:lineRule="auto"/>
              <w:ind w:left="105" w:leftChars="50"/>
              <w:textAlignment w:val="auto"/>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投标保证担保上传截止时间：</w:t>
            </w: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22</w:t>
            </w:r>
            <w:r>
              <w:rPr>
                <w:rFonts w:hint="eastAsia" w:ascii="宋体" w:hAnsi="宋体" w:eastAsia="宋体" w:cs="宋体"/>
                <w:snapToGrid w:val="0"/>
                <w:color w:val="auto"/>
                <w:kern w:val="0"/>
                <w:sz w:val="24"/>
                <w:highlight w:val="none"/>
              </w:rPr>
              <w:t>日</w:t>
            </w:r>
            <w:r>
              <w:rPr>
                <w:rFonts w:hint="eastAsia" w:ascii="宋体" w:hAnsi="宋体" w:eastAsia="宋体" w:cs="宋体"/>
                <w:snapToGrid w:val="0"/>
                <w:color w:val="auto"/>
                <w:kern w:val="0"/>
                <w:sz w:val="24"/>
                <w:szCs w:val="24"/>
                <w:highlight w:val="none"/>
                <w:u w:val="single"/>
                <w:lang w:val="en-US" w:eastAsia="zh-CN"/>
              </w:rPr>
              <w:t>15</w:t>
            </w:r>
            <w:r>
              <w:rPr>
                <w:rFonts w:hint="eastAsia" w:ascii="宋体" w:hAnsi="宋体" w:eastAsia="宋体" w:cs="宋体"/>
                <w:snapToGrid w:val="0"/>
                <w:color w:val="auto"/>
                <w:kern w:val="0"/>
                <w:sz w:val="24"/>
                <w:szCs w:val="24"/>
                <w:highlight w:val="none"/>
              </w:rPr>
              <w:t>时</w:t>
            </w:r>
            <w:r>
              <w:rPr>
                <w:rFonts w:hint="eastAsia" w:ascii="宋体" w:hAnsi="宋体" w:eastAsia="宋体" w:cs="宋体"/>
                <w:snapToGrid w:val="0"/>
                <w:color w:val="auto"/>
                <w:kern w:val="0"/>
                <w:sz w:val="24"/>
                <w:szCs w:val="24"/>
                <w:highlight w:val="none"/>
                <w:u w:val="single"/>
                <w:lang w:val="en-US" w:eastAsia="zh-CN"/>
              </w:rPr>
              <w:t>00</w:t>
            </w:r>
            <w:r>
              <w:rPr>
                <w:rFonts w:hint="eastAsia" w:ascii="宋体" w:hAnsi="宋体" w:eastAsia="宋体" w:cs="宋体"/>
                <w:snapToGrid w:val="0"/>
                <w:color w:val="auto"/>
                <w:kern w:val="0"/>
                <w:sz w:val="24"/>
                <w:szCs w:val="24"/>
                <w:highlight w:val="none"/>
              </w:rPr>
              <w:t>分；</w:t>
            </w:r>
          </w:p>
          <w:p>
            <w:pPr>
              <w:pStyle w:val="13"/>
              <w:keepNext w:val="0"/>
              <w:keepLines w:val="0"/>
              <w:pageBreakBefore w:val="0"/>
              <w:widowControl w:val="0"/>
              <w:kinsoku/>
              <w:wordWrap w:val="0"/>
              <w:overflowPunct/>
              <w:topLinePunct w:val="0"/>
              <w:autoSpaceDE/>
              <w:autoSpaceDN/>
              <w:bidi w:val="0"/>
              <w:adjustRightInd w:val="0"/>
              <w:snapToGrid w:val="0"/>
              <w:spacing w:line="360" w:lineRule="auto"/>
              <w:ind w:left="105" w:leftChars="50"/>
              <w:textAlignment w:val="auto"/>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投标保证保险投保截止时间：</w:t>
            </w: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hAnsi="宋体" w:cs="宋体"/>
                <w:snapToGrid w:val="0"/>
                <w:color w:val="auto"/>
                <w:kern w:val="0"/>
                <w:sz w:val="24"/>
                <w:highlight w:val="none"/>
                <w:u w:val="single"/>
                <w:lang w:val="en-US" w:eastAsia="zh-CN"/>
              </w:rPr>
              <w:t>22</w:t>
            </w:r>
            <w:r>
              <w:rPr>
                <w:rFonts w:hint="eastAsia" w:ascii="宋体" w:hAnsi="宋体" w:eastAsia="宋体" w:cs="宋体"/>
                <w:snapToGrid w:val="0"/>
                <w:color w:val="auto"/>
                <w:kern w:val="0"/>
                <w:sz w:val="24"/>
                <w:highlight w:val="none"/>
              </w:rPr>
              <w:t>日</w:t>
            </w:r>
            <w:r>
              <w:rPr>
                <w:rFonts w:hint="eastAsia" w:ascii="宋体" w:hAnsi="宋体" w:eastAsia="宋体" w:cs="宋体"/>
                <w:snapToGrid w:val="0"/>
                <w:color w:val="auto"/>
                <w:kern w:val="0"/>
                <w:sz w:val="24"/>
                <w:highlight w:val="none"/>
                <w:u w:val="single"/>
                <w:lang w:val="en-US" w:eastAsia="zh-CN"/>
              </w:rPr>
              <w:t>1</w:t>
            </w:r>
            <w:r>
              <w:rPr>
                <w:rFonts w:hint="eastAsia" w:ascii="宋体" w:hAnsi="宋体" w:eastAsia="宋体" w:cs="宋体"/>
                <w:snapToGrid w:val="0"/>
                <w:color w:val="auto"/>
                <w:kern w:val="0"/>
                <w:sz w:val="24"/>
                <w:szCs w:val="24"/>
                <w:highlight w:val="none"/>
                <w:u w:val="single"/>
                <w:lang w:val="en-US" w:eastAsia="zh-CN"/>
              </w:rPr>
              <w:t>5</w:t>
            </w:r>
            <w:r>
              <w:rPr>
                <w:rFonts w:hint="eastAsia" w:ascii="宋体" w:hAnsi="宋体" w:eastAsia="宋体" w:cs="宋体"/>
                <w:snapToGrid w:val="0"/>
                <w:color w:val="auto"/>
                <w:kern w:val="0"/>
                <w:sz w:val="24"/>
                <w:szCs w:val="24"/>
                <w:highlight w:val="none"/>
              </w:rPr>
              <w:t>时</w:t>
            </w:r>
            <w:r>
              <w:rPr>
                <w:rFonts w:hint="eastAsia" w:ascii="宋体" w:hAnsi="宋体" w:eastAsia="宋体" w:cs="宋体"/>
                <w:snapToGrid w:val="0"/>
                <w:color w:val="auto"/>
                <w:kern w:val="0"/>
                <w:sz w:val="24"/>
                <w:szCs w:val="24"/>
                <w:highlight w:val="none"/>
                <w:u w:val="single"/>
                <w:lang w:val="en-US" w:eastAsia="zh-CN"/>
              </w:rPr>
              <w:t>00</w:t>
            </w:r>
            <w:r>
              <w:rPr>
                <w:rFonts w:hint="eastAsia" w:ascii="宋体" w:hAnsi="宋体" w:eastAsia="宋体" w:cs="宋体"/>
                <w:snapToGrid w:val="0"/>
                <w:color w:val="auto"/>
                <w:kern w:val="0"/>
                <w:sz w:val="24"/>
                <w:szCs w:val="24"/>
                <w:highlight w:val="none"/>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0"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6</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电子投标</w:t>
            </w:r>
          </w:p>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截止时间</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13"/>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23</w:t>
            </w:r>
            <w:r>
              <w:rPr>
                <w:rFonts w:hint="eastAsia" w:ascii="宋体" w:hAnsi="宋体" w:eastAsia="宋体" w:cs="宋体"/>
                <w:snapToGrid w:val="0"/>
                <w:color w:val="auto"/>
                <w:kern w:val="0"/>
                <w:sz w:val="24"/>
                <w:highlight w:val="none"/>
              </w:rPr>
              <w:t>日</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rPr>
              <w:t>时</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04"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keepNext w:val="0"/>
              <w:keepLines w:val="0"/>
              <w:pageBreakBefore w:val="0"/>
              <w:widowControl w:val="0"/>
              <w:kinsoku/>
              <w:wordWrap w:val="0"/>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caps w:val="0"/>
                <w:smallCaps w:val="0"/>
                <w:snapToGrid w:val="0"/>
                <w:color w:val="auto"/>
                <w:spacing w:val="0"/>
                <w:kern w:val="0"/>
                <w:sz w:val="24"/>
                <w:szCs w:val="24"/>
                <w:highlight w:val="none"/>
                <w:u w:val="none" w:color="auto"/>
                <w:lang w:val="en-US" w:eastAsia="zh-CN" w:bidi="ar-SA"/>
              </w:rPr>
            </w:pPr>
            <w:r>
              <w:rPr>
                <w:rFonts w:hint="eastAsia" w:ascii="宋体" w:hAnsi="宋体" w:eastAsia="宋体" w:cs="宋体"/>
                <w:caps w:val="0"/>
                <w:smallCaps w:val="0"/>
                <w:snapToGrid w:val="0"/>
                <w:color w:val="auto"/>
                <w:spacing w:val="0"/>
                <w:kern w:val="0"/>
                <w:sz w:val="24"/>
                <w:szCs w:val="24"/>
                <w:highlight w:val="none"/>
                <w:u w:val="none" w:color="auto"/>
                <w:lang w:val="en-US" w:eastAsia="zh-CN"/>
              </w:rPr>
              <w:t>7</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widowControl w:val="0"/>
              <w:wordWrap w:val="0"/>
              <w:adjustRightInd w:val="0"/>
              <w:snapToGrid w:val="0"/>
              <w:spacing w:line="360" w:lineRule="auto"/>
              <w:jc w:val="center"/>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投标相关资料（如有</w:t>
            </w:r>
          </w:p>
          <w:p>
            <w:pPr>
              <w:pStyle w:val="21"/>
              <w:wordWrap w:val="0"/>
              <w:adjustRightInd w:val="0"/>
              <w:snapToGrid w:val="0"/>
              <w:spacing w:line="360" w:lineRule="auto"/>
              <w:jc w:val="center"/>
              <w:rPr>
                <w:rFonts w:hint="eastAsia" w:ascii="宋体" w:hAnsi="宋体" w:eastAsia="宋体" w:cs="宋体"/>
                <w:caps w:val="0"/>
                <w:smallCaps w:val="0"/>
                <w:snapToGrid w:val="0"/>
                <w:color w:val="auto"/>
                <w:spacing w:val="0"/>
                <w:kern w:val="0"/>
                <w:sz w:val="24"/>
                <w:szCs w:val="24"/>
                <w:highlight w:val="none"/>
                <w:u w:val="none" w:color="auto"/>
                <w:lang w:val="en-US" w:eastAsia="zh-CN" w:bidi="ar-SA"/>
              </w:rPr>
            </w:pPr>
            <w:r>
              <w:rPr>
                <w:rFonts w:hint="eastAsia" w:ascii="宋体" w:hAnsi="宋体" w:eastAsia="宋体" w:cs="宋体"/>
                <w:snapToGrid w:val="0"/>
                <w:color w:val="auto"/>
                <w:kern w:val="0"/>
                <w:sz w:val="24"/>
                <w:szCs w:val="24"/>
                <w:highlight w:val="none"/>
                <w:lang w:val="en-US" w:eastAsia="zh-CN" w:bidi="ar-SA"/>
              </w:rPr>
              <w:t>递交时间)</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13"/>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rPr>
                <w:rFonts w:hint="eastAsia" w:ascii="宋体" w:hAnsi="宋体" w:eastAsia="宋体" w:cs="宋体"/>
                <w:caps w:val="0"/>
                <w:smallCaps w:val="0"/>
                <w:snapToGrid w:val="0"/>
                <w:color w:val="auto"/>
                <w:spacing w:val="0"/>
                <w:kern w:val="0"/>
                <w:sz w:val="24"/>
                <w:szCs w:val="24"/>
                <w:highlight w:val="none"/>
                <w:u w:val="none" w:color="auto"/>
                <w:lang w:val="en-US" w:eastAsia="zh-CN" w:bidi="ar-SA"/>
              </w:rPr>
            </w:pP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23</w:t>
            </w:r>
            <w:r>
              <w:rPr>
                <w:rFonts w:hint="eastAsia" w:ascii="宋体" w:hAnsi="宋体" w:eastAsia="宋体" w:cs="宋体"/>
                <w:snapToGrid w:val="0"/>
                <w:color w:val="auto"/>
                <w:kern w:val="0"/>
                <w:sz w:val="24"/>
                <w:highlight w:val="non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rPr>
              <w:t>时</w:t>
            </w:r>
            <w:r>
              <w:rPr>
                <w:rFonts w:hint="eastAsia" w:hAnsi="宋体" w:cs="宋体"/>
                <w:color w:val="auto"/>
                <w:sz w:val="24"/>
                <w:highlight w:val="none"/>
                <w:u w:val="single"/>
                <w:lang w:val="en-US" w:eastAsia="zh-CN"/>
              </w:rPr>
              <w:t>3</w:t>
            </w:r>
            <w:r>
              <w:rPr>
                <w:rFonts w:hint="eastAsia" w:ascii="宋体" w:hAnsi="宋体" w:cs="宋体"/>
                <w:color w:val="auto"/>
                <w:sz w:val="24"/>
                <w:highlight w:val="none"/>
                <w:u w:val="single"/>
                <w:lang w:val="en-US" w:eastAsia="zh-CN"/>
              </w:rPr>
              <w:t>0</w:t>
            </w:r>
            <w:r>
              <w:rPr>
                <w:rFonts w:hint="eastAsia" w:ascii="宋体" w:hAnsi="宋体" w:eastAsia="宋体" w:cs="宋体"/>
                <w:color w:val="auto"/>
                <w:sz w:val="24"/>
                <w:highlight w:val="none"/>
              </w:rPr>
              <w:t>分</w:t>
            </w:r>
            <w:r>
              <w:rPr>
                <w:rFonts w:hint="eastAsia" w:ascii="宋体" w:hAnsi="宋体" w:eastAsia="宋体" w:cs="宋体"/>
                <w:snapToGrid w:val="0"/>
                <w:color w:val="auto"/>
                <w:kern w:val="0"/>
                <w:sz w:val="24"/>
                <w:szCs w:val="24"/>
                <w:highlight w:val="none"/>
              </w:rPr>
              <w:t>至</w:t>
            </w: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23</w:t>
            </w:r>
            <w:r>
              <w:rPr>
                <w:rFonts w:hint="eastAsia" w:ascii="宋体" w:hAnsi="宋体" w:eastAsia="宋体" w:cs="宋体"/>
                <w:snapToGrid w:val="0"/>
                <w:color w:val="auto"/>
                <w:kern w:val="0"/>
                <w:sz w:val="24"/>
                <w:highlight w:val="none"/>
              </w:rPr>
              <w:t>日</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rPr>
              <w:t>时</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04"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keepNext w:val="0"/>
              <w:keepLines w:val="0"/>
              <w:pageBreakBefore w:val="0"/>
              <w:widowControl w:val="0"/>
              <w:kinsoku/>
              <w:wordWrap w:val="0"/>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caps w:val="0"/>
                <w:smallCaps w:val="0"/>
                <w:snapToGrid w:val="0"/>
                <w:color w:val="auto"/>
                <w:spacing w:val="0"/>
                <w:kern w:val="0"/>
                <w:sz w:val="24"/>
                <w:szCs w:val="24"/>
                <w:highlight w:val="none"/>
                <w:u w:val="none" w:color="auto"/>
                <w:lang w:val="en-US" w:eastAsia="zh-CN" w:bidi="ar-SA"/>
              </w:rPr>
            </w:pPr>
            <w:r>
              <w:rPr>
                <w:rFonts w:hint="eastAsia" w:ascii="宋体" w:hAnsi="宋体" w:eastAsia="宋体" w:cs="宋体"/>
                <w:caps w:val="0"/>
                <w:smallCaps w:val="0"/>
                <w:snapToGrid w:val="0"/>
                <w:color w:val="auto"/>
                <w:spacing w:val="0"/>
                <w:kern w:val="0"/>
                <w:sz w:val="24"/>
                <w:szCs w:val="24"/>
                <w:highlight w:val="none"/>
                <w:u w:val="none" w:color="auto"/>
                <w:lang w:val="en-US" w:eastAsia="zh-CN"/>
              </w:rPr>
              <w:t>8</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rPr>
                <w:rFonts w:hint="eastAsia" w:ascii="宋体" w:hAnsi="宋体" w:eastAsia="宋体" w:cs="宋体"/>
                <w:caps w:val="0"/>
                <w:smallCaps w:val="0"/>
                <w:snapToGrid w:val="0"/>
                <w:color w:val="auto"/>
                <w:spacing w:val="0"/>
                <w:kern w:val="0"/>
                <w:sz w:val="24"/>
                <w:szCs w:val="24"/>
                <w:highlight w:val="none"/>
                <w:u w:val="none" w:color="auto"/>
                <w:lang w:val="en-US" w:eastAsia="zh-CN" w:bidi="ar-SA"/>
              </w:rPr>
            </w:pPr>
            <w:r>
              <w:rPr>
                <w:rFonts w:hint="eastAsia" w:ascii="宋体" w:hAnsi="宋体" w:eastAsia="宋体" w:cs="宋体"/>
                <w:snapToGrid w:val="0"/>
                <w:color w:val="auto"/>
                <w:kern w:val="0"/>
                <w:sz w:val="24"/>
                <w:szCs w:val="24"/>
                <w:highlight w:val="none"/>
                <w:lang w:val="en-US" w:eastAsia="zh-CN"/>
              </w:rPr>
              <w:t>投标相关资料（如有）递交地点</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21"/>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napToGrid w:val="0"/>
                <w:color w:val="auto"/>
                <w:kern w:val="0"/>
                <w:sz w:val="24"/>
                <w:szCs w:val="24"/>
                <w:highlight w:val="none"/>
                <w:u w:val="none"/>
                <w:lang w:val="en-US" w:eastAsia="zh-CN" w:bidi="ar-SA"/>
              </w:rPr>
              <w:t>递交场所：韶关市公共资源交易中心仁化分中心</w:t>
            </w:r>
          </w:p>
          <w:p>
            <w:pPr>
              <w:pStyle w:val="21"/>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rPr>
                <w:rFonts w:hint="eastAsia" w:ascii="宋体" w:hAnsi="宋体" w:eastAsia="宋体" w:cs="宋体"/>
                <w:caps w:val="0"/>
                <w:smallCaps w:val="0"/>
                <w:snapToGrid w:val="0"/>
                <w:color w:val="auto"/>
                <w:spacing w:val="0"/>
                <w:kern w:val="0"/>
                <w:sz w:val="24"/>
                <w:szCs w:val="24"/>
                <w:highlight w:val="none"/>
                <w:u w:val="none" w:color="auto"/>
                <w:lang w:val="en-US" w:eastAsia="zh-CN" w:bidi="ar-SA"/>
              </w:rPr>
            </w:pPr>
            <w:r>
              <w:rPr>
                <w:rFonts w:hint="eastAsia" w:ascii="宋体" w:hAnsi="宋体" w:eastAsia="宋体" w:cs="宋体"/>
                <w:color w:val="auto"/>
                <w:kern w:val="2"/>
                <w:sz w:val="24"/>
                <w:szCs w:val="24"/>
                <w:highlight w:val="none"/>
                <w:lang w:val="en-US" w:eastAsia="zh-CN" w:bidi="ar-SA"/>
              </w:rPr>
              <w:t>地址</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仁化县丹霞大道228号11楼韶关市公共资源交易中心仁化分中心</w:t>
            </w:r>
            <w:r>
              <w:rPr>
                <w:rFonts w:hint="eastAsia" w:ascii="宋体" w:hAnsi="宋体" w:eastAsia="宋体" w:cs="宋体"/>
                <w:b w:val="0"/>
                <w:bCs/>
                <w:color w:val="auto"/>
                <w:sz w:val="24"/>
                <w:szCs w:val="24"/>
                <w:highlight w:val="none"/>
              </w:rPr>
              <w:t>，具体房间号以当日现场通知为准。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7"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lang w:eastAsia="zh-CN"/>
              </w:rPr>
            </w:pPr>
            <w:r>
              <w:rPr>
                <w:rFonts w:hint="eastAsia" w:ascii="宋体" w:hAnsi="宋体" w:eastAsia="宋体" w:cs="宋体"/>
                <w:snapToGrid w:val="0"/>
                <w:color w:val="auto"/>
                <w:kern w:val="0"/>
                <w:sz w:val="24"/>
                <w:szCs w:val="24"/>
                <w:highlight w:val="none"/>
                <w:lang w:val="en-US" w:eastAsia="zh-CN"/>
              </w:rPr>
              <w:t>9</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开标时间</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13"/>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cs="宋体"/>
                <w:snapToGrid w:val="0"/>
                <w:color w:val="auto"/>
                <w:kern w:val="0"/>
                <w:sz w:val="24"/>
                <w:highlight w:val="none"/>
                <w:u w:val="single"/>
                <w:lang w:val="en-US" w:eastAsia="zh-CN"/>
              </w:rPr>
              <w:t>2024</w:t>
            </w:r>
            <w:r>
              <w:rPr>
                <w:rFonts w:hint="eastAsia" w:ascii="宋体" w:hAnsi="宋体" w:eastAsia="宋体" w:cs="宋体"/>
                <w:snapToGrid w:val="0"/>
                <w:color w:val="auto"/>
                <w:kern w:val="0"/>
                <w:sz w:val="24"/>
                <w:highlight w:val="none"/>
                <w:u w:val="none"/>
              </w:rPr>
              <w:t>年</w:t>
            </w:r>
            <w:r>
              <w:rPr>
                <w:rFonts w:hint="eastAsia" w:ascii="宋体" w:hAnsi="宋体" w:cs="宋体"/>
                <w:snapToGrid w:val="0"/>
                <w:color w:val="auto"/>
                <w:kern w:val="0"/>
                <w:sz w:val="24"/>
                <w:highlight w:val="none"/>
                <w:u w:val="single"/>
                <w:lang w:val="en-US" w:eastAsia="zh-CN"/>
              </w:rPr>
              <w:t>07</w:t>
            </w:r>
            <w:r>
              <w:rPr>
                <w:rFonts w:hint="eastAsia" w:ascii="宋体" w:hAnsi="宋体" w:eastAsia="宋体" w:cs="宋体"/>
                <w:snapToGrid w:val="0"/>
                <w:color w:val="auto"/>
                <w:kern w:val="0"/>
                <w:sz w:val="24"/>
                <w:highlight w:val="none"/>
              </w:rPr>
              <w:t>月</w:t>
            </w:r>
            <w:r>
              <w:rPr>
                <w:rFonts w:hint="eastAsia" w:ascii="宋体" w:hAnsi="宋体" w:cs="宋体"/>
                <w:snapToGrid w:val="0"/>
                <w:color w:val="auto"/>
                <w:kern w:val="0"/>
                <w:sz w:val="24"/>
                <w:highlight w:val="none"/>
                <w:u w:val="single"/>
                <w:lang w:val="en-US" w:eastAsia="zh-CN"/>
              </w:rPr>
              <w:t>23</w:t>
            </w:r>
            <w:r>
              <w:rPr>
                <w:rFonts w:hint="eastAsia" w:ascii="宋体" w:hAnsi="宋体" w:eastAsia="宋体" w:cs="宋体"/>
                <w:snapToGrid w:val="0"/>
                <w:color w:val="auto"/>
                <w:kern w:val="0"/>
                <w:sz w:val="24"/>
                <w:highlight w:val="none"/>
              </w:rPr>
              <w:t>日</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rPr>
              <w:t>时</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10" w:hRule="atLeast"/>
        </w:trPr>
        <w:tc>
          <w:tcPr>
            <w:tcW w:w="50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10</w:t>
            </w:r>
          </w:p>
        </w:tc>
        <w:tc>
          <w:tcPr>
            <w:tcW w:w="1566" w:type="dxa"/>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开标地点</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13"/>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aps w:val="0"/>
                <w:smallCaps w:val="0"/>
                <w:snapToGrid w:val="0"/>
                <w:color w:val="auto"/>
                <w:spacing w:val="0"/>
                <w:kern w:val="0"/>
                <w:sz w:val="24"/>
                <w:szCs w:val="24"/>
                <w:highlight w:val="none"/>
                <w:u w:val="none"/>
                <w:lang w:val="en-US" w:eastAsia="zh-CN" w:bidi="ar-SA"/>
              </w:rPr>
              <w:t>开标场所：韶关市公共资源交易中心仁化分中心</w:t>
            </w:r>
          </w:p>
          <w:p>
            <w:pPr>
              <w:pStyle w:val="13"/>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color w:val="auto"/>
                <w:kern w:val="2"/>
                <w:sz w:val="24"/>
                <w:szCs w:val="24"/>
                <w:highlight w:val="none"/>
                <w:lang w:val="en-US" w:eastAsia="zh-CN" w:bidi="ar-SA"/>
              </w:rPr>
              <w:t>地址</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仁化县丹霞大道228号11楼韶关市公共资源交易中心仁化分中心</w:t>
            </w:r>
            <w:r>
              <w:rPr>
                <w:rFonts w:hint="eastAsia" w:ascii="宋体" w:hAnsi="宋体" w:eastAsia="宋体" w:cs="宋体"/>
                <w:b w:val="0"/>
                <w:bCs/>
                <w:color w:val="auto"/>
                <w:sz w:val="24"/>
                <w:szCs w:val="24"/>
                <w:highlight w:val="none"/>
              </w:rPr>
              <w:t>，具体房间号以当日现场通知为准。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58" w:hRule="atLeast"/>
        </w:trPr>
        <w:tc>
          <w:tcPr>
            <w:tcW w:w="2072" w:type="dxa"/>
            <w:gridSpan w:val="2"/>
            <w:tcBorders>
              <w:top w:val="single" w:color="080000" w:sz="4" w:space="0"/>
              <w:left w:val="single" w:color="080000" w:sz="4" w:space="0"/>
              <w:bottom w:val="single" w:color="080000" w:sz="4" w:space="0"/>
              <w:right w:val="single" w:color="080000" w:sz="4" w:space="0"/>
            </w:tcBorders>
            <w:noWrap w:val="0"/>
            <w:vAlign w:val="center"/>
          </w:tcPr>
          <w:p>
            <w:pPr>
              <w:pStyle w:val="21"/>
              <w:wordWrap w:val="0"/>
              <w:adjustRightInd w:val="0"/>
              <w:snapToGrid w:val="0"/>
              <w:spacing w:line="360" w:lineRule="auto"/>
              <w:jc w:val="center"/>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caps w:val="0"/>
                <w:smallCaps w:val="0"/>
                <w:snapToGrid w:val="0"/>
                <w:color w:val="auto"/>
                <w:spacing w:val="0"/>
                <w:kern w:val="0"/>
                <w:sz w:val="24"/>
                <w:szCs w:val="24"/>
                <w:highlight w:val="none"/>
                <w:lang w:val="en-US" w:eastAsia="zh-CN" w:bidi="ar-SA"/>
              </w:rPr>
              <w:t>备注</w:t>
            </w:r>
          </w:p>
        </w:tc>
        <w:tc>
          <w:tcPr>
            <w:tcW w:w="7633" w:type="dxa"/>
            <w:tcBorders>
              <w:top w:val="single" w:color="080000" w:sz="4" w:space="0"/>
              <w:left w:val="single" w:color="080000" w:sz="4" w:space="0"/>
              <w:bottom w:val="single" w:color="080000" w:sz="4" w:space="0"/>
              <w:right w:val="single" w:color="080000" w:sz="4" w:space="0"/>
            </w:tcBorders>
            <w:noWrap w:val="0"/>
            <w:vAlign w:val="center"/>
          </w:tcPr>
          <w:p>
            <w:pPr>
              <w:pStyle w:val="13"/>
              <w:keepNext w:val="0"/>
              <w:keepLines w:val="0"/>
              <w:pageBreakBefore w:val="0"/>
              <w:widowControl w:val="0"/>
              <w:kinsoku/>
              <w:wordWrap w:val="0"/>
              <w:overflowPunct/>
              <w:topLinePunct w:val="0"/>
              <w:autoSpaceDE/>
              <w:autoSpaceDN/>
              <w:bidi w:val="0"/>
              <w:adjustRightInd w:val="0"/>
              <w:snapToGrid w:val="0"/>
              <w:spacing w:line="360" w:lineRule="auto"/>
              <w:ind w:left="105" w:leftChars="5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highlight w:val="none"/>
              </w:rPr>
              <w:t>投标人应按有关计划时间安排办理企业CA认证、企业入库等，自行下载招标文件等资料文件、招标答疑书等。若由于投标人自身原因未能及时取得上述资料的，由此发生的任何责任由投标人自负。</w:t>
            </w:r>
          </w:p>
        </w:tc>
        <w:bookmarkStart w:id="32" w:name="_Hlt69669159"/>
      </w:tr>
      <w:bookmarkEnd w:id="32"/>
    </w:tbl>
    <w:p>
      <w:pPr>
        <w:rPr>
          <w:rFonts w:hint="eastAsia" w:ascii="宋体" w:hAnsi="宋体" w:eastAsia="宋体" w:cs="宋体"/>
          <w:lang w:val="en-US" w:eastAsia="zh-CN"/>
        </w:rPr>
      </w:pPr>
    </w:p>
    <w:p>
      <w:pPr>
        <w:spacing w:line="360" w:lineRule="auto"/>
        <w:rPr>
          <w:rFonts w:hint="eastAsia" w:ascii="宋体" w:hAnsi="宋体" w:eastAsia="宋体" w:cs="宋体"/>
        </w:rPr>
      </w:pPr>
    </w:p>
    <w:p>
      <w:pPr>
        <w:spacing w:line="360" w:lineRule="auto"/>
        <w:outlineLvl w:val="1"/>
        <w:rPr>
          <w:rFonts w:hint="eastAsia" w:ascii="宋体" w:hAnsi="宋体" w:eastAsia="宋体" w:cs="宋体"/>
          <w:b/>
          <w:snapToGrid w:val="0"/>
          <w:color w:val="auto"/>
          <w:kern w:val="0"/>
          <w:sz w:val="24"/>
          <w:lang w:val="en-US" w:eastAsia="zh-CN" w:bidi="ar-SA"/>
        </w:rPr>
      </w:pPr>
      <w:bookmarkStart w:id="33" w:name="_Toc12137"/>
      <w:bookmarkStart w:id="34" w:name="_Toc724"/>
      <w:r>
        <w:rPr>
          <w:rFonts w:hint="eastAsia" w:ascii="宋体" w:hAnsi="宋体" w:eastAsia="宋体" w:cs="宋体"/>
          <w:b/>
          <w:snapToGrid w:val="0"/>
          <w:color w:val="auto"/>
          <w:kern w:val="0"/>
          <w:sz w:val="24"/>
          <w:lang w:val="en-US" w:eastAsia="zh-CN" w:bidi="ar-SA"/>
        </w:rPr>
        <w:t>第三节   投标人须知正文</w:t>
      </w:r>
      <w:bookmarkEnd w:id="33"/>
      <w:bookmarkEnd w:id="34"/>
    </w:p>
    <w:p>
      <w:pPr>
        <w:widowControl/>
        <w:spacing w:line="360" w:lineRule="auto"/>
        <w:ind w:firstLine="480" w:firstLineChars="200"/>
        <w:jc w:val="both"/>
        <w:rPr>
          <w:rFonts w:hint="eastAsia" w:ascii="宋体" w:hAnsi="宋体" w:eastAsia="宋体" w:cs="宋体"/>
          <w:color w:val="auto"/>
          <w:sz w:val="24"/>
          <w:szCs w:val="24"/>
        </w:rPr>
      </w:pPr>
      <w:bookmarkStart w:id="35" w:name="_Hlt74474735"/>
      <w:bookmarkEnd w:id="35"/>
      <w:bookmarkStart w:id="36" w:name="_Hlt109358474"/>
      <w:bookmarkEnd w:id="36"/>
      <w:bookmarkStart w:id="37" w:name="_Hlt119991399"/>
      <w:bookmarkEnd w:id="37"/>
      <w:bookmarkStart w:id="38" w:name="_Hlt87948285"/>
      <w:bookmarkEnd w:id="38"/>
      <w:bookmarkStart w:id="39" w:name="_Hlt78795222"/>
      <w:bookmarkEnd w:id="39"/>
      <w:r>
        <w:rPr>
          <w:rFonts w:hint="eastAsia" w:ascii="宋体" w:hAnsi="宋体" w:eastAsia="宋体" w:cs="宋体"/>
          <w:sz w:val="24"/>
          <w:szCs w:val="24"/>
          <w:u w:val="single"/>
          <w:lang w:eastAsia="zh-CN"/>
        </w:rPr>
        <w:t>仁化县董塘镇典型镇建设项目（一期）勘察设计、施工总承包</w:t>
      </w:r>
      <w:r>
        <w:rPr>
          <w:rFonts w:hint="eastAsia" w:ascii="宋体" w:hAnsi="宋体" w:eastAsia="宋体" w:cs="宋体"/>
          <w:sz w:val="24"/>
          <w:szCs w:val="24"/>
          <w:u w:val="none"/>
          <w:lang w:val="en-US" w:eastAsia="zh-CN"/>
        </w:rPr>
        <w:t>业</w:t>
      </w:r>
      <w:r>
        <w:rPr>
          <w:rFonts w:hint="eastAsia" w:ascii="宋体" w:hAnsi="宋体" w:eastAsia="宋体" w:cs="宋体"/>
          <w:color w:val="auto"/>
          <w:sz w:val="24"/>
          <w:szCs w:val="24"/>
          <w:u w:val="none"/>
        </w:rPr>
        <w:t>经</w:t>
      </w:r>
      <w:r>
        <w:rPr>
          <w:rFonts w:hint="eastAsia" w:ascii="宋体" w:hAnsi="宋体" w:eastAsia="宋体" w:cs="宋体"/>
          <w:color w:val="auto"/>
          <w:sz w:val="24"/>
          <w:szCs w:val="24"/>
          <w:u w:val="single"/>
          <w:lang w:eastAsia="zh-CN"/>
        </w:rPr>
        <w:t>仁化县发展和改革局</w:t>
      </w:r>
      <w:r>
        <w:rPr>
          <w:rFonts w:hint="eastAsia" w:ascii="宋体" w:hAnsi="宋体" w:eastAsia="宋体" w:cs="宋体"/>
          <w:color w:val="auto"/>
          <w:sz w:val="24"/>
          <w:szCs w:val="24"/>
        </w:rPr>
        <w:t>以</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仁化县发展和改革局关于</w:t>
      </w:r>
      <w:r>
        <w:rPr>
          <w:rFonts w:hint="eastAsia" w:ascii="宋体" w:hAnsi="宋体" w:eastAsia="宋体" w:cs="宋体"/>
          <w:color w:val="auto"/>
          <w:sz w:val="24"/>
          <w:szCs w:val="24"/>
          <w:u w:val="single"/>
          <w:lang w:eastAsia="zh-CN"/>
        </w:rPr>
        <w:t>仁化县董塘镇典型镇建设项目（一期）</w:t>
      </w:r>
      <w:r>
        <w:rPr>
          <w:rFonts w:hint="eastAsia" w:ascii="宋体" w:hAnsi="宋体" w:eastAsia="宋体" w:cs="宋体"/>
          <w:color w:val="auto"/>
          <w:sz w:val="24"/>
          <w:szCs w:val="24"/>
          <w:u w:val="single"/>
        </w:rPr>
        <w:t>可行性研究报告</w:t>
      </w:r>
      <w:r>
        <w:rPr>
          <w:rFonts w:hint="eastAsia" w:ascii="宋体" w:hAnsi="宋体" w:eastAsia="宋体" w:cs="宋体"/>
          <w:color w:val="auto"/>
          <w:sz w:val="24"/>
          <w:szCs w:val="24"/>
          <w:u w:val="single"/>
          <w:lang w:val="en-US" w:eastAsia="zh-CN"/>
        </w:rPr>
        <w:t>的批复</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rPr>
        <w:t>（</w:t>
      </w:r>
      <w:r>
        <w:rPr>
          <w:rFonts w:hint="eastAsia" w:ascii="宋体" w:hAnsi="宋体" w:eastAsia="宋体" w:cs="宋体"/>
          <w:bCs/>
          <w:color w:val="auto"/>
          <w:sz w:val="24"/>
          <w:szCs w:val="24"/>
          <w:u w:val="single"/>
          <w:lang w:eastAsia="zh-CN"/>
        </w:rPr>
        <w:t>仁发改投审[2024]32号</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仁化县发展和改革局关于</w:t>
      </w:r>
      <w:r>
        <w:rPr>
          <w:rFonts w:hint="eastAsia" w:ascii="宋体" w:hAnsi="宋体" w:eastAsia="宋体" w:cs="宋体"/>
          <w:color w:val="auto"/>
          <w:sz w:val="24"/>
          <w:szCs w:val="24"/>
          <w:u w:val="single"/>
          <w:lang w:eastAsia="zh-CN"/>
        </w:rPr>
        <w:t>仁化县董塘镇典型镇建设项目（一期）</w:t>
      </w:r>
      <w:r>
        <w:rPr>
          <w:rFonts w:hint="eastAsia" w:ascii="宋体" w:hAnsi="宋体" w:eastAsia="宋体" w:cs="宋体"/>
          <w:color w:val="auto"/>
          <w:sz w:val="24"/>
          <w:szCs w:val="24"/>
          <w:u w:val="single"/>
          <w:lang w:val="en-US" w:eastAsia="zh-CN"/>
        </w:rPr>
        <w:t>变更的复函</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w:t>
      </w:r>
      <w:r>
        <w:rPr>
          <w:rFonts w:hint="eastAsia" w:ascii="宋体" w:hAnsi="宋体" w:eastAsia="宋体" w:cs="宋体"/>
          <w:bCs/>
          <w:color w:val="auto"/>
          <w:sz w:val="24"/>
          <w:szCs w:val="24"/>
          <w:u w:val="single"/>
          <w:lang w:eastAsia="zh-CN"/>
        </w:rPr>
        <w:t>仁发改投审[2024]</w:t>
      </w:r>
      <w:r>
        <w:rPr>
          <w:rFonts w:hint="eastAsia" w:ascii="宋体" w:hAnsi="宋体" w:eastAsia="宋体" w:cs="宋体"/>
          <w:bCs/>
          <w:color w:val="auto"/>
          <w:sz w:val="24"/>
          <w:szCs w:val="24"/>
          <w:u w:val="single"/>
          <w:lang w:val="en-US" w:eastAsia="zh-CN"/>
        </w:rPr>
        <w:t>42</w:t>
      </w:r>
      <w:r>
        <w:rPr>
          <w:rFonts w:hint="eastAsia" w:ascii="宋体" w:hAnsi="宋体" w:eastAsia="宋体" w:cs="宋体"/>
          <w:bCs/>
          <w:color w:val="auto"/>
          <w:sz w:val="24"/>
          <w:szCs w:val="24"/>
          <w:u w:val="single"/>
          <w:lang w:eastAsia="zh-CN"/>
        </w:rPr>
        <w:t>号）</w:t>
      </w:r>
      <w:r>
        <w:rPr>
          <w:rFonts w:hint="eastAsia" w:ascii="宋体" w:hAnsi="宋体" w:eastAsia="宋体" w:cs="宋体"/>
          <w:color w:val="auto"/>
          <w:sz w:val="24"/>
          <w:szCs w:val="24"/>
        </w:rPr>
        <w:t>批准建设，项目代码</w:t>
      </w:r>
      <w:r>
        <w:rPr>
          <w:rFonts w:hint="eastAsia" w:ascii="宋体" w:hAnsi="宋体" w:eastAsia="宋体" w:cs="宋体"/>
          <w:bCs/>
          <w:color w:val="auto"/>
          <w:sz w:val="24"/>
          <w:szCs w:val="24"/>
          <w:u w:val="single"/>
          <w:lang w:eastAsia="zh-CN"/>
        </w:rPr>
        <w:t>2405-440224-04-01-395592</w:t>
      </w:r>
      <w:r>
        <w:rPr>
          <w:rFonts w:hint="eastAsia" w:ascii="宋体" w:hAnsi="宋体" w:eastAsia="宋体" w:cs="宋体"/>
          <w:color w:val="auto"/>
          <w:sz w:val="24"/>
          <w:szCs w:val="24"/>
        </w:rPr>
        <w:t>。本项目业主为</w:t>
      </w:r>
      <w:r>
        <w:rPr>
          <w:rFonts w:hint="eastAsia" w:ascii="宋体" w:hAnsi="宋体" w:eastAsia="宋体" w:cs="宋体"/>
          <w:color w:val="auto"/>
          <w:sz w:val="24"/>
          <w:szCs w:val="24"/>
          <w:u w:val="single"/>
          <w:lang w:eastAsia="zh-CN"/>
        </w:rPr>
        <w:t>仁化县董塘镇人民政府</w:t>
      </w:r>
      <w:r>
        <w:rPr>
          <w:rFonts w:hint="eastAsia" w:ascii="宋体" w:hAnsi="宋体" w:eastAsia="宋体" w:cs="宋体"/>
          <w:color w:val="auto"/>
          <w:sz w:val="24"/>
          <w:szCs w:val="24"/>
        </w:rPr>
        <w:t>，</w:t>
      </w:r>
      <w:r>
        <w:rPr>
          <w:rFonts w:hint="eastAsia" w:ascii="宋体" w:hAnsi="宋体" w:eastAsia="宋体" w:cs="宋体"/>
          <w:bCs/>
          <w:snapToGrid w:val="0"/>
          <w:color w:val="auto"/>
          <w:kern w:val="0"/>
          <w:sz w:val="24"/>
          <w:szCs w:val="24"/>
        </w:rPr>
        <w:t>项目建设所需资金</w:t>
      </w:r>
      <w:r>
        <w:rPr>
          <w:rFonts w:hint="eastAsia" w:ascii="宋体" w:hAnsi="宋体" w:eastAsia="宋体" w:cs="宋体"/>
          <w:bCs/>
          <w:color w:val="auto"/>
          <w:sz w:val="24"/>
          <w:szCs w:val="24"/>
          <w:u w:val="single"/>
          <w:lang w:eastAsia="zh-CN"/>
        </w:rPr>
        <w:t>由上级资金和县级财政资金安排解决</w:t>
      </w:r>
      <w:r>
        <w:rPr>
          <w:rFonts w:hint="eastAsia" w:ascii="宋体" w:hAnsi="宋体" w:eastAsia="宋体" w:cs="宋体"/>
          <w:color w:val="auto"/>
          <w:sz w:val="24"/>
          <w:szCs w:val="24"/>
        </w:rPr>
        <w:t>，出资比例为</w:t>
      </w:r>
      <w:r>
        <w:rPr>
          <w:rFonts w:hint="eastAsia" w:ascii="宋体" w:hAnsi="宋体" w:eastAsia="宋体" w:cs="宋体"/>
          <w:color w:val="auto"/>
          <w:sz w:val="24"/>
          <w:szCs w:val="24"/>
          <w:u w:val="single"/>
        </w:rPr>
        <w:t>100%</w:t>
      </w:r>
      <w:r>
        <w:rPr>
          <w:rFonts w:hint="eastAsia" w:ascii="宋体" w:hAnsi="宋体" w:eastAsia="宋体" w:cs="宋体"/>
          <w:color w:val="auto"/>
          <w:sz w:val="24"/>
          <w:szCs w:val="24"/>
        </w:rPr>
        <w:t>，招标人为</w:t>
      </w:r>
      <w:r>
        <w:rPr>
          <w:rFonts w:hint="eastAsia" w:ascii="宋体" w:hAnsi="宋体" w:eastAsia="宋体" w:cs="宋体"/>
          <w:color w:val="auto"/>
          <w:sz w:val="24"/>
          <w:szCs w:val="24"/>
          <w:u w:val="single"/>
          <w:lang w:eastAsia="zh-CN"/>
        </w:rPr>
        <w:t>仁化县董塘镇人民政府</w:t>
      </w:r>
      <w:r>
        <w:rPr>
          <w:rFonts w:hint="eastAsia" w:ascii="宋体" w:hAnsi="宋体" w:eastAsia="宋体" w:cs="宋体"/>
          <w:color w:val="auto"/>
          <w:sz w:val="24"/>
          <w:szCs w:val="24"/>
        </w:rPr>
        <w:t>，招标代理机构为</w:t>
      </w:r>
      <w:r>
        <w:rPr>
          <w:rFonts w:hint="eastAsia" w:ascii="宋体" w:hAnsi="宋体" w:eastAsia="宋体" w:cs="宋体"/>
          <w:color w:val="auto"/>
          <w:sz w:val="24"/>
          <w:szCs w:val="24"/>
          <w:u w:val="single"/>
          <w:lang w:eastAsia="zh-CN"/>
        </w:rPr>
        <w:t>广东明正项目管理有限公司</w:t>
      </w:r>
      <w:r>
        <w:rPr>
          <w:rFonts w:hint="eastAsia" w:ascii="宋体" w:hAnsi="宋体" w:eastAsia="宋体" w:cs="宋体"/>
          <w:color w:val="auto"/>
          <w:sz w:val="24"/>
          <w:szCs w:val="24"/>
        </w:rPr>
        <w:t>。项目已具备招标条件，现对该项目的</w:t>
      </w:r>
      <w:r>
        <w:rPr>
          <w:rFonts w:hint="eastAsia" w:ascii="宋体" w:hAnsi="宋体" w:eastAsia="宋体" w:cs="宋体"/>
          <w:color w:val="auto"/>
          <w:sz w:val="24"/>
          <w:szCs w:val="24"/>
          <w:u w:val="single"/>
        </w:rPr>
        <w:t>勘察</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rPr>
        <w:t>设计、施工总承包</w:t>
      </w:r>
      <w:r>
        <w:rPr>
          <w:rFonts w:hint="eastAsia" w:ascii="宋体" w:hAnsi="宋体" w:eastAsia="宋体" w:cs="宋体"/>
          <w:color w:val="auto"/>
          <w:sz w:val="24"/>
          <w:szCs w:val="24"/>
        </w:rPr>
        <w:t>进行公开招标。</w:t>
      </w:r>
    </w:p>
    <w:p>
      <w:pPr>
        <w:pStyle w:val="24"/>
        <w:keepNext/>
        <w:keepLines/>
        <w:spacing w:line="360" w:lineRule="auto"/>
        <w:ind w:firstLine="482" w:firstLineChars="200"/>
        <w:outlineLvl w:val="2"/>
        <w:rPr>
          <w:rFonts w:hint="eastAsia" w:ascii="宋体" w:hAnsi="宋体" w:eastAsia="宋体" w:cs="宋体"/>
          <w:b/>
          <w:color w:val="auto"/>
          <w:kern w:val="2"/>
          <w:sz w:val="24"/>
          <w:szCs w:val="24"/>
        </w:rPr>
      </w:pPr>
      <w:bookmarkStart w:id="40" w:name="_Toc6963"/>
      <w:r>
        <w:rPr>
          <w:rFonts w:hint="eastAsia" w:ascii="宋体" w:hAnsi="宋体" w:eastAsia="宋体" w:cs="宋体"/>
          <w:b/>
          <w:color w:val="auto"/>
          <w:kern w:val="2"/>
          <w:sz w:val="24"/>
          <w:szCs w:val="24"/>
        </w:rPr>
        <w:t>1．工程概况、招标范围和标段划分、投标费用</w:t>
      </w:r>
      <w:bookmarkEnd w:id="40"/>
    </w:p>
    <w:p>
      <w:pPr>
        <w:pStyle w:val="2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 工程概况</w:t>
      </w:r>
    </w:p>
    <w:p>
      <w:pPr>
        <w:pStyle w:val="2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1.1.1工程地点：</w:t>
      </w:r>
      <w:r>
        <w:rPr>
          <w:rFonts w:hint="eastAsia" w:ascii="宋体" w:hAnsi="宋体" w:eastAsia="宋体" w:cs="宋体"/>
          <w:color w:val="auto"/>
          <w:sz w:val="24"/>
          <w:szCs w:val="24"/>
          <w:u w:val="single"/>
        </w:rPr>
        <w:t>仁化县董塘镇</w:t>
      </w:r>
      <w:r>
        <w:rPr>
          <w:rFonts w:hint="eastAsia" w:ascii="宋体" w:hAnsi="宋体" w:eastAsia="宋体" w:cs="宋体"/>
          <w:color w:val="auto"/>
          <w:sz w:val="24"/>
          <w:szCs w:val="24"/>
        </w:rPr>
        <w:t>。</w:t>
      </w:r>
    </w:p>
    <w:p>
      <w:pPr>
        <w:pStyle w:val="2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1.1.2项目建设内容和规模：</w:t>
      </w:r>
      <w:r>
        <w:rPr>
          <w:rFonts w:hint="eastAsia" w:ascii="宋体" w:hAnsi="宋体" w:eastAsia="宋体" w:cs="宋体"/>
          <w:color w:val="auto"/>
          <w:sz w:val="24"/>
          <w:szCs w:val="24"/>
          <w:u w:val="single"/>
        </w:rPr>
        <w:t>本项目根据董塘镇典型镇建设规划的“1+4+7+9+N”实施计划，建设内容包括人居环境整治、风貌品质提升、公共基础设施提升、N项具体任务四大类共计17个子项目。主要包括董塘镇主街三线整治（4500m）、城镇污水提升（3000m²）、董塘镇镇区垃圾收集设施提升项目（25个）、镇区主街沿线整治提升项目（场地及绿化提升3500m²、景观小品20个、入口镇标改造2个）、主街外立面改造（280户）、圩镇美丽客厅建设（场地及绿植改造2300m²、新建圩镇客厅485m²、连廊改造180m²）、镇区节点提升及绿化提升项目、老旧市场改造提升项目（4000m²）、凡口两个农贸市场改造提升（2500m²）、董塘河美丽河道建设（1200m）、镇区长者饭堂建设（54m²）、镇区停车场改造提升（24个充电桩）、新旧客运站置换建设（1300m²）、特色夜市街建设（新建集装箱 1000个、场地及绿植改造2600m²）、高莲村文旅康养项目（21300m²）、乡村振兴共富车间建设项目（3500m²）、安岗技校研学产业项目（5219m²）等。</w:t>
      </w:r>
      <w:r>
        <w:rPr>
          <w:rFonts w:hint="eastAsia" w:ascii="宋体" w:hAnsi="宋体" w:eastAsia="宋体" w:cs="宋体"/>
          <w:color w:val="auto"/>
          <w:sz w:val="24"/>
          <w:szCs w:val="24"/>
        </w:rPr>
        <w:t xml:space="preserve"> </w:t>
      </w:r>
    </w:p>
    <w:p>
      <w:pPr>
        <w:pStyle w:val="20"/>
        <w:spacing w:line="360" w:lineRule="auto"/>
        <w:ind w:firstLine="480" w:firstLineChars="200"/>
        <w:rPr>
          <w:rFonts w:hint="eastAsia" w:ascii="宋体" w:hAnsi="宋体" w:eastAsia="宋体" w:cs="宋体"/>
          <w:color w:val="auto"/>
          <w:sz w:val="24"/>
          <w:szCs w:val="24"/>
        </w:rPr>
      </w:pPr>
      <w:bookmarkStart w:id="41" w:name="_Toc39136333"/>
      <w:bookmarkStart w:id="42" w:name="_Toc22394"/>
      <w:bookmarkStart w:id="43" w:name="_Toc27001"/>
      <w:bookmarkStart w:id="44" w:name="_Toc21197"/>
      <w:bookmarkStart w:id="45" w:name="_Toc19686"/>
      <w:bookmarkStart w:id="46" w:name="_Toc6840"/>
      <w:bookmarkStart w:id="47" w:name="_Toc16475"/>
      <w:bookmarkStart w:id="48" w:name="_Toc9904"/>
      <w:r>
        <w:rPr>
          <w:rFonts w:hint="eastAsia" w:ascii="宋体" w:hAnsi="宋体" w:eastAsia="宋体" w:cs="宋体"/>
          <w:color w:val="auto"/>
          <w:sz w:val="24"/>
          <w:szCs w:val="24"/>
        </w:rPr>
        <w:t>1.2 招标范围及标段划分：</w:t>
      </w:r>
      <w:r>
        <w:rPr>
          <w:rFonts w:hint="eastAsia" w:ascii="宋体" w:hAnsi="宋体" w:eastAsia="宋体" w:cs="宋体"/>
          <w:color w:val="auto"/>
          <w:sz w:val="24"/>
          <w:szCs w:val="24"/>
          <w:u w:val="single"/>
        </w:rPr>
        <w:t>本工程不分标段</w:t>
      </w:r>
      <w:r>
        <w:rPr>
          <w:rFonts w:hint="eastAsia" w:ascii="宋体" w:hAnsi="宋体" w:eastAsia="宋体" w:cs="宋体"/>
          <w:color w:val="auto"/>
          <w:sz w:val="24"/>
          <w:szCs w:val="24"/>
        </w:rPr>
        <w:t>。</w:t>
      </w:r>
      <w:bookmarkEnd w:id="41"/>
      <w:bookmarkEnd w:id="42"/>
      <w:bookmarkEnd w:id="43"/>
      <w:bookmarkEnd w:id="44"/>
      <w:bookmarkEnd w:id="45"/>
      <w:bookmarkEnd w:id="46"/>
      <w:bookmarkEnd w:id="47"/>
      <w:bookmarkEnd w:id="48"/>
    </w:p>
    <w:p>
      <w:pPr>
        <w:pStyle w:val="2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1.2.1 招标范围：</w:t>
      </w:r>
    </w:p>
    <w:p>
      <w:pPr>
        <w:pStyle w:val="2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本工程所涉及的内容包括但不限于（具体以项目主管部门批准的建设内容为准）：</w:t>
      </w:r>
    </w:p>
    <w:p>
      <w:pPr>
        <w:pStyle w:val="2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（1）</w:t>
      </w:r>
      <w:r>
        <w:rPr>
          <w:rFonts w:hint="eastAsia" w:ascii="宋体" w:hAnsi="宋体" w:eastAsia="宋体" w:cs="宋体"/>
          <w:color w:val="auto"/>
          <w:sz w:val="24"/>
          <w:szCs w:val="24"/>
          <w:u w:val="single"/>
          <w:lang w:eastAsia="zh-CN"/>
        </w:rPr>
        <w:t>本项目的</w:t>
      </w:r>
      <w:r>
        <w:rPr>
          <w:rFonts w:hint="eastAsia" w:ascii="宋体" w:hAnsi="宋体" w:eastAsia="宋体" w:cs="宋体"/>
          <w:color w:val="auto"/>
          <w:sz w:val="24"/>
          <w:szCs w:val="24"/>
          <w:u w:val="single"/>
        </w:rPr>
        <w:t>勘察</w:t>
      </w:r>
      <w:r>
        <w:rPr>
          <w:rFonts w:hint="eastAsia" w:ascii="宋体" w:hAnsi="宋体" w:eastAsia="宋体" w:cs="宋体"/>
          <w:color w:val="auto"/>
          <w:sz w:val="24"/>
          <w:szCs w:val="24"/>
          <w:u w:val="single"/>
          <w:lang w:eastAsia="zh-CN"/>
        </w:rPr>
        <w:t>范围</w:t>
      </w:r>
      <w:r>
        <w:rPr>
          <w:rFonts w:hint="eastAsia" w:ascii="宋体" w:hAnsi="宋体" w:eastAsia="宋体" w:cs="宋体"/>
          <w:color w:val="auto"/>
          <w:sz w:val="24"/>
          <w:szCs w:val="24"/>
          <w:u w:val="single"/>
        </w:rPr>
        <w:t>：项目建设内容的相关工程勘察、地下管线物探及项目地形现状测量。</w:t>
      </w:r>
    </w:p>
    <w:p>
      <w:pPr>
        <w:pStyle w:val="2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2）本项目的设计范围：确保项目顺利实施的规划、报建、施工等所需的所有建安工程等设计文件。包括：初步设计、施工图设计、加固方案设计、工地现场服务、验收过程中的设计指导及配合阶段验收及档案整理、协助施工单位编制竣工图及后续设计服务工作。</w:t>
      </w:r>
    </w:p>
    <w:p>
      <w:pPr>
        <w:pStyle w:val="2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（3）本项目的施工范围：施工图设计文件范围的所有工程施工。（具体详见本项目可行性研究报告）。</w:t>
      </w:r>
    </w:p>
    <w:p>
      <w:pPr>
        <w:pStyle w:val="2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 投标费用：投标人应承担所有准备和参加投标的相关费用，不论投标结果如何，招标人均无义务和责任承担这些费用</w:t>
      </w:r>
      <w:r>
        <w:rPr>
          <w:rFonts w:hint="eastAsia" w:ascii="宋体" w:hAnsi="宋体" w:eastAsia="宋体" w:cs="宋体"/>
          <w:color w:val="auto"/>
          <w:sz w:val="24"/>
          <w:szCs w:val="24"/>
          <w:lang w:eastAsia="zh-CN"/>
        </w:rPr>
        <w:t>。</w:t>
      </w:r>
    </w:p>
    <w:p>
      <w:pPr>
        <w:pStyle w:val="24"/>
        <w:keepNext/>
        <w:keepLines/>
        <w:spacing w:line="360" w:lineRule="auto"/>
        <w:ind w:firstLine="482" w:firstLineChars="200"/>
        <w:outlineLvl w:val="2"/>
        <w:rPr>
          <w:rFonts w:hint="eastAsia" w:ascii="宋体" w:hAnsi="宋体" w:eastAsia="宋体" w:cs="宋体"/>
          <w:color w:val="auto"/>
          <w:sz w:val="24"/>
          <w:szCs w:val="24"/>
        </w:rPr>
      </w:pPr>
      <w:bookmarkStart w:id="49" w:name="_Toc6212"/>
      <w:bookmarkStart w:id="50" w:name="_Toc39136334"/>
      <w:bookmarkStart w:id="51" w:name="_Toc27097"/>
      <w:bookmarkStart w:id="52" w:name="_Toc28336"/>
      <w:bookmarkStart w:id="53" w:name="_Toc11161"/>
      <w:bookmarkStart w:id="54" w:name="_Toc25616"/>
      <w:bookmarkStart w:id="55" w:name="_Toc13612"/>
      <w:bookmarkStart w:id="56" w:name="_Toc14443"/>
      <w:r>
        <w:rPr>
          <w:rFonts w:hint="eastAsia" w:ascii="宋体" w:hAnsi="宋体" w:eastAsia="宋体" w:cs="宋体"/>
          <w:b/>
          <w:color w:val="auto"/>
          <w:kern w:val="2"/>
          <w:sz w:val="24"/>
          <w:szCs w:val="24"/>
        </w:rPr>
        <w:t>2</w:t>
      </w:r>
      <w:r>
        <w:rPr>
          <w:rFonts w:hint="eastAsia" w:ascii="宋体" w:hAnsi="宋体" w:eastAsia="宋体" w:cs="宋体"/>
          <w:b/>
          <w:bCs/>
          <w:snapToGrid w:val="0"/>
          <w:color w:val="auto"/>
          <w:kern w:val="0"/>
          <w:sz w:val="24"/>
          <w:szCs w:val="24"/>
          <w:highlight w:val="none"/>
        </w:rPr>
        <w:t>．</w:t>
      </w:r>
      <w:r>
        <w:rPr>
          <w:rFonts w:hint="eastAsia" w:ascii="宋体" w:hAnsi="宋体" w:eastAsia="宋体" w:cs="宋体"/>
          <w:b/>
          <w:color w:val="auto"/>
          <w:kern w:val="2"/>
          <w:sz w:val="24"/>
          <w:szCs w:val="24"/>
        </w:rPr>
        <w:t>投标人资格要求</w:t>
      </w:r>
      <w:bookmarkEnd w:id="49"/>
      <w:bookmarkEnd w:id="50"/>
      <w:bookmarkEnd w:id="51"/>
      <w:bookmarkEnd w:id="52"/>
      <w:bookmarkEnd w:id="53"/>
      <w:bookmarkEnd w:id="54"/>
      <w:bookmarkEnd w:id="55"/>
      <w:bookmarkEnd w:id="56"/>
      <w:bookmarkStart w:id="57" w:name="_Toc106184808"/>
    </w:p>
    <w:bookmarkEnd w:id="57"/>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1．本次招标接受联合体投标，联合体以一个投标人的身份共同投标。</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1.1联合体成员数量</w:t>
      </w:r>
      <w:r>
        <w:rPr>
          <w:rFonts w:hint="eastAsia" w:ascii="宋体" w:hAnsi="宋体" w:eastAsia="宋体" w:cs="宋体"/>
          <w:sz w:val="24"/>
          <w:szCs w:val="24"/>
          <w:lang w:val="en-US" w:eastAsia="zh-CN"/>
        </w:rPr>
        <w:t>不超过4</w:t>
      </w:r>
      <w:r>
        <w:rPr>
          <w:rFonts w:hint="eastAsia" w:ascii="宋体" w:hAnsi="宋体" w:eastAsia="宋体" w:cs="宋体"/>
          <w:sz w:val="24"/>
          <w:szCs w:val="24"/>
          <w:lang w:val="zh-CN"/>
        </w:rPr>
        <w:t>个。</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1.2联合体各方应按招标文件提供的格式签订联合体协议书，明确联合体牵头人和各方权利义务，并承诺就中标项目向招标人承担连带责任。《联合体协议书》作为投标文件的组成部分向招标人提交。</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1.3联合体成员单位均应具备拟承担的工作内容（以《联合体协议书》的约定为准）所规定的资格条件。若同一工作内容由两个或两个以上单位共同承担，该项工作内容按照资质等级较低的单位确定联合体资质等级。</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1.4联合体各方不得再以自己名义单独或参加其他联合体在本招标项目中投标，否则各相关投标均无效。</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2.资质要求</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2.1投标人须具备独立法人资格，按国家法律经营。</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2.2投标人须持有行政主管部门颁发的企业资质证书。</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2.3参加投标的投标人可以是单一独立法人或由不超过</w:t>
      </w:r>
      <w:r>
        <w:rPr>
          <w:rFonts w:hint="eastAsia" w:ascii="宋体" w:hAnsi="宋体" w:eastAsia="宋体" w:cs="宋体"/>
          <w:sz w:val="24"/>
          <w:szCs w:val="24"/>
          <w:lang w:val="en-US" w:eastAsia="zh-CN"/>
        </w:rPr>
        <w:t>四</w:t>
      </w:r>
      <w:r>
        <w:rPr>
          <w:rFonts w:hint="eastAsia" w:ascii="宋体" w:hAnsi="宋体" w:eastAsia="宋体" w:cs="宋体"/>
          <w:sz w:val="24"/>
          <w:szCs w:val="24"/>
          <w:lang w:val="zh-CN"/>
        </w:rPr>
        <w:t>家独立法人组成的联合体，联合体各方不得再以自己的名义单独申请，也不得同时参加两个或两个以上的联合体进行本项目的投标。单一独立法人必须至少同时具备以下①～</w:t>
      </w:r>
      <w:r>
        <w:rPr>
          <w:rFonts w:hint="eastAsia" w:ascii="宋体" w:hAnsi="宋体" w:eastAsia="宋体" w:cs="宋体"/>
          <w:sz w:val="24"/>
          <w:szCs w:val="24"/>
          <w:lang w:val="zh-CN" w:eastAsia="zh-CN"/>
        </w:rPr>
        <w:t>④</w:t>
      </w:r>
      <w:r>
        <w:rPr>
          <w:rFonts w:hint="eastAsia" w:ascii="宋体" w:hAnsi="宋体" w:eastAsia="宋体" w:cs="宋体"/>
          <w:sz w:val="24"/>
          <w:szCs w:val="24"/>
          <w:lang w:val="zh-CN"/>
        </w:rPr>
        <w:t>资质，组成联合体投标的，联合后必须至少具备以下①～</w:t>
      </w:r>
      <w:r>
        <w:rPr>
          <w:rFonts w:hint="eastAsia" w:ascii="宋体" w:hAnsi="宋体" w:eastAsia="宋体" w:cs="宋体"/>
          <w:sz w:val="24"/>
          <w:szCs w:val="24"/>
          <w:lang w:val="zh-CN" w:eastAsia="zh-CN"/>
        </w:rPr>
        <w:t>④</w:t>
      </w:r>
      <w:r>
        <w:rPr>
          <w:rFonts w:hint="eastAsia" w:ascii="宋体" w:hAnsi="宋体" w:eastAsia="宋体" w:cs="宋体"/>
          <w:sz w:val="24"/>
          <w:szCs w:val="24"/>
          <w:lang w:val="zh-CN"/>
        </w:rPr>
        <w:t>资质，联合体牵头人必须具备①</w:t>
      </w:r>
      <w:r>
        <w:rPr>
          <w:rFonts w:hint="eastAsia" w:ascii="宋体" w:hAnsi="宋体" w:eastAsia="宋体" w:cs="宋体"/>
          <w:sz w:val="24"/>
          <w:szCs w:val="24"/>
          <w:lang w:val="en-US" w:eastAsia="zh-CN"/>
        </w:rPr>
        <w:t>和</w:t>
      </w:r>
      <w:r>
        <w:rPr>
          <w:rFonts w:hint="eastAsia" w:ascii="宋体" w:hAnsi="宋体" w:eastAsia="宋体" w:cs="宋体"/>
          <w:sz w:val="24"/>
          <w:szCs w:val="24"/>
          <w:lang w:val="zh-CN"/>
        </w:rPr>
        <w:t>②资质：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①施工资质：具备建设行政主管部门颁发的建筑工程施工总承包三级以上（含三级）资质，并获得安全生产许可证的独立法人。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②施工资质：具备建设行政主管部门颁发的市政公用工程施工总承包三级或以上(含三级)资质，并获得有效安全生产许的独立法人。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③设计资质必须具备建设行政主管部门颁发的以下资质之一：（1）、（2）和（5）、（2）和（6）、（2）和（7）、（3）和（5）、（3）和（6）、（3）和（7）、（4）和（5）、（4）和（6）、（4）和（7）：</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（1）工程设计综合甲级资质；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（2）工程设计市政行业丙级以上（含丙级）资质；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（3）工程设计市政行业丙级（燃气工程、轨道交通工程除外）以上（含丙级）资质；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（4）工程设计市政行业（排水工程）专业丙级以上（含丙级）资质；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（5）工程设计建筑行业丙级以上（含丙级）资质；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（6）工程设计建筑行业（建筑工程）专业丙级以上（含丙级）资质；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（7）建设行政主管部门颁发的建筑设计事务所资质；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设计单位仅具备建筑设计事务所资质的，应当自行完成招标范围内的建筑专业设计业务，并在保证整个建筑工程项目完整性的前提下，经招标人同意，将其他专业设计业务发包给具有相应资质的分包方。</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④勘察企业必须具备建设行政主管部门颁发的以下资质之一：</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（1）工程勘察综合类甲级资质；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（2）工程勘察专业（岩土工程）乙级以上（含乙级）资质；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（3）工程勘察专业（岩土工程（岩土工程勘察））乙级以上（含乙级）资质；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2.4根据有关文件精神，投标人的企业相关证书到期的，均按该证书的发证机构相关行政主管部门最新文件执行（如自动顺延或推迟办理延期业务的通知等）投标人须提供相关证明材料附在该证书后面，证明在开标日继续有效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3．相关人员要求</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3.1拟派项目经理为具有建筑工程</w:t>
      </w:r>
      <w:r>
        <w:rPr>
          <w:rFonts w:hint="eastAsia" w:ascii="宋体" w:hAnsi="宋体" w:eastAsia="宋体" w:cs="宋体"/>
          <w:sz w:val="24"/>
          <w:szCs w:val="24"/>
          <w:lang w:val="zh-CN" w:eastAsia="zh-CN"/>
        </w:rPr>
        <w:t>或市政公用工程</w:t>
      </w:r>
      <w:r>
        <w:rPr>
          <w:rFonts w:hint="eastAsia" w:ascii="宋体" w:hAnsi="宋体" w:eastAsia="宋体" w:cs="宋体"/>
          <w:sz w:val="24"/>
          <w:szCs w:val="24"/>
          <w:lang w:val="zh-CN"/>
        </w:rPr>
        <w:t>专业一级或二级注册建造师，应持有住建部门印发的在使用有效期内的有效电子注册证书（根据广东省住房和城乡建设厅（粤建市函〔2023〕469号）文件精神，二级注册建造师可随注册企业在全国范围内执业）。同时均须具备有效安全生产考核合格证明（B证，安全生产考核合格证书或“建筑施工企业管理人员安全生产考核信息系统”考核合格信息截图），且未担任其他在施（包括已中标未开工、已开工未竣工）建设工程项目的项目经理。</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3.2拟派项目技术负责人须具备建筑工程</w:t>
      </w:r>
      <w:r>
        <w:rPr>
          <w:rFonts w:hint="eastAsia" w:ascii="宋体" w:hAnsi="宋体" w:eastAsia="宋体" w:cs="宋体"/>
          <w:sz w:val="24"/>
          <w:szCs w:val="24"/>
          <w:lang w:val="zh-CN" w:eastAsia="zh-CN"/>
        </w:rPr>
        <w:t>或市政公用工程</w:t>
      </w:r>
      <w:r>
        <w:rPr>
          <w:rFonts w:hint="eastAsia" w:ascii="宋体" w:hAnsi="宋体" w:eastAsia="宋体" w:cs="宋体"/>
          <w:sz w:val="24"/>
          <w:szCs w:val="24"/>
          <w:lang w:val="zh-CN"/>
        </w:rPr>
        <w:t>专业类</w:t>
      </w:r>
      <w:r>
        <w:rPr>
          <w:rFonts w:hint="eastAsia" w:ascii="宋体" w:hAnsi="宋体" w:eastAsia="宋体" w:cs="宋体"/>
          <w:sz w:val="24"/>
          <w:szCs w:val="24"/>
          <w:lang w:val="en-US" w:eastAsia="zh-CN"/>
        </w:rPr>
        <w:t>中</w:t>
      </w:r>
      <w:r>
        <w:rPr>
          <w:rFonts w:hint="eastAsia" w:ascii="宋体" w:hAnsi="宋体" w:eastAsia="宋体" w:cs="宋体"/>
          <w:sz w:val="24"/>
          <w:szCs w:val="24"/>
          <w:lang w:val="zh-CN"/>
        </w:rPr>
        <w:t>级（或以上）技术职称。</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sz w:val="24"/>
          <w:szCs w:val="24"/>
          <w:lang w:val="zh-CN"/>
        </w:rPr>
        <w:t>3.3投标人拟委派担任本工程的设计负责人必须持有</w:t>
      </w:r>
      <w:r>
        <w:rPr>
          <w:rFonts w:hint="eastAsia" w:ascii="宋体" w:hAnsi="宋体" w:eastAsia="宋体" w:cs="宋体"/>
          <w:color w:val="auto"/>
          <w:sz w:val="24"/>
          <w:highlight w:val="none"/>
        </w:rPr>
        <w:t>一级或</w:t>
      </w:r>
      <w:r>
        <w:rPr>
          <w:rFonts w:hint="eastAsia" w:ascii="宋体" w:hAnsi="宋体" w:eastAsia="宋体" w:cs="宋体"/>
          <w:color w:val="auto"/>
          <w:sz w:val="24"/>
          <w:szCs w:val="24"/>
          <w:lang w:val="zh-CN"/>
        </w:rPr>
        <w:t>二级注册建筑师注册证书。</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3.4投标人拟派项目勘察负责人须具备国家注册土木工程师（岩土）资格。</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en-US" w:eastAsia="zh-CN"/>
        </w:rPr>
        <w:t>3.5</w:t>
      </w:r>
      <w:r>
        <w:rPr>
          <w:rFonts w:hint="eastAsia" w:ascii="宋体" w:hAnsi="宋体" w:eastAsia="宋体" w:cs="宋体"/>
          <w:sz w:val="24"/>
          <w:szCs w:val="24"/>
          <w:lang w:val="zh-CN"/>
        </w:rPr>
        <w:t>拟派专职安全生产管理人员须具备有效安全生产考核合格证明（C证，安全生产考核合格证书或广东省建筑施工企业管理人员安全生产考核系统考核合格信息打印页），且不少于2人。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w:t>
      </w:r>
      <w:r>
        <w:rPr>
          <w:rFonts w:hint="eastAsia" w:ascii="宋体" w:hAnsi="宋体" w:eastAsia="宋体" w:cs="宋体"/>
          <w:sz w:val="24"/>
          <w:szCs w:val="24"/>
          <w:lang w:val="en-US" w:eastAsia="zh-CN"/>
        </w:rPr>
        <w:t>6</w:t>
      </w:r>
      <w:r>
        <w:rPr>
          <w:rFonts w:hint="eastAsia" w:ascii="宋体" w:hAnsi="宋体" w:eastAsia="宋体" w:cs="宋体"/>
          <w:sz w:val="24"/>
          <w:szCs w:val="24"/>
          <w:lang w:val="zh-CN"/>
        </w:rPr>
        <w:t>投标人（包括组成联合体的所有成员单位）与其拟派往本项目管理机构的所有人员之间必须具备合法、唯一的劳动聘用关系。拟派人员中具备注册执业资格的，其注册单位须与投标人保持一致。</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4．禁止投标条款：</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4.1投标人不得存在下列情形之一：</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（1）为招标人不具有独立法人资格的附属机构（单位）；</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（2）为本招标项目前期准备提供咨询服务的；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（3）与本招标项目的其他投标人为同一个单位负责人；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（4）与本招标项目的其他投标人存在控股、管理关系；</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（5）为本招标项目的监理人；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（6）为本招标项目的代建人；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（7）为本招标项目的招标代理机构；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（8）与本招标项目的监理人或代建人或招标代理机构同为一个法定代表人；</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（9）与本招标项目的监理人或代建人或招标代理机构存在控股或参股关系；</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（10）与本招标项目的监理人或代建人或招标代理机构存在相互任职或工作关系；</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（11）被依法暂停或者取消投标资格；</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（12）被责令停产停业、暂扣或者吊销许可证、暂扣或者吊销执照；</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（13）进入清算程序，或被宣告破产，或其他丧失履约能力的情形；</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（14）在最近三年内发生重大工程质量或安全问题（以相关行业主管部门的行政处罚决定或司法机关出具的有关法律文书为准）；</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（15）被“信用中国”网站（https://www.creditchina.gov.cn）发布的《法人和非法人组织公共信用信息报告》列入严重失信主体名单的。</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4.2招标人拒绝以下名单中的单位参加本次投标：</w:t>
      </w:r>
    </w:p>
    <w:tbl>
      <w:tblPr>
        <w:tblStyle w:val="15"/>
        <w:tblW w:w="0" w:type="auto"/>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3929"/>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2"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序号</w:t>
            </w:r>
          </w:p>
        </w:tc>
        <w:tc>
          <w:tcPr>
            <w:tcW w:w="3929"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单位名称</w:t>
            </w:r>
          </w:p>
        </w:tc>
        <w:tc>
          <w:tcPr>
            <w:tcW w:w="4579"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拒绝原因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2"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1</w:t>
            </w:r>
          </w:p>
        </w:tc>
        <w:tc>
          <w:tcPr>
            <w:tcW w:w="3929"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中誉恒信工程咨询有限公司</w:t>
            </w:r>
          </w:p>
        </w:tc>
        <w:tc>
          <w:tcPr>
            <w:tcW w:w="4579"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为本招标项目的可行性研究报告编制单位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2"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lang w:eastAsia="zh-CN"/>
              </w:rPr>
            </w:pPr>
            <w:r>
              <w:rPr>
                <w:rFonts w:hint="eastAsia" w:ascii="宋体" w:hAnsi="宋体" w:eastAsia="宋体" w:cs="宋体"/>
                <w:snapToGrid w:val="0"/>
                <w:kern w:val="0"/>
                <w:sz w:val="24"/>
                <w:szCs w:val="24"/>
                <w:highlight w:val="none"/>
                <w:lang w:val="en-US" w:eastAsia="zh-CN"/>
              </w:rPr>
              <w:t>2</w:t>
            </w:r>
          </w:p>
        </w:tc>
        <w:tc>
          <w:tcPr>
            <w:tcW w:w="3929"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lang w:eastAsia="zh-CN"/>
              </w:rPr>
            </w:pPr>
            <w:r>
              <w:rPr>
                <w:rFonts w:hint="eastAsia" w:ascii="宋体" w:hAnsi="宋体" w:eastAsia="宋体" w:cs="宋体"/>
                <w:snapToGrid w:val="0"/>
                <w:kern w:val="0"/>
                <w:sz w:val="24"/>
                <w:szCs w:val="24"/>
                <w:highlight w:val="none"/>
                <w:lang w:eastAsia="zh-CN"/>
              </w:rPr>
              <w:t>广东明正项目管理有限公司</w:t>
            </w:r>
          </w:p>
        </w:tc>
        <w:tc>
          <w:tcPr>
            <w:tcW w:w="4579"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为本招标项目的招标代理机构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2" w:type="dxa"/>
            <w:noWrap w:val="0"/>
            <w:vAlign w:val="center"/>
          </w:tcPr>
          <w:p>
            <w:pPr>
              <w:wordWrap w:val="0"/>
              <w:adjustRightInd w:val="0"/>
              <w:snapToGrid w:val="0"/>
              <w:spacing w:beforeLines="0" w:afterLines="0" w:line="360" w:lineRule="auto"/>
              <w:ind w:firstLine="0" w:firstLineChars="0"/>
              <w:jc w:val="center"/>
              <w:rPr>
                <w:rFonts w:hint="eastAsia" w:ascii="宋体" w:hAnsi="宋体" w:eastAsia="宋体" w:cs="宋体"/>
                <w:snapToGrid w:val="0"/>
                <w:kern w:val="0"/>
                <w:sz w:val="24"/>
                <w:szCs w:val="24"/>
                <w:highlight w:val="none"/>
                <w:lang w:eastAsia="zh-CN"/>
              </w:rPr>
            </w:pPr>
            <w:r>
              <w:rPr>
                <w:rFonts w:hint="eastAsia" w:ascii="宋体" w:hAnsi="宋体" w:eastAsia="宋体" w:cs="宋体"/>
                <w:snapToGrid w:val="0"/>
                <w:kern w:val="0"/>
                <w:sz w:val="24"/>
                <w:szCs w:val="24"/>
                <w:highlight w:val="none"/>
                <w:lang w:val="en-US" w:eastAsia="zh-CN"/>
              </w:rPr>
              <w:t>3</w:t>
            </w:r>
          </w:p>
        </w:tc>
        <w:tc>
          <w:tcPr>
            <w:tcW w:w="3929" w:type="dxa"/>
            <w:noWrap w:val="0"/>
            <w:vAlign w:val="center"/>
          </w:tcPr>
          <w:p>
            <w:pPr>
              <w:keepNext w:val="0"/>
              <w:keepLines w:val="0"/>
              <w:pageBreakBefore w:val="0"/>
              <w:widowControl w:val="0"/>
              <w:kinsoku/>
              <w:overflowPunct/>
              <w:topLinePunct w:val="0"/>
              <w:autoSpaceDE/>
              <w:autoSpaceDN/>
              <w:bidi w:val="0"/>
              <w:spacing w:beforeLines="0" w:afterLines="0" w:line="360" w:lineRule="auto"/>
              <w:ind w:left="0" w:leftChars="0" w:firstLine="0" w:firstLineChars="0"/>
              <w:jc w:val="left"/>
              <w:textAlignment w:val="auto"/>
              <w:rPr>
                <w:rFonts w:hint="eastAsia" w:ascii="宋体" w:hAnsi="宋体" w:eastAsia="宋体" w:cs="宋体"/>
                <w:snapToGrid w:val="0"/>
                <w:kern w:val="0"/>
                <w:sz w:val="24"/>
                <w:szCs w:val="24"/>
                <w:highlight w:val="none"/>
                <w:lang w:eastAsia="zh-CN"/>
              </w:rPr>
            </w:pPr>
            <w:r>
              <w:rPr>
                <w:rFonts w:hint="eastAsia" w:ascii="宋体" w:hAnsi="宋体" w:eastAsia="宋体" w:cs="宋体"/>
                <w:snapToGrid w:val="0"/>
                <w:color w:val="auto"/>
                <w:kern w:val="0"/>
                <w:sz w:val="24"/>
                <w:szCs w:val="24"/>
                <w:highlight w:val="none"/>
                <w:lang w:val="en-US" w:eastAsia="zh-CN"/>
              </w:rPr>
              <w:t>仁化县董塘镇人民政府</w:t>
            </w:r>
          </w:p>
        </w:tc>
        <w:tc>
          <w:tcPr>
            <w:tcW w:w="4579" w:type="dxa"/>
            <w:noWrap w:val="0"/>
            <w:vAlign w:val="center"/>
          </w:tcPr>
          <w:p>
            <w:pPr>
              <w:wordWrap w:val="0"/>
              <w:adjustRightInd w:val="0"/>
              <w:snapToGrid w:val="0"/>
              <w:spacing w:beforeLines="0" w:afterLines="0" w:line="360" w:lineRule="auto"/>
              <w:ind w:firstLine="0" w:firstLineChars="0"/>
              <w:jc w:val="left"/>
              <w:rPr>
                <w:rFonts w:hint="eastAsia" w:ascii="宋体" w:hAnsi="宋体" w:eastAsia="宋体" w:cs="宋体"/>
                <w:snapToGrid w:val="0"/>
                <w:kern w:val="0"/>
                <w:sz w:val="24"/>
                <w:szCs w:val="24"/>
                <w:highlight w:val="none"/>
              </w:rPr>
            </w:pPr>
            <w:r>
              <w:rPr>
                <w:rFonts w:hint="eastAsia" w:ascii="宋体" w:hAnsi="宋体" w:eastAsia="宋体" w:cs="宋体"/>
                <w:kern w:val="0"/>
                <w:sz w:val="24"/>
                <w:szCs w:val="24"/>
                <w:highlight w:val="none"/>
              </w:rPr>
              <w:t>为本招标项目的业主单位</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招标人</w:t>
            </w:r>
          </w:p>
        </w:tc>
      </w:tr>
    </w:tbl>
    <w:p>
      <w:pPr>
        <w:spacing w:line="360" w:lineRule="auto"/>
        <w:ind w:firstLine="480" w:firstLineChars="200"/>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val="zh-CN" w:eastAsia="zh-CN"/>
        </w:rPr>
        <w:t>省外企业（包括组成联合体的所有成员单位）须按照《广东省住房和城乡建设厅关于取消省外建筑企业和人员进粤信息备案有关工作的通知》（粤建市﹝2015﹞52号）规定在“进粤企业和人员诚信信息登记平台”录入相关信息并通过数据规范检查。</w:t>
      </w:r>
    </w:p>
    <w:p>
      <w:pPr>
        <w:pStyle w:val="24"/>
        <w:keepNext/>
        <w:keepLines/>
        <w:numPr>
          <w:ilvl w:val="0"/>
          <w:numId w:val="0"/>
        </w:numPr>
        <w:spacing w:line="360" w:lineRule="auto"/>
        <w:outlineLvl w:val="2"/>
        <w:rPr>
          <w:rFonts w:hint="eastAsia" w:ascii="宋体" w:hAnsi="宋体" w:eastAsia="宋体" w:cs="宋体"/>
          <w:b/>
          <w:color w:val="auto"/>
          <w:kern w:val="2"/>
          <w:sz w:val="24"/>
          <w:szCs w:val="24"/>
        </w:rPr>
      </w:pPr>
      <w:bookmarkStart w:id="58" w:name="_Toc5643"/>
      <w:r>
        <w:rPr>
          <w:rFonts w:hint="eastAsia" w:ascii="宋体" w:hAnsi="宋体" w:eastAsia="宋体" w:cs="宋体"/>
          <w:b/>
          <w:color w:val="auto"/>
          <w:kern w:val="2"/>
          <w:sz w:val="24"/>
          <w:szCs w:val="24"/>
        </w:rPr>
        <w:t>3</w:t>
      </w:r>
      <w:r>
        <w:rPr>
          <w:rFonts w:hint="eastAsia" w:ascii="宋体" w:hAnsi="宋体" w:eastAsia="宋体" w:cs="宋体"/>
          <w:b/>
          <w:bCs/>
          <w:snapToGrid w:val="0"/>
          <w:color w:val="auto"/>
          <w:kern w:val="0"/>
          <w:sz w:val="24"/>
          <w:szCs w:val="24"/>
          <w:highlight w:val="none"/>
        </w:rPr>
        <w:t>．</w:t>
      </w:r>
      <w:r>
        <w:rPr>
          <w:rFonts w:hint="eastAsia" w:ascii="宋体" w:hAnsi="宋体" w:eastAsia="宋体" w:cs="宋体"/>
          <w:b/>
          <w:color w:val="auto"/>
          <w:kern w:val="2"/>
          <w:sz w:val="24"/>
          <w:szCs w:val="24"/>
        </w:rPr>
        <w:t>招标文件的获取</w:t>
      </w:r>
      <w:bookmarkEnd w:id="58"/>
    </w:p>
    <w:p>
      <w:pPr>
        <w:pStyle w:val="21"/>
        <w:wordWrap w:val="0"/>
        <w:adjustRightInd w:val="0"/>
        <w:snapToGrid w:val="0"/>
        <w:spacing w:line="360" w:lineRule="auto"/>
        <w:ind w:firstLine="48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3.1 本次招标实行电子投标。</w:t>
      </w:r>
    </w:p>
    <w:p>
      <w:pPr>
        <w:pStyle w:val="21"/>
        <w:wordWrap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本项目招标文件随招标公告在全国公共资源交易平台 （广东省·韶关市）（https://ygp.gdzwfw.gov.cn/ggzy-portal/#/440200/index）网站发布。招标文件一经在全国公共资源交易平台 （广东省·韶关市）（https://ygp.gdzwfw.gov.cn/ggzy-portal/#/440200/index）发布，视为发售投标人，招标文件及相关附件由投标人自行在全国公共资源交易平台 （广东省·韶关市）（https://ygp.gdzwfw.gov.cn/ggzy-portal/#/440200/index）网站下载。请于招标文件获取期间,（详见“重要事项时间地点一览表”）招标文件获取期间与投标截止时间一致，投标人须登录全国公共资源交易平台 （广东省·韶关市）（https://ygp.gdzwfw.gov.cn/ggzy-portal/#/440200/index），使用新建设工程交易系统进行下载招标文件及相关附件，并于电子投标截止时间（详见“重要事项时间地点一览表”）前完成电子投标。投标人可登录全国公共资源交易平台 （广东省·韶关市）（https://ygp.gdzwfw.gov.cn/ggzy-portal/#/440200/index），在【服务指南】栏目中下载《韶关市公共资源建设工程交易系统-投标人操作指南》，了解网上获取招标文件操作流程。技术咨询电话：18819797080/0751-8379671 伍先生，业务咨询电话：0751-8633211、8633071。</w:t>
      </w:r>
    </w:p>
    <w:p>
      <w:pPr>
        <w:pStyle w:val="21"/>
        <w:wordWrap w:val="0"/>
        <w:adjustRightInd w:val="0"/>
        <w:snapToGrid w:val="0"/>
        <w:spacing w:line="360" w:lineRule="auto"/>
        <w:ind w:firstLine="48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3.2 只有申领了数字证书（CA）、“粤企签”或GDCA/SZCA/NETCA等符合法律法规规定的电子印章，并在交易系统中完成企业信息数据入库的投标人，方可使用交易系统获取招标文件和电子投标。首次在韶关市参与建设工程招标投标活动的投标人，必须在平台系统上传企业相关资料办理企业入库事宜。投标人可登录全国公共资源交易平台 （广东省·韶关市）（https://ygp.gdzwfw.gov.cn/ggzy-portal/#/440200/index）办理办理企业入库、数字证书及电子印章事宜，具体请在平台查阅相应的交易指引。已入库企业有关信息（如单位名称、基本账号、资质、人员等）发生变化的，须及时在交易系统进行相应变更。投标人未及时变更信息而造成的损失和后果，由投标人自行承担。</w:t>
      </w:r>
    </w:p>
    <w:p>
      <w:pPr>
        <w:autoSpaceDN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电子印章：是指获得国家工业和信息化部颁发的《电子认证服务许可证》、国家密码管理局颁发的《电子认证服务使用密码许可证》等资质，具备承担因数字证书原因产生纠纷的相关责任的能力，且在广东省内具有数量基础和服务能力的依法设立的电子认证服务机构签发的电子签章认证证书（即CA数字证书）。投标人应当到相关服务机构办理并取得数字证书介质和应用。电子印章包括机构法人电子形式印章，单位法定代表人、被委托人及其他个人的电子形式印章。电子印章与手写签名或者盖章具有同等的法律效力。</w:t>
      </w:r>
    </w:p>
    <w:p>
      <w:pPr>
        <w:autoSpaceDN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已入库企业的有关信息（如单位名称、基本账号、资质、人员等）发生变化的，须及时在建设工程交易系统进行相应变更。投标人未及时变更而造成的损失和后果，由投标人自行承担。</w:t>
      </w:r>
    </w:p>
    <w:p>
      <w:pPr>
        <w:tabs>
          <w:tab w:val="left" w:pos="7020"/>
        </w:tabs>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3.3</w:t>
      </w:r>
      <w:r>
        <w:rPr>
          <w:rFonts w:hint="eastAsia" w:ascii="宋体" w:hAnsi="宋体" w:eastAsia="宋体" w:cs="宋体"/>
          <w:snapToGrid w:val="0"/>
          <w:color w:val="auto"/>
          <w:kern w:val="0"/>
          <w:sz w:val="24"/>
          <w:szCs w:val="24"/>
        </w:rPr>
        <w:t xml:space="preserve"> 投标保证</w:t>
      </w:r>
    </w:p>
    <w:p>
      <w:pPr>
        <w:wordWrap w:val="0"/>
        <w:adjustRightInd w:val="0"/>
        <w:snapToGrid w:val="0"/>
        <w:spacing w:line="360" w:lineRule="auto"/>
        <w:ind w:left="216" w:leftChars="103"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1．投标人须缴纳金额为：人民币</w:t>
      </w:r>
      <w:r>
        <w:rPr>
          <w:rFonts w:hint="eastAsia" w:ascii="宋体" w:hAnsi="宋体" w:eastAsia="宋体" w:cs="宋体"/>
          <w:snapToGrid w:val="0"/>
          <w:color w:val="auto"/>
          <w:kern w:val="0"/>
          <w:sz w:val="24"/>
          <w:szCs w:val="24"/>
          <w:u w:val="single"/>
        </w:rPr>
        <w:t>50万元</w:t>
      </w:r>
      <w:r>
        <w:rPr>
          <w:rFonts w:hint="eastAsia" w:ascii="宋体" w:hAnsi="宋体" w:eastAsia="宋体" w:cs="宋体"/>
          <w:snapToGrid w:val="0"/>
          <w:color w:val="auto"/>
          <w:kern w:val="0"/>
          <w:sz w:val="24"/>
          <w:szCs w:val="24"/>
        </w:rPr>
        <w:t>的投标保证。联合体投标的，由联合体牵头人缴纳。</w:t>
      </w:r>
    </w:p>
    <w:p>
      <w:pPr>
        <w:tabs>
          <w:tab w:val="left" w:pos="7020"/>
        </w:tabs>
        <w:wordWrap w:val="0"/>
        <w:adjustRightInd w:val="0"/>
        <w:snapToGrid w:val="0"/>
        <w:spacing w:line="360" w:lineRule="auto"/>
        <w:ind w:firstLine="720" w:firstLineChars="3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2.投标保证的形式包括投标保证金、投标保证担保、投标保证保险三种，由投标人自主选择。</w:t>
      </w:r>
    </w:p>
    <w:p>
      <w:pPr>
        <w:tabs>
          <w:tab w:val="left" w:pos="7020"/>
        </w:tabs>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采用投标保证金的，投标人在建设工程交易系统获取招标文件完毕后，即可在系统申请缴纳投标保证金，获取本次招标投标保证金缴纳账号。投标人须于投标保证金到账截止时间（见本公告“重要事项时间地点一览表”）前，从其基本账户将投标保证金转账到指定的缴纳账号。逾期到账的、从非投标人基本账户转出的，其投标无效。</w:t>
      </w:r>
    </w:p>
    <w:p>
      <w:pPr>
        <w:tabs>
          <w:tab w:val="left" w:pos="7020"/>
        </w:tabs>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（2）</w:t>
      </w:r>
      <w:r>
        <w:rPr>
          <w:rFonts w:hint="eastAsia" w:ascii="宋体" w:hAnsi="宋体" w:eastAsia="宋体" w:cs="宋体"/>
          <w:snapToGrid w:val="0"/>
          <w:color w:val="auto"/>
          <w:kern w:val="0"/>
          <w:sz w:val="24"/>
          <w:szCs w:val="24"/>
        </w:rPr>
        <w:t>采用投标保证担保的，投标人应提交有效的银行保函，银行保函的有效期不得短于投标有效期。投标人必须在投标保证担保截止时间（见本章第二节“重要事项时间地点一览表”）前，使用工程建设交易系统完成网上办理电子保函。</w:t>
      </w:r>
    </w:p>
    <w:p>
      <w:pPr>
        <w:autoSpaceDN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采用投标保证保险的，投标人须在投标保证保险投保截止时间（详见“重要事项时间地点一览表”）前，使用建设工程交易系统完成网上投保。投标人可在系统选择保险机构、录入投保信息、支付保费、打印电子保单，电子保单的有效期不得短于投标有效期。投标人可登录</w:t>
      </w:r>
      <w:r>
        <w:rPr>
          <w:rFonts w:hint="eastAsia" w:ascii="宋体" w:hAnsi="宋体" w:eastAsia="宋体" w:cs="宋体"/>
          <w:snapToGrid w:val="0"/>
          <w:color w:val="auto"/>
          <w:kern w:val="0"/>
          <w:sz w:val="24"/>
          <w:szCs w:val="24"/>
        </w:rPr>
        <w:t>全国公共资源交易平台 （广东省·韶关市）（https://ygp.gdzwfw.gov.cn/ggzy-portal/#/440200/index）</w:t>
      </w:r>
      <w:r>
        <w:rPr>
          <w:rFonts w:hint="eastAsia" w:ascii="宋体" w:hAnsi="宋体" w:eastAsia="宋体" w:cs="宋体"/>
          <w:color w:val="auto"/>
          <w:kern w:val="0"/>
          <w:sz w:val="24"/>
          <w:szCs w:val="24"/>
        </w:rPr>
        <w:t>，在【交易指引】栏目中下载《建设工程网上交易系统保险保证金缴纳操作指南》，了解网上投保具体操作流程。逾期投保的，其投标无效。</w:t>
      </w:r>
    </w:p>
    <w:p>
      <w:pPr>
        <w:tabs>
          <w:tab w:val="left" w:pos="7020"/>
        </w:tabs>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温馨提醒：投标人采用投标保证担保或投标保证保险的，为避免在评标过程中因有效期发生争议，建议投标人将银行保函或电子保单有效期设置为较招标文件规定的投标有效期延长不少于20个日历天。</w:t>
      </w:r>
    </w:p>
    <w:p>
      <w:pPr>
        <w:tabs>
          <w:tab w:val="left" w:pos="7020"/>
        </w:tabs>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lang w:val="en-US" w:eastAsia="zh-CN"/>
        </w:rPr>
        <w:t>3.4</w:t>
      </w:r>
      <w:r>
        <w:rPr>
          <w:rFonts w:hint="eastAsia" w:ascii="宋体" w:hAnsi="宋体" w:eastAsia="宋体" w:cs="宋体"/>
          <w:bCs/>
          <w:snapToGrid w:val="0"/>
          <w:color w:val="auto"/>
          <w:kern w:val="0"/>
          <w:sz w:val="24"/>
          <w:szCs w:val="24"/>
        </w:rPr>
        <w:t>若投标人因自身原因未能正确完成招标文件的获取、电子投标、缴纳投标保证的，其投标无效。</w:t>
      </w:r>
    </w:p>
    <w:p>
      <w:pPr>
        <w:pStyle w:val="24"/>
        <w:keepNext/>
        <w:keepLines/>
        <w:pageBreakBefore w:val="0"/>
        <w:widowControl/>
        <w:kinsoku/>
        <w:wordWrap/>
        <w:overflowPunct/>
        <w:topLinePunct w:val="0"/>
        <w:bidi w:val="0"/>
        <w:spacing w:line="360" w:lineRule="auto"/>
        <w:ind w:firstLine="482" w:firstLineChars="200"/>
        <w:textAlignment w:val="auto"/>
        <w:outlineLvl w:val="2"/>
        <w:rPr>
          <w:rFonts w:hint="eastAsia" w:ascii="宋体" w:hAnsi="宋体" w:eastAsia="宋体" w:cs="宋体"/>
          <w:b/>
          <w:color w:val="auto"/>
          <w:kern w:val="2"/>
          <w:sz w:val="24"/>
          <w:szCs w:val="24"/>
        </w:rPr>
      </w:pPr>
      <w:bookmarkStart w:id="59" w:name="_Toc6073"/>
      <w:r>
        <w:rPr>
          <w:rFonts w:hint="eastAsia" w:ascii="宋体" w:hAnsi="宋体" w:eastAsia="宋体" w:cs="宋体"/>
          <w:b/>
          <w:color w:val="auto"/>
          <w:kern w:val="2"/>
          <w:sz w:val="24"/>
          <w:szCs w:val="24"/>
        </w:rPr>
        <w:t>4．工期要求</w:t>
      </w:r>
      <w:bookmarkEnd w:id="59"/>
    </w:p>
    <w:p>
      <w:pPr>
        <w:pageBreakBefore w:val="0"/>
        <w:widowControl/>
        <w:kinsoku/>
        <w:wordWrap/>
        <w:overflowPunct/>
        <w:topLinePunct w:val="0"/>
        <w:bidi w:val="0"/>
        <w:spacing w:before="120" w:beforeLines="5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4.1 本项目</w:t>
      </w:r>
      <w:r>
        <w:rPr>
          <w:rFonts w:hint="eastAsia" w:ascii="宋体" w:hAnsi="宋体" w:eastAsia="宋体" w:cs="宋体"/>
          <w:color w:val="auto"/>
          <w:sz w:val="24"/>
          <w:szCs w:val="24"/>
          <w:lang w:eastAsia="zh-CN"/>
        </w:rPr>
        <w:t>勘察</w:t>
      </w:r>
      <w:r>
        <w:rPr>
          <w:rFonts w:hint="eastAsia" w:ascii="宋体" w:hAnsi="宋体" w:eastAsia="宋体" w:cs="宋体"/>
          <w:color w:val="auto"/>
          <w:sz w:val="24"/>
          <w:szCs w:val="24"/>
        </w:rPr>
        <w:t>设计、施工工期：共</w:t>
      </w:r>
      <w:r>
        <w:rPr>
          <w:rFonts w:hint="eastAsia" w:ascii="宋体" w:hAnsi="宋体" w:eastAsia="宋体" w:cs="宋体"/>
          <w:color w:val="auto"/>
          <w:sz w:val="24"/>
          <w:szCs w:val="24"/>
          <w:lang w:val="en-US" w:eastAsia="zh-CN"/>
        </w:rPr>
        <w:t>330</w:t>
      </w:r>
      <w:r>
        <w:rPr>
          <w:rFonts w:hint="eastAsia" w:ascii="宋体" w:hAnsi="宋体" w:eastAsia="宋体" w:cs="宋体"/>
          <w:color w:val="auto"/>
          <w:sz w:val="24"/>
          <w:szCs w:val="24"/>
        </w:rPr>
        <w:t>日历天（其中：</w:t>
      </w:r>
      <w:r>
        <w:rPr>
          <w:rFonts w:hint="eastAsia" w:ascii="宋体" w:hAnsi="宋体" w:eastAsia="宋体" w:cs="宋体"/>
          <w:color w:val="auto"/>
          <w:sz w:val="24"/>
          <w:szCs w:val="24"/>
          <w:lang w:eastAsia="zh-CN"/>
        </w:rPr>
        <w:t>勘察</w:t>
      </w:r>
      <w:r>
        <w:rPr>
          <w:rFonts w:hint="eastAsia" w:ascii="宋体" w:hAnsi="宋体" w:eastAsia="宋体" w:cs="宋体"/>
          <w:color w:val="auto"/>
          <w:sz w:val="24"/>
          <w:szCs w:val="24"/>
        </w:rPr>
        <w:t>设计工期为</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rPr>
        <w:t>日历天；施工工期</w:t>
      </w:r>
      <w:r>
        <w:rPr>
          <w:rFonts w:hint="eastAsia" w:ascii="宋体" w:hAnsi="宋体" w:eastAsia="宋体" w:cs="宋体"/>
          <w:color w:val="auto"/>
          <w:sz w:val="24"/>
          <w:szCs w:val="24"/>
          <w:lang w:val="en-US" w:eastAsia="zh-CN"/>
        </w:rPr>
        <w:t>240</w:t>
      </w:r>
      <w:r>
        <w:rPr>
          <w:rFonts w:hint="eastAsia" w:ascii="宋体" w:hAnsi="宋体" w:eastAsia="宋体" w:cs="宋体"/>
          <w:color w:val="auto"/>
          <w:sz w:val="24"/>
          <w:szCs w:val="24"/>
        </w:rPr>
        <w:t>日历天）。</w:t>
      </w:r>
    </w:p>
    <w:p>
      <w:pPr>
        <w:pStyle w:val="24"/>
        <w:keepNext/>
        <w:keepLines/>
        <w:pageBreakBefore w:val="0"/>
        <w:widowControl/>
        <w:kinsoku/>
        <w:wordWrap/>
        <w:overflowPunct/>
        <w:topLinePunct w:val="0"/>
        <w:bidi w:val="0"/>
        <w:spacing w:line="360" w:lineRule="auto"/>
        <w:ind w:firstLine="482" w:firstLineChars="200"/>
        <w:textAlignment w:val="auto"/>
        <w:outlineLvl w:val="2"/>
        <w:rPr>
          <w:rFonts w:hint="eastAsia" w:ascii="宋体" w:hAnsi="宋体" w:eastAsia="宋体" w:cs="宋体"/>
          <w:b/>
          <w:color w:val="auto"/>
          <w:kern w:val="2"/>
          <w:sz w:val="24"/>
          <w:szCs w:val="24"/>
        </w:rPr>
      </w:pPr>
      <w:bookmarkStart w:id="60" w:name="_Toc21457"/>
      <w:r>
        <w:rPr>
          <w:rFonts w:hint="eastAsia" w:ascii="宋体" w:hAnsi="宋体" w:eastAsia="宋体" w:cs="宋体"/>
          <w:b/>
          <w:color w:val="auto"/>
          <w:kern w:val="2"/>
          <w:sz w:val="24"/>
          <w:szCs w:val="24"/>
        </w:rPr>
        <w:t>5．本次设计工程的内容及要求</w:t>
      </w:r>
      <w:bookmarkEnd w:id="60"/>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bookmarkStart w:id="61" w:name="_Hlt69699204"/>
      <w:bookmarkEnd w:id="61"/>
      <w:bookmarkStart w:id="62" w:name="_Hlt69356505"/>
      <w:bookmarkEnd w:id="62"/>
      <w:bookmarkStart w:id="63" w:name="_Hlt88974078"/>
      <w:bookmarkEnd w:id="63"/>
      <w:bookmarkStart w:id="64" w:name="_Hlt111690342"/>
      <w:bookmarkEnd w:id="64"/>
      <w:bookmarkStart w:id="65" w:name="_Hlt121563076"/>
      <w:bookmarkEnd w:id="65"/>
      <w:bookmarkStart w:id="66" w:name="_Hlt120502666"/>
      <w:bookmarkEnd w:id="66"/>
      <w:bookmarkStart w:id="67" w:name="_Hlt74493474"/>
      <w:bookmarkEnd w:id="67"/>
      <w:bookmarkStart w:id="68" w:name="_Hlt74496537"/>
      <w:bookmarkEnd w:id="68"/>
      <w:bookmarkStart w:id="69" w:name="_Toc20108"/>
      <w:bookmarkStart w:id="70" w:name="_Toc3438"/>
      <w:bookmarkStart w:id="71" w:name="_Toc39136335"/>
      <w:bookmarkStart w:id="72" w:name="_Toc14398"/>
      <w:bookmarkStart w:id="73" w:name="_Toc27558"/>
      <w:bookmarkStart w:id="74" w:name="_Toc12700"/>
      <w:bookmarkStart w:id="75" w:name="_Toc22025"/>
      <w:r>
        <w:rPr>
          <w:rFonts w:hint="eastAsia" w:ascii="宋体" w:hAnsi="宋体" w:eastAsia="宋体" w:cs="宋体"/>
          <w:b/>
          <w:bCs/>
          <w:snapToGrid w:val="0"/>
          <w:color w:val="auto"/>
          <w:kern w:val="0"/>
          <w:sz w:val="24"/>
          <w:szCs w:val="24"/>
          <w:highlight w:val="none"/>
        </w:rPr>
        <w:t>5.1</w:t>
      </w:r>
      <w:r>
        <w:rPr>
          <w:rFonts w:hint="eastAsia" w:ascii="宋体" w:hAnsi="宋体" w:eastAsia="宋体" w:cs="宋体"/>
          <w:snapToGrid w:val="0"/>
          <w:color w:val="auto"/>
          <w:kern w:val="0"/>
          <w:sz w:val="24"/>
          <w:szCs w:val="24"/>
          <w:highlight w:val="none"/>
        </w:rPr>
        <w:t>本次设计工程的内容及要求：</w:t>
      </w:r>
    </w:p>
    <w:p>
      <w:pPr>
        <w:pStyle w:val="25"/>
        <w:keepNext w:val="0"/>
        <w:keepLines w:val="0"/>
        <w:pageBreakBefore w:val="0"/>
        <w:widowControl w:val="0"/>
        <w:kinsoku/>
        <w:wordWrap/>
        <w:overflowPunct/>
        <w:topLinePunct w:val="0"/>
        <w:autoSpaceDE/>
        <w:autoSpaceDN/>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5.1.1</w:t>
      </w:r>
      <w:r>
        <w:rPr>
          <w:rFonts w:hint="eastAsia" w:ascii="宋体" w:hAnsi="宋体" w:eastAsia="宋体" w:cs="宋体"/>
          <w:color w:val="auto"/>
          <w:sz w:val="24"/>
          <w:szCs w:val="24"/>
          <w:highlight w:val="none"/>
        </w:rPr>
        <w:t>本项目设计包括工程所有专业及其配套设施工程和其他工程等所有招标范围工程项目报建、报批、施工设计文件、施工图（含配套附属工程等）设计的编制。</w:t>
      </w:r>
    </w:p>
    <w:p>
      <w:pPr>
        <w:pStyle w:val="25"/>
        <w:keepNext w:val="0"/>
        <w:keepLines w:val="0"/>
        <w:pageBreakBefore w:val="0"/>
        <w:widowControl w:val="0"/>
        <w:kinsoku/>
        <w:wordWrap/>
        <w:overflowPunct/>
        <w:topLinePunct w:val="0"/>
        <w:autoSpaceDE/>
        <w:autoSpaceDN/>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5.1.2</w:t>
      </w:r>
      <w:r>
        <w:rPr>
          <w:rFonts w:hint="eastAsia" w:ascii="宋体" w:hAnsi="宋体" w:eastAsia="宋体" w:cs="宋体"/>
          <w:color w:val="auto"/>
          <w:sz w:val="24"/>
          <w:szCs w:val="24"/>
          <w:highlight w:val="none"/>
        </w:rPr>
        <w:t>本工程各个阶段的设计成果必须经招标人及有关审批部门同意后方可进行下一工序的设计工作，若招标人或有关审批部门在审批过程中提出的设计修改或变更，中标人必须无条件进行修改或变更，招标人不再支付由此而增加的设计费用。本工程施工图设计必须先经招标人确认才能送审，并经招标人委托的有资质的审图机构审查合格。若由于招标人或审图机构在审查过程中提出的设计修改或变更，中标人必须无条件进行修改或优化设计，招标人不再支付由此而增加的设计费用。</w:t>
      </w:r>
    </w:p>
    <w:p>
      <w:pPr>
        <w:pStyle w:val="25"/>
        <w:keepNext w:val="0"/>
        <w:keepLines w:val="0"/>
        <w:pageBreakBefore w:val="0"/>
        <w:widowControl/>
        <w:kinsoku/>
        <w:wordWrap/>
        <w:overflowPunct/>
        <w:topLinePunct w:val="0"/>
        <w:autoSpaceDE/>
        <w:autoSpaceDN/>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5.1.3</w:t>
      </w:r>
      <w:r>
        <w:rPr>
          <w:rFonts w:hint="eastAsia" w:ascii="宋体" w:hAnsi="宋体" w:eastAsia="宋体" w:cs="宋体"/>
          <w:color w:val="auto"/>
          <w:sz w:val="24"/>
          <w:szCs w:val="24"/>
          <w:highlight w:val="none"/>
        </w:rPr>
        <w:t>本工程设计要求的质量标准：符合现行的国家及地方的有关设计规范等，且必须通过有关部门的审查及经有资质的审图机构审查合格。</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5.2</w:t>
      </w:r>
      <w:r>
        <w:rPr>
          <w:rFonts w:hint="eastAsia" w:ascii="宋体" w:hAnsi="宋体" w:eastAsia="宋体" w:cs="宋体"/>
          <w:color w:val="auto"/>
          <w:sz w:val="24"/>
          <w:szCs w:val="24"/>
          <w:highlight w:val="none"/>
        </w:rPr>
        <w:t>设计承包内容：中标人按合同约定、招标文件内容要求、法律法规及国家强制性标准要求提供完整的设计文件及建设期间的服务等内容。</w:t>
      </w:r>
    </w:p>
    <w:p>
      <w:pPr>
        <w:pStyle w:val="25"/>
        <w:pageBreakBefore w:val="0"/>
        <w:widowControl/>
        <w:kinsoku/>
        <w:wordWrap/>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施工图设计文件12套。提供的所有资料均含电子版（含CAD及PDF文件格式）。</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5.3</w:t>
      </w:r>
      <w:r>
        <w:rPr>
          <w:rFonts w:hint="eastAsia" w:ascii="宋体" w:hAnsi="宋体" w:eastAsia="宋体" w:cs="宋体"/>
          <w:color w:val="auto"/>
          <w:sz w:val="24"/>
          <w:szCs w:val="24"/>
          <w:highlight w:val="none"/>
        </w:rPr>
        <w:t xml:space="preserve"> 中标人要按照批准的可行性研究报告等</w:t>
      </w:r>
      <w:r>
        <w:rPr>
          <w:rFonts w:hint="eastAsia" w:ascii="宋体" w:hAnsi="宋体" w:eastAsia="宋体" w:cs="宋体"/>
          <w:color w:val="auto"/>
          <w:sz w:val="24"/>
          <w:szCs w:val="24"/>
          <w:highlight w:val="none"/>
          <w:lang w:val="en-US" w:eastAsia="zh-CN"/>
        </w:rPr>
        <w:t>资料</w:t>
      </w:r>
      <w:r>
        <w:rPr>
          <w:rFonts w:hint="eastAsia" w:ascii="宋体" w:hAnsi="宋体" w:eastAsia="宋体" w:cs="宋体"/>
          <w:color w:val="auto"/>
          <w:sz w:val="24"/>
          <w:szCs w:val="24"/>
          <w:highlight w:val="none"/>
        </w:rPr>
        <w:t>控制施工图设计，即限额设计。中标人要无条件对设计文件出现的遗漏或错误负责修改或补充、优化设计，直到满足要求。</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5.4</w:t>
      </w:r>
      <w:r>
        <w:rPr>
          <w:rFonts w:hint="eastAsia" w:ascii="宋体" w:hAnsi="宋体" w:eastAsia="宋体" w:cs="宋体"/>
          <w:color w:val="auto"/>
          <w:sz w:val="24"/>
          <w:szCs w:val="24"/>
          <w:highlight w:val="none"/>
        </w:rPr>
        <w:t xml:space="preserve"> 施工期间若遇到工程变更、突发事件或不可遇见的事件等情况，中标人接到建设单位或监理单位通知后应当立即到达施工现场，研究并及时处理问题。</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5.5关于设计深度的要求</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5.5.1</w:t>
      </w:r>
      <w:r>
        <w:rPr>
          <w:rFonts w:hint="eastAsia" w:ascii="宋体" w:hAnsi="宋体" w:eastAsia="宋体" w:cs="宋体"/>
          <w:color w:val="auto"/>
          <w:sz w:val="24"/>
          <w:szCs w:val="24"/>
          <w:highlight w:val="none"/>
        </w:rPr>
        <w:t>按现行的设计文件深度规定等有关技术标准、设计规范（标准）要求。</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5.5.2</w:t>
      </w:r>
      <w:r>
        <w:rPr>
          <w:rFonts w:hint="eastAsia" w:ascii="宋体" w:hAnsi="宋体" w:eastAsia="宋体" w:cs="宋体"/>
          <w:color w:val="auto"/>
          <w:sz w:val="24"/>
          <w:szCs w:val="24"/>
          <w:highlight w:val="none"/>
        </w:rPr>
        <w:t>各专业设计应同步进行，</w:t>
      </w:r>
      <w:r>
        <w:rPr>
          <w:rFonts w:hint="eastAsia" w:ascii="宋体" w:hAnsi="宋体" w:eastAsia="宋体" w:cs="宋体"/>
          <w:snapToGrid w:val="0"/>
          <w:color w:val="auto"/>
          <w:kern w:val="0"/>
          <w:sz w:val="24"/>
          <w:szCs w:val="24"/>
          <w:highlight w:val="none"/>
        </w:rPr>
        <w:t>设计单位</w:t>
      </w:r>
      <w:r>
        <w:rPr>
          <w:rFonts w:hint="eastAsia" w:ascii="宋体" w:hAnsi="宋体" w:eastAsia="宋体" w:cs="宋体"/>
          <w:color w:val="auto"/>
          <w:sz w:val="24"/>
          <w:szCs w:val="24"/>
          <w:highlight w:val="none"/>
        </w:rPr>
        <w:t>应指定总体设计负责人统筹布局，做好各项设施的协调和衔接、位置预留，不得留待施工中临时变更。</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5.5.3</w:t>
      </w:r>
      <w:r>
        <w:rPr>
          <w:rFonts w:hint="eastAsia" w:ascii="宋体" w:hAnsi="宋体" w:eastAsia="宋体" w:cs="宋体"/>
          <w:color w:val="auto"/>
          <w:sz w:val="24"/>
          <w:szCs w:val="24"/>
          <w:highlight w:val="none"/>
        </w:rPr>
        <w:t>对技术复杂或造价、规模较大的主要分项工程应作方案比较。</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5.5.4</w:t>
      </w:r>
      <w:r>
        <w:rPr>
          <w:rFonts w:hint="eastAsia" w:ascii="宋体" w:hAnsi="宋体" w:eastAsia="宋体" w:cs="宋体"/>
          <w:color w:val="auto"/>
          <w:sz w:val="24"/>
          <w:szCs w:val="24"/>
          <w:highlight w:val="none"/>
        </w:rPr>
        <w:t>施工图设计文件的深度，应当满足设备材料采购，非标准设备制作和施工的需要，并注明建设工程合理使用年限。</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5.5.5</w:t>
      </w:r>
      <w:r>
        <w:rPr>
          <w:rFonts w:hint="eastAsia" w:ascii="宋体" w:hAnsi="宋体" w:eastAsia="宋体" w:cs="宋体"/>
          <w:color w:val="auto"/>
          <w:sz w:val="24"/>
          <w:szCs w:val="24"/>
          <w:highlight w:val="none"/>
        </w:rPr>
        <w:t>相关的配套外部接口方案均需取得政府主管部门或规划部门认可。</w:t>
      </w:r>
    </w:p>
    <w:p>
      <w:pPr>
        <w:pStyle w:val="25"/>
        <w:pageBreakBefore w:val="0"/>
        <w:widowControl/>
        <w:kinsoku/>
        <w:wordWrap/>
        <w:overflowPunct/>
        <w:topLinePunct w:val="0"/>
        <w:bidi w:val="0"/>
        <w:spacing w:line="360" w:lineRule="auto"/>
        <w:ind w:left="0" w:leftChars="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5.5.6</w:t>
      </w:r>
      <w:r>
        <w:rPr>
          <w:rFonts w:hint="eastAsia" w:ascii="宋体" w:hAnsi="宋体" w:eastAsia="宋体" w:cs="宋体"/>
          <w:color w:val="auto"/>
          <w:sz w:val="24"/>
          <w:szCs w:val="24"/>
          <w:highlight w:val="none"/>
        </w:rPr>
        <w:t>施工图设计文件应考虑交通维护、临时施工便道、危大工程、对周边建筑物的影响等因素，并提供相应的设计方案及计算书（可另册装订），以指导现场施工及过程评审。</w:t>
      </w:r>
    </w:p>
    <w:p>
      <w:pPr>
        <w:pageBreakBefore w:val="0"/>
        <w:widowControl/>
        <w:kinsoku/>
        <w:wordWrap/>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5.6</w:t>
      </w:r>
      <w:r>
        <w:rPr>
          <w:rFonts w:hint="eastAsia" w:ascii="宋体" w:hAnsi="宋体" w:eastAsia="宋体" w:cs="宋体"/>
          <w:b/>
          <w:bCs/>
          <w:color w:val="auto"/>
          <w:kern w:val="0"/>
          <w:sz w:val="24"/>
          <w:szCs w:val="24"/>
          <w:highlight w:val="none"/>
        </w:rPr>
        <w:t>．</w:t>
      </w:r>
      <w:r>
        <w:rPr>
          <w:rFonts w:hint="eastAsia" w:ascii="宋体" w:hAnsi="宋体" w:eastAsia="宋体" w:cs="宋体"/>
          <w:snapToGrid w:val="0"/>
          <w:color w:val="auto"/>
          <w:kern w:val="0"/>
          <w:sz w:val="24"/>
          <w:szCs w:val="24"/>
          <w:highlight w:val="none"/>
        </w:rPr>
        <w:t>设计后期配合施工工作</w:t>
      </w:r>
    </w:p>
    <w:p>
      <w:pPr>
        <w:pageBreakBefore w:val="0"/>
        <w:widowControl/>
        <w:kinsoku/>
        <w:wordWrap/>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5.6.1</w:t>
      </w:r>
      <w:r>
        <w:rPr>
          <w:rFonts w:hint="eastAsia" w:ascii="宋体" w:hAnsi="宋体" w:eastAsia="宋体" w:cs="宋体"/>
          <w:b/>
          <w:bCs/>
          <w:color w:val="auto"/>
          <w:kern w:val="0"/>
          <w:sz w:val="24"/>
          <w:szCs w:val="24"/>
          <w:highlight w:val="none"/>
        </w:rPr>
        <w:t>．</w:t>
      </w:r>
      <w:r>
        <w:rPr>
          <w:rFonts w:hint="eastAsia" w:ascii="宋体" w:hAnsi="宋体" w:eastAsia="宋体" w:cs="宋体"/>
          <w:snapToGrid w:val="0"/>
          <w:color w:val="auto"/>
          <w:kern w:val="0"/>
          <w:sz w:val="24"/>
          <w:szCs w:val="24"/>
          <w:highlight w:val="none"/>
        </w:rPr>
        <w:t>施工图设计完成并经有关单位审查后，才能进入施工阶段，设计单位必须按投标文件的承诺至少派1名参与并熟悉本项目设计、有现场处理经验的设计代表驻现场以配合，建设管理单位不另外支付配合施工费用。</w:t>
      </w:r>
    </w:p>
    <w:p>
      <w:pPr>
        <w:pageBreakBefore w:val="0"/>
        <w:widowControl/>
        <w:kinsoku/>
        <w:wordWrap/>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5.6.2</w:t>
      </w:r>
      <w:r>
        <w:rPr>
          <w:rFonts w:hint="eastAsia" w:ascii="宋体" w:hAnsi="宋体" w:eastAsia="宋体" w:cs="宋体"/>
          <w:b/>
          <w:bCs/>
          <w:color w:val="auto"/>
          <w:kern w:val="0"/>
          <w:sz w:val="24"/>
          <w:szCs w:val="24"/>
          <w:highlight w:val="none"/>
        </w:rPr>
        <w:t>．</w:t>
      </w:r>
      <w:r>
        <w:rPr>
          <w:rFonts w:hint="eastAsia" w:ascii="宋体" w:hAnsi="宋体" w:eastAsia="宋体" w:cs="宋体"/>
          <w:snapToGrid w:val="0"/>
          <w:color w:val="auto"/>
          <w:kern w:val="0"/>
          <w:sz w:val="24"/>
          <w:szCs w:val="24"/>
          <w:highlight w:val="none"/>
        </w:rPr>
        <w:t>设计单位配合施工、监理及业主单位的工作内容如下：</w:t>
      </w:r>
    </w:p>
    <w:p>
      <w:pPr>
        <w:pageBreakBefore w:val="0"/>
        <w:widowControl/>
        <w:numPr>
          <w:ilvl w:val="0"/>
          <w:numId w:val="1"/>
        </w:numPr>
        <w:tabs>
          <w:tab w:val="left" w:pos="0"/>
        </w:tabs>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施工图设计（技术）交底；</w:t>
      </w:r>
    </w:p>
    <w:p>
      <w:pPr>
        <w:pageBreakBefore w:val="0"/>
        <w:widowControl/>
        <w:numPr>
          <w:ilvl w:val="0"/>
          <w:numId w:val="1"/>
        </w:numPr>
        <w:tabs>
          <w:tab w:val="left" w:pos="240"/>
        </w:tabs>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配合勘察单位现场交桩；</w:t>
      </w:r>
    </w:p>
    <w:p>
      <w:pPr>
        <w:pageBreakBefore w:val="0"/>
        <w:widowControl/>
        <w:numPr>
          <w:ilvl w:val="0"/>
          <w:numId w:val="1"/>
        </w:numPr>
        <w:tabs>
          <w:tab w:val="left" w:pos="240"/>
        </w:tabs>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变更设计和所有补充设计；</w:t>
      </w:r>
    </w:p>
    <w:p>
      <w:pPr>
        <w:pageBreakBefore w:val="0"/>
        <w:widowControl/>
        <w:numPr>
          <w:ilvl w:val="0"/>
          <w:numId w:val="1"/>
        </w:numPr>
        <w:tabs>
          <w:tab w:val="left" w:pos="240"/>
        </w:tabs>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会签设计变更审批表；</w:t>
      </w:r>
    </w:p>
    <w:p>
      <w:pPr>
        <w:pageBreakBefore w:val="0"/>
        <w:widowControl/>
        <w:numPr>
          <w:ilvl w:val="0"/>
          <w:numId w:val="1"/>
        </w:numPr>
        <w:tabs>
          <w:tab w:val="left" w:pos="240"/>
        </w:tabs>
        <w:kinsoku/>
        <w:wordWrap/>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参加处理施工中发生的工程质量和安全事故；</w:t>
      </w:r>
    </w:p>
    <w:p>
      <w:pPr>
        <w:pageBreakBefore w:val="0"/>
        <w:numPr>
          <w:ilvl w:val="0"/>
          <w:numId w:val="1"/>
        </w:numPr>
        <w:tabs>
          <w:tab w:val="left" w:pos="24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参加隐蔽工程及工程竣工验收；</w:t>
      </w:r>
    </w:p>
    <w:p>
      <w:pPr>
        <w:pageBreakBefore w:val="0"/>
        <w:numPr>
          <w:ilvl w:val="0"/>
          <w:numId w:val="1"/>
        </w:numPr>
        <w:tabs>
          <w:tab w:val="left" w:pos="24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解决与设计有关的施工问题；</w:t>
      </w:r>
    </w:p>
    <w:p>
      <w:pPr>
        <w:pageBreakBefore w:val="0"/>
        <w:numPr>
          <w:ilvl w:val="0"/>
          <w:numId w:val="1"/>
        </w:numPr>
        <w:tabs>
          <w:tab w:val="left" w:pos="24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配合质量检测；</w:t>
      </w:r>
    </w:p>
    <w:p>
      <w:pPr>
        <w:pageBreakBefore w:val="0"/>
        <w:numPr>
          <w:ilvl w:val="0"/>
          <w:numId w:val="1"/>
        </w:numPr>
        <w:tabs>
          <w:tab w:val="left" w:pos="24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参加审查施工单位的施工组织设计和专项施工方案；</w:t>
      </w:r>
    </w:p>
    <w:p>
      <w:pPr>
        <w:pageBreakBefore w:val="0"/>
        <w:numPr>
          <w:ilvl w:val="0"/>
          <w:numId w:val="1"/>
        </w:numPr>
        <w:tabs>
          <w:tab w:val="left" w:pos="24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参加本项目建设有关会议。</w:t>
      </w:r>
    </w:p>
    <w:p>
      <w:pPr>
        <w:pageBreakBefore w:val="0"/>
        <w:numPr>
          <w:ilvl w:val="0"/>
          <w:numId w:val="1"/>
        </w:numPr>
        <w:tabs>
          <w:tab w:val="left" w:pos="24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在施工、监理招标期间配合建设及相关单位解释及完善施工图相关内容。</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5.6.3</w:t>
      </w:r>
      <w:r>
        <w:rPr>
          <w:rFonts w:hint="eastAsia" w:ascii="宋体" w:hAnsi="宋体" w:eastAsia="宋体" w:cs="宋体"/>
          <w:snapToGrid w:val="0"/>
          <w:color w:val="auto"/>
          <w:kern w:val="0"/>
          <w:sz w:val="24"/>
          <w:szCs w:val="24"/>
          <w:highlight w:val="none"/>
        </w:rPr>
        <w:t>设计工作技术总结</w:t>
      </w:r>
    </w:p>
    <w:p>
      <w:pPr>
        <w:pageBreakBefore w:val="0"/>
        <w:kinsoku/>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中标人对设计文件及施工过程中发生的补充设计进行检查，并提出设计文件质量检查报告，在竣工验收前交招标人。工程完工后，中标人应组织设计技术工作人员将全部资料进行整理并撰写工程技术总结，并于竣工后一个月内完成，交招标人。</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5.7</w:t>
      </w:r>
      <w:r>
        <w:rPr>
          <w:rFonts w:hint="eastAsia" w:ascii="宋体" w:hAnsi="宋体" w:eastAsia="宋体" w:cs="宋体"/>
          <w:snapToGrid w:val="0"/>
          <w:color w:val="auto"/>
          <w:kern w:val="0"/>
          <w:sz w:val="24"/>
          <w:szCs w:val="24"/>
          <w:highlight w:val="none"/>
        </w:rPr>
        <w:t>限额设计要求：</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5.7.</w:t>
      </w:r>
      <w:r>
        <w:rPr>
          <w:rFonts w:hint="eastAsia" w:ascii="宋体" w:hAnsi="宋体" w:eastAsia="宋体" w:cs="宋体"/>
          <w:b/>
          <w:bCs/>
          <w:snapToGrid w:val="0"/>
          <w:color w:val="auto"/>
          <w:kern w:val="0"/>
          <w:sz w:val="24"/>
          <w:szCs w:val="24"/>
          <w:highlight w:val="none"/>
          <w:lang w:val="en-US" w:eastAsia="zh-CN"/>
        </w:rPr>
        <w:t>1</w:t>
      </w:r>
      <w:r>
        <w:rPr>
          <w:rFonts w:hint="eastAsia" w:ascii="宋体" w:hAnsi="宋体" w:eastAsia="宋体" w:cs="宋体"/>
          <w:b w:val="0"/>
          <w:bCs w:val="0"/>
          <w:snapToGrid w:val="0"/>
          <w:color w:val="auto"/>
          <w:kern w:val="0"/>
          <w:sz w:val="24"/>
          <w:szCs w:val="24"/>
          <w:highlight w:val="none"/>
          <w:lang w:val="en-US" w:eastAsia="zh-CN"/>
        </w:rPr>
        <w:t>若造价咨询单位按施工图编制或审核的建安工程费高于初步设计概算中的建安工程费或建安工程费的中标价规定时，承包人必须无条件对施工图进行修改，直至满足限额设计要求，不另行增加设计费，且由此造成发包人委托的造价咨询单位重复编制或审核施工图预算的费用由承包人承担，结算时在设计费中扣除。</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5.7.</w:t>
      </w:r>
      <w:r>
        <w:rPr>
          <w:rFonts w:hint="eastAsia" w:ascii="宋体" w:hAnsi="宋体" w:eastAsia="宋体" w:cs="宋体"/>
          <w:b/>
          <w:bCs/>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rPr>
        <w:t>中标人在施工图设计前，要充分进行市场调查，主要材料、设备在满足设计规范及建设标准的情况下，尽量采用造价管理机构发布的信息价中有相应型号、规格的标准材料，若必须采用非标准材料的，必须经招标人同意，否则参照信息价中相近且低于其标准的材料信息价作为该项材料的结算价。</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5.8</w:t>
      </w:r>
      <w:r>
        <w:rPr>
          <w:rFonts w:hint="eastAsia" w:ascii="宋体" w:hAnsi="宋体" w:eastAsia="宋体" w:cs="宋体"/>
          <w:snapToGrid w:val="0"/>
          <w:color w:val="auto"/>
          <w:kern w:val="0"/>
          <w:sz w:val="24"/>
          <w:szCs w:val="24"/>
          <w:highlight w:val="none"/>
        </w:rPr>
        <w:t>设计时需要考虑与周边环境相结合。</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5.9</w:t>
      </w:r>
      <w:r>
        <w:rPr>
          <w:rFonts w:hint="eastAsia" w:ascii="宋体" w:hAnsi="宋体" w:eastAsia="宋体" w:cs="宋体"/>
          <w:snapToGrid w:val="0"/>
          <w:color w:val="auto"/>
          <w:kern w:val="0"/>
          <w:sz w:val="24"/>
          <w:szCs w:val="24"/>
          <w:highlight w:val="none"/>
        </w:rPr>
        <w:t>凡参加本次招标的投标人被视为已充分认识和理解了任何与本工程有关的影响事项和困难等情况。</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b/>
          <w:bCs/>
          <w:snapToGrid w:val="0"/>
          <w:color w:val="auto"/>
          <w:kern w:val="0"/>
          <w:sz w:val="24"/>
          <w:szCs w:val="24"/>
          <w:highlight w:val="none"/>
          <w:u w:val="single"/>
        </w:rPr>
      </w:pPr>
      <w:r>
        <w:rPr>
          <w:rFonts w:hint="eastAsia" w:ascii="宋体" w:hAnsi="宋体" w:eastAsia="宋体" w:cs="宋体"/>
          <w:b/>
          <w:bCs/>
          <w:snapToGrid w:val="0"/>
          <w:color w:val="auto"/>
          <w:kern w:val="0"/>
          <w:sz w:val="24"/>
          <w:szCs w:val="24"/>
          <w:highlight w:val="none"/>
          <w:u w:val="single"/>
        </w:rPr>
        <w:t>（注：上述招标内容</w:t>
      </w:r>
      <w:r>
        <w:rPr>
          <w:rFonts w:hint="eastAsia" w:ascii="宋体" w:hAnsi="宋体" w:eastAsia="宋体" w:cs="宋体"/>
          <w:b/>
          <w:bCs/>
          <w:color w:val="auto"/>
          <w:sz w:val="24"/>
          <w:szCs w:val="24"/>
          <w:highlight w:val="none"/>
          <w:u w:val="single"/>
        </w:rPr>
        <w:t>招标人在实施过程中可根据实际情况对工程规模、任务内容等进行合理、适当调整。</w:t>
      </w:r>
      <w:r>
        <w:rPr>
          <w:rFonts w:hint="eastAsia" w:ascii="宋体" w:hAnsi="宋体" w:eastAsia="宋体" w:cs="宋体"/>
          <w:b/>
          <w:bCs/>
          <w:snapToGrid w:val="0"/>
          <w:color w:val="auto"/>
          <w:kern w:val="0"/>
          <w:sz w:val="24"/>
          <w:szCs w:val="24"/>
          <w:highlight w:val="none"/>
          <w:u w:val="single"/>
        </w:rPr>
        <w:t>）</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5.10</w:t>
      </w:r>
      <w:r>
        <w:rPr>
          <w:rFonts w:hint="eastAsia" w:ascii="宋体" w:hAnsi="宋体" w:eastAsia="宋体" w:cs="宋体"/>
          <w:snapToGrid w:val="0"/>
          <w:color w:val="auto"/>
          <w:kern w:val="0"/>
          <w:sz w:val="24"/>
          <w:szCs w:val="24"/>
          <w:highlight w:val="none"/>
        </w:rPr>
        <w:t>工程技术要求：本工程须严格以国家和广东省的有关施工技术规范及现行标准为依据</w:t>
      </w:r>
      <w:bookmarkStart w:id="76" w:name="_Hlt74496021"/>
      <w:bookmarkEnd w:id="76"/>
      <w:r>
        <w:rPr>
          <w:rFonts w:hint="eastAsia" w:ascii="宋体" w:hAnsi="宋体" w:eastAsia="宋体" w:cs="宋体"/>
          <w:snapToGrid w:val="0"/>
          <w:color w:val="auto"/>
          <w:kern w:val="0"/>
          <w:sz w:val="24"/>
          <w:szCs w:val="24"/>
          <w:highlight w:val="none"/>
        </w:rPr>
        <w:t>，工程必须达到合格标准，如工程未达到合格标准，中标人则按合同价款的1%向招标人缴纳质量违约金，返修费用由中标人承担，同时，招标人有权就因此造成的损失向中标人索赔。招标人有权提请建设行政主管部门对其作不良行为记录，有权给予中标人履约评价为不合格，同时招标人有权拒绝中标人3年内参加招标人其它工程的投标。</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5.11</w:t>
      </w:r>
      <w:r>
        <w:rPr>
          <w:rFonts w:hint="eastAsia" w:ascii="宋体" w:hAnsi="宋体" w:eastAsia="宋体" w:cs="宋体"/>
          <w:snapToGrid w:val="0"/>
          <w:color w:val="auto"/>
          <w:kern w:val="0"/>
          <w:sz w:val="24"/>
          <w:szCs w:val="24"/>
          <w:highlight w:val="none"/>
        </w:rPr>
        <w:t xml:space="preserve"> 中标人在施工中如果工程质量不符合设计要求和有关规定，招标人或监理单位要求停工和返工的必须立即执行，并由中标人承担由此产生的各种费用，工期不予顺延。</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 xml:space="preserve">5.12 </w:t>
      </w:r>
      <w:r>
        <w:rPr>
          <w:rFonts w:hint="eastAsia" w:ascii="宋体" w:hAnsi="宋体" w:eastAsia="宋体" w:cs="宋体"/>
          <w:snapToGrid w:val="0"/>
          <w:color w:val="auto"/>
          <w:kern w:val="0"/>
          <w:sz w:val="24"/>
          <w:szCs w:val="24"/>
          <w:highlight w:val="none"/>
        </w:rPr>
        <w:t>保修期限按中华人民共和国国务院令第279号文《建设工程质量管理条例》规定执行，在保修期内因施工质量问题而造成返修，一切费用由中标人负责。中标人在向招标人提交竣工验收报告时，应当向招标人出具质量保修书。质量保修书中应当明确建设工程的保修范围、保修期限和保修责任等。</w:t>
      </w:r>
    </w:p>
    <w:p>
      <w:pPr>
        <w:pageBreakBefore w:val="0"/>
        <w:kinsoku/>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rPr>
      </w:pPr>
      <w:r>
        <w:rPr>
          <w:rFonts w:hint="eastAsia" w:ascii="宋体" w:hAnsi="宋体" w:eastAsia="宋体" w:cs="宋体"/>
          <w:b/>
          <w:bCs/>
          <w:snapToGrid w:val="0"/>
          <w:color w:val="auto"/>
          <w:kern w:val="0"/>
          <w:sz w:val="24"/>
          <w:szCs w:val="24"/>
          <w:highlight w:val="none"/>
        </w:rPr>
        <w:t xml:space="preserve">5.13 </w:t>
      </w:r>
      <w:r>
        <w:rPr>
          <w:rFonts w:hint="eastAsia" w:ascii="宋体" w:hAnsi="宋体" w:eastAsia="宋体" w:cs="宋体"/>
          <w:snapToGrid w:val="0"/>
          <w:color w:val="auto"/>
          <w:kern w:val="0"/>
          <w:sz w:val="24"/>
          <w:szCs w:val="24"/>
          <w:highlight w:val="none"/>
        </w:rPr>
        <w:t>工程使用的主要材料质量要求：不低于国家规范及强制标准所列的要求。主要材料必须先提供样板或相关资料给招标人、业主同意确定其规格、型号、颜色、等级等，</w:t>
      </w:r>
      <w:r>
        <w:rPr>
          <w:rFonts w:hint="eastAsia" w:ascii="宋体" w:hAnsi="宋体" w:eastAsia="宋体" w:cs="宋体"/>
          <w:snapToGrid w:val="0"/>
          <w:color w:val="auto"/>
          <w:kern w:val="0"/>
          <w:sz w:val="24"/>
          <w:szCs w:val="24"/>
          <w:highlight w:val="none"/>
          <w:lang w:val="zh-CN"/>
        </w:rPr>
        <w:t>并经</w:t>
      </w:r>
      <w:r>
        <w:rPr>
          <w:rFonts w:hint="eastAsia" w:ascii="宋体" w:hAnsi="宋体" w:eastAsia="宋体" w:cs="宋体"/>
          <w:snapToGrid w:val="0"/>
          <w:color w:val="auto"/>
          <w:kern w:val="0"/>
          <w:sz w:val="24"/>
          <w:szCs w:val="24"/>
          <w:highlight w:val="none"/>
          <w:lang w:val="en-US" w:eastAsia="zh-CN"/>
        </w:rPr>
        <w:t>发包方委托的</w:t>
      </w:r>
      <w:r>
        <w:rPr>
          <w:rFonts w:hint="eastAsia" w:ascii="宋体" w:hAnsi="宋体" w:eastAsia="宋体" w:cs="宋体"/>
          <w:snapToGrid w:val="0"/>
          <w:color w:val="auto"/>
          <w:kern w:val="0"/>
          <w:sz w:val="24"/>
          <w:szCs w:val="24"/>
          <w:highlight w:val="none"/>
          <w:lang w:val="zh-CN"/>
        </w:rPr>
        <w:t>检测部门检测合格</w:t>
      </w:r>
      <w:r>
        <w:rPr>
          <w:rFonts w:hint="eastAsia" w:ascii="宋体" w:hAnsi="宋体" w:eastAsia="宋体" w:cs="宋体"/>
          <w:snapToGrid w:val="0"/>
          <w:color w:val="auto"/>
          <w:kern w:val="0"/>
          <w:sz w:val="24"/>
          <w:szCs w:val="24"/>
          <w:highlight w:val="none"/>
        </w:rPr>
        <w:t>方可使用，所有材料必须使用合格产品。</w:t>
      </w:r>
    </w:p>
    <w:p>
      <w:pPr>
        <w:pStyle w:val="24"/>
        <w:keepNext/>
        <w:keepLines/>
        <w:spacing w:line="360" w:lineRule="auto"/>
        <w:ind w:firstLine="482" w:firstLineChars="200"/>
        <w:outlineLvl w:val="2"/>
        <w:rPr>
          <w:rFonts w:hint="eastAsia" w:ascii="宋体" w:hAnsi="宋体" w:eastAsia="宋体" w:cs="宋体"/>
          <w:b/>
          <w:color w:val="auto"/>
          <w:kern w:val="2"/>
          <w:sz w:val="24"/>
          <w:szCs w:val="24"/>
        </w:rPr>
      </w:pPr>
      <w:bookmarkStart w:id="77" w:name="_Toc8271"/>
      <w:r>
        <w:rPr>
          <w:rFonts w:hint="eastAsia" w:ascii="宋体" w:hAnsi="宋体" w:eastAsia="宋体" w:cs="宋体"/>
          <w:b/>
          <w:color w:val="auto"/>
          <w:kern w:val="2"/>
          <w:sz w:val="24"/>
          <w:szCs w:val="24"/>
        </w:rPr>
        <w:t>6．招标工程施工条件及现场踏勘</w:t>
      </w:r>
      <w:bookmarkEnd w:id="69"/>
      <w:bookmarkEnd w:id="70"/>
      <w:bookmarkEnd w:id="71"/>
      <w:bookmarkEnd w:id="72"/>
      <w:bookmarkEnd w:id="73"/>
      <w:bookmarkEnd w:id="74"/>
      <w:bookmarkEnd w:id="75"/>
      <w:bookmarkEnd w:id="77"/>
    </w:p>
    <w:p>
      <w:pPr>
        <w:pStyle w:val="26"/>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bookmarkStart w:id="78" w:name="_Toc21098"/>
      <w:bookmarkStart w:id="79" w:name="_Toc1593"/>
      <w:bookmarkStart w:id="80" w:name="_Toc5041"/>
      <w:bookmarkStart w:id="81" w:name="_Toc6304"/>
      <w:bookmarkStart w:id="82" w:name="_Toc39136336"/>
      <w:bookmarkStart w:id="83" w:name="_Toc24037"/>
      <w:bookmarkStart w:id="84" w:name="_Toc417"/>
      <w:r>
        <w:rPr>
          <w:rFonts w:hint="eastAsia" w:ascii="宋体" w:hAnsi="宋体" w:eastAsia="宋体" w:cs="宋体"/>
          <w:color w:val="auto"/>
          <w:sz w:val="24"/>
          <w:szCs w:val="24"/>
          <w:highlight w:val="none"/>
        </w:rPr>
        <w:t>6.1本工程招标人仅在征地红线范围内提供场地，其他一切场地费用由中标人自行负责（含临时道路）。</w:t>
      </w:r>
    </w:p>
    <w:p>
      <w:pPr>
        <w:pageBreakBefore w:val="0"/>
        <w:kinsoku/>
        <w:wordWrap w:val="0"/>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b/>
          <w:bCs/>
          <w:snapToGrid w:val="0"/>
          <w:color w:val="auto"/>
          <w:kern w:val="0"/>
          <w:sz w:val="24"/>
          <w:szCs w:val="24"/>
          <w:highlight w:val="none"/>
        </w:rPr>
      </w:pPr>
      <w:r>
        <w:rPr>
          <w:rFonts w:hint="eastAsia" w:ascii="宋体" w:hAnsi="宋体" w:eastAsia="宋体" w:cs="宋体"/>
          <w:color w:val="auto"/>
          <w:sz w:val="24"/>
          <w:szCs w:val="24"/>
          <w:highlight w:val="none"/>
        </w:rPr>
        <w:t>6.2 施工用水：</w:t>
      </w:r>
      <w:r>
        <w:rPr>
          <w:rFonts w:hint="eastAsia" w:ascii="宋体" w:hAnsi="宋体" w:eastAsia="宋体" w:cs="宋体"/>
          <w:color w:val="auto"/>
          <w:sz w:val="24"/>
          <w:szCs w:val="24"/>
          <w:highlight w:val="none"/>
          <w:u w:val="single"/>
        </w:rPr>
        <w:t>招标人协调，</w:t>
      </w:r>
      <w:r>
        <w:rPr>
          <w:rFonts w:hint="eastAsia" w:ascii="宋体" w:hAnsi="宋体" w:eastAsia="宋体" w:cs="宋体"/>
          <w:snapToGrid w:val="0"/>
          <w:color w:val="auto"/>
          <w:kern w:val="0"/>
          <w:sz w:val="24"/>
          <w:szCs w:val="24"/>
          <w:highlight w:val="none"/>
          <w:u w:val="single"/>
        </w:rPr>
        <w:t>施工用水及水源由中标人自行解决，费用含在投标报价中，不另计</w:t>
      </w:r>
      <w:r>
        <w:rPr>
          <w:rFonts w:hint="eastAsia" w:ascii="宋体" w:hAnsi="宋体" w:eastAsia="宋体" w:cs="宋体"/>
          <w:color w:val="auto"/>
          <w:kern w:val="0"/>
          <w:sz w:val="24"/>
          <w:szCs w:val="24"/>
          <w:highlight w:val="none"/>
          <w:u w:val="single"/>
        </w:rPr>
        <w:t>。</w:t>
      </w:r>
    </w:p>
    <w:p>
      <w:pPr>
        <w:pageBreakBefore w:val="0"/>
        <w:kinsoku/>
        <w:wordWrap w:val="0"/>
        <w:overflowPunct/>
        <w:topLinePunct w:val="0"/>
        <w:bidi w:val="0"/>
        <w:adjustRightInd w:val="0"/>
        <w:snapToGrid w:val="0"/>
        <w:spacing w:line="360" w:lineRule="auto"/>
        <w:ind w:left="0" w:leftChars="0" w:firstLine="480" w:firstLineChars="200"/>
        <w:textAlignment w:val="auto"/>
        <w:rPr>
          <w:rFonts w:hint="eastAsia" w:ascii="宋体" w:hAnsi="宋体" w:eastAsia="宋体" w:cs="宋体"/>
          <w:b/>
          <w:bCs/>
          <w:snapToGrid w:val="0"/>
          <w:color w:val="auto"/>
          <w:kern w:val="0"/>
          <w:sz w:val="24"/>
          <w:szCs w:val="24"/>
          <w:highlight w:val="none"/>
        </w:rPr>
      </w:pPr>
      <w:r>
        <w:rPr>
          <w:rFonts w:hint="eastAsia" w:ascii="宋体" w:hAnsi="宋体" w:eastAsia="宋体" w:cs="宋体"/>
          <w:color w:val="auto"/>
          <w:sz w:val="24"/>
          <w:szCs w:val="24"/>
          <w:highlight w:val="none"/>
        </w:rPr>
        <w:t>6.3 施工用电：</w:t>
      </w:r>
      <w:r>
        <w:rPr>
          <w:rFonts w:hint="eastAsia" w:ascii="宋体" w:hAnsi="宋体" w:eastAsia="宋体" w:cs="宋体"/>
          <w:color w:val="auto"/>
          <w:sz w:val="24"/>
          <w:szCs w:val="24"/>
          <w:highlight w:val="none"/>
          <w:u w:val="single"/>
        </w:rPr>
        <w:t>招标人协调，</w:t>
      </w:r>
      <w:r>
        <w:rPr>
          <w:rFonts w:hint="eastAsia" w:ascii="宋体" w:hAnsi="宋体" w:eastAsia="宋体" w:cs="宋体"/>
          <w:snapToGrid w:val="0"/>
          <w:color w:val="auto"/>
          <w:kern w:val="0"/>
          <w:sz w:val="24"/>
          <w:szCs w:val="24"/>
          <w:highlight w:val="none"/>
          <w:u w:val="single"/>
        </w:rPr>
        <w:t>施工用电及电源由中标人自行解决，费用含在投标报价中，不另计</w:t>
      </w:r>
      <w:r>
        <w:rPr>
          <w:rFonts w:hint="eastAsia" w:ascii="宋体" w:hAnsi="宋体" w:eastAsia="宋体" w:cs="宋体"/>
          <w:color w:val="auto"/>
          <w:kern w:val="0"/>
          <w:sz w:val="24"/>
          <w:szCs w:val="24"/>
          <w:highlight w:val="none"/>
          <w:u w:val="single"/>
        </w:rPr>
        <w:t>。</w:t>
      </w:r>
    </w:p>
    <w:p>
      <w:pPr>
        <w:pStyle w:val="20"/>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6.4施工用水、用电由中标人负责报装并接入施工红线范围，并由中标人负责购置及安装满足施工所需的临时用电变压器、水表、电表，其水、电费按工程所在地</w:t>
      </w:r>
      <w:r>
        <w:rPr>
          <w:rFonts w:hint="eastAsia" w:ascii="宋体" w:hAnsi="宋体" w:eastAsia="宋体" w:cs="宋体"/>
          <w:color w:val="auto"/>
          <w:sz w:val="24"/>
          <w:szCs w:val="24"/>
          <w:highlight w:val="none"/>
          <w:u w:val="single"/>
          <w:lang w:eastAsia="zh-CN"/>
        </w:rPr>
        <w:t>仁化县</w:t>
      </w:r>
      <w:r>
        <w:rPr>
          <w:rFonts w:hint="eastAsia" w:ascii="宋体" w:hAnsi="宋体" w:eastAsia="宋体" w:cs="宋体"/>
          <w:color w:val="auto"/>
          <w:sz w:val="24"/>
          <w:szCs w:val="24"/>
          <w:highlight w:val="none"/>
        </w:rPr>
        <w:t>基建工程水、电计费标准计算并由中标人缴纳，相关线路、管路费用及安装费用以及购置及安装临时用电变压器的费用由中标人自行承担。</w:t>
      </w:r>
    </w:p>
    <w:p>
      <w:pPr>
        <w:pStyle w:val="20"/>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6.5招标人不集中现场踏勘，但会在招标文件及有关设计文件中明确告知招标工程的具体位置和周边环境，并在现场设置足以识别的标识或提供足以表明工程具体位置的文字或图片。投标人需要了解现场情况的，可自行进行现场踏勘。</w:t>
      </w:r>
    </w:p>
    <w:p>
      <w:pPr>
        <w:pStyle w:val="20"/>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6.6在现场踏勘过程中，投标人应确保自身安全，投标人如果发生人身伤亡、财物或其他损失，法律法规有规定的按有关规定处理，没有规定的由投标人自行负责。</w:t>
      </w:r>
    </w:p>
    <w:p>
      <w:pPr>
        <w:pStyle w:val="20"/>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6.7现场踏勘期间的交通、食宿由投标人自行安排，费用自理。</w:t>
      </w:r>
    </w:p>
    <w:p>
      <w:pPr>
        <w:pStyle w:val="24"/>
        <w:keepNext/>
        <w:keepLines/>
        <w:spacing w:line="360" w:lineRule="auto"/>
        <w:ind w:firstLine="482" w:firstLineChars="200"/>
        <w:outlineLvl w:val="2"/>
        <w:rPr>
          <w:rFonts w:hint="eastAsia" w:ascii="宋体" w:hAnsi="宋体" w:eastAsia="宋体" w:cs="宋体"/>
          <w:b/>
          <w:color w:val="auto"/>
          <w:kern w:val="2"/>
          <w:sz w:val="24"/>
          <w:szCs w:val="24"/>
        </w:rPr>
      </w:pPr>
      <w:bookmarkStart w:id="85" w:name="_Toc11250"/>
      <w:r>
        <w:rPr>
          <w:rFonts w:hint="eastAsia" w:ascii="宋体" w:hAnsi="宋体" w:eastAsia="宋体" w:cs="宋体"/>
          <w:b/>
          <w:color w:val="auto"/>
          <w:kern w:val="2"/>
          <w:sz w:val="24"/>
          <w:szCs w:val="24"/>
        </w:rPr>
        <w:t>7</w:t>
      </w:r>
      <w:bookmarkStart w:id="86" w:name="_Toc488220856"/>
      <w:bookmarkStart w:id="87" w:name="_Toc371968705"/>
      <w:r>
        <w:rPr>
          <w:rFonts w:hint="eastAsia" w:ascii="宋体" w:hAnsi="宋体" w:eastAsia="宋体" w:cs="宋体"/>
          <w:b/>
          <w:color w:val="auto"/>
          <w:kern w:val="2"/>
          <w:sz w:val="24"/>
          <w:szCs w:val="24"/>
        </w:rPr>
        <w:t>．</w:t>
      </w:r>
      <w:r>
        <w:rPr>
          <w:rFonts w:hint="eastAsia" w:ascii="宋体" w:hAnsi="宋体" w:eastAsia="宋体" w:cs="宋体"/>
          <w:b/>
          <w:color w:val="auto"/>
          <w:kern w:val="2"/>
          <w:sz w:val="24"/>
          <w:szCs w:val="24"/>
          <w:lang w:eastAsia="zh-CN"/>
        </w:rPr>
        <w:t>招标文件的</w:t>
      </w:r>
      <w:r>
        <w:rPr>
          <w:rFonts w:hint="eastAsia" w:ascii="宋体" w:hAnsi="宋体" w:eastAsia="宋体" w:cs="宋体"/>
          <w:b/>
          <w:color w:val="auto"/>
          <w:kern w:val="2"/>
          <w:sz w:val="24"/>
          <w:szCs w:val="24"/>
        </w:rPr>
        <w:t>提问和答疑</w:t>
      </w:r>
      <w:bookmarkEnd w:id="78"/>
      <w:bookmarkEnd w:id="79"/>
      <w:bookmarkEnd w:id="80"/>
      <w:bookmarkEnd w:id="81"/>
      <w:bookmarkEnd w:id="82"/>
      <w:bookmarkEnd w:id="83"/>
      <w:bookmarkEnd w:id="84"/>
      <w:bookmarkEnd w:id="85"/>
      <w:bookmarkEnd w:id="86"/>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7.1</w:t>
      </w:r>
      <w:r>
        <w:rPr>
          <w:rFonts w:hint="eastAsia" w:ascii="宋体" w:hAnsi="宋体" w:eastAsia="宋体" w:cs="宋体"/>
          <w:snapToGrid w:val="0"/>
          <w:color w:val="auto"/>
          <w:kern w:val="0"/>
          <w:sz w:val="24"/>
          <w:szCs w:val="24"/>
        </w:rPr>
        <w:t xml:space="preserve"> 投标人若对招标文件有疑问，应在提问截止时间（见本章第二节“重要事项时间地点一览表”）前使用建设工程交易系统提出问题。未在指定时间前、未采用指定方式提出的，招标人不予受理。</w:t>
      </w:r>
    </w:p>
    <w:p>
      <w:pPr>
        <w:wordWrap w:val="0"/>
        <w:adjustRightInd w:val="0"/>
        <w:snapToGrid w:val="0"/>
        <w:spacing w:line="360" w:lineRule="auto"/>
        <w:ind w:firstLine="56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 xml:space="preserve">7.2 </w:t>
      </w:r>
      <w:r>
        <w:rPr>
          <w:rFonts w:hint="eastAsia" w:ascii="宋体" w:hAnsi="宋体" w:eastAsia="宋体" w:cs="宋体"/>
          <w:snapToGrid w:val="0"/>
          <w:color w:val="auto"/>
          <w:kern w:val="0"/>
          <w:sz w:val="24"/>
          <w:szCs w:val="24"/>
        </w:rPr>
        <w:t>招标人在提问截止时间（见本章第二节“重要事项时间地点一览表”）后3日内，一次性对收到的所有问题作出答复，并形成答疑（或修改）公告在发布招标公告的媒介上公开发布。答疑（或修改）公告一旦发布，即视所有潜在投标人已经知悉答疑（或修改）内容，投标人未及时关注而造成的损失和后果，由投标人自行承担。</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7.3</w:t>
      </w:r>
      <w:r>
        <w:rPr>
          <w:rFonts w:hint="eastAsia" w:ascii="宋体" w:hAnsi="宋体" w:eastAsia="宋体" w:cs="宋体"/>
          <w:snapToGrid w:val="0"/>
          <w:color w:val="auto"/>
          <w:kern w:val="0"/>
          <w:sz w:val="24"/>
          <w:szCs w:val="24"/>
        </w:rPr>
        <w:t xml:space="preserve"> 招标人对招标文件所作的答疑（或修改）公告，构成招标文件的组成部分。</w:t>
      </w:r>
    </w:p>
    <w:p>
      <w:pPr>
        <w:pStyle w:val="24"/>
        <w:keepNext/>
        <w:keepLines/>
        <w:spacing w:line="360" w:lineRule="auto"/>
        <w:ind w:firstLine="482" w:firstLineChars="200"/>
        <w:outlineLvl w:val="2"/>
        <w:rPr>
          <w:rFonts w:hint="eastAsia" w:ascii="宋体" w:hAnsi="宋体" w:eastAsia="宋体" w:cs="宋体"/>
          <w:b/>
          <w:color w:val="auto"/>
          <w:kern w:val="2"/>
          <w:sz w:val="24"/>
          <w:szCs w:val="24"/>
        </w:rPr>
      </w:pPr>
      <w:bookmarkStart w:id="88" w:name="_Toc7010"/>
      <w:r>
        <w:rPr>
          <w:rFonts w:hint="eastAsia" w:ascii="宋体" w:hAnsi="宋体" w:eastAsia="宋体" w:cs="宋体"/>
          <w:b/>
          <w:color w:val="auto"/>
          <w:kern w:val="2"/>
          <w:sz w:val="24"/>
          <w:szCs w:val="24"/>
          <w:lang w:val="en-US" w:eastAsia="zh-CN"/>
        </w:rPr>
        <w:t>8</w:t>
      </w:r>
      <w:r>
        <w:rPr>
          <w:rFonts w:hint="eastAsia" w:ascii="宋体" w:hAnsi="宋体" w:eastAsia="宋体" w:cs="宋体"/>
          <w:b/>
          <w:color w:val="auto"/>
          <w:kern w:val="2"/>
          <w:sz w:val="24"/>
          <w:szCs w:val="24"/>
        </w:rPr>
        <w:t>．纪律与保密要求</w:t>
      </w:r>
      <w:bookmarkEnd w:id="87"/>
      <w:bookmarkEnd w:id="88"/>
    </w:p>
    <w:p>
      <w:pPr>
        <w:spacing w:line="360" w:lineRule="auto"/>
        <w:ind w:firstLine="420"/>
        <w:rPr>
          <w:rFonts w:hint="eastAsia" w:ascii="宋体" w:hAnsi="宋体" w:eastAsia="宋体" w:cs="宋体"/>
          <w:color w:val="auto"/>
          <w:sz w:val="24"/>
          <w:szCs w:val="24"/>
        </w:rPr>
      </w:pPr>
      <w:r>
        <w:rPr>
          <w:rFonts w:hint="eastAsia" w:ascii="宋体" w:hAnsi="宋体" w:eastAsia="宋体" w:cs="宋体"/>
          <w:color w:val="auto"/>
          <w:sz w:val="24"/>
          <w:szCs w:val="24"/>
        </w:rPr>
        <w:t>8.1</w:t>
      </w:r>
      <w:r>
        <w:rPr>
          <w:rFonts w:hint="eastAsia" w:ascii="宋体" w:hAnsi="宋体" w:eastAsia="宋体" w:cs="宋体"/>
          <w:b/>
          <w:color w:val="auto"/>
          <w:sz w:val="24"/>
          <w:szCs w:val="24"/>
        </w:rPr>
        <w:t>对招标人的纪律要求</w:t>
      </w:r>
      <w:r>
        <w:rPr>
          <w:rFonts w:hint="eastAsia" w:ascii="宋体" w:hAnsi="宋体" w:eastAsia="宋体" w:cs="宋体"/>
          <w:color w:val="auto"/>
          <w:sz w:val="24"/>
          <w:szCs w:val="24"/>
        </w:rPr>
        <w:t>：招标人不得泄露招标投标活动中应当保密的情况和资料，不得与投标人串通损害国家利益、社会公共利益或者他人合法权益。</w:t>
      </w:r>
    </w:p>
    <w:p>
      <w:pPr>
        <w:spacing w:line="360" w:lineRule="auto"/>
        <w:ind w:firstLine="420"/>
        <w:rPr>
          <w:rFonts w:hint="eastAsia" w:ascii="宋体" w:hAnsi="宋体" w:eastAsia="宋体" w:cs="宋体"/>
          <w:color w:val="auto"/>
          <w:sz w:val="24"/>
          <w:szCs w:val="24"/>
        </w:rPr>
      </w:pPr>
      <w:r>
        <w:rPr>
          <w:rFonts w:hint="eastAsia" w:ascii="宋体" w:hAnsi="宋体" w:eastAsia="宋体" w:cs="宋体"/>
          <w:b/>
          <w:bCs/>
          <w:color w:val="auto"/>
          <w:sz w:val="24"/>
          <w:szCs w:val="24"/>
        </w:rPr>
        <w:t>8.2</w:t>
      </w:r>
      <w:r>
        <w:rPr>
          <w:rFonts w:hint="eastAsia" w:ascii="宋体" w:hAnsi="宋体" w:eastAsia="宋体" w:cs="宋体"/>
          <w:b/>
          <w:color w:val="auto"/>
          <w:sz w:val="24"/>
          <w:szCs w:val="24"/>
        </w:rPr>
        <w:t>对投标人的纪律要求</w:t>
      </w:r>
      <w:r>
        <w:rPr>
          <w:rFonts w:hint="eastAsia" w:ascii="宋体" w:hAnsi="宋体" w:eastAsia="宋体" w:cs="宋体"/>
          <w:color w:val="auto"/>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95"/>
        <w:rPr>
          <w:rFonts w:hint="eastAsia" w:ascii="宋体" w:hAnsi="宋体" w:eastAsia="宋体" w:cs="宋体"/>
          <w:color w:val="auto"/>
          <w:sz w:val="24"/>
          <w:szCs w:val="24"/>
        </w:rPr>
      </w:pPr>
      <w:r>
        <w:rPr>
          <w:rFonts w:hint="eastAsia" w:ascii="宋体" w:hAnsi="宋体" w:eastAsia="宋体" w:cs="宋体"/>
          <w:b/>
          <w:bCs/>
          <w:color w:val="auto"/>
          <w:sz w:val="24"/>
          <w:szCs w:val="24"/>
        </w:rPr>
        <w:t>8.3</w:t>
      </w:r>
      <w:r>
        <w:rPr>
          <w:rFonts w:hint="eastAsia" w:ascii="宋体" w:hAnsi="宋体" w:eastAsia="宋体" w:cs="宋体"/>
          <w:color w:val="auto"/>
          <w:sz w:val="24"/>
          <w:szCs w:val="24"/>
        </w:rPr>
        <w:t xml:space="preserve"> </w:t>
      </w:r>
      <w:r>
        <w:rPr>
          <w:rFonts w:hint="eastAsia" w:ascii="宋体" w:hAnsi="宋体" w:eastAsia="宋体" w:cs="宋体"/>
          <w:color w:val="auto"/>
          <w:spacing w:val="8"/>
          <w:sz w:val="24"/>
          <w:szCs w:val="24"/>
        </w:rPr>
        <w:t>参与招</w:t>
      </w:r>
      <w:r>
        <w:rPr>
          <w:rFonts w:hint="eastAsia" w:ascii="宋体" w:hAnsi="宋体" w:eastAsia="宋体" w:cs="宋体"/>
          <w:color w:val="auto"/>
          <w:sz w:val="24"/>
          <w:szCs w:val="24"/>
        </w:rPr>
        <w:t>标</w:t>
      </w:r>
      <w:r>
        <w:rPr>
          <w:rFonts w:hint="eastAsia" w:ascii="宋体" w:hAnsi="宋体" w:eastAsia="宋体" w:cs="宋体"/>
          <w:color w:val="auto"/>
          <w:spacing w:val="8"/>
          <w:sz w:val="24"/>
          <w:szCs w:val="24"/>
        </w:rPr>
        <w:t>投标活</w:t>
      </w:r>
      <w:r>
        <w:rPr>
          <w:rFonts w:hint="eastAsia" w:ascii="宋体" w:hAnsi="宋体" w:eastAsia="宋体" w:cs="宋体"/>
          <w:color w:val="auto"/>
          <w:sz w:val="24"/>
          <w:szCs w:val="24"/>
        </w:rPr>
        <w:t>动</w:t>
      </w:r>
      <w:r>
        <w:rPr>
          <w:rFonts w:hint="eastAsia" w:ascii="宋体" w:hAnsi="宋体" w:eastAsia="宋体" w:cs="宋体"/>
          <w:color w:val="auto"/>
          <w:spacing w:val="8"/>
          <w:sz w:val="24"/>
          <w:szCs w:val="24"/>
        </w:rPr>
        <w:t>的各方</w:t>
      </w:r>
      <w:r>
        <w:rPr>
          <w:rFonts w:hint="eastAsia" w:ascii="宋体" w:hAnsi="宋体" w:eastAsia="宋体" w:cs="宋体"/>
          <w:color w:val="auto"/>
          <w:sz w:val="24"/>
          <w:szCs w:val="24"/>
        </w:rPr>
        <w:t>应</w:t>
      </w:r>
      <w:r>
        <w:rPr>
          <w:rFonts w:hint="eastAsia" w:ascii="宋体" w:hAnsi="宋体" w:eastAsia="宋体" w:cs="宋体"/>
          <w:color w:val="auto"/>
          <w:spacing w:val="8"/>
          <w:sz w:val="24"/>
          <w:szCs w:val="24"/>
        </w:rPr>
        <w:t>对招标</w:t>
      </w:r>
      <w:r>
        <w:rPr>
          <w:rFonts w:hint="eastAsia" w:ascii="宋体" w:hAnsi="宋体" w:eastAsia="宋体" w:cs="宋体"/>
          <w:color w:val="auto"/>
          <w:sz w:val="24"/>
          <w:szCs w:val="24"/>
        </w:rPr>
        <w:t>文</w:t>
      </w:r>
      <w:r>
        <w:rPr>
          <w:rFonts w:hint="eastAsia" w:ascii="宋体" w:hAnsi="宋体" w:eastAsia="宋体" w:cs="宋体"/>
          <w:color w:val="auto"/>
          <w:spacing w:val="8"/>
          <w:sz w:val="24"/>
          <w:szCs w:val="24"/>
        </w:rPr>
        <w:t>件和投</w:t>
      </w:r>
      <w:r>
        <w:rPr>
          <w:rFonts w:hint="eastAsia" w:ascii="宋体" w:hAnsi="宋体" w:eastAsia="宋体" w:cs="宋体"/>
          <w:color w:val="auto"/>
          <w:sz w:val="24"/>
          <w:szCs w:val="24"/>
        </w:rPr>
        <w:t>标</w:t>
      </w:r>
      <w:r>
        <w:rPr>
          <w:rFonts w:hint="eastAsia" w:ascii="宋体" w:hAnsi="宋体" w:eastAsia="宋体" w:cs="宋体"/>
          <w:color w:val="auto"/>
          <w:spacing w:val="8"/>
          <w:sz w:val="24"/>
          <w:szCs w:val="24"/>
        </w:rPr>
        <w:t>文件中</w:t>
      </w:r>
      <w:r>
        <w:rPr>
          <w:rFonts w:hint="eastAsia" w:ascii="宋体" w:hAnsi="宋体" w:eastAsia="宋体" w:cs="宋体"/>
          <w:color w:val="auto"/>
          <w:sz w:val="24"/>
          <w:szCs w:val="24"/>
        </w:rPr>
        <w:t>的</w:t>
      </w:r>
      <w:r>
        <w:rPr>
          <w:rFonts w:hint="eastAsia" w:ascii="宋体" w:hAnsi="宋体" w:eastAsia="宋体" w:cs="宋体"/>
          <w:color w:val="auto"/>
          <w:spacing w:val="8"/>
          <w:sz w:val="24"/>
          <w:szCs w:val="24"/>
        </w:rPr>
        <w:t>商业和</w:t>
      </w:r>
      <w:r>
        <w:rPr>
          <w:rFonts w:hint="eastAsia" w:ascii="宋体" w:hAnsi="宋体" w:eastAsia="宋体" w:cs="宋体"/>
          <w:color w:val="auto"/>
          <w:sz w:val="24"/>
          <w:szCs w:val="24"/>
        </w:rPr>
        <w:t>技</w:t>
      </w:r>
      <w:r>
        <w:rPr>
          <w:rFonts w:hint="eastAsia" w:ascii="宋体" w:hAnsi="宋体" w:eastAsia="宋体" w:cs="宋体"/>
          <w:color w:val="auto"/>
          <w:spacing w:val="8"/>
          <w:sz w:val="24"/>
          <w:szCs w:val="24"/>
        </w:rPr>
        <w:t>术等秘密</w:t>
      </w:r>
      <w:r>
        <w:rPr>
          <w:rFonts w:hint="eastAsia" w:ascii="宋体" w:hAnsi="宋体" w:eastAsia="宋体" w:cs="宋体"/>
          <w:color w:val="auto"/>
          <w:sz w:val="24"/>
          <w:szCs w:val="24"/>
        </w:rPr>
        <w:t>保密，违者应对由此造成的后果承担法律责任。</w:t>
      </w:r>
      <w:bookmarkStart w:id="89" w:name="_Toc371968706"/>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90" w:name="_Toc353462300"/>
      <w:bookmarkStart w:id="91" w:name="_Toc353462191"/>
      <w:bookmarkStart w:id="92" w:name="_Toc9469"/>
      <w:bookmarkStart w:id="93" w:name="_Toc143766459"/>
      <w:r>
        <w:rPr>
          <w:rFonts w:hint="eastAsia" w:ascii="宋体" w:hAnsi="宋体" w:eastAsia="宋体" w:cs="宋体"/>
          <w:b/>
          <w:color w:val="auto"/>
          <w:kern w:val="2"/>
          <w:sz w:val="24"/>
          <w:szCs w:val="24"/>
          <w:lang w:val="en-US" w:eastAsia="zh-CN"/>
        </w:rPr>
        <w:t>9．语言、计量及投标费用</w:t>
      </w:r>
      <w:bookmarkEnd w:id="89"/>
      <w:bookmarkEnd w:id="90"/>
      <w:bookmarkEnd w:id="91"/>
      <w:bookmarkEnd w:id="92"/>
      <w:bookmarkEnd w:id="93"/>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9.1 除专用术语外</w:t>
      </w:r>
      <w:r>
        <w:rPr>
          <w:rFonts w:hint="eastAsia" w:ascii="宋体" w:hAnsi="宋体" w:eastAsia="宋体" w:cs="宋体"/>
          <w:color w:val="auto"/>
          <w:spacing w:val="-80"/>
          <w:sz w:val="24"/>
          <w:szCs w:val="24"/>
        </w:rPr>
        <w:t>，</w:t>
      </w:r>
      <w:r>
        <w:rPr>
          <w:rFonts w:hint="eastAsia" w:ascii="宋体" w:hAnsi="宋体" w:eastAsia="宋体" w:cs="宋体"/>
          <w:color w:val="auto"/>
          <w:sz w:val="24"/>
          <w:szCs w:val="24"/>
        </w:rPr>
        <w:t>与招标投标有关的语言均使用中文</w:t>
      </w:r>
      <w:r>
        <w:rPr>
          <w:rFonts w:hint="eastAsia" w:ascii="宋体" w:hAnsi="宋体" w:eastAsia="宋体" w:cs="宋体"/>
          <w:color w:val="auto"/>
          <w:spacing w:val="-80"/>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9.2 所有计量均采用中华人民共和国法定计量单位。</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9.3 招标文件、投标文件中所指的币种均为人民币。</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9.4 投标人准备和参加投标活动发生的所有费用自理。</w:t>
      </w:r>
      <w:bookmarkStart w:id="94" w:name="_Toc371968707"/>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95" w:name="_Toc5019"/>
      <w:r>
        <w:rPr>
          <w:rFonts w:hint="eastAsia" w:ascii="宋体" w:hAnsi="宋体" w:eastAsia="宋体" w:cs="宋体"/>
          <w:b/>
          <w:color w:val="auto"/>
          <w:kern w:val="2"/>
          <w:sz w:val="24"/>
          <w:szCs w:val="24"/>
          <w:lang w:val="en-US" w:eastAsia="zh-CN"/>
        </w:rPr>
        <w:t>10</w:t>
      </w:r>
      <w:r>
        <w:rPr>
          <w:rFonts w:hint="eastAsia" w:ascii="宋体" w:hAnsi="宋体" w:eastAsia="宋体" w:cs="宋体"/>
          <w:b/>
          <w:color w:val="auto"/>
          <w:kern w:val="2"/>
          <w:sz w:val="24"/>
          <w:szCs w:val="24"/>
        </w:rPr>
        <w:t>．</w:t>
      </w:r>
      <w:r>
        <w:rPr>
          <w:rFonts w:hint="eastAsia" w:ascii="宋体" w:hAnsi="宋体" w:eastAsia="宋体" w:cs="宋体"/>
          <w:b/>
          <w:color w:val="auto"/>
          <w:kern w:val="2"/>
          <w:sz w:val="24"/>
          <w:szCs w:val="24"/>
          <w:lang w:val="en-US" w:eastAsia="zh-CN"/>
        </w:rPr>
        <w:t>知识产权和专利权</w:t>
      </w:r>
      <w:bookmarkEnd w:id="94"/>
      <w:bookmarkEnd w:id="95"/>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10.1 投标人保证投标文件及资料均未侵犯他人的知识产权，否则必须承担全部责任。若投标人使用了他人的专利、专有技术，涉及的费用由投标人负责。投标价应包括所有应支付的对专利权和版权、设计和其他知识产权而需要向其他方支付的版税。</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10.2 中标人应保证招标人在本项目建设过程中使用其设计文件和设计文件的任何一部分时，招标人免受第三方提出侵犯其专利权、商标权或其他知识产权的起诉。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10.3 中标人提交给招标人的设计文件，其著作权、版权、专利权和使用权归招标人所有（署名权除外）。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10.4 招标文件是招标人发出的要约邀请，投标人参加投标均视为承认招标公告、招标文件及附件的所有条款，并承诺一旦中标将按招标文件、投标文件、合同条款、技术规范要求的质量和进度完成全部委托任务。</w:t>
      </w:r>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96" w:name="_Toc24557"/>
      <w:bookmarkStart w:id="97" w:name="_Toc17968"/>
      <w:bookmarkStart w:id="98" w:name="_Toc12491"/>
      <w:bookmarkStart w:id="99" w:name="_Toc27029"/>
      <w:bookmarkStart w:id="100" w:name="_Toc39136337"/>
      <w:bookmarkStart w:id="101" w:name="_Toc11236"/>
      <w:bookmarkStart w:id="102" w:name="_Toc4080"/>
      <w:bookmarkStart w:id="103" w:name="_Toc31599"/>
      <w:r>
        <w:rPr>
          <w:rFonts w:hint="eastAsia" w:ascii="宋体" w:hAnsi="宋体" w:eastAsia="宋体" w:cs="宋体"/>
          <w:b/>
          <w:color w:val="auto"/>
          <w:kern w:val="2"/>
          <w:sz w:val="24"/>
          <w:szCs w:val="24"/>
          <w:lang w:val="en-US" w:eastAsia="zh-CN"/>
        </w:rPr>
        <w:t>11</w:t>
      </w:r>
      <w:bookmarkEnd w:id="96"/>
      <w:r>
        <w:rPr>
          <w:rFonts w:hint="eastAsia" w:ascii="宋体" w:hAnsi="宋体" w:eastAsia="宋体" w:cs="宋体"/>
          <w:b/>
          <w:color w:val="auto"/>
          <w:kern w:val="2"/>
          <w:sz w:val="24"/>
          <w:szCs w:val="24"/>
        </w:rPr>
        <w:t>．</w:t>
      </w:r>
      <w:r>
        <w:rPr>
          <w:rFonts w:hint="eastAsia" w:ascii="宋体" w:hAnsi="宋体" w:eastAsia="宋体" w:cs="宋体"/>
          <w:b/>
          <w:color w:val="auto"/>
          <w:kern w:val="2"/>
          <w:sz w:val="24"/>
          <w:szCs w:val="24"/>
          <w:lang w:val="en-US" w:eastAsia="zh-CN"/>
        </w:rPr>
        <w:t>最高投标限价</w:t>
      </w:r>
      <w:bookmarkEnd w:id="97"/>
      <w:bookmarkEnd w:id="98"/>
      <w:bookmarkEnd w:id="99"/>
      <w:bookmarkEnd w:id="100"/>
      <w:bookmarkEnd w:id="101"/>
      <w:bookmarkEnd w:id="102"/>
      <w:bookmarkEnd w:id="103"/>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本工程</w:t>
      </w:r>
      <w:r>
        <w:rPr>
          <w:rFonts w:hint="eastAsia" w:ascii="宋体" w:hAnsi="宋体" w:eastAsia="宋体" w:cs="宋体"/>
          <w:color w:val="auto"/>
          <w:sz w:val="24"/>
          <w:szCs w:val="24"/>
          <w:lang w:eastAsia="zh-CN"/>
        </w:rPr>
        <w:t>勘察</w:t>
      </w:r>
      <w:r>
        <w:rPr>
          <w:rFonts w:hint="eastAsia" w:ascii="宋体" w:hAnsi="宋体" w:eastAsia="宋体" w:cs="宋体"/>
          <w:color w:val="auto"/>
          <w:sz w:val="24"/>
          <w:szCs w:val="24"/>
        </w:rPr>
        <w:t>设计、施工总承包招标最高投标限价为：大写：</w:t>
      </w:r>
      <w:r>
        <w:rPr>
          <w:rFonts w:hint="eastAsia" w:ascii="宋体" w:hAnsi="宋体" w:eastAsia="宋体" w:cs="宋体"/>
          <w:color w:val="auto"/>
          <w:sz w:val="24"/>
          <w:szCs w:val="24"/>
          <w:u w:val="single"/>
          <w:lang w:eastAsia="zh-CN"/>
        </w:rPr>
        <w:t>伍仟贰佰零陆万柒仟肆佰元整</w:t>
      </w:r>
      <w:r>
        <w:rPr>
          <w:rFonts w:hint="eastAsia" w:ascii="宋体" w:hAnsi="宋体" w:eastAsia="宋体" w:cs="宋体"/>
          <w:color w:val="auto"/>
          <w:sz w:val="24"/>
          <w:szCs w:val="24"/>
          <w:u w:val="single"/>
        </w:rPr>
        <w:t>（小写：¥</w:t>
      </w:r>
      <w:r>
        <w:rPr>
          <w:rFonts w:hint="eastAsia" w:ascii="宋体" w:hAnsi="宋体" w:eastAsia="宋体" w:cs="宋体"/>
          <w:color w:val="auto"/>
          <w:sz w:val="24"/>
          <w:szCs w:val="24"/>
          <w:u w:val="single"/>
          <w:lang w:val="en-US" w:eastAsia="zh-CN"/>
        </w:rPr>
        <w:t>52067400</w:t>
      </w:r>
      <w:r>
        <w:rPr>
          <w:rFonts w:hint="eastAsia" w:ascii="宋体" w:hAnsi="宋体" w:eastAsia="宋体" w:cs="宋体"/>
          <w:color w:val="auto"/>
          <w:sz w:val="24"/>
          <w:szCs w:val="24"/>
          <w:u w:val="single"/>
        </w:rPr>
        <w:t>.00元）。</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具体详见下表：</w:t>
      </w:r>
    </w:p>
    <w:tbl>
      <w:tblPr>
        <w:tblStyle w:val="15"/>
        <w:tblW w:w="97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724"/>
        <w:gridCol w:w="1683"/>
        <w:gridCol w:w="1750"/>
        <w:gridCol w:w="3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序号</w:t>
            </w:r>
          </w:p>
        </w:tc>
        <w:tc>
          <w:tcPr>
            <w:tcW w:w="1724" w:type="dxa"/>
            <w:noWrap w:val="0"/>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项目名称</w:t>
            </w:r>
          </w:p>
        </w:tc>
        <w:tc>
          <w:tcPr>
            <w:tcW w:w="1683" w:type="dxa"/>
            <w:noWrap w:val="0"/>
            <w:vAlign w:val="top"/>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建安工程费</w:t>
            </w:r>
          </w:p>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投标下浮率</w:t>
            </w:r>
          </w:p>
        </w:tc>
        <w:tc>
          <w:tcPr>
            <w:tcW w:w="1750" w:type="dxa"/>
            <w:noWrap w:val="0"/>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最高投标限价（元）</w:t>
            </w:r>
          </w:p>
        </w:tc>
        <w:tc>
          <w:tcPr>
            <w:tcW w:w="3850" w:type="dxa"/>
            <w:noWrap w:val="0"/>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1</w:t>
            </w:r>
          </w:p>
        </w:tc>
        <w:tc>
          <w:tcPr>
            <w:tcW w:w="1724" w:type="dxa"/>
            <w:noWrap w:val="0"/>
            <w:vAlign w:val="center"/>
          </w:tcPr>
          <w:p>
            <w:pPr>
              <w:spacing w:line="360" w:lineRule="auto"/>
              <w:jc w:val="center"/>
              <w:rPr>
                <w:rFonts w:hint="eastAsia" w:ascii="宋体" w:hAnsi="宋体" w:eastAsia="宋体" w:cs="宋体"/>
                <w:color w:val="auto"/>
                <w:kern w:val="1"/>
                <w:sz w:val="24"/>
                <w:szCs w:val="24"/>
                <w:lang w:eastAsia="zh-CN"/>
              </w:rPr>
            </w:pPr>
            <w:r>
              <w:rPr>
                <w:rFonts w:hint="eastAsia" w:ascii="宋体" w:hAnsi="宋体" w:eastAsia="宋体" w:cs="宋体"/>
                <w:color w:val="auto"/>
                <w:kern w:val="1"/>
                <w:sz w:val="24"/>
                <w:szCs w:val="24"/>
                <w:lang w:eastAsia="zh-CN"/>
              </w:rPr>
              <w:t>勘察费</w:t>
            </w:r>
          </w:p>
        </w:tc>
        <w:tc>
          <w:tcPr>
            <w:tcW w:w="1683"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1750" w:type="dxa"/>
            <w:noWrap w:val="0"/>
            <w:vAlign w:val="center"/>
          </w:tcPr>
          <w:p>
            <w:pPr>
              <w:snapToGrid w:val="0"/>
              <w:spacing w:line="360" w:lineRule="auto"/>
              <w:jc w:val="center"/>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499300.00</w:t>
            </w:r>
          </w:p>
        </w:tc>
        <w:tc>
          <w:tcPr>
            <w:tcW w:w="3850" w:type="dxa"/>
            <w:noWrap w:val="0"/>
            <w:vAlign w:val="center"/>
          </w:tcPr>
          <w:p>
            <w:pPr>
              <w:spacing w:line="360" w:lineRule="auto"/>
              <w:jc w:val="left"/>
              <w:rPr>
                <w:rFonts w:hint="eastAsia" w:ascii="宋体" w:hAnsi="宋体" w:eastAsia="宋体" w:cs="宋体"/>
                <w:color w:val="auto"/>
                <w:kern w:val="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en-US" w:eastAsia="zh-CN"/>
              </w:rPr>
              <w:t>2</w:t>
            </w:r>
          </w:p>
        </w:tc>
        <w:tc>
          <w:tcPr>
            <w:tcW w:w="1724"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设计费</w:t>
            </w:r>
          </w:p>
        </w:tc>
        <w:tc>
          <w:tcPr>
            <w:tcW w:w="1683" w:type="dxa"/>
            <w:noWrap w:val="0"/>
            <w:vAlign w:val="center"/>
          </w:tcPr>
          <w:p>
            <w:pPr>
              <w:spacing w:line="360" w:lineRule="auto"/>
              <w:jc w:val="center"/>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sz w:val="24"/>
                <w:szCs w:val="24"/>
              </w:rPr>
              <w:t>/</w:t>
            </w:r>
          </w:p>
        </w:tc>
        <w:tc>
          <w:tcPr>
            <w:tcW w:w="1750" w:type="dxa"/>
            <w:noWrap w:val="0"/>
            <w:vAlign w:val="center"/>
          </w:tcPr>
          <w:p>
            <w:pPr>
              <w:snapToGrid w:val="0"/>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en-US" w:eastAsia="zh-CN"/>
              </w:rPr>
              <w:t>1637000.00</w:t>
            </w:r>
          </w:p>
        </w:tc>
        <w:tc>
          <w:tcPr>
            <w:tcW w:w="3850" w:type="dxa"/>
            <w:noWrap w:val="0"/>
            <w:vAlign w:val="center"/>
          </w:tcPr>
          <w:p>
            <w:pPr>
              <w:spacing w:line="360" w:lineRule="auto"/>
              <w:jc w:val="left"/>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zh-CN"/>
              </w:rPr>
              <w:t>设计费不高于</w:t>
            </w:r>
            <w:r>
              <w:rPr>
                <w:rFonts w:hint="eastAsia" w:ascii="宋体" w:hAnsi="宋体" w:eastAsia="宋体" w:cs="宋体"/>
                <w:color w:val="auto"/>
                <w:kern w:val="1"/>
                <w:sz w:val="24"/>
                <w:szCs w:val="24"/>
              </w:rPr>
              <w:t>最高投标限价</w:t>
            </w:r>
            <w:r>
              <w:rPr>
                <w:rFonts w:hint="eastAsia" w:ascii="宋体" w:hAnsi="宋体" w:eastAsia="宋体" w:cs="宋体"/>
                <w:color w:val="auto"/>
                <w:kern w:val="1"/>
                <w:sz w:val="24"/>
                <w:szCs w:val="24"/>
                <w:lang w:val="zh-CN"/>
              </w:rPr>
              <w:t>的基础上自行报价并包干，结算不作任何调整。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en-US" w:eastAsia="zh-CN"/>
              </w:rPr>
              <w:t>3</w:t>
            </w:r>
          </w:p>
        </w:tc>
        <w:tc>
          <w:tcPr>
            <w:tcW w:w="1724"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建安工程费</w:t>
            </w:r>
          </w:p>
        </w:tc>
        <w:tc>
          <w:tcPr>
            <w:tcW w:w="1683"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Cs w:val="21"/>
              </w:rPr>
              <w:t>≧</w:t>
            </w:r>
            <w:r>
              <w:rPr>
                <w:rFonts w:hint="eastAsia" w:ascii="宋体" w:hAnsi="宋体" w:eastAsia="宋体" w:cs="宋体"/>
                <w:color w:val="auto"/>
                <w:kern w:val="1"/>
                <w:szCs w:val="21"/>
                <w:u w:val="single"/>
              </w:rPr>
              <w:t xml:space="preserve">  0.00 </w:t>
            </w:r>
            <w:r>
              <w:rPr>
                <w:rFonts w:hint="eastAsia" w:ascii="宋体" w:hAnsi="宋体" w:eastAsia="宋体" w:cs="宋体"/>
                <w:color w:val="auto"/>
                <w:kern w:val="1"/>
                <w:szCs w:val="21"/>
              </w:rPr>
              <w:t>%</w:t>
            </w:r>
          </w:p>
        </w:tc>
        <w:tc>
          <w:tcPr>
            <w:tcW w:w="1750" w:type="dxa"/>
            <w:tcBorders>
              <w:right w:val="single" w:color="auto" w:sz="4" w:space="0"/>
            </w:tcBorders>
            <w:noWrap w:val="0"/>
            <w:vAlign w:val="center"/>
          </w:tcPr>
          <w:p>
            <w:pPr>
              <w:snapToGrid w:val="0"/>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en-US" w:eastAsia="zh-CN"/>
              </w:rPr>
              <w:t>49931100.00</w:t>
            </w:r>
          </w:p>
        </w:tc>
        <w:tc>
          <w:tcPr>
            <w:tcW w:w="3850" w:type="dxa"/>
            <w:tcBorders>
              <w:left w:val="single" w:color="auto" w:sz="4" w:space="0"/>
            </w:tcBorders>
            <w:noWrap w:val="0"/>
            <w:vAlign w:val="center"/>
          </w:tcPr>
          <w:p>
            <w:pPr>
              <w:snapToGrid w:val="0"/>
              <w:spacing w:line="360" w:lineRule="auto"/>
              <w:jc w:val="left"/>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 xml:space="preserve">建安工程费报价=       </w:t>
            </w:r>
            <w:r>
              <w:rPr>
                <w:rFonts w:hint="eastAsia" w:ascii="宋体" w:hAnsi="宋体" w:eastAsia="宋体" w:cs="宋体"/>
                <w:color w:val="auto"/>
                <w:kern w:val="1"/>
                <w:sz w:val="24"/>
                <w:szCs w:val="24"/>
                <w:lang w:val="en-US" w:eastAsia="zh-CN"/>
              </w:rPr>
              <w:t>49931100.00</w:t>
            </w:r>
            <w:r>
              <w:rPr>
                <w:rFonts w:hint="eastAsia" w:ascii="宋体" w:hAnsi="宋体" w:eastAsia="宋体" w:cs="宋体"/>
                <w:color w:val="auto"/>
                <w:kern w:val="1"/>
                <w:sz w:val="24"/>
                <w:szCs w:val="24"/>
              </w:rPr>
              <w:t>元×（1-建安工程费投标下浮率）</w:t>
            </w:r>
          </w:p>
          <w:p>
            <w:pPr>
              <w:snapToGrid w:val="0"/>
              <w:spacing w:line="360" w:lineRule="auto"/>
              <w:jc w:val="left"/>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投标人应分别报投标下浮率和建安工程费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en-US" w:eastAsia="zh-CN"/>
              </w:rPr>
              <w:t>4</w:t>
            </w:r>
          </w:p>
        </w:tc>
        <w:tc>
          <w:tcPr>
            <w:tcW w:w="1724"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合计（1+2</w:t>
            </w:r>
            <w:r>
              <w:rPr>
                <w:rFonts w:hint="eastAsia" w:ascii="宋体" w:hAnsi="宋体" w:eastAsia="宋体" w:cs="宋体"/>
                <w:color w:val="auto"/>
                <w:kern w:val="1"/>
                <w:sz w:val="24"/>
                <w:szCs w:val="24"/>
                <w:lang w:val="en-US" w:eastAsia="zh-CN"/>
              </w:rPr>
              <w:t>+3</w:t>
            </w:r>
            <w:r>
              <w:rPr>
                <w:rFonts w:hint="eastAsia" w:ascii="宋体" w:hAnsi="宋体" w:eastAsia="宋体" w:cs="宋体"/>
                <w:color w:val="auto"/>
                <w:kern w:val="1"/>
                <w:sz w:val="24"/>
                <w:szCs w:val="24"/>
              </w:rPr>
              <w:t>）</w:t>
            </w:r>
          </w:p>
        </w:tc>
        <w:tc>
          <w:tcPr>
            <w:tcW w:w="1683" w:type="dxa"/>
            <w:tcBorders>
              <w:right w:val="single" w:color="auto" w:sz="4" w:space="0"/>
            </w:tcBorders>
            <w:noWrap w:val="0"/>
            <w:vAlign w:val="center"/>
          </w:tcPr>
          <w:p>
            <w:pPr>
              <w:spacing w:line="360" w:lineRule="auto"/>
              <w:jc w:val="center"/>
              <w:rPr>
                <w:rFonts w:hint="eastAsia" w:ascii="宋体" w:hAnsi="宋体" w:eastAsia="宋体" w:cs="宋体"/>
                <w:color w:val="auto"/>
                <w:kern w:val="1"/>
                <w:sz w:val="24"/>
                <w:szCs w:val="24"/>
                <w:lang w:val="en-US" w:eastAsia="zh-CN" w:bidi="ar-SA"/>
              </w:rPr>
            </w:pPr>
          </w:p>
        </w:tc>
        <w:tc>
          <w:tcPr>
            <w:tcW w:w="1750" w:type="dxa"/>
            <w:tcBorders>
              <w:right w:val="single" w:color="auto" w:sz="4" w:space="0"/>
            </w:tcBorders>
            <w:noWrap w:val="0"/>
            <w:vAlign w:val="center"/>
          </w:tcPr>
          <w:p>
            <w:pPr>
              <w:spacing w:line="360" w:lineRule="auto"/>
              <w:jc w:val="center"/>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52067400.00</w:t>
            </w:r>
          </w:p>
        </w:tc>
        <w:tc>
          <w:tcPr>
            <w:tcW w:w="3850" w:type="dxa"/>
            <w:tcBorders>
              <w:left w:val="single" w:color="auto" w:sz="4" w:space="0"/>
            </w:tcBorders>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w:t>
            </w:r>
          </w:p>
        </w:tc>
      </w:tr>
    </w:tbl>
    <w:p>
      <w:pPr>
        <w:widowControl/>
        <w:spacing w:line="360" w:lineRule="auto"/>
        <w:ind w:firstLine="480" w:firstLineChars="200"/>
        <w:jc w:val="lef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注：投标报价均按“四舍五入”原则精确到两位小数。</w:t>
      </w:r>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104" w:name="_Hlt92513711"/>
      <w:bookmarkEnd w:id="104"/>
      <w:bookmarkStart w:id="105" w:name="_Hlt69699188"/>
      <w:bookmarkEnd w:id="105"/>
      <w:bookmarkStart w:id="106" w:name="_Hlt92513715"/>
      <w:bookmarkEnd w:id="106"/>
      <w:bookmarkStart w:id="107" w:name="_Toc3462"/>
      <w:bookmarkStart w:id="108" w:name="_Toc39136338"/>
      <w:bookmarkStart w:id="109" w:name="_Toc17283"/>
      <w:bookmarkStart w:id="110" w:name="_Toc25421"/>
      <w:bookmarkStart w:id="111" w:name="_Toc15442"/>
      <w:bookmarkStart w:id="112" w:name="_Toc11303"/>
      <w:bookmarkStart w:id="113" w:name="_Toc15798"/>
      <w:r>
        <w:rPr>
          <w:rFonts w:hint="eastAsia" w:ascii="宋体" w:hAnsi="宋体" w:eastAsia="宋体" w:cs="宋体"/>
          <w:b/>
          <w:color w:val="auto"/>
          <w:kern w:val="2"/>
          <w:sz w:val="24"/>
          <w:szCs w:val="24"/>
          <w:lang w:val="en-US" w:eastAsia="zh-CN"/>
        </w:rPr>
        <w:t>12</w:t>
      </w:r>
      <w:r>
        <w:rPr>
          <w:rFonts w:hint="eastAsia" w:ascii="宋体" w:hAnsi="宋体" w:eastAsia="宋体" w:cs="宋体"/>
          <w:b/>
          <w:color w:val="auto"/>
          <w:kern w:val="2"/>
          <w:sz w:val="24"/>
          <w:szCs w:val="24"/>
        </w:rPr>
        <w:t>．</w:t>
      </w:r>
      <w:r>
        <w:rPr>
          <w:rFonts w:hint="eastAsia" w:ascii="宋体" w:hAnsi="宋体" w:eastAsia="宋体" w:cs="宋体"/>
          <w:b/>
          <w:color w:val="auto"/>
          <w:kern w:val="2"/>
          <w:sz w:val="24"/>
          <w:szCs w:val="24"/>
          <w:lang w:val="en-US" w:eastAsia="zh-CN"/>
        </w:rPr>
        <w:t>投标报价</w:t>
      </w:r>
      <w:bookmarkEnd w:id="107"/>
      <w:bookmarkEnd w:id="108"/>
      <w:bookmarkEnd w:id="109"/>
      <w:bookmarkEnd w:id="110"/>
      <w:bookmarkEnd w:id="111"/>
      <w:bookmarkEnd w:id="112"/>
      <w:bookmarkEnd w:id="113"/>
    </w:p>
    <w:p>
      <w:pPr>
        <w:wordWrap w:val="0"/>
        <w:adjustRightInd w:val="0"/>
        <w:snapToGrid w:val="0"/>
        <w:spacing w:line="360" w:lineRule="auto"/>
        <w:ind w:firstLine="482" w:firstLineChars="200"/>
        <w:rPr>
          <w:rFonts w:hint="eastAsia" w:ascii="宋体" w:hAnsi="宋体" w:eastAsia="宋体" w:cs="宋体"/>
          <w:color w:val="auto"/>
          <w:sz w:val="24"/>
          <w:szCs w:val="24"/>
          <w:lang w:val="zh-CN"/>
        </w:rPr>
      </w:pPr>
      <w:r>
        <w:rPr>
          <w:rFonts w:hint="eastAsia" w:ascii="宋体" w:hAnsi="宋体" w:eastAsia="宋体" w:cs="宋体"/>
          <w:b/>
          <w:bCs/>
          <w:snapToGrid w:val="0"/>
          <w:color w:val="auto"/>
          <w:kern w:val="0"/>
          <w:sz w:val="24"/>
          <w:szCs w:val="24"/>
        </w:rPr>
        <w:t>12.1</w:t>
      </w:r>
      <w:r>
        <w:rPr>
          <w:rFonts w:hint="eastAsia" w:ascii="宋体" w:hAnsi="宋体" w:eastAsia="宋体" w:cs="宋体"/>
          <w:snapToGrid w:val="0"/>
          <w:color w:val="auto"/>
          <w:kern w:val="0"/>
          <w:sz w:val="24"/>
          <w:szCs w:val="24"/>
        </w:rPr>
        <w:t xml:space="preserve"> </w:t>
      </w:r>
      <w:r>
        <w:rPr>
          <w:rFonts w:hint="eastAsia" w:ascii="宋体" w:hAnsi="宋体" w:eastAsia="宋体" w:cs="宋体"/>
          <w:color w:val="auto"/>
          <w:sz w:val="24"/>
          <w:szCs w:val="24"/>
          <w:lang w:val="zh-CN"/>
        </w:rPr>
        <w:t>本项目计价依据为：</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①《工程勘察设计收费管理规定》（计价格[2002]10号）；②</w:t>
      </w:r>
      <w:r>
        <w:rPr>
          <w:rFonts w:hint="eastAsia" w:ascii="宋体" w:hAnsi="宋体" w:eastAsia="宋体" w:cs="宋体"/>
          <w:snapToGrid w:val="0"/>
          <w:color w:val="auto"/>
          <w:kern w:val="0"/>
          <w:sz w:val="24"/>
          <w:szCs w:val="24"/>
        </w:rPr>
        <w:t>《广东省建设工程计价依据（2018）》。具体包括：《广东省房屋建筑与装饰工程综合定额（2018）》《广东省市政工程综合定额（2018）》《广东省通用安装工程综合定额（2018）》《广东省园林绿化工程综合定额（2018）》《广东省建设工程施工机具台班费用编制规则（2018）》等；</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（2）企业定额；</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（3）招标文件及其答疑（或修改）公告、招标工程量清单；</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（4）施工图及相关资料；</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（5）施工现场情况、工程特点及常规施工方案；</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（6）市场价格信息或项目所在地工程造价管理机构发布的工程造价信息；</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（7）与建设项目相关的标准、规范、技术资料。</w:t>
      </w:r>
    </w:p>
    <w:p>
      <w:pPr>
        <w:wordWrap w:val="0"/>
        <w:adjustRightInd w:val="0"/>
        <w:snapToGrid w:val="0"/>
        <w:spacing w:line="360" w:lineRule="auto"/>
        <w:ind w:firstLine="42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12.2</w:t>
      </w:r>
      <w:r>
        <w:rPr>
          <w:rFonts w:hint="eastAsia" w:ascii="宋体" w:hAnsi="宋体" w:eastAsia="宋体" w:cs="宋体"/>
          <w:snapToGrid w:val="0"/>
          <w:color w:val="auto"/>
          <w:kern w:val="0"/>
          <w:sz w:val="24"/>
          <w:szCs w:val="24"/>
        </w:rPr>
        <w:t xml:space="preserve"> 投标人应根据招标文件等资料和本项目有关要求施工现场实际情况、本单位的企业定额和市场价格进行编制，自行报价，并承担一定范围内的风险费用。</w:t>
      </w:r>
      <w:bookmarkStart w:id="114" w:name="_Hlt66594003"/>
      <w:bookmarkEnd w:id="114"/>
      <w:r>
        <w:rPr>
          <w:rFonts w:hint="eastAsia" w:ascii="宋体" w:hAnsi="宋体" w:eastAsia="宋体" w:cs="宋体"/>
          <w:snapToGrid w:val="0"/>
          <w:color w:val="auto"/>
          <w:kern w:val="0"/>
          <w:sz w:val="24"/>
          <w:szCs w:val="24"/>
        </w:rPr>
        <w:t>所谓“一定范围内的风险”是指合同约定的风险。</w:t>
      </w:r>
    </w:p>
    <w:p>
      <w:pPr>
        <w:wordWrap w:val="0"/>
        <w:adjustRightInd w:val="0"/>
        <w:snapToGrid w:val="0"/>
        <w:spacing w:line="360" w:lineRule="auto"/>
        <w:ind w:firstLine="42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12.3</w:t>
      </w:r>
      <w:r>
        <w:rPr>
          <w:rFonts w:hint="eastAsia" w:ascii="宋体" w:hAnsi="宋体" w:eastAsia="宋体" w:cs="宋体"/>
          <w:snapToGrid w:val="0"/>
          <w:color w:val="auto"/>
          <w:kern w:val="0"/>
          <w:sz w:val="24"/>
          <w:szCs w:val="24"/>
        </w:rPr>
        <w:t xml:space="preserve"> 本招标工程投标前，招标人及招标代理机构不集中组织现场踏勘，投标人需要了解现场情况的，可自行进行现场踏勘。各投标人应勘察施工现场及周围环境、地形、地貌、水文、交通等情况，以获得一切可能影响到投标的直接资料。投标人应针对现场情况编制施工组织设计，并在编制投标报价时考虑现场情况的影响。</w:t>
      </w:r>
    </w:p>
    <w:p>
      <w:pPr>
        <w:wordWrap w:val="0"/>
        <w:adjustRightInd w:val="0"/>
        <w:snapToGrid w:val="0"/>
        <w:spacing w:line="360" w:lineRule="auto"/>
        <w:ind w:firstLine="42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12.4</w:t>
      </w:r>
      <w:r>
        <w:rPr>
          <w:rFonts w:hint="eastAsia" w:ascii="宋体" w:hAnsi="宋体" w:eastAsia="宋体" w:cs="宋体"/>
          <w:snapToGrid w:val="0"/>
          <w:color w:val="auto"/>
          <w:kern w:val="0"/>
          <w:sz w:val="24"/>
          <w:szCs w:val="24"/>
        </w:rPr>
        <w:t xml:space="preserve"> 招标人向投标人提供的有关现场的数据和资料，是招标人现有的能被投标人利用的资料，招标人对投标人做出的任何推论、理解和结论均不负责任。</w:t>
      </w:r>
    </w:p>
    <w:p>
      <w:pPr>
        <w:wordWrap w:val="0"/>
        <w:adjustRightInd w:val="0"/>
        <w:snapToGrid w:val="0"/>
        <w:spacing w:line="360" w:lineRule="auto"/>
        <w:ind w:firstLine="42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12.5</w:t>
      </w:r>
      <w:r>
        <w:rPr>
          <w:rFonts w:hint="eastAsia" w:ascii="宋体" w:hAnsi="宋体" w:eastAsia="宋体" w:cs="宋体"/>
          <w:snapToGrid w:val="0"/>
          <w:color w:val="auto"/>
          <w:kern w:val="0"/>
          <w:sz w:val="24"/>
          <w:szCs w:val="24"/>
        </w:rPr>
        <w:t xml:space="preserve"> 投标人负责协调处理因项目实施与周边企业和市民等关系并承担相关费用。</w:t>
      </w:r>
    </w:p>
    <w:p>
      <w:pPr>
        <w:wordWrap w:val="0"/>
        <w:adjustRightInd w:val="0"/>
        <w:snapToGrid w:val="0"/>
        <w:spacing w:line="360" w:lineRule="auto"/>
        <w:ind w:firstLine="42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12.6</w:t>
      </w:r>
      <w:r>
        <w:rPr>
          <w:rFonts w:hint="eastAsia" w:ascii="宋体" w:hAnsi="宋体" w:eastAsia="宋体" w:cs="宋体"/>
          <w:snapToGrid w:val="0"/>
          <w:color w:val="auto"/>
          <w:kern w:val="0"/>
          <w:sz w:val="24"/>
          <w:szCs w:val="24"/>
        </w:rPr>
        <w:t xml:space="preserve"> 投标人在投标时，必须考虑工程保险费，在项目实施前应办理相关保险。</w:t>
      </w:r>
    </w:p>
    <w:p>
      <w:pPr>
        <w:wordWrap w:val="0"/>
        <w:adjustRightInd w:val="0"/>
        <w:snapToGrid w:val="0"/>
        <w:spacing w:line="360" w:lineRule="auto"/>
        <w:ind w:firstLine="42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12.7</w:t>
      </w:r>
      <w:r>
        <w:rPr>
          <w:rFonts w:hint="eastAsia" w:ascii="宋体" w:hAnsi="宋体" w:eastAsia="宋体" w:cs="宋体"/>
          <w:snapToGrid w:val="0"/>
          <w:color w:val="auto"/>
          <w:kern w:val="0"/>
          <w:sz w:val="24"/>
          <w:szCs w:val="24"/>
          <w:u w:val="double"/>
        </w:rPr>
        <w:t>投标人的投标报价不得超过招标人公布的最高投标限价。</w:t>
      </w:r>
      <w:r>
        <w:rPr>
          <w:rFonts w:hint="eastAsia" w:ascii="宋体" w:hAnsi="宋体" w:eastAsia="宋体" w:cs="宋体"/>
          <w:snapToGrid w:val="0"/>
          <w:color w:val="auto"/>
          <w:kern w:val="0"/>
          <w:sz w:val="24"/>
          <w:szCs w:val="24"/>
        </w:rPr>
        <w:t>本项目为限额设计，施工图预算必须控制在中标人工程直接费用投标报价以内，按设计施工图纸编制的预算价超过中标人工程直接费用投标报价时，设计单位必须无条件优化修改设计，直到满足要求。</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12.8</w:t>
      </w:r>
      <w:r>
        <w:rPr>
          <w:rFonts w:hint="eastAsia" w:ascii="宋体" w:hAnsi="宋体" w:eastAsia="宋体" w:cs="宋体"/>
          <w:snapToGrid w:val="0"/>
          <w:color w:val="auto"/>
          <w:kern w:val="0"/>
          <w:sz w:val="24"/>
          <w:szCs w:val="24"/>
        </w:rPr>
        <w:t xml:space="preserve"> 投标人应充分考虑本招标文件“第三章 拟签订合同的主要条款”所列的结算原则进行投标及报价。</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12.9</w:t>
      </w:r>
      <w:r>
        <w:rPr>
          <w:rFonts w:hint="eastAsia" w:ascii="宋体" w:hAnsi="宋体" w:eastAsia="宋体" w:cs="宋体"/>
          <w:snapToGrid w:val="0"/>
          <w:color w:val="auto"/>
          <w:kern w:val="0"/>
          <w:sz w:val="24"/>
          <w:szCs w:val="24"/>
        </w:rPr>
        <w:t xml:space="preserve"> 投标人的投标总价应考虑完成招标文件中招标规模、内容及可行性研究报告所规定的所有工程及设备的费用，并承担结算原则中规定的一切风险，还应考虑工程预算书的编制费、报建和施工时应由施工单位承担的一切费用。各项费用的主要内容及其报价方式：</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bookmarkStart w:id="115" w:name="_Toc18903"/>
      <w:bookmarkStart w:id="116" w:name="_Toc11863"/>
      <w:bookmarkStart w:id="117" w:name="_Toc13707"/>
      <w:bookmarkStart w:id="118" w:name="_Toc11568"/>
      <w:bookmarkStart w:id="119" w:name="_Toc3872"/>
      <w:bookmarkStart w:id="120" w:name="_Toc39136339"/>
      <w:bookmarkStart w:id="121" w:name="_Toc17803"/>
      <w:bookmarkStart w:id="122" w:name="_Toc32012"/>
      <w:bookmarkStart w:id="123" w:name="_Toc29402"/>
      <w:r>
        <w:rPr>
          <w:rFonts w:hint="eastAsia" w:ascii="宋体" w:hAnsi="宋体" w:eastAsia="宋体" w:cs="宋体"/>
          <w:snapToGrid w:val="0"/>
          <w:color w:val="auto"/>
          <w:kern w:val="0"/>
          <w:sz w:val="24"/>
          <w:szCs w:val="24"/>
        </w:rPr>
        <w:t>投标人投标报价=设计费投标报价＋建安工程费投标报价</w:t>
      </w:r>
      <w:bookmarkEnd w:id="115"/>
      <w:bookmarkEnd w:id="116"/>
      <w:bookmarkEnd w:id="117"/>
      <w:bookmarkEnd w:id="118"/>
      <w:bookmarkEnd w:id="119"/>
      <w:bookmarkEnd w:id="120"/>
      <w:bookmarkEnd w:id="121"/>
      <w:bookmarkEnd w:id="122"/>
      <w:bookmarkEnd w:id="123"/>
    </w:p>
    <w:p>
      <w:pPr>
        <w:spacing w:line="360" w:lineRule="auto"/>
        <w:ind w:firstLine="588" w:firstLineChars="245"/>
        <w:rPr>
          <w:rFonts w:hint="eastAsia" w:ascii="宋体" w:hAnsi="宋体" w:eastAsia="宋体" w:cs="宋体"/>
          <w:color w:val="auto"/>
          <w:sz w:val="24"/>
          <w:szCs w:val="24"/>
          <w:lang w:val="zh-CN"/>
        </w:rPr>
      </w:pPr>
      <w:r>
        <w:rPr>
          <w:rFonts w:hint="eastAsia" w:ascii="宋体" w:hAnsi="宋体" w:eastAsia="宋体" w:cs="宋体"/>
          <w:color w:val="auto"/>
          <w:sz w:val="24"/>
          <w:szCs w:val="24"/>
        </w:rPr>
        <w:t>12.9</w:t>
      </w:r>
      <w:r>
        <w:rPr>
          <w:rFonts w:hint="eastAsia" w:ascii="宋体" w:hAnsi="宋体" w:eastAsia="宋体" w:cs="宋体"/>
          <w:color w:val="auto"/>
          <w:sz w:val="24"/>
          <w:szCs w:val="24"/>
          <w:lang w:val="zh-CN"/>
        </w:rPr>
        <w:t>.1设计费投标报价：</w:t>
      </w:r>
      <w:r>
        <w:rPr>
          <w:rFonts w:hint="eastAsia" w:ascii="宋体" w:hAnsi="宋体" w:eastAsia="宋体" w:cs="宋体"/>
          <w:color w:val="auto"/>
          <w:sz w:val="24"/>
          <w:szCs w:val="24"/>
          <w:u w:val="single"/>
          <w:lang w:val="zh-CN"/>
        </w:rPr>
        <w:t>由投标人根据最高投标限价自行报价并进行包干，该投标报价即为签订合同价。</w:t>
      </w:r>
      <w:r>
        <w:rPr>
          <w:rFonts w:hint="eastAsia" w:ascii="宋体" w:hAnsi="宋体" w:eastAsia="宋体" w:cs="宋体"/>
          <w:color w:val="auto"/>
          <w:sz w:val="24"/>
          <w:szCs w:val="24"/>
          <w:lang w:val="zh-CN"/>
        </w:rPr>
        <w:t>报价应考虑施工场地不同土、石质类别比例及满足本项目设计要求所需完成的工作。同时应包含各个不同专业的设计费用、进行优化设计或修改设计所增加的设计费用及图纸审查费用。若中标单位不具备专业设计资质的，必须委托有相应资质的单位进行设计及审图，所产生的费用由投标人承担。另外，投标人需向招标人提供加盖了审图章的合格施工图一式捌份。</w:t>
      </w:r>
    </w:p>
    <w:p>
      <w:pPr>
        <w:spacing w:line="360" w:lineRule="auto"/>
        <w:ind w:firstLine="588" w:firstLineChars="245"/>
        <w:rPr>
          <w:rFonts w:hint="eastAsia" w:ascii="宋体" w:hAnsi="宋体" w:eastAsia="宋体" w:cs="宋体"/>
          <w:color w:val="auto"/>
          <w:sz w:val="24"/>
          <w:szCs w:val="24"/>
          <w:lang w:val="zh-CN"/>
        </w:rPr>
      </w:pPr>
      <w:r>
        <w:rPr>
          <w:rFonts w:hint="eastAsia" w:ascii="宋体" w:hAnsi="宋体" w:eastAsia="宋体" w:cs="宋体"/>
          <w:color w:val="auto"/>
          <w:sz w:val="24"/>
          <w:szCs w:val="24"/>
        </w:rPr>
        <w:t>12.9</w:t>
      </w:r>
      <w:r>
        <w:rPr>
          <w:rFonts w:hint="eastAsia" w:ascii="宋体" w:hAnsi="宋体" w:eastAsia="宋体" w:cs="宋体"/>
          <w:color w:val="auto"/>
          <w:sz w:val="24"/>
          <w:szCs w:val="24"/>
          <w:lang w:val="zh-CN"/>
        </w:rPr>
        <w:t>.2建安工程费用：采用</w:t>
      </w:r>
      <w:r>
        <w:rPr>
          <w:rFonts w:hint="eastAsia" w:ascii="宋体" w:hAnsi="宋体" w:eastAsia="宋体" w:cs="宋体"/>
          <w:color w:val="auto"/>
          <w:sz w:val="24"/>
          <w:szCs w:val="24"/>
        </w:rPr>
        <w:t>投标</w:t>
      </w:r>
      <w:r>
        <w:rPr>
          <w:rFonts w:hint="eastAsia" w:ascii="宋体" w:hAnsi="宋体" w:eastAsia="宋体" w:cs="宋体"/>
          <w:color w:val="auto"/>
          <w:sz w:val="24"/>
          <w:szCs w:val="24"/>
          <w:lang w:val="zh-CN"/>
        </w:rPr>
        <w:t>下浮率的方式进行报价，结算时按招标文件有关结算原则计算后再按</w:t>
      </w:r>
      <w:r>
        <w:rPr>
          <w:rFonts w:hint="eastAsia" w:ascii="宋体" w:hAnsi="宋体" w:eastAsia="宋体" w:cs="宋体"/>
          <w:color w:val="auto"/>
          <w:sz w:val="24"/>
          <w:szCs w:val="24"/>
        </w:rPr>
        <w:t>投标下浮</w:t>
      </w:r>
      <w:r>
        <w:rPr>
          <w:rFonts w:hint="eastAsia" w:ascii="宋体" w:hAnsi="宋体" w:eastAsia="宋体" w:cs="宋体"/>
          <w:color w:val="auto"/>
          <w:sz w:val="24"/>
          <w:szCs w:val="24"/>
          <w:lang w:val="zh-CN"/>
        </w:rPr>
        <w:t>率下浮。建安工程费的报价应考虑完成招标文件中招标规模、内容及设计任务书所规定的所有工程的费用，并承担结算原则中规定的一切风险。</w:t>
      </w:r>
    </w:p>
    <w:p>
      <w:pPr>
        <w:spacing w:line="360" w:lineRule="auto"/>
        <w:ind w:firstLine="588" w:firstLineChars="245"/>
        <w:rPr>
          <w:rFonts w:hint="eastAsia" w:ascii="宋体" w:hAnsi="宋体" w:eastAsia="宋体" w:cs="宋体"/>
          <w:color w:val="auto"/>
          <w:sz w:val="24"/>
          <w:szCs w:val="24"/>
          <w:lang w:val="zh-CN"/>
        </w:rPr>
      </w:pPr>
      <w:r>
        <w:rPr>
          <w:rFonts w:hint="eastAsia" w:ascii="宋体" w:hAnsi="宋体" w:eastAsia="宋体" w:cs="宋体"/>
          <w:color w:val="auto"/>
          <w:sz w:val="24"/>
          <w:szCs w:val="24"/>
        </w:rPr>
        <w:t>12.9.3</w:t>
      </w:r>
      <w:r>
        <w:rPr>
          <w:rFonts w:hint="eastAsia" w:ascii="宋体" w:hAnsi="宋体" w:eastAsia="宋体" w:cs="宋体"/>
          <w:color w:val="auto"/>
          <w:sz w:val="24"/>
          <w:szCs w:val="24"/>
          <w:lang w:val="zh-CN"/>
        </w:rPr>
        <w:t>建设工程费用的报价应考虑完成招标文件中招标规模、内容及设计图所规定的所有工程的费用，并承担结算原则中规定的一切风险，还应考虑施工图预算书的编制费（施工图预算必须经具有造价咨询资质机构编制）等有关费用及报建和施工时应由施工单位承担的一切费用、工程一切检测费用（除有文件规定必须招标人支付的费用外）、工程有关档案和影像等整理或制作及向相关部门交取的费用。</w:t>
      </w:r>
    </w:p>
    <w:p>
      <w:pPr>
        <w:spacing w:line="360" w:lineRule="auto"/>
        <w:ind w:firstLine="588" w:firstLineChars="245"/>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如投标人的建安工程费的投标报价下浮率超过15%时，投标人必须在投标报价书中另行作出详细合理的书面说明并提供相关证明材料供评标委员会评审，否则评标委员会将认定该投标人以低于成本报价竞标。</w:t>
      </w:r>
    </w:p>
    <w:p>
      <w:pPr>
        <w:spacing w:line="360" w:lineRule="auto"/>
        <w:ind w:firstLine="588" w:firstLineChars="245"/>
        <w:rPr>
          <w:rFonts w:hint="eastAsia" w:ascii="宋体" w:hAnsi="宋体" w:eastAsia="宋体" w:cs="宋体"/>
          <w:b/>
          <w:color w:val="auto"/>
          <w:sz w:val="24"/>
          <w:szCs w:val="24"/>
        </w:rPr>
      </w:pPr>
      <w:r>
        <w:rPr>
          <w:rFonts w:hint="eastAsia" w:ascii="宋体" w:hAnsi="宋体" w:eastAsia="宋体" w:cs="宋体"/>
          <w:color w:val="auto"/>
          <w:sz w:val="24"/>
          <w:szCs w:val="24"/>
        </w:rPr>
        <w:t>12.9</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4</w:t>
      </w:r>
      <w:r>
        <w:rPr>
          <w:rFonts w:hint="eastAsia" w:ascii="宋体" w:hAnsi="宋体" w:eastAsia="宋体" w:cs="宋体"/>
          <w:b/>
          <w:color w:val="auto"/>
          <w:sz w:val="24"/>
          <w:szCs w:val="24"/>
          <w:u w:val="double"/>
        </w:rPr>
        <w:t>招标人可根据本项目实际情况或相关政策变化对项目规模及内容进行调整或减少，投标人中标后不得因此调整或减少向招标人索赔，并且必须按调整或减少后的规模及内容完成工程的施工。投标人在投标报价时需综合考虑该因素并报价。</w:t>
      </w:r>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124" w:name="_Toc22354"/>
      <w:bookmarkStart w:id="125" w:name="_Toc32378"/>
      <w:bookmarkStart w:id="126" w:name="_Toc17589"/>
      <w:bookmarkStart w:id="127" w:name="_Toc39136340"/>
      <w:bookmarkStart w:id="128" w:name="_Toc29388"/>
      <w:bookmarkStart w:id="129" w:name="_Toc30257"/>
      <w:bookmarkStart w:id="130" w:name="_Toc6950"/>
      <w:r>
        <w:rPr>
          <w:rFonts w:hint="eastAsia" w:ascii="宋体" w:hAnsi="宋体" w:eastAsia="宋体" w:cs="宋体"/>
          <w:b/>
          <w:color w:val="auto"/>
          <w:kern w:val="2"/>
          <w:sz w:val="24"/>
          <w:szCs w:val="24"/>
          <w:lang w:val="en-US" w:eastAsia="zh-CN"/>
        </w:rPr>
        <w:t>13．投标文件的编制要求</w:t>
      </w:r>
      <w:bookmarkEnd w:id="124"/>
      <w:bookmarkEnd w:id="125"/>
      <w:bookmarkEnd w:id="126"/>
      <w:bookmarkEnd w:id="127"/>
      <w:bookmarkEnd w:id="128"/>
      <w:bookmarkEnd w:id="129"/>
      <w:bookmarkEnd w:id="130"/>
    </w:p>
    <w:p>
      <w:pPr>
        <w:spacing w:line="360" w:lineRule="auto"/>
        <w:ind w:firstLine="480" w:firstLineChars="200"/>
        <w:rPr>
          <w:rFonts w:hint="eastAsia" w:ascii="宋体" w:hAnsi="宋体" w:eastAsia="宋体" w:cs="宋体"/>
          <w:sz w:val="24"/>
          <w:szCs w:val="24"/>
        </w:rPr>
      </w:pPr>
      <w:bookmarkStart w:id="131" w:name="_Toc12753"/>
      <w:bookmarkStart w:id="132" w:name="_Toc553"/>
      <w:bookmarkStart w:id="133" w:name="_Toc39136341"/>
      <w:bookmarkStart w:id="134" w:name="_Toc331"/>
      <w:r>
        <w:rPr>
          <w:rFonts w:hint="eastAsia" w:ascii="宋体" w:hAnsi="宋体" w:eastAsia="宋体" w:cs="宋体"/>
          <w:sz w:val="24"/>
          <w:szCs w:val="24"/>
        </w:rPr>
        <w:t>13.1 一般要求</w:t>
      </w:r>
      <w:bookmarkEnd w:id="131"/>
      <w:bookmarkEnd w:id="132"/>
      <w:bookmarkEnd w:id="133"/>
      <w:bookmarkEnd w:id="134"/>
    </w:p>
    <w:p>
      <w:pPr>
        <w:pStyle w:val="8"/>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bookmarkStart w:id="135" w:name="_Toc9028"/>
      <w:r>
        <w:rPr>
          <w:rFonts w:hint="eastAsia" w:ascii="宋体" w:hAnsi="宋体" w:eastAsia="宋体" w:cs="宋体"/>
          <w:snapToGrid w:val="0"/>
          <w:color w:val="auto"/>
          <w:kern w:val="0"/>
          <w:sz w:val="24"/>
          <w:szCs w:val="24"/>
          <w:highlight w:val="none"/>
        </w:rPr>
        <w:t>投标文件应按第六章投标文件格式规定的内容，投标人提交的投标文件应当使用招标文件所提供的投标文件全部格式。</w:t>
      </w:r>
    </w:p>
    <w:p>
      <w:pPr>
        <w:pStyle w:val="8"/>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.1.1</w:t>
      </w:r>
      <w:r>
        <w:rPr>
          <w:rFonts w:hint="eastAsia" w:ascii="宋体" w:hAnsi="宋体" w:eastAsia="宋体" w:cs="宋体"/>
          <w:snapToGrid w:val="0"/>
          <w:color w:val="auto"/>
          <w:kern w:val="0"/>
          <w:sz w:val="24"/>
          <w:szCs w:val="24"/>
          <w:highlight w:val="none"/>
        </w:rPr>
        <w:t xml:space="preserve"> 投标人必须响应招标文件，并在充分理解招标人提供的全部文件、资料及现场条件的基础</w:t>
      </w:r>
      <w:bookmarkStart w:id="136" w:name="_Hlt78709790"/>
      <w:bookmarkEnd w:id="136"/>
      <w:r>
        <w:rPr>
          <w:rFonts w:hint="eastAsia" w:ascii="宋体" w:hAnsi="宋体" w:eastAsia="宋体" w:cs="宋体"/>
          <w:snapToGrid w:val="0"/>
          <w:color w:val="auto"/>
          <w:kern w:val="0"/>
          <w:sz w:val="24"/>
          <w:szCs w:val="24"/>
          <w:highlight w:val="none"/>
        </w:rPr>
        <w:t>上编制投标文件。因投标文件不符合招标文件的要求而造成的损失和后果，由投标人自行承担。</w:t>
      </w:r>
      <w:bookmarkStart w:id="137" w:name="_Hlt74496890"/>
      <w:bookmarkEnd w:id="137"/>
    </w:p>
    <w:p>
      <w:pPr>
        <w:pStyle w:val="8"/>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.1.2</w:t>
      </w:r>
      <w:r>
        <w:rPr>
          <w:rFonts w:hint="eastAsia" w:ascii="宋体" w:hAnsi="宋体" w:eastAsia="宋体" w:cs="宋体"/>
          <w:snapToGrid w:val="0"/>
          <w:color w:val="auto"/>
          <w:kern w:val="0"/>
          <w:sz w:val="24"/>
          <w:szCs w:val="24"/>
          <w:highlight w:val="none"/>
        </w:rPr>
        <w:t xml:space="preserve">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全国公共资源交易平台（广东省·韶关市）</w:t>
      </w:r>
      <w:r>
        <w:rPr>
          <w:rFonts w:hint="eastAsia" w:ascii="宋体" w:hAnsi="宋体" w:eastAsia="宋体" w:cs="宋体"/>
          <w:b w:val="0"/>
          <w:bCs w:val="0"/>
          <w:color w:val="auto"/>
          <w:sz w:val="24"/>
          <w:szCs w:val="24"/>
          <w:highlight w:val="none"/>
        </w:rPr>
        <w:t>（https://ygp.gdzwfw.gov.cn/ggzy-portal/#/440200/index）</w:t>
      </w:r>
      <w:r>
        <w:rPr>
          <w:rFonts w:hint="eastAsia" w:ascii="宋体" w:hAnsi="宋体" w:eastAsia="宋体" w:cs="宋体"/>
          <w:snapToGrid w:val="0"/>
          <w:color w:val="auto"/>
          <w:kern w:val="0"/>
          <w:sz w:val="24"/>
          <w:szCs w:val="24"/>
          <w:highlight w:val="none"/>
        </w:rPr>
        <w:t>指引。</w:t>
      </w:r>
    </w:p>
    <w:p>
      <w:pPr>
        <w:pStyle w:val="8"/>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.1.3</w:t>
      </w:r>
      <w:r>
        <w:rPr>
          <w:rFonts w:hint="eastAsia" w:ascii="宋体" w:hAnsi="宋体" w:eastAsia="宋体" w:cs="宋体"/>
          <w:snapToGrid w:val="0"/>
          <w:color w:val="auto"/>
          <w:kern w:val="0"/>
          <w:sz w:val="24"/>
          <w:szCs w:val="24"/>
          <w:highlight w:val="none"/>
        </w:rPr>
        <w:t xml:space="preserve"> 投标文件需按以下要求签字、盖章：</w:t>
      </w:r>
    </w:p>
    <w:p>
      <w:pPr>
        <w:pStyle w:val="8"/>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.1.3.1</w:t>
      </w:r>
      <w:r>
        <w:rPr>
          <w:rFonts w:hint="eastAsia" w:ascii="宋体" w:hAnsi="宋体" w:eastAsia="宋体" w:cs="宋体"/>
          <w:snapToGrid w:val="0"/>
          <w:color w:val="auto"/>
          <w:kern w:val="0"/>
          <w:sz w:val="24"/>
          <w:szCs w:val="24"/>
          <w:highlight w:val="none"/>
        </w:rPr>
        <w:t xml:space="preserve"> 投标文件封面、组成内容中凡注明“签字”处由要求的人员签字或电子签章；凡注明“签字或盖章”处由要求的人员签字或盖其私章（电子印章）；凡注明“签字并盖执业印章”处由要求的人员签字并盖其执业印章。</w:t>
      </w:r>
    </w:p>
    <w:p>
      <w:pPr>
        <w:pStyle w:val="8"/>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.1.3.2</w:t>
      </w:r>
      <w:r>
        <w:rPr>
          <w:rFonts w:hint="eastAsia" w:ascii="宋体" w:hAnsi="宋体" w:eastAsia="宋体" w:cs="宋体"/>
          <w:snapToGrid w:val="0"/>
          <w:color w:val="auto"/>
          <w:kern w:val="0"/>
          <w:sz w:val="24"/>
          <w:szCs w:val="24"/>
          <w:highlight w:val="none"/>
        </w:rPr>
        <w:t xml:space="preserve"> 投标文件封套、封面、组成内容中凡要求录入投标人名称且注明“盖单位章”处盖单位法人公章（电子印章）。</w:t>
      </w:r>
    </w:p>
    <w:p>
      <w:pPr>
        <w:pStyle w:val="8"/>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.1.3.3</w:t>
      </w:r>
      <w:r>
        <w:rPr>
          <w:rFonts w:hint="eastAsia" w:ascii="宋体" w:hAnsi="宋体" w:eastAsia="宋体" w:cs="宋体"/>
          <w:snapToGrid w:val="0"/>
          <w:color w:val="auto"/>
          <w:kern w:val="0"/>
          <w:sz w:val="24"/>
          <w:szCs w:val="24"/>
          <w:highlight w:val="none"/>
        </w:rPr>
        <w:t xml:space="preserve"> 投标文件的签字均为签字人本人亲笔署名或签章（电子印章），其余部分的复印件无须另行签字、盖章。</w:t>
      </w:r>
    </w:p>
    <w:p>
      <w:pPr>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.1.3.4</w:t>
      </w:r>
      <w:r>
        <w:rPr>
          <w:rFonts w:hint="eastAsia" w:ascii="宋体" w:hAnsi="宋体" w:eastAsia="宋体" w:cs="宋体"/>
          <w:snapToGrid w:val="0"/>
          <w:color w:val="auto"/>
          <w:kern w:val="0"/>
          <w:sz w:val="24"/>
          <w:szCs w:val="24"/>
          <w:highlight w:val="none"/>
        </w:rPr>
        <w:t xml:space="preserve"> 联合体投标的，除《联合体协议书》外，由联合体牵头人按以上要求签字（电子印章）、盖章（电子印章）即可。</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 xml:space="preserve">13.2 </w:t>
      </w:r>
      <w:r>
        <w:rPr>
          <w:rFonts w:hint="eastAsia" w:ascii="宋体" w:hAnsi="宋体" w:eastAsia="宋体" w:cs="宋体"/>
          <w:sz w:val="24"/>
          <w:szCs w:val="24"/>
        </w:rPr>
        <w:t>投标标书的编制要求</w:t>
      </w:r>
      <w:bookmarkEnd w:id="135"/>
    </w:p>
    <w:p>
      <w:pPr>
        <w:wordWrap w:val="0"/>
        <w:adjustRightInd w:val="0"/>
        <w:snapToGrid w:val="0"/>
        <w:spacing w:line="360" w:lineRule="auto"/>
        <w:ind w:firstLine="420"/>
        <w:rPr>
          <w:rFonts w:hint="eastAsia" w:ascii="宋体" w:hAnsi="宋体" w:eastAsia="宋体" w:cs="宋体"/>
          <w:snapToGrid w:val="0"/>
          <w:color w:val="auto"/>
          <w:kern w:val="0"/>
          <w:sz w:val="24"/>
          <w:szCs w:val="24"/>
          <w:u w:val="single"/>
        </w:rPr>
      </w:pPr>
      <w:r>
        <w:rPr>
          <w:rFonts w:hint="eastAsia" w:ascii="宋体" w:hAnsi="宋体" w:eastAsia="宋体" w:cs="宋体"/>
          <w:b/>
          <w:bCs/>
          <w:snapToGrid w:val="0"/>
          <w:color w:val="auto"/>
          <w:kern w:val="0"/>
          <w:sz w:val="24"/>
          <w:szCs w:val="24"/>
        </w:rPr>
        <w:t>13.2.1</w:t>
      </w:r>
      <w:r>
        <w:rPr>
          <w:rFonts w:hint="eastAsia" w:ascii="宋体" w:hAnsi="宋体" w:eastAsia="宋体" w:cs="宋体"/>
          <w:snapToGrid w:val="0"/>
          <w:color w:val="auto"/>
          <w:kern w:val="0"/>
          <w:sz w:val="24"/>
          <w:szCs w:val="24"/>
        </w:rPr>
        <w:t xml:space="preserve"> </w:t>
      </w:r>
      <w:r>
        <w:rPr>
          <w:rFonts w:hint="eastAsia" w:ascii="宋体" w:hAnsi="宋体" w:eastAsia="宋体" w:cs="宋体"/>
          <w:bCs/>
          <w:snapToGrid w:val="0"/>
          <w:color w:val="auto"/>
          <w:kern w:val="0"/>
          <w:sz w:val="24"/>
          <w:szCs w:val="24"/>
        </w:rPr>
        <w:t>投标标书</w:t>
      </w:r>
      <w:r>
        <w:rPr>
          <w:rFonts w:hint="eastAsia" w:ascii="宋体" w:hAnsi="宋体" w:eastAsia="宋体" w:cs="宋体"/>
          <w:snapToGrid w:val="0"/>
          <w:color w:val="auto"/>
          <w:kern w:val="0"/>
          <w:sz w:val="24"/>
          <w:szCs w:val="24"/>
        </w:rPr>
        <w:t>包括但不限于以下内容：</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（1）封面（格式一）；</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（2）目录；</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（3）《投标函》及《工程项目总价表》（格式二）；</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（4）《各项承诺一览表》（格式三）；</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（5）《授权委托书》（格式四）；</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（6）《法定代表人身份证明》（格式五）；</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（7）《联合体协议书》（格式六）及所附资料；</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8）投标保证缴纳证明（投标人采用投标保证金的，附建设工程交易系统《缴纳投标保证金通知书》页面截图和银行转账单扫描件；采用投标保证担保的，附银行保函彩色扫描件；采用投标保证保险的，附电子保单和《全国公共资源交易平台（广东省·韶关市）保证金缴纳信息》页面截图）。</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（9）《投标人基本情况表》（格式七）及所附资料；</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trike/>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（10）《项目经理简历表》（格式八）及所附资料；</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（11）《项目经理任职声明》（格式九）；</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（12）《项目技术负责人简历表》（格式十）及所附资料；</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（13）《项目设计负责人简历表》（格式十一）及所附资料；</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rPr>
      </w:pPr>
      <w:r>
        <w:rPr>
          <w:rFonts w:hint="eastAsia" w:ascii="宋体" w:hAnsi="宋体" w:eastAsia="宋体" w:cs="宋体"/>
          <w:snapToGrid w:val="0"/>
          <w:color w:val="auto"/>
          <w:kern w:val="0"/>
          <w:sz w:val="24"/>
          <w:szCs w:val="24"/>
          <w:highlight w:val="none"/>
        </w:rPr>
        <w:t>（1</w:t>
      </w:r>
      <w:r>
        <w:rPr>
          <w:rFonts w:hint="eastAsia" w:ascii="宋体" w:hAnsi="宋体" w:eastAsia="宋体" w:cs="宋体"/>
          <w:snapToGrid w:val="0"/>
          <w:color w:val="auto"/>
          <w:kern w:val="0"/>
          <w:sz w:val="24"/>
          <w:szCs w:val="24"/>
          <w:highlight w:val="none"/>
          <w:lang w:val="en-US" w:eastAsia="zh-CN"/>
        </w:rPr>
        <w:t>4</w:t>
      </w:r>
      <w:r>
        <w:rPr>
          <w:rFonts w:hint="eastAsia" w:ascii="宋体" w:hAnsi="宋体" w:eastAsia="宋体" w:cs="宋体"/>
          <w:snapToGrid w:val="0"/>
          <w:color w:val="auto"/>
          <w:kern w:val="0"/>
          <w:sz w:val="24"/>
          <w:szCs w:val="24"/>
          <w:highlight w:val="none"/>
        </w:rPr>
        <w:t>）《项目</w:t>
      </w:r>
      <w:r>
        <w:rPr>
          <w:rFonts w:hint="eastAsia" w:ascii="宋体" w:hAnsi="宋体" w:eastAsia="宋体" w:cs="宋体"/>
          <w:snapToGrid w:val="0"/>
          <w:color w:val="auto"/>
          <w:kern w:val="0"/>
          <w:sz w:val="24"/>
          <w:szCs w:val="24"/>
          <w:highlight w:val="none"/>
          <w:lang w:val="en-US" w:eastAsia="zh-CN"/>
        </w:rPr>
        <w:t>勘察</w:t>
      </w:r>
      <w:r>
        <w:rPr>
          <w:rFonts w:hint="eastAsia" w:ascii="宋体" w:hAnsi="宋体" w:eastAsia="宋体" w:cs="宋体"/>
          <w:snapToGrid w:val="0"/>
          <w:color w:val="auto"/>
          <w:kern w:val="0"/>
          <w:sz w:val="24"/>
          <w:szCs w:val="24"/>
          <w:highlight w:val="none"/>
        </w:rPr>
        <w:t>负责人简历表》（格式十</w:t>
      </w:r>
      <w:r>
        <w:rPr>
          <w:rFonts w:hint="eastAsia" w:ascii="宋体" w:hAnsi="宋体" w:eastAsia="宋体" w:cs="宋体"/>
          <w:snapToGrid w:val="0"/>
          <w:color w:val="auto"/>
          <w:kern w:val="0"/>
          <w:sz w:val="24"/>
          <w:szCs w:val="24"/>
          <w:highlight w:val="none"/>
          <w:lang w:eastAsia="zh-CN"/>
        </w:rPr>
        <w:t>二</w:t>
      </w:r>
      <w:r>
        <w:rPr>
          <w:rFonts w:hint="eastAsia" w:ascii="宋体" w:hAnsi="宋体" w:eastAsia="宋体" w:cs="宋体"/>
          <w:snapToGrid w:val="0"/>
          <w:color w:val="auto"/>
          <w:kern w:val="0"/>
          <w:sz w:val="24"/>
          <w:szCs w:val="24"/>
          <w:highlight w:val="none"/>
        </w:rPr>
        <w:t>）及所附资料；</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w:t>
      </w:r>
      <w:r>
        <w:rPr>
          <w:rFonts w:hint="eastAsia" w:ascii="宋体" w:hAnsi="宋体" w:eastAsia="宋体" w:cs="宋体"/>
          <w:snapToGrid w:val="0"/>
          <w:color w:val="auto"/>
          <w:kern w:val="0"/>
          <w:sz w:val="24"/>
          <w:szCs w:val="24"/>
          <w:highlight w:val="none"/>
          <w:lang w:val="en-US" w:eastAsia="zh-CN"/>
        </w:rPr>
        <w:t>5</w:t>
      </w:r>
      <w:r>
        <w:rPr>
          <w:rFonts w:hint="eastAsia" w:ascii="宋体" w:hAnsi="宋体" w:eastAsia="宋体" w:cs="宋体"/>
          <w:snapToGrid w:val="0"/>
          <w:color w:val="auto"/>
          <w:kern w:val="0"/>
          <w:sz w:val="24"/>
          <w:szCs w:val="24"/>
          <w:highlight w:val="none"/>
        </w:rPr>
        <w:t>）《项目管理机构组成表》（格式十</w:t>
      </w:r>
      <w:r>
        <w:rPr>
          <w:rFonts w:hint="eastAsia" w:ascii="宋体" w:hAnsi="宋体" w:eastAsia="宋体" w:cs="宋体"/>
          <w:snapToGrid w:val="0"/>
          <w:color w:val="auto"/>
          <w:kern w:val="0"/>
          <w:sz w:val="24"/>
          <w:szCs w:val="24"/>
          <w:highlight w:val="none"/>
          <w:lang w:eastAsia="zh-CN"/>
        </w:rPr>
        <w:t>三</w:t>
      </w:r>
      <w:r>
        <w:rPr>
          <w:rFonts w:hint="eastAsia" w:ascii="宋体" w:hAnsi="宋体" w:eastAsia="宋体" w:cs="宋体"/>
          <w:snapToGrid w:val="0"/>
          <w:color w:val="auto"/>
          <w:kern w:val="0"/>
          <w:sz w:val="24"/>
          <w:szCs w:val="24"/>
          <w:highlight w:val="none"/>
        </w:rPr>
        <w:t>）及所附资料；</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w:t>
      </w:r>
      <w:r>
        <w:rPr>
          <w:rFonts w:hint="eastAsia" w:ascii="宋体" w:hAnsi="宋体" w:eastAsia="宋体" w:cs="宋体"/>
          <w:snapToGrid w:val="0"/>
          <w:color w:val="auto"/>
          <w:kern w:val="0"/>
          <w:sz w:val="24"/>
          <w:szCs w:val="24"/>
          <w:highlight w:val="none"/>
          <w:lang w:val="en-US" w:eastAsia="zh-CN"/>
        </w:rPr>
        <w:t>6</w:t>
      </w:r>
      <w:r>
        <w:rPr>
          <w:rFonts w:hint="eastAsia" w:ascii="宋体" w:hAnsi="宋体" w:eastAsia="宋体" w:cs="宋体"/>
          <w:snapToGrid w:val="0"/>
          <w:color w:val="auto"/>
          <w:kern w:val="0"/>
          <w:sz w:val="24"/>
          <w:szCs w:val="24"/>
          <w:highlight w:val="none"/>
        </w:rPr>
        <w:t>）本节第1</w:t>
      </w:r>
      <w:r>
        <w:rPr>
          <w:rFonts w:hint="eastAsia" w:ascii="宋体" w:hAnsi="宋体" w:eastAsia="宋体" w:cs="宋体"/>
          <w:snapToGrid w:val="0"/>
          <w:color w:val="auto"/>
          <w:kern w:val="0"/>
          <w:sz w:val="24"/>
          <w:szCs w:val="24"/>
          <w:highlight w:val="none"/>
          <w:lang w:val="en-US" w:eastAsia="zh-CN"/>
        </w:rPr>
        <w:t>8</w:t>
      </w:r>
      <w:r>
        <w:rPr>
          <w:rFonts w:hint="eastAsia" w:ascii="宋体" w:hAnsi="宋体" w:eastAsia="宋体" w:cs="宋体"/>
          <w:snapToGrid w:val="0"/>
          <w:color w:val="auto"/>
          <w:kern w:val="0"/>
          <w:sz w:val="24"/>
          <w:szCs w:val="24"/>
          <w:highlight w:val="none"/>
        </w:rPr>
        <w:t>.5目“评标方法”要求提供的评审资料；</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Cs w:val="18"/>
        </w:rPr>
      </w:pPr>
      <w:r>
        <w:rPr>
          <w:rFonts w:hint="eastAsia" w:ascii="宋体" w:hAnsi="宋体" w:eastAsia="宋体" w:cs="宋体"/>
          <w:snapToGrid w:val="0"/>
          <w:color w:val="auto"/>
          <w:kern w:val="0"/>
          <w:sz w:val="24"/>
          <w:szCs w:val="24"/>
          <w:highlight w:val="none"/>
        </w:rPr>
        <w:t>（1</w:t>
      </w:r>
      <w:r>
        <w:rPr>
          <w:rFonts w:hint="eastAsia" w:ascii="宋体" w:hAnsi="宋体" w:eastAsia="宋体" w:cs="宋体"/>
          <w:snapToGrid w:val="0"/>
          <w:color w:val="auto"/>
          <w:kern w:val="0"/>
          <w:sz w:val="24"/>
          <w:szCs w:val="24"/>
          <w:highlight w:val="none"/>
          <w:lang w:val="en-US" w:eastAsia="zh-CN"/>
        </w:rPr>
        <w:t>7</w:t>
      </w:r>
      <w:r>
        <w:rPr>
          <w:rFonts w:hint="eastAsia" w:ascii="宋体" w:hAnsi="宋体" w:eastAsia="宋体" w:cs="宋体"/>
          <w:snapToGrid w:val="0"/>
          <w:color w:val="auto"/>
          <w:kern w:val="0"/>
          <w:sz w:val="24"/>
          <w:szCs w:val="24"/>
          <w:highlight w:val="none"/>
        </w:rPr>
        <w:t>）投标人认为有必要补充的其他资料。（例如投标人已经工商变更，但其企业资质证书、安全生产许可证或其员工执业资格注册证书上的企业名称未能在投标期间完成变更的书面说明和佐证材料；关于投标费率低于85%的书面说明和佐证材料）</w:t>
      </w:r>
    </w:p>
    <w:p>
      <w:pPr>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bookmarkStart w:id="138" w:name="_Toc3763"/>
      <w:bookmarkStart w:id="139" w:name="_Toc108609067"/>
      <w:bookmarkStart w:id="140" w:name="_Toc108609388"/>
      <w:bookmarkStart w:id="141" w:name="_Toc119670416"/>
      <w:bookmarkStart w:id="142" w:name="_Toc7583"/>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.2.2</w:t>
      </w:r>
      <w:r>
        <w:rPr>
          <w:rFonts w:hint="eastAsia" w:ascii="宋体" w:hAnsi="宋体" w:eastAsia="宋体" w:cs="宋体"/>
          <w:snapToGrid w:val="0"/>
          <w:color w:val="auto"/>
          <w:kern w:val="0"/>
          <w:sz w:val="24"/>
          <w:szCs w:val="24"/>
          <w:highlight w:val="none"/>
        </w:rPr>
        <w:t xml:space="preserve"> 本节第</w:t>
      </w: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.2.1</w:t>
      </w:r>
      <w:r>
        <w:rPr>
          <w:rFonts w:hint="eastAsia" w:ascii="宋体" w:hAnsi="宋体" w:eastAsia="宋体" w:cs="宋体"/>
          <w:snapToGrid w:val="0"/>
          <w:color w:val="auto"/>
          <w:kern w:val="0"/>
          <w:sz w:val="24"/>
          <w:szCs w:val="24"/>
          <w:highlight w:val="none"/>
        </w:rPr>
        <w:t>目中所列出的</w:t>
      </w:r>
      <w:r>
        <w:rPr>
          <w:rFonts w:hint="eastAsia" w:ascii="宋体" w:hAnsi="宋体" w:eastAsia="宋体" w:cs="宋体"/>
          <w:snapToGrid w:val="0"/>
          <w:color w:val="auto"/>
          <w:kern w:val="0"/>
          <w:sz w:val="24"/>
          <w:szCs w:val="24"/>
          <w:highlight w:val="none"/>
          <w:lang w:val="en-US" w:eastAsia="zh-CN"/>
        </w:rPr>
        <w:t>投标文件</w:t>
      </w:r>
      <w:r>
        <w:rPr>
          <w:rFonts w:hint="eastAsia" w:ascii="宋体" w:hAnsi="宋体" w:eastAsia="宋体" w:cs="宋体"/>
          <w:snapToGrid w:val="0"/>
          <w:color w:val="auto"/>
          <w:kern w:val="0"/>
          <w:sz w:val="24"/>
          <w:szCs w:val="24"/>
          <w:highlight w:val="none"/>
        </w:rPr>
        <w:t>组成内容中，第（1）至第（</w:t>
      </w:r>
      <w:r>
        <w:rPr>
          <w:rFonts w:hint="eastAsia" w:ascii="宋体" w:hAnsi="宋体" w:eastAsia="宋体" w:cs="宋体"/>
          <w:snapToGrid w:val="0"/>
          <w:color w:val="auto"/>
          <w:kern w:val="0"/>
          <w:sz w:val="24"/>
          <w:szCs w:val="24"/>
          <w:highlight w:val="none"/>
          <w:lang w:val="en-US" w:eastAsia="zh-CN"/>
        </w:rPr>
        <w:t>18</w:t>
      </w:r>
      <w:r>
        <w:rPr>
          <w:rFonts w:hint="eastAsia" w:ascii="宋体" w:hAnsi="宋体" w:eastAsia="宋体" w:cs="宋体"/>
          <w:snapToGrid w:val="0"/>
          <w:color w:val="auto"/>
          <w:kern w:val="0"/>
          <w:sz w:val="24"/>
          <w:szCs w:val="24"/>
          <w:highlight w:val="none"/>
        </w:rPr>
        <w:t>）项所有投标人均应提供</w:t>
      </w:r>
      <w:r>
        <w:rPr>
          <w:rFonts w:hint="eastAsia" w:ascii="宋体" w:hAnsi="宋体" w:eastAsia="宋体" w:cs="宋体"/>
          <w:b/>
          <w:bCs/>
          <w:snapToGrid w:val="0"/>
          <w:color w:val="auto"/>
          <w:kern w:val="0"/>
          <w:sz w:val="24"/>
          <w:szCs w:val="24"/>
          <w:highlight w:val="none"/>
        </w:rPr>
        <w:t>。</w:t>
      </w:r>
    </w:p>
    <w:p>
      <w:pPr>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.2.3</w:t>
      </w:r>
      <w:r>
        <w:rPr>
          <w:rFonts w:hint="eastAsia" w:ascii="宋体" w:hAnsi="宋体" w:eastAsia="宋体" w:cs="宋体"/>
          <w:snapToGrid w:val="0"/>
          <w:color w:val="auto"/>
          <w:kern w:val="0"/>
          <w:sz w:val="24"/>
          <w:szCs w:val="24"/>
          <w:highlight w:val="none"/>
        </w:rPr>
        <w:t xml:space="preserve"> </w:t>
      </w:r>
      <w:r>
        <w:rPr>
          <w:rFonts w:hint="eastAsia" w:ascii="宋体" w:hAnsi="宋体" w:eastAsia="宋体" w:cs="宋体"/>
          <w:color w:val="auto"/>
          <w:sz w:val="24"/>
          <w:szCs w:val="24"/>
          <w:highlight w:val="none"/>
          <w:lang w:val="en-US" w:eastAsia="zh-CN"/>
        </w:rPr>
        <w:t>投标文件</w:t>
      </w:r>
      <w:r>
        <w:rPr>
          <w:rFonts w:hint="eastAsia" w:ascii="宋体" w:hAnsi="宋体" w:eastAsia="宋体" w:cs="宋体"/>
          <w:snapToGrid w:val="0"/>
          <w:color w:val="auto"/>
          <w:kern w:val="0"/>
          <w:sz w:val="24"/>
          <w:szCs w:val="24"/>
          <w:highlight w:val="none"/>
        </w:rPr>
        <w:t>的组成内容按本节第</w:t>
      </w: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w:t>
      </w:r>
      <w:r>
        <w:rPr>
          <w:rFonts w:hint="eastAsia" w:ascii="宋体" w:hAnsi="宋体" w:eastAsia="宋体" w:cs="宋体"/>
          <w:b/>
          <w:bCs/>
          <w:snapToGrid w:val="0"/>
          <w:color w:val="auto"/>
          <w:kern w:val="0"/>
          <w:sz w:val="24"/>
          <w:szCs w:val="24"/>
          <w:highlight w:val="none"/>
          <w:lang w:val="en-US" w:eastAsia="zh-CN"/>
        </w:rPr>
        <w:t>2</w:t>
      </w:r>
      <w:r>
        <w:rPr>
          <w:rFonts w:hint="eastAsia" w:ascii="宋体" w:hAnsi="宋体" w:eastAsia="宋体" w:cs="宋体"/>
          <w:b/>
          <w:bCs/>
          <w:snapToGrid w:val="0"/>
          <w:color w:val="auto"/>
          <w:kern w:val="0"/>
          <w:sz w:val="24"/>
          <w:szCs w:val="24"/>
          <w:highlight w:val="none"/>
        </w:rPr>
        <w:t>.1</w:t>
      </w:r>
      <w:r>
        <w:rPr>
          <w:rFonts w:hint="eastAsia" w:ascii="宋体" w:hAnsi="宋体" w:eastAsia="宋体" w:cs="宋体"/>
          <w:snapToGrid w:val="0"/>
          <w:color w:val="auto"/>
          <w:kern w:val="0"/>
          <w:sz w:val="24"/>
          <w:szCs w:val="24"/>
          <w:highlight w:val="none"/>
        </w:rPr>
        <w:t>目规定的顺序整理、编排后，逐页（页码起始从封面开始）连续标记页码”。</w:t>
      </w:r>
    </w:p>
    <w:p>
      <w:pPr>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3</w:t>
      </w:r>
      <w:r>
        <w:rPr>
          <w:rFonts w:hint="eastAsia" w:ascii="宋体" w:hAnsi="宋体" w:eastAsia="宋体" w:cs="宋体"/>
          <w:b/>
          <w:bCs/>
          <w:snapToGrid w:val="0"/>
          <w:color w:val="auto"/>
          <w:kern w:val="0"/>
          <w:sz w:val="24"/>
          <w:szCs w:val="24"/>
          <w:highlight w:val="none"/>
        </w:rPr>
        <w:t>.2.4</w:t>
      </w:r>
      <w:r>
        <w:rPr>
          <w:rFonts w:hint="eastAsia" w:ascii="宋体" w:hAnsi="宋体" w:eastAsia="宋体" w:cs="宋体"/>
          <w:snapToGrid w:val="0"/>
          <w:color w:val="auto"/>
          <w:kern w:val="0"/>
          <w:sz w:val="24"/>
          <w:szCs w:val="24"/>
          <w:highlight w:val="none"/>
        </w:rPr>
        <w:t xml:space="preserve"> </w:t>
      </w:r>
      <w:r>
        <w:rPr>
          <w:rFonts w:hint="eastAsia" w:ascii="宋体" w:hAnsi="宋体" w:eastAsia="宋体" w:cs="宋体"/>
          <w:bCs/>
          <w:snapToGrid w:val="0"/>
          <w:color w:val="auto"/>
          <w:kern w:val="0"/>
          <w:sz w:val="24"/>
          <w:szCs w:val="24"/>
          <w:highlight w:val="none"/>
          <w:lang w:eastAsia="zh-CN"/>
        </w:rPr>
        <w:t>投标文件</w:t>
      </w:r>
      <w:r>
        <w:rPr>
          <w:rFonts w:hint="eastAsia" w:ascii="宋体" w:hAnsi="宋体" w:eastAsia="宋体" w:cs="宋体"/>
          <w:snapToGrid w:val="0"/>
          <w:color w:val="auto"/>
          <w:kern w:val="0"/>
          <w:sz w:val="24"/>
          <w:szCs w:val="24"/>
          <w:highlight w:val="none"/>
        </w:rPr>
        <w:t>应尽量避免手工涂改、行间插字或删除。如果出现上述情况，改动之处应加盖单位章或由投标人的法定代表人或其委托代理人签字确认。</w:t>
      </w:r>
    </w:p>
    <w:p>
      <w:pPr>
        <w:pageBreakBefore w:val="0"/>
        <w:kinsoku/>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rPr>
        <w:t>注：1、</w:t>
      </w:r>
      <w:r>
        <w:rPr>
          <w:rFonts w:hint="eastAsia" w:ascii="宋体" w:hAnsi="宋体" w:eastAsia="宋体" w:cs="宋体"/>
          <w:b/>
          <w:color w:val="auto"/>
          <w:sz w:val="24"/>
          <w:szCs w:val="24"/>
          <w:highlight w:val="none"/>
          <w:u w:val="single"/>
        </w:rPr>
        <w:t>本次招标投标时不要求编制施工组织设计。中标人中标后先按有关规定及要求提供施工图设计成果，然后依据审图合格后的设计施工图编写施工组织设计，报有关部门审查批准后方可实施。中标人须向招标人提交经批准后的施工组织设计。</w:t>
      </w:r>
    </w:p>
    <w:p>
      <w:pPr>
        <w:pageBreakBefore w:val="0"/>
        <w:numPr>
          <w:ilvl w:val="0"/>
          <w:numId w:val="0"/>
        </w:numPr>
        <w:kinsoku/>
        <w:overflowPunct/>
        <w:topLinePunct w:val="0"/>
        <w:bidi w:val="0"/>
        <w:spacing w:line="360" w:lineRule="auto"/>
        <w:ind w:left="0" w:leftChars="0"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kern w:val="2"/>
          <w:sz w:val="24"/>
          <w:szCs w:val="24"/>
          <w:highlight w:val="none"/>
          <w:lang w:val="en-US" w:eastAsia="zh-CN" w:bidi="ar-SA"/>
        </w:rPr>
        <w:t>2、</w:t>
      </w:r>
      <w:r>
        <w:rPr>
          <w:rFonts w:hint="eastAsia" w:ascii="宋体" w:hAnsi="宋体" w:eastAsia="宋体" w:cs="宋体"/>
          <w:b/>
          <w:color w:val="auto"/>
          <w:sz w:val="24"/>
          <w:szCs w:val="24"/>
          <w:highlight w:val="none"/>
          <w:u w:val="single"/>
        </w:rPr>
        <w:t>本次招标投标时不要求编制工程量清单计价模式的投标价。中标人中标后依据审查合格后的设计施工图编制施工图预算。中标人须向招标人提供一式八份完整的预算资料（含工程量计算表、施工图预算书及电子版）。</w:t>
      </w:r>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143" w:name="_Toc18679"/>
      <w:bookmarkStart w:id="144" w:name="_Toc9307"/>
      <w:r>
        <w:rPr>
          <w:rFonts w:hint="eastAsia" w:ascii="宋体" w:hAnsi="宋体" w:eastAsia="宋体" w:cs="宋体"/>
          <w:b/>
          <w:color w:val="auto"/>
          <w:kern w:val="2"/>
          <w:sz w:val="24"/>
          <w:szCs w:val="24"/>
          <w:lang w:val="en-US" w:eastAsia="zh-CN"/>
        </w:rPr>
        <w:t>14．</w:t>
      </w:r>
      <w:bookmarkEnd w:id="138"/>
      <w:r>
        <w:rPr>
          <w:rFonts w:hint="eastAsia" w:ascii="宋体" w:hAnsi="宋体" w:eastAsia="宋体" w:cs="宋体"/>
          <w:b/>
          <w:color w:val="auto"/>
          <w:kern w:val="2"/>
          <w:sz w:val="24"/>
          <w:szCs w:val="24"/>
          <w:lang w:val="en-US" w:eastAsia="zh-CN"/>
        </w:rPr>
        <w:t>电子投标</w:t>
      </w:r>
      <w:bookmarkEnd w:id="139"/>
      <w:bookmarkEnd w:id="140"/>
      <w:bookmarkEnd w:id="141"/>
      <w:bookmarkEnd w:id="143"/>
      <w:bookmarkEnd w:id="144"/>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bookmarkStart w:id="145" w:name="_Hlt66200498"/>
      <w:bookmarkEnd w:id="145"/>
      <w:bookmarkStart w:id="146" w:name="_Hlt66511038"/>
      <w:bookmarkEnd w:id="146"/>
      <w:bookmarkStart w:id="147" w:name="_Toc30192"/>
      <w:bookmarkStart w:id="148" w:name="_Toc15034"/>
      <w:bookmarkStart w:id="149" w:name="_Toc108609389"/>
      <w:bookmarkStart w:id="150" w:name="_Toc108609068"/>
      <w:bookmarkStart w:id="151" w:name="_Toc119670417"/>
      <w:r>
        <w:rPr>
          <w:rFonts w:hint="eastAsia" w:ascii="宋体" w:hAnsi="宋体" w:eastAsia="宋体" w:cs="宋体"/>
          <w:snapToGrid w:val="0"/>
          <w:color w:val="auto"/>
          <w:kern w:val="0"/>
          <w:sz w:val="24"/>
          <w:szCs w:val="24"/>
          <w:highlight w:val="none"/>
        </w:rPr>
        <w:t>1</w:t>
      </w:r>
      <w:r>
        <w:rPr>
          <w:rFonts w:hint="eastAsia" w:ascii="宋体" w:hAnsi="宋体" w:eastAsia="宋体" w:cs="宋体"/>
          <w:snapToGrid w:val="0"/>
          <w:color w:val="auto"/>
          <w:kern w:val="0"/>
          <w:sz w:val="24"/>
          <w:szCs w:val="24"/>
          <w:highlight w:val="none"/>
          <w:lang w:val="en-US" w:eastAsia="zh-CN"/>
        </w:rPr>
        <w:t>4</w:t>
      </w:r>
      <w:r>
        <w:rPr>
          <w:rFonts w:hint="eastAsia" w:ascii="宋体" w:hAnsi="宋体" w:eastAsia="宋体" w:cs="宋体"/>
          <w:snapToGrid w:val="0"/>
          <w:color w:val="auto"/>
          <w:kern w:val="0"/>
          <w:sz w:val="24"/>
          <w:szCs w:val="24"/>
          <w:highlight w:val="none"/>
        </w:rPr>
        <w:t>.1在建设工程交易系统上传加盖了电子印章的投标文件、录入相关信息及标书页码信息，（页码起始从封面开始）并提交投标标书。提交标书为已加密投标文件。具体操作参照在建设工程交易系统上传加盖了电子印章的投标文件、录入相关信息及标书页码信息，（页码起始从封面开始）并提交投标标书。提交标书为已加密投标文件。具体操作参照全国公共资源交易平台（广东省·韶关市）（https://ygp.gdzwfw.gov.cn/ggzy-portal/#/440200/index），在【服务指引】栏目中发布的最新操作指引。本项目评标采用全流程电子化进行招标投标（投标人应根据全国公共资源交易平台（广东省·韶关市）交易平台进行编辑投标相关内容、按招标文件电子投标要求上传已加盖电子印章投标文件，否则将自行承担不利后果）。投标文件完成上传后，投标人应使用 CA 数字证书对投标文件进行文件加密，形成加密的投标文件并提交标书。</w:t>
      </w:r>
      <w:bookmarkEnd w:id="147"/>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bookmarkStart w:id="152" w:name="_Toc24796"/>
      <w:r>
        <w:rPr>
          <w:rFonts w:hint="eastAsia" w:ascii="宋体" w:hAnsi="宋体" w:eastAsia="宋体" w:cs="宋体"/>
          <w:snapToGrid w:val="0"/>
          <w:color w:val="auto"/>
          <w:kern w:val="0"/>
          <w:sz w:val="24"/>
          <w:szCs w:val="24"/>
          <w:highlight w:val="none"/>
        </w:rPr>
        <w:t>1</w:t>
      </w:r>
      <w:r>
        <w:rPr>
          <w:rFonts w:hint="eastAsia" w:ascii="宋体" w:hAnsi="宋体" w:eastAsia="宋体" w:cs="宋体"/>
          <w:snapToGrid w:val="0"/>
          <w:color w:val="auto"/>
          <w:kern w:val="0"/>
          <w:sz w:val="24"/>
          <w:szCs w:val="24"/>
          <w:highlight w:val="none"/>
          <w:lang w:val="en-US" w:eastAsia="zh-CN"/>
        </w:rPr>
        <w:t>4</w:t>
      </w:r>
      <w:r>
        <w:rPr>
          <w:rFonts w:hint="eastAsia" w:ascii="宋体" w:hAnsi="宋体" w:eastAsia="宋体" w:cs="宋体"/>
          <w:snapToGrid w:val="0"/>
          <w:color w:val="auto"/>
          <w:kern w:val="0"/>
          <w:sz w:val="24"/>
          <w:szCs w:val="24"/>
          <w:highlight w:val="none"/>
        </w:rPr>
        <w:t>.2电子投标文件的修改、撤回：在提交投标文件截止时间前，投标人可以修改或撤回未解密的电子投标文件，并于提交投标文件截止时间前将重新上传修改后的电子投标文件至系统，到达投标文件提交截止时间后投标人不得撤回、补充、修改和更换投标文件。</w:t>
      </w:r>
      <w:bookmarkEnd w:id="152"/>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153" w:name="_Toc28369"/>
      <w:bookmarkStart w:id="154" w:name="_Toc23613"/>
      <w:r>
        <w:rPr>
          <w:rFonts w:hint="eastAsia" w:ascii="宋体" w:hAnsi="宋体" w:eastAsia="宋体" w:cs="宋体"/>
          <w:b/>
          <w:color w:val="auto"/>
          <w:kern w:val="2"/>
          <w:sz w:val="24"/>
          <w:szCs w:val="24"/>
          <w:lang w:val="en-US" w:eastAsia="zh-CN"/>
        </w:rPr>
        <w:t>15．</w:t>
      </w:r>
      <w:bookmarkEnd w:id="148"/>
      <w:r>
        <w:rPr>
          <w:rFonts w:hint="eastAsia" w:ascii="宋体" w:hAnsi="宋体" w:eastAsia="宋体" w:cs="宋体"/>
          <w:b/>
          <w:color w:val="auto"/>
          <w:kern w:val="2"/>
          <w:sz w:val="24"/>
          <w:szCs w:val="24"/>
          <w:lang w:val="en-US" w:eastAsia="zh-CN"/>
        </w:rPr>
        <w:t>电子投标及投标解密失败及突发情况的补救方案</w:t>
      </w:r>
      <w:bookmarkEnd w:id="149"/>
      <w:bookmarkEnd w:id="150"/>
      <w:bookmarkEnd w:id="151"/>
      <w:bookmarkEnd w:id="153"/>
      <w:bookmarkEnd w:id="154"/>
    </w:p>
    <w:p>
      <w:pPr>
        <w:pStyle w:val="20"/>
        <w:pageBreakBefore w:val="0"/>
        <w:kinsoku/>
        <w:overflowPunct/>
        <w:topLinePunct w:val="0"/>
        <w:bidi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bookmarkStart w:id="155" w:name="_Toc119670418"/>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.1按照交易平台关于全流程电子化项目的相关指南进行操作。详见：全国公共资源交易平台（广东省·韶关市）（https://ygp.gdzwfw.gov.cn/ggzy-portal/#/440200/index）</w:t>
      </w:r>
      <w:r>
        <w:rPr>
          <w:rFonts w:hint="eastAsia" w:ascii="宋体" w:hAnsi="宋体" w:eastAsia="宋体" w:cs="宋体"/>
          <w:snapToGrid w:val="0"/>
          <w:color w:val="auto"/>
          <w:kern w:val="0"/>
          <w:sz w:val="24"/>
          <w:szCs w:val="24"/>
        </w:rPr>
        <w:t>交易指引栏目发布的最新版操作指引</w:t>
      </w:r>
      <w:r>
        <w:rPr>
          <w:rFonts w:hint="eastAsia" w:ascii="宋体" w:hAnsi="宋体" w:eastAsia="宋体" w:cs="宋体"/>
          <w:snapToGrid w:val="0"/>
          <w:color w:val="auto"/>
          <w:kern w:val="0"/>
          <w:sz w:val="24"/>
          <w:szCs w:val="24"/>
          <w:lang w:eastAsia="zh-CN"/>
        </w:rPr>
        <w:t>。</w:t>
      </w:r>
    </w:p>
    <w:p>
      <w:pPr>
        <w:pStyle w:val="20"/>
        <w:pageBreakBefore w:val="0"/>
        <w:kinsoku/>
        <w:overflowPunct/>
        <w:topLinePunct w:val="0"/>
        <w:bidi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.2补救方案</w:t>
      </w:r>
    </w:p>
    <w:p>
      <w:pPr>
        <w:pStyle w:val="20"/>
        <w:pageBreakBefore w:val="0"/>
        <w:kinsoku/>
        <w:overflowPunct/>
        <w:topLinePunct w:val="0"/>
        <w:bidi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投标文件解密失败的补救方案：在规定时间内，因投标人之外原因(指网络瘫痪、服务器损坏、交易系统故障短期无法恢复)等导致的电子投标文件解密失败，在开标现场解密环节由代理授权后，解密失败投标人可在建设工程交易系统在规定时间（代理机构授权后30分钟内）内重新提交投标文件继续开标程序。</w:t>
      </w:r>
    </w:p>
    <w:p>
      <w:pPr>
        <w:pStyle w:val="20"/>
        <w:pageBreakBefore w:val="0"/>
        <w:kinsoku/>
        <w:overflowPunct/>
        <w:topLinePunct w:val="0"/>
        <w:bidi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在评标过程中，因网络故障、电子设备或者评标系统故障，以及其他原因导致无法继续进行评标时，在4小时以内解除故障的可继续评标；超过4小时无法解除故障的，由招标人确定是否进行评标。如延期评标，招标人及参与评标活动的各方主体及其有关工作人员应当配合主场、副场做好招投标资料的封存和保密工作，另行组建评标委员会重新评标。原评标委员会成员应当对评标情况保密，不得对外透露与评标有关的任何信息与情况。</w:t>
      </w:r>
    </w:p>
    <w:p>
      <w:pPr>
        <w:pStyle w:val="20"/>
        <w:pageBreakBefore w:val="0"/>
        <w:kinsoku/>
        <w:overflowPunct/>
        <w:topLinePunct w:val="0"/>
        <w:bidi w:val="0"/>
        <w:spacing w:line="360" w:lineRule="auto"/>
        <w:ind w:firstLine="480" w:firstLineChars="200"/>
        <w:textAlignment w:val="auto"/>
        <w:rPr>
          <w:rFonts w:hint="eastAsia" w:ascii="宋体" w:hAnsi="宋体" w:eastAsia="宋体" w:cs="宋体"/>
          <w:b w:val="0"/>
          <w:bCs w:val="0"/>
          <w:color w:val="auto"/>
          <w:sz w:val="24"/>
          <w:szCs w:val="24"/>
          <w:highlight w:val="none"/>
        </w:rPr>
      </w:pPr>
      <w:bookmarkStart w:id="156" w:name="_Toc16537"/>
      <w:r>
        <w:rPr>
          <w:rFonts w:hint="eastAsia" w:ascii="宋体" w:hAnsi="宋体" w:eastAsia="宋体" w:cs="宋体"/>
          <w:b w:val="0"/>
          <w:bCs w:val="0"/>
          <w:color w:val="auto"/>
          <w:sz w:val="24"/>
          <w:szCs w:val="24"/>
          <w:highlight w:val="none"/>
        </w:rPr>
        <w:t>（3）除发生上述情况外，开标评标均以投标人通过交易平台网上提交的电子投标文件为准。</w:t>
      </w:r>
      <w:bookmarkEnd w:id="156"/>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157" w:name="_Toc13376"/>
      <w:bookmarkStart w:id="158" w:name="_Toc12090"/>
      <w:r>
        <w:rPr>
          <w:rFonts w:hint="eastAsia" w:ascii="宋体" w:hAnsi="宋体" w:eastAsia="宋体" w:cs="宋体"/>
          <w:b/>
          <w:color w:val="auto"/>
          <w:kern w:val="2"/>
          <w:sz w:val="24"/>
          <w:szCs w:val="24"/>
          <w:lang w:val="en-US" w:eastAsia="zh-CN"/>
        </w:rPr>
        <w:t>16．投标文件的递交</w:t>
      </w:r>
      <w:bookmarkEnd w:id="155"/>
      <w:bookmarkEnd w:id="157"/>
      <w:bookmarkEnd w:id="158"/>
    </w:p>
    <w:p>
      <w:pPr>
        <w:pageBreakBefore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color w:val="auto"/>
          <w:sz w:val="24"/>
          <w:szCs w:val="24"/>
          <w:highlight w:val="none"/>
        </w:rPr>
      </w:pPr>
      <w:bookmarkStart w:id="159" w:name="_Toc17341"/>
      <w:bookmarkStart w:id="160" w:name="_Toc119670419"/>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.1投标人必须在规定的截止时间前使用交易系统完成获取招标文件、缴纳投标保证和全流程电子投标，只有满足以上所有条件，方为有效投标。</w:t>
      </w:r>
      <w:bookmarkEnd w:id="159"/>
    </w:p>
    <w:p>
      <w:pPr>
        <w:pageBreakBefore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color w:val="auto"/>
          <w:sz w:val="24"/>
          <w:szCs w:val="24"/>
          <w:highlight w:val="none"/>
        </w:rPr>
      </w:pPr>
      <w:bookmarkStart w:id="161" w:name="_Toc26730"/>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代理机构对因不可抗力事件造成的投标文件的损坏、丢失的，不承担责任。</w:t>
      </w:r>
      <w:bookmarkEnd w:id="161"/>
    </w:p>
    <w:p>
      <w:pPr>
        <w:pageBreakBefore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color w:val="auto"/>
          <w:sz w:val="24"/>
          <w:szCs w:val="24"/>
          <w:highlight w:val="none"/>
        </w:rPr>
      </w:pPr>
      <w:bookmarkStart w:id="162" w:name="_Toc4065"/>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出现下述情形之一，属于未成功提交投标文件，按无效投标处理：</w:t>
      </w:r>
      <w:bookmarkEnd w:id="162"/>
    </w:p>
    <w:p>
      <w:pPr>
        <w:pageBreakBefore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color w:val="auto"/>
          <w:sz w:val="24"/>
          <w:szCs w:val="24"/>
          <w:highlight w:val="none"/>
        </w:rPr>
      </w:pPr>
      <w:bookmarkStart w:id="163" w:name="_Toc3699"/>
      <w:r>
        <w:rPr>
          <w:rFonts w:hint="eastAsia" w:ascii="宋体" w:hAnsi="宋体" w:eastAsia="宋体" w:cs="宋体"/>
          <w:b w:val="0"/>
          <w:bCs/>
          <w:color w:val="auto"/>
          <w:sz w:val="24"/>
          <w:szCs w:val="24"/>
          <w:highlight w:val="none"/>
        </w:rPr>
        <w:t>（1）至提交投标文件截止时，投标文件未完整上传或未提交投标。</w:t>
      </w:r>
      <w:bookmarkEnd w:id="163"/>
    </w:p>
    <w:p>
      <w:pPr>
        <w:pageBreakBefore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color w:val="auto"/>
          <w:sz w:val="24"/>
          <w:szCs w:val="24"/>
          <w:highlight w:val="none"/>
        </w:rPr>
      </w:pPr>
      <w:bookmarkStart w:id="164" w:name="_Toc29774"/>
      <w:r>
        <w:rPr>
          <w:rFonts w:hint="eastAsia" w:ascii="宋体" w:hAnsi="宋体" w:eastAsia="宋体" w:cs="宋体"/>
          <w:b w:val="0"/>
          <w:bCs/>
          <w:color w:val="auto"/>
          <w:sz w:val="24"/>
          <w:szCs w:val="24"/>
          <w:highlight w:val="none"/>
        </w:rPr>
        <w:t>（2）因投标人原因导致电子投标文件解密失败且未在规定的时限内按要求成功上传电子投标文件的。</w:t>
      </w:r>
      <w:bookmarkEnd w:id="164"/>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165" w:name="_Toc19056"/>
      <w:bookmarkStart w:id="166" w:name="_Toc29350"/>
      <w:r>
        <w:rPr>
          <w:rFonts w:hint="eastAsia" w:ascii="宋体" w:hAnsi="宋体" w:eastAsia="宋体" w:cs="宋体"/>
          <w:b/>
          <w:color w:val="auto"/>
          <w:kern w:val="2"/>
          <w:sz w:val="24"/>
          <w:szCs w:val="24"/>
          <w:lang w:val="en-US" w:eastAsia="zh-CN"/>
        </w:rPr>
        <w:t>17．开标</w:t>
      </w:r>
      <w:bookmarkEnd w:id="160"/>
      <w:bookmarkEnd w:id="165"/>
      <w:bookmarkEnd w:id="166"/>
    </w:p>
    <w:bookmarkEnd w:id="142"/>
    <w:p>
      <w:pPr>
        <w:pStyle w:val="21"/>
        <w:pageBreakBefore w:val="0"/>
        <w:kinsoku/>
        <w:wordWrap w:val="0"/>
        <w:overflowPunct/>
        <w:topLinePunct w:val="0"/>
        <w:bidi w:val="0"/>
        <w:adjustRightInd w:val="0"/>
        <w:snapToGrid w:val="0"/>
        <w:spacing w:line="360" w:lineRule="auto"/>
        <w:ind w:firstLine="482" w:firstLineChars="200"/>
        <w:jc w:val="left"/>
        <w:textAlignment w:val="auto"/>
        <w:rPr>
          <w:rFonts w:hint="eastAsia" w:ascii="宋体" w:hAnsi="宋体" w:eastAsia="宋体" w:cs="宋体"/>
          <w:snapToGrid w:val="0"/>
          <w:color w:val="auto"/>
          <w:kern w:val="0"/>
          <w:sz w:val="24"/>
          <w:szCs w:val="24"/>
          <w:highlight w:val="none"/>
        </w:rPr>
      </w:pPr>
      <w:bookmarkStart w:id="167" w:name="_Toc7210"/>
      <w:bookmarkStart w:id="168" w:name="_Toc32344"/>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7</w:t>
      </w:r>
      <w:r>
        <w:rPr>
          <w:rFonts w:hint="eastAsia" w:ascii="宋体" w:hAnsi="宋体" w:eastAsia="宋体" w:cs="宋体"/>
          <w:b/>
          <w:bCs/>
          <w:snapToGrid w:val="0"/>
          <w:color w:val="auto"/>
          <w:kern w:val="0"/>
          <w:sz w:val="24"/>
          <w:szCs w:val="24"/>
          <w:highlight w:val="none"/>
        </w:rPr>
        <w:t>.1</w:t>
      </w:r>
      <w:r>
        <w:rPr>
          <w:rFonts w:hint="eastAsia" w:ascii="宋体" w:hAnsi="宋体" w:eastAsia="宋体" w:cs="宋体"/>
          <w:snapToGrid w:val="0"/>
          <w:color w:val="auto"/>
          <w:kern w:val="0"/>
          <w:sz w:val="24"/>
          <w:szCs w:val="24"/>
          <w:highlight w:val="none"/>
        </w:rPr>
        <w:t xml:space="preserve"> 招标人邀请所有正确完成了</w:t>
      </w:r>
      <w:r>
        <w:rPr>
          <w:rFonts w:hint="eastAsia" w:ascii="宋体" w:hAnsi="宋体" w:eastAsia="宋体" w:cs="宋体"/>
          <w:snapToGrid w:val="0"/>
          <w:color w:val="auto"/>
          <w:kern w:val="0"/>
          <w:sz w:val="24"/>
          <w:szCs w:val="24"/>
          <w:highlight w:val="none"/>
          <w:lang w:eastAsia="zh-CN"/>
        </w:rPr>
        <w:t>获取招标文件</w:t>
      </w:r>
      <w:r>
        <w:rPr>
          <w:rFonts w:hint="eastAsia" w:ascii="宋体" w:hAnsi="宋体" w:eastAsia="宋体" w:cs="宋体"/>
          <w:snapToGrid w:val="0"/>
          <w:color w:val="auto"/>
          <w:kern w:val="0"/>
          <w:sz w:val="24"/>
          <w:szCs w:val="24"/>
          <w:highlight w:val="none"/>
        </w:rPr>
        <w:t>、电子投标、缴纳投标保证的投标人参加开标，投标人可自主决定是否参加。投标人可登陆交易平台观看开标实况、提出异议或进行澄清、确认等操作（具体按招标文件和系统操作手册为准）。投标人不参加开标的，视其默认开标结果，以及放弃在开标期间见证、监督、投诉、申辩的权利。</w:t>
      </w:r>
    </w:p>
    <w:p>
      <w:pPr>
        <w:pStyle w:val="21"/>
        <w:pageBreakBefore w:val="0"/>
        <w:kinsoku/>
        <w:wordWrap w:val="0"/>
        <w:overflowPunct/>
        <w:topLinePunct w:val="0"/>
        <w:bidi w:val="0"/>
        <w:adjustRightInd w:val="0"/>
        <w:snapToGrid w:val="0"/>
        <w:spacing w:line="360" w:lineRule="auto"/>
        <w:ind w:firstLine="482" w:firstLineChars="200"/>
        <w:jc w:val="left"/>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7</w:t>
      </w:r>
      <w:r>
        <w:rPr>
          <w:rFonts w:hint="eastAsia" w:ascii="宋体" w:hAnsi="宋体" w:eastAsia="宋体" w:cs="宋体"/>
          <w:b/>
          <w:bCs/>
          <w:snapToGrid w:val="0"/>
          <w:color w:val="auto"/>
          <w:kern w:val="0"/>
          <w:sz w:val="24"/>
          <w:szCs w:val="24"/>
          <w:highlight w:val="none"/>
        </w:rPr>
        <w:t>.1.1</w:t>
      </w:r>
      <w:r>
        <w:rPr>
          <w:rFonts w:hint="eastAsia" w:ascii="宋体" w:hAnsi="宋体" w:eastAsia="宋体" w:cs="宋体"/>
          <w:snapToGrid w:val="0"/>
          <w:color w:val="auto"/>
          <w:kern w:val="0"/>
          <w:sz w:val="24"/>
          <w:szCs w:val="24"/>
          <w:highlight w:val="none"/>
        </w:rPr>
        <w:t xml:space="preserve"> 开标时间和地点：见本章第二节“重要事项时间地点一览表”。</w:t>
      </w:r>
    </w:p>
    <w:p>
      <w:pPr>
        <w:pStyle w:val="21"/>
        <w:pageBreakBefore w:val="0"/>
        <w:kinsoku/>
        <w:wordWrap w:val="0"/>
        <w:overflowPunct/>
        <w:topLinePunct w:val="0"/>
        <w:bidi w:val="0"/>
        <w:adjustRightInd w:val="0"/>
        <w:snapToGrid w:val="0"/>
        <w:spacing w:line="360" w:lineRule="auto"/>
        <w:ind w:firstLine="482" w:firstLineChars="200"/>
        <w:jc w:val="left"/>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7</w:t>
      </w:r>
      <w:r>
        <w:rPr>
          <w:rFonts w:hint="eastAsia" w:ascii="宋体" w:hAnsi="宋体" w:eastAsia="宋体" w:cs="宋体"/>
          <w:b/>
          <w:bCs/>
          <w:snapToGrid w:val="0"/>
          <w:color w:val="auto"/>
          <w:kern w:val="0"/>
          <w:sz w:val="24"/>
          <w:szCs w:val="24"/>
          <w:highlight w:val="none"/>
        </w:rPr>
        <w:t>.1.2</w:t>
      </w:r>
      <w:r>
        <w:rPr>
          <w:rFonts w:hint="eastAsia" w:ascii="宋体" w:hAnsi="宋体" w:eastAsia="宋体" w:cs="宋体"/>
          <w:snapToGrid w:val="0"/>
          <w:color w:val="auto"/>
          <w:kern w:val="0"/>
          <w:sz w:val="24"/>
          <w:szCs w:val="24"/>
          <w:highlight w:val="none"/>
        </w:rPr>
        <w:t xml:space="preserve"> 开标前24小时，若建设工程交易系统显示缴纳投标保证（包括投标保证金、投标保证担保）的投标人数量不足3个时，招标人将取消原定于次日召开的开标活动。投标人可在投标保证缴纳截止时间（见本章第二节“重要事项时间地点一览表”）至电子投标截止时间（见本章第二节“重要事项时间地点一览表”）期间登录</w:t>
      </w:r>
      <w:r>
        <w:rPr>
          <w:rFonts w:hint="eastAsia" w:ascii="宋体" w:hAnsi="宋体" w:eastAsia="宋体" w:cs="宋体"/>
          <w:snapToGrid w:val="0"/>
          <w:color w:val="auto"/>
          <w:kern w:val="0"/>
          <w:sz w:val="24"/>
          <w:szCs w:val="24"/>
          <w:highlight w:val="none"/>
          <w:lang w:eastAsia="zh-CN"/>
        </w:rPr>
        <w:t>全国公共资源交易平台（广东省·韶关市）（https://ygp.gdzwfw.gov.cn/ggzy-portal/#/440200/index）</w:t>
      </w:r>
      <w:r>
        <w:rPr>
          <w:rFonts w:hint="eastAsia" w:ascii="宋体" w:hAnsi="宋体" w:eastAsia="宋体" w:cs="宋体"/>
          <w:snapToGrid w:val="0"/>
          <w:color w:val="auto"/>
          <w:kern w:val="0"/>
          <w:sz w:val="24"/>
          <w:szCs w:val="24"/>
          <w:highlight w:val="none"/>
        </w:rPr>
        <w:t>查询是否发布了取消开标活动的相关信息。</w:t>
      </w:r>
    </w:p>
    <w:p>
      <w:pPr>
        <w:pStyle w:val="21"/>
        <w:pageBreakBefore w:val="0"/>
        <w:kinsoku/>
        <w:wordWrap w:val="0"/>
        <w:overflowPunct/>
        <w:topLinePunct w:val="0"/>
        <w:bidi w:val="0"/>
        <w:adjustRightInd w:val="0"/>
        <w:snapToGrid w:val="0"/>
        <w:spacing w:line="360" w:lineRule="auto"/>
        <w:ind w:firstLine="482" w:firstLineChars="200"/>
        <w:jc w:val="left"/>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lang w:val="en-US" w:eastAsia="zh-CN"/>
        </w:rPr>
        <w:t>17.1.3</w:t>
      </w:r>
      <w:r>
        <w:rPr>
          <w:rFonts w:hint="eastAsia" w:ascii="宋体" w:hAnsi="宋体" w:eastAsia="宋体" w:cs="宋体"/>
          <w:snapToGrid w:val="0"/>
          <w:color w:val="auto"/>
          <w:kern w:val="0"/>
          <w:sz w:val="24"/>
          <w:szCs w:val="24"/>
          <w:highlight w:val="none"/>
        </w:rPr>
        <w:t>本项目实行全流程电子化招标投标，</w:t>
      </w:r>
      <w:r>
        <w:rPr>
          <w:rFonts w:hint="eastAsia" w:ascii="宋体" w:hAnsi="宋体" w:eastAsia="宋体" w:cs="宋体"/>
          <w:snapToGrid w:val="0"/>
          <w:color w:val="auto"/>
          <w:kern w:val="0"/>
          <w:sz w:val="24"/>
          <w:szCs w:val="24"/>
          <w:highlight w:val="none"/>
          <w:lang w:val="en-US" w:eastAsia="zh-CN"/>
        </w:rPr>
        <w:t>投标</w:t>
      </w:r>
      <w:r>
        <w:rPr>
          <w:rFonts w:hint="eastAsia" w:ascii="宋体" w:hAnsi="宋体" w:eastAsia="宋体" w:cs="宋体"/>
          <w:snapToGrid w:val="0"/>
          <w:color w:val="auto"/>
          <w:kern w:val="0"/>
          <w:sz w:val="24"/>
          <w:szCs w:val="24"/>
          <w:highlight w:val="none"/>
        </w:rPr>
        <w:t>人在交易平台按要求上传加盖电子印章并经加密的电子投标文件，并在交易平台录准的页码信息即可完成在线投标。由于投标人原因导致未按投标截至时限上传完整投标文件、在交易平台中上传的投标文件无法解密、投标文件损坏或格式不正确、投标文件未按招标文件要求加盖电子印章或电子印章不完整、电子投标文件解密失败且未按要求上传备用投标文件等情形导致投标无效的，由投标人自行负责。</w:t>
      </w:r>
    </w:p>
    <w:p>
      <w:pPr>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7</w:t>
      </w:r>
      <w:r>
        <w:rPr>
          <w:rFonts w:hint="eastAsia" w:ascii="宋体" w:hAnsi="宋体" w:eastAsia="宋体" w:cs="宋体"/>
          <w:b/>
          <w:bCs/>
          <w:snapToGrid w:val="0"/>
          <w:color w:val="auto"/>
          <w:kern w:val="0"/>
          <w:sz w:val="24"/>
          <w:szCs w:val="24"/>
          <w:highlight w:val="none"/>
        </w:rPr>
        <w:t>.2</w:t>
      </w:r>
      <w:r>
        <w:rPr>
          <w:rFonts w:hint="eastAsia" w:ascii="宋体" w:hAnsi="宋体" w:eastAsia="宋体" w:cs="宋体"/>
          <w:snapToGrid w:val="0"/>
          <w:color w:val="auto"/>
          <w:kern w:val="0"/>
          <w:sz w:val="24"/>
          <w:szCs w:val="24"/>
          <w:highlight w:val="none"/>
        </w:rPr>
        <w:t xml:space="preserve"> 开标程序</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（1）主持人（招标人代表或招标人授权的招标代理机构人员）宣读开标纪律。</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（2）主持人宣布唱标人、记录人、见证人、监督人等有关人员姓名。</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（3）唱标人公布在投标截止时间前</w:t>
      </w:r>
      <w:r>
        <w:rPr>
          <w:rFonts w:hint="eastAsia" w:ascii="宋体" w:hAnsi="宋体" w:eastAsia="宋体" w:cs="宋体"/>
          <w:snapToGrid w:val="0"/>
          <w:color w:val="auto"/>
          <w:kern w:val="0"/>
          <w:sz w:val="24"/>
          <w:szCs w:val="24"/>
          <w:highlight w:val="none"/>
          <w:lang w:val="en-US" w:eastAsia="zh-CN"/>
        </w:rPr>
        <w:t>提交</w:t>
      </w:r>
      <w:r>
        <w:rPr>
          <w:rFonts w:hint="eastAsia" w:ascii="宋体" w:hAnsi="宋体" w:eastAsia="宋体" w:cs="宋体"/>
          <w:snapToGrid w:val="0"/>
          <w:color w:val="auto"/>
          <w:kern w:val="0"/>
          <w:sz w:val="24"/>
          <w:szCs w:val="24"/>
          <w:highlight w:val="none"/>
        </w:rPr>
        <w:t>投标文件的投标人数量和名称。</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w:t>
      </w:r>
      <w:r>
        <w:rPr>
          <w:rFonts w:hint="eastAsia" w:ascii="宋体" w:hAnsi="宋体" w:eastAsia="宋体" w:cs="宋体"/>
          <w:snapToGrid w:val="0"/>
          <w:color w:val="auto"/>
          <w:kern w:val="0"/>
          <w:sz w:val="24"/>
          <w:szCs w:val="24"/>
          <w:highlight w:val="none"/>
          <w:lang w:val="en-US" w:eastAsia="zh-CN"/>
        </w:rPr>
        <w:t>4</w:t>
      </w:r>
      <w:r>
        <w:rPr>
          <w:rFonts w:hint="eastAsia" w:ascii="宋体" w:hAnsi="宋体" w:eastAsia="宋体" w:cs="宋体"/>
          <w:snapToGrid w:val="0"/>
          <w:color w:val="auto"/>
          <w:kern w:val="0"/>
          <w:sz w:val="24"/>
          <w:szCs w:val="24"/>
          <w:highlight w:val="none"/>
        </w:rPr>
        <w:t>）</w:t>
      </w:r>
      <w:r>
        <w:rPr>
          <w:rFonts w:hint="eastAsia" w:ascii="宋体" w:hAnsi="宋体" w:eastAsia="宋体" w:cs="宋体"/>
          <w:snapToGrid w:val="0"/>
          <w:color w:val="auto"/>
          <w:kern w:val="0"/>
          <w:sz w:val="24"/>
          <w:szCs w:val="24"/>
          <w:highlight w:val="none"/>
          <w:lang w:eastAsia="zh-CN"/>
        </w:rPr>
        <w:t>在公共资源</w:t>
      </w:r>
      <w:r>
        <w:rPr>
          <w:rFonts w:hint="eastAsia" w:ascii="宋体" w:hAnsi="宋体" w:eastAsia="宋体" w:cs="宋体"/>
          <w:snapToGrid w:val="0"/>
          <w:color w:val="auto"/>
          <w:kern w:val="0"/>
          <w:sz w:val="24"/>
          <w:szCs w:val="24"/>
          <w:highlight w:val="none"/>
        </w:rPr>
        <w:t>交易场所工作人员</w:t>
      </w:r>
      <w:r>
        <w:rPr>
          <w:rFonts w:hint="eastAsia" w:ascii="宋体" w:hAnsi="宋体" w:eastAsia="宋体" w:cs="宋体"/>
          <w:snapToGrid w:val="0"/>
          <w:color w:val="auto"/>
          <w:kern w:val="0"/>
          <w:sz w:val="24"/>
          <w:szCs w:val="24"/>
          <w:highlight w:val="none"/>
          <w:lang w:eastAsia="zh-CN"/>
        </w:rPr>
        <w:t>见证下由</w:t>
      </w:r>
      <w:r>
        <w:rPr>
          <w:rFonts w:hint="eastAsia" w:ascii="宋体" w:hAnsi="宋体" w:eastAsia="宋体" w:cs="宋体"/>
          <w:snapToGrid w:val="0"/>
          <w:color w:val="auto"/>
          <w:kern w:val="0"/>
          <w:sz w:val="24"/>
          <w:szCs w:val="24"/>
          <w:highlight w:val="none"/>
        </w:rPr>
        <w:t>招标代理机构对投标人的电子投标信息进行解密，建设工程交易系统自动生成《投标保证缴纳情况表》和《开标一览表》。</w:t>
      </w:r>
    </w:p>
    <w:p>
      <w:pPr>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因本项目实行全流程电子化招标投标，投标人无须进行现场签到，可登录交易平台观看开标实况、提出异议或进行澄清、确认等操作，对开标事项的异议未在开标期间提出的，招标人不予受理。具体按招标文件和系统操作手册为准。</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w:t>
      </w:r>
      <w:r>
        <w:rPr>
          <w:rFonts w:hint="eastAsia" w:ascii="宋体" w:hAnsi="宋体" w:eastAsia="宋体" w:cs="宋体"/>
          <w:snapToGrid w:val="0"/>
          <w:color w:val="auto"/>
          <w:kern w:val="0"/>
          <w:sz w:val="24"/>
          <w:szCs w:val="24"/>
          <w:highlight w:val="none"/>
          <w:lang w:val="en-US" w:eastAsia="zh-CN"/>
        </w:rPr>
        <w:t>5</w:t>
      </w:r>
      <w:r>
        <w:rPr>
          <w:rFonts w:hint="eastAsia" w:ascii="宋体" w:hAnsi="宋体" w:eastAsia="宋体" w:cs="宋体"/>
          <w:snapToGrid w:val="0"/>
          <w:color w:val="auto"/>
          <w:kern w:val="0"/>
          <w:sz w:val="24"/>
          <w:szCs w:val="24"/>
          <w:highlight w:val="none"/>
        </w:rPr>
        <w:t>）招标人代表、唱标人、记录人等有关人员在《投标保证缴纳情况表》以及《开标一览表》上签字确认。</w:t>
      </w:r>
    </w:p>
    <w:p>
      <w:pPr>
        <w:pageBreakBefore w:val="0"/>
        <w:kinsoku/>
        <w:wordWrap w:val="0"/>
        <w:overflowPunct/>
        <w:topLinePunct w:val="0"/>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w:t>
      </w:r>
      <w:r>
        <w:rPr>
          <w:rFonts w:hint="eastAsia" w:ascii="宋体" w:hAnsi="宋体" w:eastAsia="宋体" w:cs="宋体"/>
          <w:snapToGrid w:val="0"/>
          <w:color w:val="auto"/>
          <w:kern w:val="0"/>
          <w:sz w:val="24"/>
          <w:szCs w:val="24"/>
          <w:highlight w:val="none"/>
          <w:lang w:val="en-US" w:eastAsia="zh-CN"/>
        </w:rPr>
        <w:t>6</w:t>
      </w:r>
      <w:r>
        <w:rPr>
          <w:rFonts w:hint="eastAsia" w:ascii="宋体" w:hAnsi="宋体" w:eastAsia="宋体" w:cs="宋体"/>
          <w:snapToGrid w:val="0"/>
          <w:color w:val="auto"/>
          <w:kern w:val="0"/>
          <w:sz w:val="24"/>
          <w:szCs w:val="24"/>
          <w:highlight w:val="none"/>
        </w:rPr>
        <w:t>）主持人宣布有关注意事项后，宣布开标结束。</w:t>
      </w:r>
    </w:p>
    <w:p>
      <w:pPr>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7</w:t>
      </w:r>
      <w:r>
        <w:rPr>
          <w:rFonts w:hint="eastAsia" w:ascii="宋体" w:hAnsi="宋体" w:eastAsia="宋体" w:cs="宋体"/>
          <w:b/>
          <w:bCs/>
          <w:snapToGrid w:val="0"/>
          <w:color w:val="auto"/>
          <w:kern w:val="0"/>
          <w:sz w:val="24"/>
          <w:szCs w:val="24"/>
          <w:highlight w:val="none"/>
        </w:rPr>
        <w:t>.3</w:t>
      </w:r>
      <w:r>
        <w:rPr>
          <w:rFonts w:hint="eastAsia" w:ascii="宋体" w:hAnsi="宋体" w:eastAsia="宋体" w:cs="宋体"/>
          <w:snapToGrid w:val="0"/>
          <w:color w:val="auto"/>
          <w:kern w:val="0"/>
          <w:sz w:val="24"/>
          <w:szCs w:val="24"/>
          <w:highlight w:val="none"/>
        </w:rPr>
        <w:t xml:space="preserve"> 投标人对开标相关事项（如开标程序</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rPr>
        <w:t>唱标次序和内容等）有异议的，必须在开标期间和开标现场提出，招标人或其授权的招标代理机构应当场作出答复，并记录在案。对开标事项的异议未在开标期间和开标现场提出的，招标人不予受理。</w:t>
      </w:r>
    </w:p>
    <w:p>
      <w:pPr>
        <w:pageBreakBefore w:val="0"/>
        <w:kinsoku/>
        <w:wordWrap w:val="0"/>
        <w:overflowPunct/>
        <w:topLinePunct w:val="0"/>
        <w:bidi w:val="0"/>
        <w:adjustRightInd w:val="0"/>
        <w:snapToGri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bCs/>
          <w:snapToGrid w:val="0"/>
          <w:color w:val="auto"/>
          <w:kern w:val="0"/>
          <w:sz w:val="24"/>
          <w:szCs w:val="24"/>
          <w:highlight w:val="none"/>
        </w:rPr>
        <w:t>1</w:t>
      </w:r>
      <w:r>
        <w:rPr>
          <w:rFonts w:hint="eastAsia" w:ascii="宋体" w:hAnsi="宋体" w:eastAsia="宋体" w:cs="宋体"/>
          <w:b/>
          <w:bCs/>
          <w:snapToGrid w:val="0"/>
          <w:color w:val="auto"/>
          <w:kern w:val="0"/>
          <w:sz w:val="24"/>
          <w:szCs w:val="24"/>
          <w:highlight w:val="none"/>
          <w:lang w:val="en-US" w:eastAsia="zh-CN"/>
        </w:rPr>
        <w:t>7</w:t>
      </w:r>
      <w:r>
        <w:rPr>
          <w:rFonts w:hint="eastAsia" w:ascii="宋体" w:hAnsi="宋体" w:eastAsia="宋体" w:cs="宋体"/>
          <w:b/>
          <w:bCs/>
          <w:snapToGrid w:val="0"/>
          <w:color w:val="auto"/>
          <w:kern w:val="0"/>
          <w:sz w:val="24"/>
          <w:szCs w:val="24"/>
          <w:highlight w:val="none"/>
        </w:rPr>
        <w:t>.</w:t>
      </w:r>
      <w:r>
        <w:rPr>
          <w:rFonts w:hint="eastAsia" w:ascii="宋体" w:hAnsi="宋体" w:eastAsia="宋体" w:cs="宋体"/>
          <w:b/>
          <w:bCs/>
          <w:snapToGrid w:val="0"/>
          <w:color w:val="auto"/>
          <w:kern w:val="0"/>
          <w:sz w:val="24"/>
          <w:szCs w:val="24"/>
          <w:highlight w:val="none"/>
          <w:lang w:val="en-US" w:eastAsia="zh-CN"/>
        </w:rPr>
        <w:t>4</w:t>
      </w:r>
      <w:r>
        <w:rPr>
          <w:rFonts w:hint="eastAsia" w:ascii="宋体" w:hAnsi="宋体" w:eastAsia="宋体" w:cs="宋体"/>
          <w:snapToGrid w:val="0"/>
          <w:color w:val="auto"/>
          <w:kern w:val="0"/>
          <w:sz w:val="24"/>
          <w:szCs w:val="24"/>
          <w:highlight w:val="none"/>
        </w:rPr>
        <w:t xml:space="preserve"> 招标代理机构将资料原件</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lang w:val="en-US" w:eastAsia="zh-CN"/>
        </w:rPr>
        <w:t>如需</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rPr>
        <w:t>、《开标一览表》以及其他有关资料移交评标委员会。</w:t>
      </w:r>
      <w:bookmarkStart w:id="169" w:name="_Hlt111081624"/>
      <w:bookmarkEnd w:id="169"/>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170" w:name="_Toc5525"/>
      <w:bookmarkStart w:id="171" w:name="_Toc4903"/>
      <w:r>
        <w:rPr>
          <w:rFonts w:hint="eastAsia" w:ascii="宋体" w:hAnsi="宋体" w:eastAsia="宋体" w:cs="宋体"/>
          <w:b/>
          <w:color w:val="auto"/>
          <w:kern w:val="2"/>
          <w:sz w:val="24"/>
          <w:szCs w:val="24"/>
          <w:lang w:val="en-US" w:eastAsia="zh-CN"/>
        </w:rPr>
        <w:t>18．评标</w:t>
      </w:r>
      <w:bookmarkEnd w:id="167"/>
      <w:bookmarkEnd w:id="168"/>
      <w:bookmarkEnd w:id="170"/>
      <w:bookmarkEnd w:id="171"/>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评标分为初步评审和详细评审两个阶段，由评标委员会在有关部门的监督下，严格按照本招标文件指定的评标方法，对投标人的投标文件进行审查、评审。评标委员会完成评标后，向招标人推荐</w:t>
      </w:r>
      <w:r>
        <w:rPr>
          <w:rFonts w:hint="eastAsia" w:ascii="宋体" w:hAnsi="宋体" w:eastAsia="宋体" w:cs="宋体"/>
          <w:snapToGrid w:val="0"/>
          <w:color w:val="auto"/>
          <w:kern w:val="0"/>
          <w:sz w:val="24"/>
          <w:szCs w:val="24"/>
          <w:u w:val="single"/>
        </w:rPr>
        <w:t xml:space="preserve"> 3 </w:t>
      </w:r>
      <w:r>
        <w:rPr>
          <w:rFonts w:hint="eastAsia" w:ascii="宋体" w:hAnsi="宋体" w:eastAsia="宋体" w:cs="宋体"/>
          <w:snapToGrid w:val="0"/>
          <w:color w:val="auto"/>
          <w:kern w:val="0"/>
          <w:sz w:val="24"/>
          <w:szCs w:val="24"/>
        </w:rPr>
        <w:t>个中标候选人，并向招标人提交由全体评标委员会成员签字的评标报告。</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18.1 评标委员会</w:t>
      </w:r>
    </w:p>
    <w:p>
      <w:pPr>
        <w:wordWrap w:val="0"/>
        <w:adjustRightInd w:val="0"/>
        <w:spacing w:line="360" w:lineRule="auto"/>
        <w:ind w:firstLine="42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18.1.1 评标委员会由</w:t>
      </w:r>
      <w:r>
        <w:rPr>
          <w:rFonts w:hint="eastAsia" w:ascii="宋体" w:hAnsi="宋体" w:eastAsia="宋体" w:cs="宋体"/>
          <w:snapToGrid w:val="0"/>
          <w:color w:val="auto"/>
          <w:kern w:val="0"/>
          <w:sz w:val="24"/>
          <w:szCs w:val="24"/>
          <w:u w:val="single"/>
        </w:rPr>
        <w:t xml:space="preserve"> 7 </w:t>
      </w:r>
      <w:r>
        <w:rPr>
          <w:rFonts w:hint="eastAsia" w:ascii="宋体" w:hAnsi="宋体" w:eastAsia="宋体" w:cs="宋体"/>
          <w:snapToGrid w:val="0"/>
          <w:color w:val="auto"/>
          <w:kern w:val="0"/>
          <w:sz w:val="24"/>
          <w:szCs w:val="24"/>
        </w:rPr>
        <w:t>人组成，其中招标人代表</w:t>
      </w:r>
      <w:r>
        <w:rPr>
          <w:rFonts w:hint="eastAsia" w:ascii="宋体" w:hAnsi="宋体" w:eastAsia="宋体" w:cs="宋体"/>
          <w:snapToGrid w:val="0"/>
          <w:color w:val="auto"/>
          <w:kern w:val="0"/>
          <w:sz w:val="24"/>
          <w:szCs w:val="24"/>
          <w:u w:val="single"/>
        </w:rPr>
        <w:t xml:space="preserve"> 0 </w:t>
      </w:r>
      <w:r>
        <w:rPr>
          <w:rFonts w:hint="eastAsia" w:ascii="宋体" w:hAnsi="宋体" w:eastAsia="宋体" w:cs="宋体"/>
          <w:snapToGrid w:val="0"/>
          <w:color w:val="auto"/>
          <w:kern w:val="0"/>
          <w:sz w:val="24"/>
          <w:szCs w:val="24"/>
        </w:rPr>
        <w:t xml:space="preserve">人，专家 </w:t>
      </w:r>
      <w:r>
        <w:rPr>
          <w:rFonts w:hint="eastAsia" w:ascii="宋体" w:hAnsi="宋体" w:eastAsia="宋体" w:cs="宋体"/>
          <w:snapToGrid w:val="0"/>
          <w:color w:val="auto"/>
          <w:kern w:val="0"/>
          <w:sz w:val="24"/>
          <w:szCs w:val="24"/>
          <w:u w:val="single"/>
        </w:rPr>
        <w:t xml:space="preserve">7 </w:t>
      </w:r>
      <w:r>
        <w:rPr>
          <w:rFonts w:hint="eastAsia" w:ascii="宋体" w:hAnsi="宋体" w:eastAsia="宋体" w:cs="宋体"/>
          <w:snapToGrid w:val="0"/>
          <w:color w:val="auto"/>
          <w:kern w:val="0"/>
          <w:sz w:val="24"/>
          <w:szCs w:val="24"/>
        </w:rPr>
        <w:t>人。专家从广东省综合评标评审专家库-韶关市区域中随机抽取，其中技术类专家</w:t>
      </w:r>
      <w:r>
        <w:rPr>
          <w:rFonts w:hint="eastAsia" w:ascii="宋体" w:hAnsi="宋体" w:eastAsia="宋体" w:cs="宋体"/>
          <w:snapToGrid w:val="0"/>
          <w:color w:val="auto"/>
          <w:kern w:val="0"/>
          <w:sz w:val="24"/>
          <w:szCs w:val="24"/>
          <w:u w:val="single"/>
        </w:rPr>
        <w:t xml:space="preserve"> 5 </w:t>
      </w:r>
      <w:r>
        <w:rPr>
          <w:rFonts w:hint="eastAsia" w:ascii="宋体" w:hAnsi="宋体" w:eastAsia="宋体" w:cs="宋体"/>
          <w:snapToGrid w:val="0"/>
          <w:color w:val="auto"/>
          <w:kern w:val="0"/>
          <w:sz w:val="24"/>
          <w:szCs w:val="24"/>
        </w:rPr>
        <w:t>人，经济类专家</w:t>
      </w:r>
      <w:r>
        <w:rPr>
          <w:rFonts w:hint="eastAsia" w:ascii="宋体" w:hAnsi="宋体" w:eastAsia="宋体" w:cs="宋体"/>
          <w:snapToGrid w:val="0"/>
          <w:color w:val="auto"/>
          <w:kern w:val="0"/>
          <w:sz w:val="24"/>
          <w:szCs w:val="24"/>
          <w:u w:val="single"/>
        </w:rPr>
        <w:t xml:space="preserve"> 2 </w:t>
      </w:r>
      <w:r>
        <w:rPr>
          <w:rFonts w:hint="eastAsia" w:ascii="宋体" w:hAnsi="宋体" w:eastAsia="宋体" w:cs="宋体"/>
          <w:snapToGrid w:val="0"/>
          <w:color w:val="auto"/>
          <w:kern w:val="0"/>
          <w:sz w:val="24"/>
          <w:szCs w:val="24"/>
        </w:rPr>
        <w:t>人。评标委员会设负责人，由评标委员会成员推举产生。评标委员会负责人与评标委员会的其他成员有同等的表决权。</w:t>
      </w:r>
    </w:p>
    <w:p>
      <w:pPr>
        <w:wordWrap w:val="0"/>
        <w:adjustRightInd w:val="0"/>
        <w:spacing w:line="360" w:lineRule="auto"/>
        <w:ind w:firstLine="42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18.1.2 评标委员会应认真、公正、诚实、廉洁地履行职责。有下列情形之一的，不得担任评标委员会成员：</w:t>
      </w:r>
    </w:p>
    <w:p>
      <w:pPr>
        <w:wordWrap w:val="0"/>
        <w:adjustRightInd w:val="0"/>
        <w:spacing w:line="360" w:lineRule="auto"/>
        <w:ind w:firstLine="56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（1）投标人或投标人主要负责人的近亲属；</w:t>
      </w:r>
    </w:p>
    <w:p>
      <w:pPr>
        <w:wordWrap w:val="0"/>
        <w:adjustRightInd w:val="0"/>
        <w:spacing w:line="360" w:lineRule="auto"/>
        <w:ind w:firstLine="56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（2）项目主管部门或者行政监督部门的人员；</w:t>
      </w:r>
    </w:p>
    <w:p>
      <w:pPr>
        <w:wordWrap w:val="0"/>
        <w:adjustRightInd w:val="0"/>
        <w:spacing w:line="360" w:lineRule="auto"/>
        <w:ind w:firstLine="56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（3）与投标人有经济利益关系，可能影响对投标公正评审的；</w:t>
      </w:r>
    </w:p>
    <w:p>
      <w:pPr>
        <w:wordWrap w:val="0"/>
        <w:adjustRightInd w:val="0"/>
        <w:spacing w:line="360" w:lineRule="auto"/>
        <w:ind w:firstLine="56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（4）曾因在招标、评标以及其他与招标投标有关活动中从事违法行为而受过行政处罚或刑事处罚的。</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评标委员会成员有以上情形之一的，应主动提出回避。</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18.1.3 评标全过程实行封闭式管理，在中标结果公布前，禁止评标委员会成员以任何方式私下接触投标人。</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18.1.4 在评标过程中，评标委员会可以书面形式要求投标人对所提交的投标文件中不明确的内容进行书面澄清或说明，但不接受投标人主动提出的澄清或说明。投标人的书面澄清或说明不得改变投标文件的实质性内容，并作为投标文件的组成部分。</w:t>
      </w:r>
    </w:p>
    <w:p>
      <w:pPr>
        <w:wordWrap w:val="0"/>
        <w:adjustRightInd w:val="0"/>
        <w:spacing w:line="360" w:lineRule="auto"/>
        <w:ind w:firstLine="42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18.1.5 在任何评标环节中，当评标委员会就某项定性的评审结论不统一、需要做出表决时，由评标委员会全体成员按照少数服从多数的原则，以记名投票方式表决。评标委员会全体成员应共同遵守和执行表决结果，严禁评标委员会任何成员将个人意见强加给他人、影响评标正常秩序和妨碍评审结论的公正性。</w:t>
      </w:r>
    </w:p>
    <w:p>
      <w:pPr>
        <w:wordWrap w:val="0"/>
        <w:adjustRightInd w:val="0"/>
        <w:spacing w:line="240" w:lineRule="auto"/>
        <w:ind w:firstLine="42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18.2 评标方法</w:t>
      </w:r>
    </w:p>
    <w:p>
      <w:pPr>
        <w:wordWrap w:val="0"/>
        <w:adjustRightInd w:val="0"/>
        <w:spacing w:line="240" w:lineRule="auto"/>
        <w:ind w:firstLine="42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根据有关法律、法规的相关规定，结合本招标项目资金来源和规模特点，本次招标采用“综合评估法”进行评标。</w:t>
      </w:r>
    </w:p>
    <w:p>
      <w:pPr>
        <w:wordWrap w:val="0"/>
        <w:adjustRightInd w:val="0"/>
        <w:spacing w:line="24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18.3 评审范围：评标委员会应对所有进入评标投标人的投标文件进行评审。</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18.4 初步评审阶段</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初步评审阶段分为资格评审、形式评审和响应性评审三个环节。</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18.4.1 资格评审环节</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资格评审事项包括：</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（1）投标人不是本次招标禁止投标条款中的单位，没有本次招标禁止投标条款中规定的任何一种情形。</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（2）投标人名称是否与营业执照、资质证书一致。</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（3）投标人的资质是否符合招标文件规定；其营业执照、资质证书是否合法、有效。</w:t>
      </w:r>
    </w:p>
    <w:p>
      <w:pPr>
        <w:wordWrap w:val="0"/>
        <w:adjustRightInd w:val="0"/>
        <w:spacing w:line="360" w:lineRule="auto"/>
        <w:ind w:firstLine="480" w:firstLineChars="200"/>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rPr>
        <w:t>（4）投标文件中拟派项目经理、设计负责人、项目技术负责人、专职安全员的条件是否符合招标文件规定</w:t>
      </w:r>
      <w:r>
        <w:rPr>
          <w:rFonts w:hint="eastAsia" w:ascii="宋体" w:hAnsi="宋体" w:cs="宋体"/>
          <w:snapToGrid w:val="0"/>
          <w:color w:val="auto"/>
          <w:kern w:val="0"/>
          <w:sz w:val="24"/>
          <w:szCs w:val="24"/>
          <w:lang w:eastAsia="zh-CN"/>
        </w:rPr>
        <w:t>。</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联合体投标的，是否提交《联合体协议书》；是否擅自修改、遗漏《联合体协议书》的实质性内容；联合体成员的数量、资质是否符合招标文件规定；联合体成员是否以自己名义单独或者参加其他联合体参与本招标项目投标。</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（6）投标人为外省建筑企业的，是否按规定在“进粤企业和人员诚信信息登记平台”录入企业有关信息并通过数据规范检查。</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18.4.2 形式评审环节</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形式评审事项包括：</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（1）投标标书是否按招标文件规定加盖电子印章。</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（2）本节第13.2.1目中规定的“所有投标人均应提供”的组成内容（包括该组成内容的所附资料）是否完整、齐全。</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18.4.3 响应性评审环节</w:t>
      </w:r>
    </w:p>
    <w:p>
      <w:pPr>
        <w:wordWrap w:val="0"/>
        <w:adjustRightIn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响应性评审事项包括：</w:t>
      </w:r>
    </w:p>
    <w:p>
      <w:pPr>
        <w:wordWrap w:val="0"/>
        <w:adjustRightInd w:val="0"/>
        <w:spacing w:line="24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（1）投标有效期、工期等是否响应招标文件实质性要求；是否擅自修改、遗漏《投标函》《各项承诺一览表》的实质性内容。</w:t>
      </w:r>
    </w:p>
    <w:p>
      <w:pPr>
        <w:wordWrap w:val="0"/>
        <w:adjustRightInd w:val="0"/>
        <w:spacing w:line="24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（2）投标总价是否唯一；投标报价是否超出最高投标限价。</w:t>
      </w:r>
    </w:p>
    <w:p>
      <w:pPr>
        <w:wordWrap w:val="0"/>
        <w:adjustRightInd w:val="0"/>
        <w:spacing w:line="240" w:lineRule="auto"/>
        <w:ind w:firstLine="56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18.4.4 否决投标说明</w:t>
      </w:r>
    </w:p>
    <w:p>
      <w:pPr>
        <w:wordWrap w:val="0"/>
        <w:adjustRightInd w:val="0"/>
        <w:spacing w:line="240" w:lineRule="auto"/>
        <w:ind w:firstLine="56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初步评审阶段各个环节否决投标的全部条件，在本章第四节“否决投标条件”第1条至第4条中集中列示。投标人有其中所列任何一种情形的，由评标委员会否决其投标。在初步评审阶段任何环节被否决的投标，不进入下一环节（或阶段）评审。经初步评审后，有效投标人数量不足3个时，招标人应依法重新组织招标。</w:t>
      </w:r>
    </w:p>
    <w:p>
      <w:pPr>
        <w:wordWrap w:val="0"/>
        <w:adjustRightInd w:val="0"/>
        <w:spacing w:line="240" w:lineRule="auto"/>
        <w:ind w:firstLine="56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18.5 详细评审阶段</w:t>
      </w:r>
    </w:p>
    <w:p>
      <w:pPr>
        <w:wordWrap w:val="0"/>
        <w:adjustRightInd w:val="0"/>
        <w:spacing w:line="240" w:lineRule="auto"/>
        <w:ind w:firstLine="56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18.5.1 “综合评估法”评审程序</w:t>
      </w:r>
    </w:p>
    <w:p>
      <w:pPr>
        <w:wordWrap w:val="0"/>
        <w:adjustRightInd w:val="0"/>
        <w:snapToGrid w:val="0"/>
        <w:spacing w:line="360" w:lineRule="auto"/>
        <w:ind w:firstLine="48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评评审内容分为商务技术和投标报价两大部分。其中，商务技术合计满分</w:t>
      </w:r>
      <w:r>
        <w:rPr>
          <w:rFonts w:hint="eastAsia" w:ascii="宋体" w:hAnsi="宋体" w:eastAsia="宋体" w:cs="宋体"/>
          <w:snapToGrid w:val="0"/>
          <w:color w:val="auto"/>
          <w:kern w:val="0"/>
          <w:sz w:val="24"/>
          <w:szCs w:val="24"/>
          <w:lang w:val="en-US" w:eastAsia="zh-CN"/>
        </w:rPr>
        <w:t>70</w:t>
      </w:r>
      <w:r>
        <w:rPr>
          <w:rFonts w:hint="eastAsia" w:ascii="宋体" w:hAnsi="宋体" w:eastAsia="宋体" w:cs="宋体"/>
          <w:snapToGrid w:val="0"/>
          <w:color w:val="auto"/>
          <w:kern w:val="0"/>
          <w:sz w:val="24"/>
          <w:szCs w:val="24"/>
        </w:rPr>
        <w:t>分；投标报价满分</w:t>
      </w:r>
      <w:r>
        <w:rPr>
          <w:rFonts w:hint="eastAsia" w:ascii="宋体" w:hAnsi="宋体" w:eastAsia="宋体" w:cs="宋体"/>
          <w:snapToGrid w:val="0"/>
          <w:color w:val="auto"/>
          <w:kern w:val="0"/>
          <w:sz w:val="24"/>
          <w:szCs w:val="24"/>
          <w:lang w:val="en-US" w:eastAsia="zh-CN"/>
        </w:rPr>
        <w:t>30</w:t>
      </w:r>
      <w:r>
        <w:rPr>
          <w:rFonts w:hint="eastAsia" w:ascii="宋体" w:hAnsi="宋体" w:eastAsia="宋体" w:cs="宋体"/>
          <w:snapToGrid w:val="0"/>
          <w:color w:val="auto"/>
          <w:kern w:val="0"/>
          <w:sz w:val="24"/>
          <w:szCs w:val="24"/>
        </w:rPr>
        <w:t>分。两大部分之和为100%。</w:t>
      </w:r>
    </w:p>
    <w:p>
      <w:pPr>
        <w:wordWrap w:val="0"/>
        <w:adjustRightInd w:val="0"/>
        <w:snapToGrid w:val="0"/>
        <w:spacing w:line="360" w:lineRule="auto"/>
        <w:ind w:firstLine="48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除特别注明外，综合得分以及商务技术得分、投标报价得分的中间过程计算值和最终值，均按“四舍五入”原则精确到两位小数。</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（1）商务技术得分M</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a</w:t>
      </w:r>
      <w:r>
        <w:rPr>
          <w:rFonts w:hint="eastAsia" w:ascii="宋体" w:hAnsi="宋体" w:eastAsia="宋体" w:cs="宋体"/>
          <w:snapToGrid w:val="0"/>
          <w:color w:val="auto"/>
          <w:kern w:val="0"/>
          <w:sz w:val="24"/>
          <w:szCs w:val="24"/>
        </w:rPr>
        <w:t>．评标委员会按照《综合评分表》商务部分指定的评分标准对各评分因素进行打分。各评分因素得分之和即为某投标人的商务得分M</w:t>
      </w:r>
      <w:r>
        <w:rPr>
          <w:rFonts w:hint="eastAsia" w:ascii="宋体" w:hAnsi="宋体" w:eastAsia="宋体" w:cs="宋体"/>
          <w:snapToGrid w:val="0"/>
          <w:color w:val="auto"/>
          <w:kern w:val="0"/>
          <w:sz w:val="24"/>
          <w:szCs w:val="24"/>
          <w:vertAlign w:val="subscript"/>
        </w:rPr>
        <w:t>1</w:t>
      </w:r>
      <w:r>
        <w:rPr>
          <w:rFonts w:hint="eastAsia" w:ascii="宋体" w:hAnsi="宋体" w:eastAsia="宋体" w:cs="宋体"/>
          <w:snapToGrid w:val="0"/>
          <w:color w:val="auto"/>
          <w:kern w:val="0"/>
          <w:sz w:val="24"/>
          <w:szCs w:val="24"/>
        </w:rPr>
        <w:t>。</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b</w:t>
      </w:r>
      <w:r>
        <w:rPr>
          <w:rFonts w:hint="eastAsia" w:ascii="宋体" w:hAnsi="宋体" w:eastAsia="宋体" w:cs="宋体"/>
          <w:snapToGrid w:val="0"/>
          <w:color w:val="auto"/>
          <w:kern w:val="0"/>
          <w:sz w:val="24"/>
          <w:szCs w:val="24"/>
        </w:rPr>
        <w:t>．评标委员会各成员独立按照《综合评分表》技术部分指定的评分标准对各评分因素进行打分，累加后得出技术评分。将评标委员会所有成员的技术评分去掉一个最高分和一个最低分后，取算术平均值，即为某投标人的技术得分M</w:t>
      </w:r>
      <w:r>
        <w:rPr>
          <w:rFonts w:hint="eastAsia" w:ascii="宋体" w:hAnsi="宋体" w:eastAsia="宋体" w:cs="宋体"/>
          <w:snapToGrid w:val="0"/>
          <w:color w:val="auto"/>
          <w:kern w:val="0"/>
          <w:sz w:val="24"/>
          <w:szCs w:val="24"/>
          <w:vertAlign w:val="subscript"/>
        </w:rPr>
        <w:t>2</w:t>
      </w:r>
      <w:r>
        <w:rPr>
          <w:rFonts w:hint="eastAsia" w:ascii="宋体" w:hAnsi="宋体" w:eastAsia="宋体" w:cs="宋体"/>
          <w:snapToGrid w:val="0"/>
          <w:color w:val="auto"/>
          <w:kern w:val="0"/>
          <w:sz w:val="24"/>
          <w:szCs w:val="24"/>
        </w:rPr>
        <w:t>。</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c</w:t>
      </w:r>
      <w:r>
        <w:rPr>
          <w:rFonts w:hint="eastAsia" w:ascii="宋体" w:hAnsi="宋体" w:eastAsia="宋体" w:cs="宋体"/>
          <w:snapToGrid w:val="0"/>
          <w:color w:val="auto"/>
          <w:kern w:val="0"/>
          <w:sz w:val="24"/>
          <w:szCs w:val="24"/>
        </w:rPr>
        <w:t>．M＝M</w:t>
      </w:r>
      <w:r>
        <w:rPr>
          <w:rFonts w:hint="eastAsia" w:ascii="宋体" w:hAnsi="宋体" w:eastAsia="宋体" w:cs="宋体"/>
          <w:snapToGrid w:val="0"/>
          <w:color w:val="auto"/>
          <w:kern w:val="0"/>
          <w:sz w:val="24"/>
          <w:szCs w:val="24"/>
          <w:vertAlign w:val="subscript"/>
        </w:rPr>
        <w:t>1</w:t>
      </w:r>
      <w:r>
        <w:rPr>
          <w:rFonts w:hint="eastAsia" w:ascii="宋体" w:hAnsi="宋体" w:eastAsia="宋体" w:cs="宋体"/>
          <w:snapToGrid w:val="0"/>
          <w:color w:val="auto"/>
          <w:kern w:val="0"/>
          <w:sz w:val="24"/>
          <w:szCs w:val="24"/>
        </w:rPr>
        <w:t>＋M</w:t>
      </w:r>
      <w:r>
        <w:rPr>
          <w:rFonts w:hint="eastAsia" w:ascii="宋体" w:hAnsi="宋体" w:eastAsia="宋体" w:cs="宋体"/>
          <w:snapToGrid w:val="0"/>
          <w:color w:val="auto"/>
          <w:kern w:val="0"/>
          <w:sz w:val="24"/>
          <w:szCs w:val="24"/>
          <w:vertAlign w:val="subscript"/>
        </w:rPr>
        <w:t>2</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式中：M</w:t>
      </w:r>
      <w:r>
        <w:rPr>
          <w:rFonts w:hint="eastAsia" w:ascii="宋体" w:hAnsi="宋体" w:eastAsia="宋体" w:cs="宋体"/>
          <w:snapToGrid w:val="0"/>
          <w:color w:val="auto"/>
          <w:kern w:val="0"/>
          <w:sz w:val="24"/>
          <w:szCs w:val="24"/>
          <w:vertAlign w:val="subscript"/>
        </w:rPr>
        <w:t>1</w:t>
      </w:r>
      <w:r>
        <w:rPr>
          <w:rFonts w:hint="eastAsia" w:ascii="宋体" w:hAnsi="宋体" w:eastAsia="宋体" w:cs="宋体"/>
          <w:snapToGrid w:val="0"/>
          <w:color w:val="auto"/>
          <w:kern w:val="0"/>
          <w:sz w:val="24"/>
          <w:szCs w:val="24"/>
        </w:rPr>
        <w:t>为某投标人的商务得分，M</w:t>
      </w:r>
      <w:r>
        <w:rPr>
          <w:rFonts w:hint="eastAsia" w:ascii="宋体" w:hAnsi="宋体" w:eastAsia="宋体" w:cs="宋体"/>
          <w:snapToGrid w:val="0"/>
          <w:color w:val="auto"/>
          <w:kern w:val="0"/>
          <w:sz w:val="24"/>
          <w:szCs w:val="24"/>
          <w:vertAlign w:val="subscript"/>
        </w:rPr>
        <w:t>2</w:t>
      </w:r>
      <w:r>
        <w:rPr>
          <w:rFonts w:hint="eastAsia" w:ascii="宋体" w:hAnsi="宋体" w:eastAsia="宋体" w:cs="宋体"/>
          <w:snapToGrid w:val="0"/>
          <w:color w:val="auto"/>
          <w:kern w:val="0"/>
          <w:sz w:val="24"/>
          <w:szCs w:val="24"/>
        </w:rPr>
        <w:t>为某投标人的技术得分。</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（2）投标报价得分N</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a</w:t>
      </w:r>
      <w:r>
        <w:rPr>
          <w:rFonts w:hint="eastAsia" w:ascii="宋体" w:hAnsi="宋体" w:eastAsia="宋体" w:cs="宋体"/>
          <w:snapToGrid w:val="0"/>
          <w:color w:val="auto"/>
          <w:kern w:val="0"/>
          <w:sz w:val="24"/>
          <w:szCs w:val="24"/>
        </w:rPr>
        <w:t>．评标委员会按照《综合评分表》投标报价部分指定的方法计算评标基准价D。</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b</w:t>
      </w:r>
      <w:r>
        <w:rPr>
          <w:rFonts w:hint="eastAsia" w:ascii="宋体" w:hAnsi="宋体" w:eastAsia="宋体" w:cs="宋体"/>
          <w:snapToGrid w:val="0"/>
          <w:color w:val="auto"/>
          <w:kern w:val="0"/>
          <w:sz w:val="24"/>
          <w:szCs w:val="24"/>
        </w:rPr>
        <w:t>．采用内插法计算某投标人的投标报价得分N，即当投标人的投标总价等于评标基准价时得</w:t>
      </w:r>
      <w:r>
        <w:rPr>
          <w:rFonts w:hint="eastAsia" w:ascii="宋体" w:hAnsi="宋体" w:eastAsia="宋体" w:cs="宋体"/>
          <w:snapToGrid w:val="0"/>
          <w:color w:val="auto"/>
          <w:kern w:val="0"/>
          <w:sz w:val="24"/>
          <w:szCs w:val="24"/>
          <w:lang w:val="en-US" w:eastAsia="zh-CN"/>
        </w:rPr>
        <w:t>30</w:t>
      </w:r>
      <w:r>
        <w:rPr>
          <w:rFonts w:hint="eastAsia" w:ascii="宋体" w:hAnsi="宋体" w:eastAsia="宋体" w:cs="宋体"/>
          <w:snapToGrid w:val="0"/>
          <w:color w:val="auto"/>
          <w:kern w:val="0"/>
          <w:sz w:val="24"/>
          <w:szCs w:val="24"/>
        </w:rPr>
        <w:t>分，每高于评标基准价一个百分点扣1分, 每低于评标基准价一个百分点扣0.5分，扣完为止。</w:t>
      </w:r>
    </w:p>
    <w:p>
      <w:pPr>
        <w:wordWrap w:val="0"/>
        <w:adjustRightInd w:val="0"/>
        <w:snapToGrid w:val="0"/>
        <w:spacing w:line="360" w:lineRule="auto"/>
        <w:ind w:firstLine="48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公式如下：</w:t>
      </w:r>
    </w:p>
    <w:p>
      <w:pPr>
        <w:wordWrap w:val="0"/>
        <w:adjustRightInd w:val="0"/>
        <w:snapToGrid w:val="0"/>
        <w:spacing w:line="360" w:lineRule="auto"/>
        <w:ind w:firstLine="48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N＝</w:t>
      </w:r>
      <w:r>
        <w:rPr>
          <w:rFonts w:hint="eastAsia" w:ascii="宋体" w:hAnsi="宋体" w:eastAsia="宋体" w:cs="宋体"/>
          <w:snapToGrid w:val="0"/>
          <w:color w:val="auto"/>
          <w:kern w:val="0"/>
          <w:sz w:val="24"/>
          <w:szCs w:val="24"/>
          <w:lang w:val="en-US" w:eastAsia="zh-CN"/>
        </w:rPr>
        <w:t>30</w:t>
      </w:r>
      <w:r>
        <w:rPr>
          <w:rFonts w:hint="eastAsia" w:ascii="宋体" w:hAnsi="宋体" w:eastAsia="宋体" w:cs="宋体"/>
          <w:snapToGrid w:val="0"/>
          <w:color w:val="auto"/>
          <w:kern w:val="0"/>
          <w:sz w:val="24"/>
          <w:szCs w:val="24"/>
        </w:rPr>
        <w:t>－（| Di－D | ÷D）×100×E</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式中：D为评标基准价；Di为某投标人的投标总价；E为扣分因子，当Di＞D时，E＝1；当Di＜D时，E＝0.5。</w:t>
      </w:r>
    </w:p>
    <w:p>
      <w:pPr>
        <w:wordWrap w:val="0"/>
        <w:adjustRightInd w:val="0"/>
        <w:snapToGrid w:val="0"/>
        <w:spacing w:line="360" w:lineRule="auto"/>
        <w:ind w:firstLine="48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（3）综合得分</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综合得分满分100分，公式如下</w:t>
      </w:r>
    </w:p>
    <w:p>
      <w:pPr>
        <w:wordWrap w:val="0"/>
        <w:adjustRightInd w:val="0"/>
        <w:snapToGrid w:val="0"/>
        <w:spacing w:line="360" w:lineRule="auto"/>
        <w:ind w:firstLine="48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综合得分＝M＋N</w:t>
      </w:r>
    </w:p>
    <w:p>
      <w:pPr>
        <w:wordWrap w:val="0"/>
        <w:adjustRightInd w:val="0"/>
        <w:snapToGrid w:val="0"/>
        <w:spacing w:line="360" w:lineRule="auto"/>
        <w:ind w:firstLine="48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式中：M为商务技术得分，N为投标报价得分。</w:t>
      </w:r>
    </w:p>
    <w:p>
      <w:pPr>
        <w:numPr>
          <w:ilvl w:val="0"/>
          <w:numId w:val="2"/>
        </w:num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评标委员会汇总、比较所有投标人的综合得分后，取综合得分最高的投标人为第一中标候选人，取综合得分第二、第三高的投标人为第二、第三中标候选人。如果最高综合得分相同，取投标总价低者为第一中标候选人，并依此确定第二、第三中标候选人。如果最高综合得分相同，投标总价也相同，由评标委员会投票确定。</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0"/>
        <w:autoSpaceDE w:val="0"/>
        <w:autoSpaceDN w:val="0"/>
        <w:adjustRightInd w:val="0"/>
        <w:spacing w:line="360" w:lineRule="auto"/>
        <w:jc w:val="center"/>
        <w:rPr>
          <w:rFonts w:hint="eastAsia" w:ascii="宋体" w:hAnsi="宋体" w:eastAsia="宋体" w:cs="宋体"/>
          <w:b/>
          <w:bCs/>
          <w:color w:val="auto"/>
          <w:kern w:val="0"/>
          <w:sz w:val="28"/>
          <w:szCs w:val="30"/>
        </w:rPr>
      </w:pPr>
      <w:r>
        <w:rPr>
          <w:rFonts w:hint="eastAsia" w:ascii="宋体" w:hAnsi="宋体" w:eastAsia="宋体" w:cs="宋体"/>
          <w:b/>
          <w:bCs/>
          <w:color w:val="auto"/>
          <w:kern w:val="0"/>
          <w:sz w:val="28"/>
          <w:szCs w:val="30"/>
        </w:rPr>
        <w:t>综合评分表</w:t>
      </w:r>
    </w:p>
    <w:tbl>
      <w:tblPr>
        <w:tblStyle w:val="15"/>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538"/>
        <w:gridCol w:w="735"/>
        <w:gridCol w:w="580"/>
        <w:gridCol w:w="5"/>
        <w:gridCol w:w="881"/>
        <w:gridCol w:w="3094"/>
        <w:gridCol w:w="3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414" w:type="dxa"/>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1273" w:type="dxa"/>
            <w:gridSpan w:val="2"/>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评标内容</w:t>
            </w:r>
          </w:p>
        </w:tc>
        <w:tc>
          <w:tcPr>
            <w:tcW w:w="7909" w:type="dxa"/>
            <w:gridSpan w:val="5"/>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0" w:hRule="atLeast"/>
          <w:jc w:val="center"/>
        </w:trPr>
        <w:tc>
          <w:tcPr>
            <w:tcW w:w="414" w:type="dxa"/>
            <w:vMerge w:val="restart"/>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538" w:type="dxa"/>
            <w:vMerge w:val="restart"/>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商务得分（50分）</w:t>
            </w:r>
          </w:p>
        </w:tc>
        <w:tc>
          <w:tcPr>
            <w:tcW w:w="73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360" w:lineRule="auto"/>
              <w:jc w:val="both"/>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施工</w:t>
            </w:r>
          </w:p>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highlight w:val="none"/>
              </w:rPr>
              <w:t>企业（</w:t>
            </w:r>
            <w:r>
              <w:rPr>
                <w:rFonts w:hint="eastAsia" w:ascii="宋体" w:hAnsi="宋体" w:eastAsia="宋体" w:cs="宋体"/>
                <w:bCs/>
                <w:color w:val="auto"/>
                <w:kern w:val="0"/>
                <w:sz w:val="24"/>
                <w:szCs w:val="24"/>
                <w:highlight w:val="none"/>
                <w:lang w:val="en-US" w:eastAsia="zh-CN"/>
              </w:rPr>
              <w:t>联合体时指牵头人</w:t>
            </w:r>
            <w:r>
              <w:rPr>
                <w:rFonts w:hint="eastAsia" w:ascii="宋体" w:hAnsi="宋体" w:eastAsia="宋体" w:cs="宋体"/>
                <w:bCs/>
                <w:color w:val="auto"/>
                <w:kern w:val="0"/>
                <w:sz w:val="24"/>
                <w:szCs w:val="24"/>
                <w:highlight w:val="none"/>
              </w:rPr>
              <w:t>）</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分）</w:t>
            </w:r>
          </w:p>
        </w:tc>
        <w:tc>
          <w:tcPr>
            <w:tcW w:w="1466" w:type="dxa"/>
            <w:gridSpan w:val="3"/>
            <w:noWrap w:val="0"/>
            <w:vAlign w:val="center"/>
          </w:tcPr>
          <w:p>
            <w:pPr>
              <w:pStyle w:val="7"/>
              <w:wordWrap w:val="0"/>
              <w:adjustRightInd w:val="0"/>
              <w:snapToGrid w:val="0"/>
              <w:spacing w:line="360" w:lineRule="auto"/>
              <w:jc w:val="center"/>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highlight w:val="none"/>
                <w:lang w:val="en-US" w:eastAsia="zh-CN"/>
              </w:rPr>
              <w:t>施工</w:t>
            </w:r>
            <w:r>
              <w:rPr>
                <w:rFonts w:hint="eastAsia" w:ascii="宋体" w:hAnsi="宋体" w:eastAsia="宋体" w:cs="宋体"/>
                <w:snapToGrid w:val="0"/>
                <w:color w:val="auto"/>
                <w:kern w:val="0"/>
                <w:sz w:val="24"/>
                <w:szCs w:val="24"/>
                <w:highlight w:val="none"/>
              </w:rPr>
              <w:t>企业奖项（</w:t>
            </w:r>
            <w:r>
              <w:rPr>
                <w:rFonts w:hint="eastAsia" w:ascii="宋体" w:hAnsi="宋体" w:eastAsia="宋体" w:cs="宋体"/>
                <w:snapToGrid w:val="0"/>
                <w:color w:val="auto"/>
                <w:kern w:val="0"/>
                <w:sz w:val="24"/>
                <w:szCs w:val="24"/>
                <w:highlight w:val="none"/>
                <w:lang w:val="en-US" w:eastAsia="zh-CN"/>
              </w:rPr>
              <w:t>10</w:t>
            </w:r>
            <w:r>
              <w:rPr>
                <w:rFonts w:hint="eastAsia" w:ascii="宋体" w:hAnsi="宋体" w:eastAsia="宋体" w:cs="宋体"/>
                <w:snapToGrid w:val="0"/>
                <w:color w:val="auto"/>
                <w:kern w:val="0"/>
                <w:sz w:val="24"/>
                <w:szCs w:val="24"/>
                <w:highlight w:val="none"/>
              </w:rPr>
              <w:t>分）</w:t>
            </w:r>
          </w:p>
        </w:tc>
        <w:tc>
          <w:tcPr>
            <w:tcW w:w="30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6" w:rightChars="0" w:firstLine="240" w:firstLineChars="10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w:t>
            </w:r>
            <w:r>
              <w:rPr>
                <w:rFonts w:hint="eastAsia" w:ascii="宋体" w:hAnsi="宋体" w:eastAsia="宋体" w:cs="宋体"/>
                <w:b w:val="0"/>
                <w:bCs w:val="0"/>
                <w:color w:val="auto"/>
                <w:sz w:val="24"/>
                <w:szCs w:val="24"/>
                <w:highlight w:val="none"/>
                <w:lang w:val="en-US" w:eastAsia="zh-CN"/>
              </w:rPr>
              <w:t>指</w:t>
            </w:r>
            <w:r>
              <w:rPr>
                <w:rFonts w:hint="eastAsia" w:ascii="宋体" w:hAnsi="宋体" w:eastAsia="宋体" w:cs="宋体"/>
                <w:b w:val="0"/>
                <w:bCs w:val="0"/>
                <w:color w:val="auto"/>
                <w:sz w:val="24"/>
                <w:szCs w:val="24"/>
                <w:highlight w:val="none"/>
              </w:rPr>
              <w:t xml:space="preserve">联合体牵头方)近 </w:t>
            </w:r>
            <w:r>
              <w:rPr>
                <w:rFonts w:hint="eastAsia" w:ascii="宋体" w:hAnsi="宋体" w:eastAsia="宋体" w:cs="宋体"/>
                <w:b w:val="0"/>
                <w:bCs w:val="0"/>
                <w:color w:val="auto"/>
                <w:sz w:val="24"/>
                <w:szCs w:val="24"/>
                <w:highlight w:val="none"/>
                <w:u w:val="single"/>
                <w:lang w:val="en-US" w:eastAsia="zh-CN"/>
              </w:rPr>
              <w:t>5</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年来（201</w:t>
            </w:r>
            <w:r>
              <w:rPr>
                <w:rFonts w:hint="eastAsia" w:ascii="宋体"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rPr>
              <w:t>年1月1日至今）获得 房屋建筑工程或市政工程类奖项情况</w:t>
            </w:r>
            <w:r>
              <w:rPr>
                <w:rFonts w:hint="eastAsia" w:ascii="宋体" w:hAnsi="宋体" w:eastAsia="宋体" w:cs="宋体"/>
                <w:b w:val="0"/>
                <w:bCs w:val="0"/>
                <w:color w:val="auto"/>
                <w:sz w:val="24"/>
                <w:szCs w:val="24"/>
                <w:highlight w:val="none"/>
                <w:lang w:eastAsia="zh-CN"/>
              </w:rPr>
              <w:t>（含参建奖项）</w:t>
            </w:r>
            <w:r>
              <w:rPr>
                <w:rFonts w:hint="eastAsia" w:ascii="宋体" w:hAnsi="宋体" w:eastAsia="宋体" w:cs="宋体"/>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6" w:rightChars="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 xml:space="preserve">获得国家级奖项的，每个得 </w:t>
            </w: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 xml:space="preserve"> 分。</w:t>
            </w:r>
          </w:p>
          <w:p>
            <w:pPr>
              <w:keepNext w:val="0"/>
              <w:keepLines w:val="0"/>
              <w:pageBreakBefore w:val="0"/>
              <w:widowControl w:val="0"/>
              <w:kinsoku/>
              <w:wordWrap/>
              <w:overflowPunct/>
              <w:topLinePunct w:val="0"/>
              <w:autoSpaceDE/>
              <w:autoSpaceDN/>
              <w:bidi w:val="0"/>
              <w:adjustRightInd/>
              <w:snapToGrid/>
              <w:spacing w:line="360" w:lineRule="auto"/>
              <w:ind w:right="6" w:rightChars="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 xml:space="preserve">获得省级奖项的，每个得 </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 xml:space="preserve"> 分。</w:t>
            </w:r>
          </w:p>
          <w:p>
            <w:pPr>
              <w:keepNext w:val="0"/>
              <w:keepLines w:val="0"/>
              <w:pageBreakBefore w:val="0"/>
              <w:widowControl w:val="0"/>
              <w:kinsoku/>
              <w:wordWrap/>
              <w:overflowPunct/>
              <w:topLinePunct w:val="0"/>
              <w:autoSpaceDE/>
              <w:autoSpaceDN/>
              <w:bidi w:val="0"/>
              <w:adjustRightInd/>
              <w:snapToGrid/>
              <w:spacing w:line="360" w:lineRule="auto"/>
              <w:ind w:right="6" w:rightChars="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 xml:space="preserve">获得地市级奖项的，每个得 </w:t>
            </w:r>
            <w:r>
              <w:rPr>
                <w:rFonts w:hint="eastAsia" w:ascii="宋体" w:hAnsi="宋体" w:eastAsia="宋体" w:cs="宋体"/>
                <w:b w:val="0"/>
                <w:bCs w:val="0"/>
                <w:color w:val="auto"/>
                <w:sz w:val="24"/>
                <w:szCs w:val="24"/>
                <w:highlight w:val="none"/>
                <w:lang w:val="en-US" w:eastAsia="zh-CN"/>
              </w:rPr>
              <w:t>2.5</w:t>
            </w:r>
            <w:r>
              <w:rPr>
                <w:rFonts w:hint="eastAsia" w:ascii="宋体" w:hAnsi="宋体" w:eastAsia="宋体" w:cs="宋体"/>
                <w:b w:val="0"/>
                <w:bCs w:val="0"/>
                <w:color w:val="auto"/>
                <w:sz w:val="24"/>
                <w:szCs w:val="24"/>
                <w:highlight w:val="none"/>
              </w:rPr>
              <w:t xml:space="preserve"> 分。</w:t>
            </w:r>
          </w:p>
          <w:p>
            <w:pPr>
              <w:keepNext w:val="0"/>
              <w:keepLines w:val="0"/>
              <w:pageBreakBefore w:val="0"/>
              <w:widowControl w:val="0"/>
              <w:kinsoku/>
              <w:wordWrap/>
              <w:overflowPunct/>
              <w:topLinePunct w:val="0"/>
              <w:autoSpaceDE/>
              <w:autoSpaceDN/>
              <w:bidi w:val="0"/>
              <w:adjustRightInd/>
              <w:snapToGrid/>
              <w:spacing w:line="360" w:lineRule="auto"/>
              <w:ind w:right="6" w:rightChars="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以上奖项均未获得的，不予计分。</w:t>
            </w:r>
          </w:p>
          <w:p>
            <w:pPr>
              <w:keepNext w:val="0"/>
              <w:keepLines w:val="0"/>
              <w:pageBreakBefore w:val="0"/>
              <w:widowControl w:val="0"/>
              <w:kinsoku/>
              <w:wordWrap/>
              <w:overflowPunct/>
              <w:topLinePunct w:val="0"/>
              <w:autoSpaceDE/>
              <w:autoSpaceDN/>
              <w:bidi w:val="0"/>
              <w:adjustRightInd/>
              <w:snapToGrid/>
              <w:spacing w:line="360" w:lineRule="auto"/>
              <w:ind w:right="6" w:rightChars="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rPr>
              <w:t>5.本项最高得</w:t>
            </w: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分。</w:t>
            </w:r>
          </w:p>
        </w:tc>
        <w:tc>
          <w:tcPr>
            <w:tcW w:w="3349" w:type="dxa"/>
            <w:noWrap w:val="0"/>
            <w:vAlign w:val="center"/>
          </w:tcPr>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w:t>
            </w:r>
            <w:r>
              <w:rPr>
                <w:rFonts w:hint="eastAsia"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rPr>
              <w:t>允许投标人提交多个业绩，但同一业绩只按最高级别奖项计分一次。</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rPr>
              <w:t>2．需附有关奖项证明</w:t>
            </w:r>
            <w:r>
              <w:rPr>
                <w:rFonts w:hint="eastAsia" w:ascii="宋体" w:hAnsi="宋体" w:eastAsia="宋体" w:cs="宋体"/>
                <w:snapToGrid w:val="0"/>
                <w:color w:val="auto"/>
                <w:kern w:val="0"/>
                <w:sz w:val="24"/>
                <w:szCs w:val="24"/>
                <w:highlight w:val="none"/>
                <w:lang w:val="en-US" w:eastAsia="zh-CN"/>
              </w:rPr>
              <w:t>彩色扫描件。</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w:t>
            </w:r>
            <w:r>
              <w:rPr>
                <w:rFonts w:hint="eastAsia"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rPr>
              <w:t>颁发机构限定以下范围：</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color w:val="auto"/>
                <w:sz w:val="24"/>
                <w:szCs w:val="24"/>
                <w:highlight w:val="none"/>
                <w:u w:val="single"/>
              </w:rPr>
            </w:pPr>
            <w:r>
              <w:rPr>
                <w:rFonts w:hint="eastAsia" w:ascii="宋体" w:hAnsi="宋体" w:eastAsia="宋体" w:cs="宋体"/>
                <w:snapToGrid w:val="0"/>
                <w:color w:val="auto"/>
                <w:kern w:val="0"/>
                <w:sz w:val="24"/>
                <w:szCs w:val="24"/>
                <w:highlight w:val="none"/>
              </w:rPr>
              <w:t>①国家级奖项</w:t>
            </w:r>
            <w:r>
              <w:rPr>
                <w:rFonts w:hint="eastAsia" w:ascii="宋体" w:hAnsi="宋体" w:eastAsia="宋体" w:cs="宋体"/>
                <w:snapToGrid w:val="0"/>
                <w:color w:val="auto"/>
                <w:kern w:val="0"/>
                <w:sz w:val="24"/>
                <w:szCs w:val="24"/>
                <w:highlight w:val="none"/>
                <w:u w:val="none"/>
              </w:rPr>
              <w:t>：</w:t>
            </w:r>
            <w:r>
              <w:rPr>
                <w:rFonts w:hint="eastAsia" w:ascii="宋体" w:hAnsi="宋体" w:eastAsia="宋体" w:cs="宋体"/>
                <w:color w:val="auto"/>
                <w:sz w:val="24"/>
                <w:szCs w:val="24"/>
                <w:highlight w:val="none"/>
                <w:u w:val="single"/>
              </w:rPr>
              <w:t>国务院、住建部、经民政部门备案的国家级相关行业协会；</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color w:val="auto"/>
                <w:sz w:val="24"/>
                <w:szCs w:val="24"/>
                <w:highlight w:val="none"/>
                <w:u w:val="single"/>
              </w:rPr>
            </w:pPr>
            <w:r>
              <w:rPr>
                <w:rFonts w:hint="eastAsia" w:ascii="宋体" w:hAnsi="宋体" w:eastAsia="宋体" w:cs="宋体"/>
                <w:snapToGrid w:val="0"/>
                <w:color w:val="auto"/>
                <w:kern w:val="0"/>
                <w:sz w:val="24"/>
                <w:szCs w:val="24"/>
                <w:highlight w:val="none"/>
                <w:u w:val="none"/>
              </w:rPr>
              <w:t>②省级奖项：</w:t>
            </w:r>
            <w:r>
              <w:rPr>
                <w:rFonts w:hint="eastAsia" w:ascii="宋体" w:hAnsi="宋体" w:eastAsia="宋体" w:cs="宋体"/>
                <w:color w:val="auto"/>
                <w:sz w:val="24"/>
                <w:szCs w:val="24"/>
                <w:highlight w:val="none"/>
                <w:u w:val="single"/>
              </w:rPr>
              <w:t>省级人民政府、省级住建部门、经民政部门备案的省级相关行业协会；</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snapToGrid w:val="0"/>
                <w:color w:val="auto"/>
                <w:kern w:val="0"/>
                <w:sz w:val="24"/>
                <w:szCs w:val="24"/>
                <w:highlight w:val="none"/>
                <w:u w:val="single"/>
              </w:rPr>
            </w:pPr>
            <w:r>
              <w:rPr>
                <w:rFonts w:hint="eastAsia" w:ascii="宋体" w:hAnsi="宋体" w:eastAsia="宋体" w:cs="宋体"/>
                <w:snapToGrid w:val="0"/>
                <w:color w:val="auto"/>
                <w:kern w:val="0"/>
                <w:sz w:val="24"/>
                <w:szCs w:val="24"/>
                <w:highlight w:val="none"/>
                <w:u w:val="none"/>
              </w:rPr>
              <w:t>③地市级奖项：</w:t>
            </w:r>
            <w:r>
              <w:rPr>
                <w:rFonts w:hint="eastAsia" w:ascii="宋体" w:hAnsi="宋体" w:eastAsia="宋体" w:cs="宋体"/>
                <w:color w:val="auto"/>
                <w:sz w:val="24"/>
                <w:szCs w:val="24"/>
                <w:highlight w:val="none"/>
                <w:u w:val="single"/>
              </w:rPr>
              <w:t>地市级人民政府、地市级住建部门、经民政部门备案的市级相关行业协会。</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leftChars="0" w:right="0" w:rightChars="0" w:firstLine="0" w:firstLineChars="0"/>
              <w:textAlignment w:val="auto"/>
              <w:outlineLvl w:val="9"/>
              <w:rPr>
                <w:rFonts w:hint="eastAsia" w:ascii="宋体" w:hAnsi="宋体" w:eastAsia="宋体" w:cs="宋体"/>
                <w:caps w:val="0"/>
                <w:smallCaps w:val="0"/>
                <w:snapToGrid w:val="0"/>
                <w:color w:val="auto"/>
                <w:spacing w:val="0"/>
                <w:kern w:val="0"/>
                <w:sz w:val="24"/>
                <w:szCs w:val="24"/>
                <w:highlight w:val="none"/>
                <w:lang w:val="en-US" w:eastAsia="zh-CN"/>
              </w:rPr>
            </w:pPr>
            <w:r>
              <w:rPr>
                <w:rFonts w:hint="eastAsia" w:ascii="宋体" w:hAnsi="宋体" w:eastAsia="宋体" w:cs="宋体"/>
                <w:caps w:val="0"/>
                <w:smallCaps w:val="0"/>
                <w:snapToGrid w:val="0"/>
                <w:color w:val="auto"/>
                <w:spacing w:val="0"/>
                <w:kern w:val="0"/>
                <w:sz w:val="24"/>
                <w:szCs w:val="24"/>
                <w:highlight w:val="none"/>
                <w:lang w:val="en-US" w:eastAsia="zh-CN"/>
              </w:rPr>
              <w:t>4．获奖时间以奖项证明的落款日期为准。</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leftChars="0" w:right="0" w:rightChars="0" w:firstLine="0" w:firstLineChars="0"/>
              <w:textAlignment w:val="auto"/>
              <w:outlineLvl w:val="9"/>
              <w:rPr>
                <w:rFonts w:hint="eastAsia" w:ascii="宋体" w:hAnsi="宋体" w:eastAsia="宋体" w:cs="宋体"/>
                <w:caps w:val="0"/>
                <w:smallCaps w:val="0"/>
                <w:snapToGrid w:val="0"/>
                <w:color w:val="auto"/>
                <w:spacing w:val="0"/>
                <w:kern w:val="0"/>
                <w:sz w:val="24"/>
                <w:szCs w:val="24"/>
                <w:highlight w:val="none"/>
                <w:lang w:val="en-US" w:eastAsia="zh-CN"/>
              </w:rPr>
            </w:pPr>
            <w:r>
              <w:rPr>
                <w:rFonts w:hint="eastAsia" w:ascii="宋体" w:hAnsi="宋体" w:eastAsia="宋体" w:cs="宋体"/>
                <w:caps w:val="0"/>
                <w:smallCaps w:val="0"/>
                <w:snapToGrid w:val="0"/>
                <w:color w:val="auto"/>
                <w:spacing w:val="0"/>
                <w:kern w:val="0"/>
                <w:sz w:val="24"/>
                <w:szCs w:val="24"/>
                <w:highlight w:val="none"/>
                <w:lang w:val="en-US" w:eastAsia="zh-CN"/>
              </w:rPr>
              <w:t>5．任一奖项有以下情形之一的，该奖项视为无效，不予计分：</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①奖项不属于指定类别的；</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②颁发机构不符合要求的；</w:t>
            </w:r>
          </w:p>
          <w:p>
            <w:pPr>
              <w:pStyle w:val="7"/>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rPr>
              <w:t>③获奖时间不符合要求的。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735"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1466" w:type="dxa"/>
            <w:gridSpan w:val="3"/>
            <w:noWrap w:val="0"/>
            <w:vAlign w:val="top"/>
          </w:tcPr>
          <w:p>
            <w:pPr>
              <w:spacing w:before="55" w:line="360" w:lineRule="auto"/>
              <w:ind w:left="115" w:leftChars="0" w:right="98" w:rightChars="0"/>
              <w:jc w:val="center"/>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color w:val="auto"/>
                <w:spacing w:val="-3"/>
                <w:sz w:val="24"/>
                <w:szCs w:val="24"/>
              </w:rPr>
              <w:t>项目经理</w:t>
            </w:r>
            <w:r>
              <w:rPr>
                <w:rFonts w:hint="eastAsia" w:ascii="宋体" w:hAnsi="宋体" w:eastAsia="宋体" w:cs="宋体"/>
                <w:color w:val="auto"/>
                <w:spacing w:val="1"/>
                <w:sz w:val="24"/>
                <w:szCs w:val="24"/>
              </w:rPr>
              <w:t xml:space="preserve"> </w:t>
            </w:r>
            <w:r>
              <w:rPr>
                <w:rFonts w:hint="eastAsia" w:ascii="宋体" w:hAnsi="宋体" w:eastAsia="宋体" w:cs="宋体"/>
                <w:color w:val="auto"/>
                <w:spacing w:val="4"/>
                <w:sz w:val="24"/>
                <w:szCs w:val="24"/>
              </w:rPr>
              <w:t>综合素质</w:t>
            </w:r>
            <w:r>
              <w:rPr>
                <w:rFonts w:hint="eastAsia" w:ascii="宋体" w:hAnsi="宋体" w:eastAsia="宋体" w:cs="宋体"/>
                <w:color w:val="auto"/>
                <w:spacing w:val="23"/>
                <w:sz w:val="24"/>
                <w:szCs w:val="24"/>
              </w:rPr>
              <w:t>(5分)</w:t>
            </w:r>
          </w:p>
        </w:tc>
        <w:tc>
          <w:tcPr>
            <w:tcW w:w="3094" w:type="dxa"/>
            <w:noWrap w:val="0"/>
            <w:vAlign w:val="top"/>
          </w:tcPr>
          <w:p>
            <w:pPr>
              <w:spacing w:before="285" w:line="360" w:lineRule="auto"/>
              <w:rPr>
                <w:rFonts w:hint="eastAsia" w:ascii="宋体" w:hAnsi="宋体" w:eastAsia="宋体" w:cs="宋体"/>
                <w:color w:val="auto"/>
                <w:sz w:val="24"/>
                <w:szCs w:val="24"/>
              </w:rPr>
            </w:pPr>
            <w:r>
              <w:rPr>
                <w:rFonts w:hint="eastAsia" w:ascii="宋体" w:hAnsi="宋体" w:eastAsia="宋体" w:cs="宋体"/>
                <w:color w:val="auto"/>
                <w:spacing w:val="6"/>
                <w:sz w:val="24"/>
                <w:szCs w:val="24"/>
              </w:rPr>
              <w:t>项目经理工程类技术职称情况：</w:t>
            </w:r>
          </w:p>
          <w:p>
            <w:pPr>
              <w:spacing w:before="42" w:line="360" w:lineRule="auto"/>
              <w:ind w:right="15"/>
              <w:rPr>
                <w:rFonts w:hint="eastAsia" w:ascii="宋体" w:hAnsi="宋体" w:eastAsia="宋体" w:cs="宋体"/>
                <w:color w:val="auto"/>
                <w:sz w:val="24"/>
                <w:szCs w:val="24"/>
              </w:rPr>
            </w:pPr>
            <w:r>
              <w:rPr>
                <w:rFonts w:hint="eastAsia" w:ascii="宋体" w:hAnsi="宋体" w:eastAsia="宋体" w:cs="宋体"/>
                <w:color w:val="auto"/>
                <w:spacing w:val="6"/>
                <w:sz w:val="24"/>
                <w:szCs w:val="24"/>
              </w:rPr>
              <w:t>1.具备</w:t>
            </w:r>
            <w:r>
              <w:rPr>
                <w:rFonts w:hint="eastAsia" w:ascii="宋体" w:hAnsi="宋体" w:eastAsia="宋体" w:cs="宋体"/>
                <w:color w:val="auto"/>
                <w:spacing w:val="6"/>
                <w:sz w:val="24"/>
                <w:szCs w:val="24"/>
                <w:lang w:eastAsia="zh-CN"/>
              </w:rPr>
              <w:t>高级</w:t>
            </w:r>
            <w:r>
              <w:rPr>
                <w:rFonts w:hint="eastAsia" w:ascii="宋体" w:hAnsi="宋体" w:eastAsia="宋体" w:cs="宋体"/>
                <w:color w:val="auto"/>
                <w:spacing w:val="6"/>
                <w:sz w:val="24"/>
                <w:szCs w:val="24"/>
              </w:rPr>
              <w:t>工程师或以上职称的，得</w:t>
            </w:r>
            <w:r>
              <w:rPr>
                <w:rFonts w:hint="eastAsia" w:ascii="宋体" w:hAnsi="宋体" w:eastAsia="宋体" w:cs="宋体"/>
                <w:color w:val="auto"/>
                <w:spacing w:val="-64"/>
                <w:sz w:val="24"/>
                <w:szCs w:val="24"/>
                <w:u w:val="single"/>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56"/>
                <w:sz w:val="24"/>
                <w:szCs w:val="24"/>
                <w:u w:val="single"/>
              </w:rPr>
              <w:t xml:space="preserve"> </w:t>
            </w:r>
            <w:r>
              <w:rPr>
                <w:rFonts w:hint="eastAsia" w:ascii="宋体" w:hAnsi="宋体" w:eastAsia="宋体" w:cs="宋体"/>
                <w:color w:val="auto"/>
                <w:spacing w:val="6"/>
                <w:sz w:val="24"/>
                <w:szCs w:val="24"/>
                <w:u w:val="single"/>
              </w:rPr>
              <w:t>5</w:t>
            </w:r>
            <w:r>
              <w:rPr>
                <w:rFonts w:hint="eastAsia" w:ascii="宋体" w:hAnsi="宋体" w:eastAsia="宋体" w:cs="宋体"/>
                <w:color w:val="auto"/>
                <w:sz w:val="24"/>
                <w:szCs w:val="24"/>
              </w:rPr>
              <w:t xml:space="preserve"> </w:t>
            </w:r>
            <w:r>
              <w:rPr>
                <w:rFonts w:hint="eastAsia" w:ascii="宋体" w:hAnsi="宋体" w:eastAsia="宋体" w:cs="宋体"/>
                <w:color w:val="auto"/>
                <w:spacing w:val="-5"/>
                <w:sz w:val="24"/>
                <w:szCs w:val="24"/>
              </w:rPr>
              <w:t>分</w:t>
            </w:r>
            <w:r>
              <w:rPr>
                <w:rFonts w:hint="eastAsia" w:ascii="宋体" w:hAnsi="宋体" w:eastAsia="宋体" w:cs="宋体"/>
                <w:color w:val="auto"/>
                <w:spacing w:val="33"/>
                <w:sz w:val="24"/>
                <w:szCs w:val="24"/>
              </w:rPr>
              <w:t xml:space="preserve"> </w:t>
            </w:r>
            <w:r>
              <w:rPr>
                <w:rFonts w:hint="eastAsia" w:ascii="宋体" w:hAnsi="宋体" w:eastAsia="宋体" w:cs="宋体"/>
                <w:color w:val="auto"/>
                <w:spacing w:val="-5"/>
                <w:sz w:val="24"/>
                <w:szCs w:val="24"/>
              </w:rPr>
              <w:t>。</w:t>
            </w:r>
          </w:p>
          <w:p>
            <w:pPr>
              <w:spacing w:before="50" w:line="360" w:lineRule="auto"/>
              <w:rPr>
                <w:rFonts w:hint="eastAsia" w:ascii="宋体" w:hAnsi="宋体" w:eastAsia="宋体" w:cs="宋体"/>
                <w:color w:val="auto"/>
                <w:sz w:val="24"/>
                <w:szCs w:val="24"/>
              </w:rPr>
            </w:pPr>
            <w:r>
              <w:rPr>
                <w:rFonts w:hint="eastAsia" w:ascii="宋体" w:hAnsi="宋体" w:eastAsia="宋体" w:cs="宋体"/>
                <w:color w:val="auto"/>
                <w:spacing w:val="12"/>
                <w:sz w:val="24"/>
                <w:szCs w:val="24"/>
              </w:rPr>
              <w:t>2.具备工程师职称的，得</w:t>
            </w:r>
            <w:r>
              <w:rPr>
                <w:rFonts w:hint="eastAsia" w:ascii="宋体" w:hAnsi="宋体" w:eastAsia="宋体" w:cs="宋体"/>
                <w:color w:val="auto"/>
                <w:spacing w:val="34"/>
                <w:sz w:val="24"/>
                <w:szCs w:val="24"/>
                <w:u w:val="single"/>
              </w:rPr>
              <w:t xml:space="preserve"> </w:t>
            </w:r>
            <w:r>
              <w:rPr>
                <w:rFonts w:hint="eastAsia" w:ascii="宋体" w:hAnsi="宋体" w:eastAsia="宋体" w:cs="宋体"/>
                <w:color w:val="auto"/>
                <w:spacing w:val="12"/>
                <w:sz w:val="24"/>
                <w:szCs w:val="24"/>
                <w:u w:val="single"/>
              </w:rPr>
              <w:t>2</w:t>
            </w:r>
            <w:r>
              <w:rPr>
                <w:rFonts w:hint="eastAsia" w:ascii="宋体" w:hAnsi="宋体" w:eastAsia="宋体" w:cs="宋体"/>
                <w:color w:val="auto"/>
                <w:spacing w:val="12"/>
                <w:sz w:val="24"/>
                <w:szCs w:val="24"/>
              </w:rPr>
              <w:t>分。</w:t>
            </w:r>
          </w:p>
          <w:p>
            <w:pPr>
              <w:spacing w:before="50" w:line="360" w:lineRule="auto"/>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color w:val="auto"/>
                <w:spacing w:val="14"/>
                <w:sz w:val="24"/>
                <w:szCs w:val="24"/>
              </w:rPr>
              <w:t>3.不具备以上职称的，不予计分。</w:t>
            </w:r>
          </w:p>
        </w:tc>
        <w:tc>
          <w:tcPr>
            <w:tcW w:w="3349" w:type="dxa"/>
            <w:noWrap w:val="0"/>
            <w:vAlign w:val="center"/>
          </w:tcPr>
          <w:p>
            <w:pPr>
              <w:spacing w:before="55" w:line="360" w:lineRule="auto"/>
              <w:ind w:right="30" w:rightChars="0"/>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color w:val="auto"/>
                <w:sz w:val="24"/>
                <w:szCs w:val="24"/>
              </w:rPr>
              <w:t>需附职称证</w:t>
            </w:r>
            <w:r>
              <w:rPr>
                <w:rFonts w:hint="eastAsia" w:ascii="宋体" w:hAnsi="宋体" w:eastAsia="宋体" w:cs="宋体"/>
                <w:snapToGrid w:val="0"/>
                <w:color w:val="auto"/>
                <w:kern w:val="0"/>
                <w:sz w:val="24"/>
                <w:szCs w:val="24"/>
                <w:highlight w:val="none"/>
                <w:lang w:val="en-US" w:eastAsia="zh-CN"/>
              </w:rPr>
              <w:t>彩色扫描件</w:t>
            </w:r>
            <w:r>
              <w:rPr>
                <w:rFonts w:hint="eastAsia" w:ascii="宋体" w:hAnsi="宋体" w:cs="宋体"/>
                <w:snapToGrid w:val="0"/>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735"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1466" w:type="dxa"/>
            <w:gridSpan w:val="3"/>
            <w:noWrap w:val="0"/>
            <w:vAlign w:val="center"/>
          </w:tcPr>
          <w:p>
            <w:pPr>
              <w:pStyle w:val="7"/>
              <w:wordWrap w:val="0"/>
              <w:adjustRightInd w:val="0"/>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企业业绩</w:t>
            </w:r>
          </w:p>
          <w:p>
            <w:pPr>
              <w:pStyle w:val="7"/>
              <w:wordWrap w:val="0"/>
              <w:adjustRightInd w:val="0"/>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snapToGrid w:val="0"/>
                <w:color w:val="auto"/>
                <w:kern w:val="0"/>
                <w:sz w:val="24"/>
                <w:szCs w:val="24"/>
              </w:rPr>
              <w:t>（</w:t>
            </w:r>
            <w:r>
              <w:rPr>
                <w:rFonts w:hint="eastAsia" w:ascii="宋体" w:hAnsi="宋体" w:eastAsia="宋体" w:cs="宋体"/>
                <w:snapToGrid w:val="0"/>
                <w:color w:val="auto"/>
                <w:kern w:val="0"/>
                <w:sz w:val="24"/>
                <w:szCs w:val="24"/>
                <w:lang w:val="en-US" w:eastAsia="zh-CN"/>
              </w:rPr>
              <w:t>10</w:t>
            </w:r>
            <w:r>
              <w:rPr>
                <w:rFonts w:hint="eastAsia" w:ascii="宋体" w:hAnsi="宋体" w:eastAsia="宋体" w:cs="宋体"/>
                <w:snapToGrid w:val="0"/>
                <w:color w:val="auto"/>
                <w:kern w:val="0"/>
                <w:sz w:val="24"/>
                <w:szCs w:val="24"/>
              </w:rPr>
              <w:t>分）</w:t>
            </w:r>
          </w:p>
        </w:tc>
        <w:tc>
          <w:tcPr>
            <w:tcW w:w="3094" w:type="dxa"/>
            <w:noWrap w:val="0"/>
            <w:vAlign w:val="center"/>
          </w:tcPr>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企业近</w:t>
            </w:r>
            <w:r>
              <w:rPr>
                <w:rFonts w:hint="eastAsia" w:ascii="宋体" w:hAnsi="宋体" w:eastAsia="宋体" w:cs="宋体"/>
                <w:snapToGrid w:val="0"/>
                <w:color w:val="auto"/>
                <w:kern w:val="0"/>
                <w:sz w:val="24"/>
                <w:szCs w:val="24"/>
                <w:u w:val="single"/>
              </w:rPr>
              <w:t xml:space="preserve"> 5 </w:t>
            </w:r>
            <w:r>
              <w:rPr>
                <w:rFonts w:hint="eastAsia" w:ascii="宋体" w:hAnsi="宋体" w:eastAsia="宋体" w:cs="宋体"/>
                <w:snapToGrid w:val="0"/>
                <w:color w:val="auto"/>
                <w:kern w:val="0"/>
                <w:sz w:val="24"/>
                <w:szCs w:val="24"/>
              </w:rPr>
              <w:t>年来（2019年1月1日至今）业绩情况：</w:t>
            </w:r>
          </w:p>
          <w:p>
            <w:pPr>
              <w:pStyle w:val="7"/>
              <w:numPr>
                <w:ilvl w:val="0"/>
                <w:numId w:val="3"/>
              </w:numPr>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u w:val="single"/>
              </w:rPr>
              <w:t>承接</w:t>
            </w:r>
            <w:r>
              <w:rPr>
                <w:rFonts w:hint="eastAsia" w:ascii="宋体" w:hAnsi="宋体" w:eastAsia="宋体" w:cs="宋体"/>
                <w:snapToGrid w:val="0"/>
                <w:color w:val="auto"/>
                <w:kern w:val="0"/>
                <w:sz w:val="24"/>
                <w:szCs w:val="24"/>
              </w:rPr>
              <w:t>过类似工程的，每个得</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u w:val="single"/>
                <w:lang w:val="en-US" w:eastAsia="zh-CN"/>
              </w:rPr>
              <w:t>2</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分。</w:t>
            </w:r>
          </w:p>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w:t>
            </w:r>
            <w:r>
              <w:rPr>
                <w:rFonts w:hint="eastAsia" w:ascii="宋体" w:hAnsi="宋体" w:eastAsia="宋体" w:cs="宋体"/>
                <w:snapToGrid w:val="0"/>
                <w:color w:val="auto"/>
                <w:kern w:val="0"/>
                <w:sz w:val="24"/>
                <w:szCs w:val="24"/>
                <w:u w:val="single"/>
              </w:rPr>
              <w:t>未承接</w:t>
            </w:r>
            <w:r>
              <w:rPr>
                <w:rFonts w:hint="eastAsia" w:ascii="宋体" w:hAnsi="宋体" w:eastAsia="宋体" w:cs="宋体"/>
                <w:snapToGrid w:val="0"/>
                <w:color w:val="auto"/>
                <w:kern w:val="0"/>
                <w:sz w:val="24"/>
                <w:szCs w:val="24"/>
              </w:rPr>
              <w:t>过类似工程的，不予计分。</w:t>
            </w:r>
          </w:p>
          <w:p>
            <w:pPr>
              <w:pStyle w:val="7"/>
              <w:wordWrap w:val="0"/>
              <w:adjustRightInd w:val="0"/>
              <w:snapToGrid w:val="0"/>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snapToGrid w:val="0"/>
                <w:color w:val="auto"/>
                <w:kern w:val="0"/>
                <w:sz w:val="24"/>
                <w:szCs w:val="24"/>
              </w:rPr>
              <w:t>3.本项最高得</w:t>
            </w:r>
            <w:r>
              <w:rPr>
                <w:rFonts w:hint="eastAsia" w:ascii="宋体" w:hAnsi="宋体" w:eastAsia="宋体" w:cs="宋体"/>
                <w:snapToGrid w:val="0"/>
                <w:color w:val="auto"/>
                <w:kern w:val="0"/>
                <w:sz w:val="24"/>
                <w:szCs w:val="24"/>
                <w:lang w:val="en-US" w:eastAsia="zh-CN"/>
              </w:rPr>
              <w:t>10</w:t>
            </w:r>
            <w:r>
              <w:rPr>
                <w:rFonts w:hint="eastAsia" w:ascii="宋体" w:hAnsi="宋体" w:eastAsia="宋体" w:cs="宋体"/>
                <w:snapToGrid w:val="0"/>
                <w:color w:val="auto"/>
                <w:kern w:val="0"/>
                <w:sz w:val="24"/>
                <w:szCs w:val="24"/>
              </w:rPr>
              <w:t>分。</w:t>
            </w:r>
          </w:p>
        </w:tc>
        <w:tc>
          <w:tcPr>
            <w:tcW w:w="3349" w:type="dxa"/>
            <w:noWrap w:val="0"/>
            <w:vAlign w:val="center"/>
          </w:tcPr>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1.类似工程指：</w:t>
            </w:r>
            <w:r>
              <w:rPr>
                <w:rFonts w:hint="eastAsia" w:ascii="宋体" w:hAnsi="宋体" w:eastAsia="宋体" w:cs="宋体"/>
                <w:snapToGrid w:val="0"/>
                <w:color w:val="auto"/>
                <w:kern w:val="0"/>
                <w:sz w:val="24"/>
                <w:szCs w:val="24"/>
                <w:u w:val="single"/>
              </w:rPr>
              <w:t>工程项目</w:t>
            </w:r>
            <w:r>
              <w:rPr>
                <w:rFonts w:hint="eastAsia" w:ascii="宋体" w:hAnsi="宋体" w:eastAsia="宋体" w:cs="宋体"/>
                <w:snapToGrid w:val="0"/>
                <w:color w:val="auto"/>
                <w:kern w:val="0"/>
                <w:sz w:val="24"/>
                <w:szCs w:val="24"/>
                <w:u w:val="single"/>
                <w:lang w:eastAsia="zh-CN"/>
              </w:rPr>
              <w:t>总投资≥</w:t>
            </w:r>
            <w:r>
              <w:rPr>
                <w:rFonts w:hint="eastAsia" w:ascii="宋体" w:hAnsi="宋体" w:eastAsia="宋体" w:cs="宋体"/>
                <w:snapToGrid w:val="0"/>
                <w:color w:val="auto"/>
                <w:kern w:val="0"/>
                <w:sz w:val="24"/>
                <w:szCs w:val="24"/>
                <w:u w:val="single"/>
              </w:rPr>
              <w:t>5000万元的房建类或市政类工程项目</w:t>
            </w:r>
            <w:r>
              <w:rPr>
                <w:rFonts w:hint="eastAsia" w:ascii="宋体" w:hAnsi="宋体" w:eastAsia="宋体" w:cs="宋体"/>
                <w:snapToGrid w:val="0"/>
                <w:color w:val="auto"/>
                <w:kern w:val="0"/>
                <w:sz w:val="24"/>
                <w:szCs w:val="24"/>
              </w:rPr>
              <w:t>。</w:t>
            </w:r>
          </w:p>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2.需附有关业绩合同协议书的彩色扫描件</w:t>
            </w:r>
          </w:p>
          <w:p>
            <w:pPr>
              <w:pStyle w:val="7"/>
              <w:wordWrap w:val="0"/>
              <w:adjustRightInd w:val="0"/>
              <w:snapToGrid w:val="0"/>
              <w:spacing w:line="360" w:lineRule="auto"/>
              <w:rPr>
                <w:rFonts w:hint="eastAsia" w:ascii="宋体" w:hAnsi="宋体" w:eastAsia="宋体" w:cs="宋体"/>
                <w:i/>
                <w:iCs/>
                <w:snapToGrid w:val="0"/>
                <w:color w:val="auto"/>
                <w:kern w:val="0"/>
                <w:sz w:val="24"/>
                <w:szCs w:val="24"/>
              </w:rPr>
            </w:pPr>
            <w:r>
              <w:rPr>
                <w:rFonts w:hint="eastAsia" w:ascii="宋体" w:hAnsi="宋体" w:eastAsia="宋体" w:cs="宋体"/>
                <w:snapToGrid w:val="0"/>
                <w:color w:val="auto"/>
                <w:kern w:val="0"/>
                <w:sz w:val="24"/>
                <w:szCs w:val="24"/>
              </w:rPr>
              <w:t>3.业绩时间以合同协议书日期为准。</w:t>
            </w:r>
          </w:p>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4.任一业绩有以下情形之一的，该业绩视为无效，不予计分：</w:t>
            </w:r>
          </w:p>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①业绩不属于类似工程的；</w:t>
            </w:r>
          </w:p>
          <w:p>
            <w:pPr>
              <w:pStyle w:val="7"/>
              <w:wordWrap w:val="0"/>
              <w:adjustRightInd w:val="0"/>
              <w:snapToGrid w:val="0"/>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snapToGrid w:val="0"/>
                <w:color w:val="auto"/>
                <w:kern w:val="0"/>
                <w:sz w:val="24"/>
                <w:szCs w:val="24"/>
              </w:rPr>
              <w:t>②业绩时间不符合要求的。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735"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1466" w:type="dxa"/>
            <w:gridSpan w:val="3"/>
            <w:noWrap w:val="0"/>
            <w:vAlign w:val="center"/>
          </w:tcPr>
          <w:p>
            <w:pPr>
              <w:spacing w:before="56" w:line="360" w:lineRule="auto"/>
              <w:jc w:val="center"/>
              <w:rPr>
                <w:rFonts w:hint="eastAsia" w:ascii="宋体" w:hAnsi="宋体" w:eastAsia="宋体" w:cs="宋体"/>
                <w:color w:val="auto"/>
                <w:sz w:val="24"/>
                <w:szCs w:val="24"/>
              </w:rPr>
            </w:pPr>
            <w:r>
              <w:rPr>
                <w:rFonts w:hint="eastAsia" w:ascii="宋体" w:hAnsi="宋体" w:eastAsia="宋体" w:cs="宋体"/>
                <w:color w:val="auto"/>
                <w:spacing w:val="-2"/>
                <w:sz w:val="24"/>
                <w:szCs w:val="24"/>
              </w:rPr>
              <w:t>企业管理</w:t>
            </w:r>
          </w:p>
          <w:p>
            <w:pPr>
              <w:tabs>
                <w:tab w:val="left" w:pos="166"/>
              </w:tabs>
              <w:spacing w:before="41" w:line="360" w:lineRule="auto"/>
              <w:ind w:left="75"/>
              <w:jc w:val="center"/>
              <w:rPr>
                <w:rFonts w:hint="eastAsia" w:ascii="宋体" w:hAnsi="宋体" w:eastAsia="宋体" w:cs="宋体"/>
                <w:color w:val="auto"/>
                <w:sz w:val="24"/>
                <w:szCs w:val="24"/>
              </w:rPr>
            </w:pPr>
            <w:r>
              <w:rPr>
                <w:rFonts w:hint="eastAsia" w:ascii="宋体" w:hAnsi="宋体" w:eastAsia="宋体" w:cs="宋体"/>
                <w:color w:val="auto"/>
                <w:spacing w:val="-2"/>
                <w:sz w:val="24"/>
                <w:szCs w:val="24"/>
              </w:rPr>
              <w:t>体系认证</w:t>
            </w:r>
          </w:p>
          <w:p>
            <w:pPr>
              <w:spacing w:before="63" w:line="360" w:lineRule="auto"/>
              <w:ind w:left="205" w:leftChars="0"/>
              <w:jc w:val="center"/>
              <w:rPr>
                <w:rFonts w:hint="eastAsia" w:ascii="宋体" w:hAnsi="宋体" w:eastAsia="宋体" w:cs="宋体"/>
                <w:color w:val="0000FF"/>
                <w:kern w:val="2"/>
                <w:sz w:val="24"/>
                <w:szCs w:val="24"/>
                <w:lang w:val="en-US" w:eastAsia="zh-CN" w:bidi="ar-SA"/>
              </w:rPr>
            </w:pPr>
            <w:r>
              <w:rPr>
                <w:rFonts w:hint="eastAsia" w:ascii="宋体" w:hAnsi="宋体" w:eastAsia="宋体" w:cs="宋体"/>
                <w:color w:val="auto"/>
                <w:spacing w:val="7"/>
                <w:sz w:val="24"/>
                <w:szCs w:val="24"/>
              </w:rPr>
              <w:t>(</w:t>
            </w:r>
            <w:r>
              <w:rPr>
                <w:rFonts w:hint="eastAsia" w:ascii="宋体" w:hAnsi="宋体" w:eastAsia="宋体" w:cs="宋体"/>
                <w:color w:val="auto"/>
                <w:spacing w:val="7"/>
                <w:sz w:val="24"/>
                <w:szCs w:val="24"/>
                <w:lang w:val="en-US" w:eastAsia="zh-CN"/>
              </w:rPr>
              <w:t>6</w:t>
            </w:r>
            <w:r>
              <w:rPr>
                <w:rFonts w:hint="eastAsia" w:ascii="宋体" w:hAnsi="宋体" w:eastAsia="宋体" w:cs="宋体"/>
                <w:color w:val="auto"/>
                <w:spacing w:val="7"/>
                <w:sz w:val="24"/>
                <w:szCs w:val="24"/>
              </w:rPr>
              <w:t>分)</w:t>
            </w:r>
          </w:p>
        </w:tc>
        <w:tc>
          <w:tcPr>
            <w:tcW w:w="3094" w:type="dxa"/>
            <w:noWrap w:val="0"/>
            <w:vAlign w:val="top"/>
          </w:tcPr>
          <w:p>
            <w:pPr>
              <w:spacing w:before="52"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pacing w:val="4"/>
                <w:sz w:val="24"/>
                <w:szCs w:val="24"/>
                <w:lang w:val="en-US" w:eastAsia="zh-CN"/>
              </w:rPr>
              <w:t>1.</w:t>
            </w:r>
            <w:r>
              <w:rPr>
                <w:rFonts w:hint="eastAsia" w:ascii="宋体" w:hAnsi="宋体" w:eastAsia="宋体" w:cs="宋体"/>
                <w:color w:val="auto"/>
                <w:spacing w:val="4"/>
                <w:sz w:val="24"/>
                <w:szCs w:val="24"/>
              </w:rPr>
              <w:t>质量管理体系认证、职业健康安全管理体系认证、环境管理体</w:t>
            </w:r>
            <w:r>
              <w:rPr>
                <w:rFonts w:hint="eastAsia" w:ascii="宋体" w:hAnsi="宋体" w:eastAsia="宋体" w:cs="宋体"/>
                <w:sz w:val="24"/>
                <w:szCs w:val="24"/>
              </w:rPr>
              <w:t xml:space="preserve">系认证证书体系认证证书 </w:t>
            </w:r>
            <w:r>
              <w:rPr>
                <w:rFonts w:hint="eastAsia" w:ascii="宋体" w:hAnsi="宋体" w:eastAsia="宋体" w:cs="宋体"/>
                <w:sz w:val="24"/>
                <w:szCs w:val="24"/>
                <w:lang w:eastAsia="zh-CN"/>
              </w:rPr>
              <w:t>，每获得一项认证得</w:t>
            </w:r>
            <w:r>
              <w:rPr>
                <w:rFonts w:hint="eastAsia" w:ascii="宋体" w:hAnsi="宋体" w:eastAsia="宋体" w:cs="宋体"/>
                <w:sz w:val="24"/>
                <w:szCs w:val="24"/>
                <w:lang w:val="en-US" w:eastAsia="zh-CN"/>
              </w:rPr>
              <w:t>2分，最高得6分。</w:t>
            </w:r>
          </w:p>
          <w:p>
            <w:pPr>
              <w:spacing w:before="56" w:line="360" w:lineRule="auto"/>
              <w:rPr>
                <w:rFonts w:hint="eastAsia" w:ascii="宋体" w:hAnsi="宋体" w:eastAsia="宋体" w:cs="宋体"/>
                <w:snapToGrid w:val="0"/>
                <w:color w:val="0000FF"/>
                <w:kern w:val="0"/>
                <w:sz w:val="24"/>
                <w:szCs w:val="24"/>
                <w:lang w:val="en-US" w:eastAsia="zh-CN" w:bidi="ar-SA"/>
              </w:rPr>
            </w:pPr>
            <w:r>
              <w:rPr>
                <w:rFonts w:hint="eastAsia" w:ascii="宋体" w:hAnsi="宋体" w:eastAsia="宋体" w:cs="宋体"/>
                <w:color w:val="auto"/>
                <w:spacing w:val="9"/>
                <w:sz w:val="24"/>
                <w:szCs w:val="24"/>
                <w:lang w:val="en-US" w:eastAsia="zh-CN"/>
              </w:rPr>
              <w:t>2.</w:t>
            </w:r>
            <w:r>
              <w:rPr>
                <w:rFonts w:hint="eastAsia" w:ascii="宋体" w:hAnsi="宋体" w:eastAsia="宋体" w:cs="宋体"/>
                <w:color w:val="auto"/>
                <w:spacing w:val="9"/>
                <w:sz w:val="24"/>
                <w:szCs w:val="24"/>
                <w:lang w:eastAsia="zh-CN"/>
              </w:rPr>
              <w:t>未获得以上认证的，不予计分</w:t>
            </w:r>
            <w:r>
              <w:rPr>
                <w:rFonts w:hint="eastAsia" w:ascii="宋体" w:hAnsi="宋体" w:eastAsia="宋体" w:cs="宋体"/>
                <w:color w:val="auto"/>
                <w:spacing w:val="9"/>
                <w:sz w:val="24"/>
                <w:szCs w:val="24"/>
              </w:rPr>
              <w:t>。</w:t>
            </w:r>
          </w:p>
        </w:tc>
        <w:tc>
          <w:tcPr>
            <w:tcW w:w="3349" w:type="dxa"/>
            <w:noWrap w:val="0"/>
            <w:vAlign w:val="top"/>
          </w:tcPr>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1．需附在有效期内的认证证书彩色扫描件。</w:t>
            </w:r>
          </w:p>
          <w:p>
            <w:pPr>
              <w:pStyle w:val="7"/>
              <w:wordWrap w:val="0"/>
              <w:adjustRightInd w:val="0"/>
              <w:snapToGrid w:val="0"/>
              <w:spacing w:line="360" w:lineRule="auto"/>
              <w:rPr>
                <w:rFonts w:hint="eastAsia" w:ascii="宋体" w:hAnsi="宋体" w:eastAsia="宋体" w:cs="宋体"/>
                <w:snapToGrid w:val="0"/>
                <w:color w:val="0000FF"/>
                <w:kern w:val="0"/>
                <w:sz w:val="24"/>
                <w:szCs w:val="24"/>
                <w:lang w:val="en-US" w:eastAsia="zh-CN" w:bidi="ar-SA"/>
              </w:rPr>
            </w:pPr>
            <w:r>
              <w:rPr>
                <w:rFonts w:hint="eastAsia" w:ascii="宋体" w:hAnsi="宋体" w:eastAsia="宋体" w:cs="宋体"/>
                <w:snapToGrid w:val="0"/>
                <w:color w:val="auto"/>
                <w:kern w:val="0"/>
                <w:sz w:val="24"/>
                <w:szCs w:val="24"/>
              </w:rPr>
              <w:t>2．认证证书不在有效期内的，该认证证书视为无效，不予计分。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735"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1466" w:type="dxa"/>
            <w:gridSpan w:val="3"/>
            <w:noWrap w:val="0"/>
            <w:vAlign w:val="center"/>
          </w:tcPr>
          <w:p>
            <w:pPr>
              <w:pStyle w:val="7"/>
              <w:wordWrap w:val="0"/>
              <w:adjustRightInd w:val="0"/>
              <w:snapToGrid w:val="0"/>
              <w:spacing w:line="360" w:lineRule="auto"/>
              <w:jc w:val="center"/>
              <w:rPr>
                <w:rFonts w:hint="eastAsia" w:ascii="宋体" w:hAnsi="宋体" w:eastAsia="宋体" w:cs="宋体"/>
                <w:strike/>
                <w:snapToGrid w:val="0"/>
                <w:color w:val="auto"/>
                <w:kern w:val="0"/>
                <w:sz w:val="24"/>
                <w:szCs w:val="24"/>
              </w:rPr>
            </w:pPr>
            <w:r>
              <w:rPr>
                <w:rFonts w:hint="eastAsia" w:ascii="宋体" w:hAnsi="宋体" w:eastAsia="宋体" w:cs="宋体"/>
                <w:snapToGrid w:val="0"/>
                <w:color w:val="auto"/>
                <w:kern w:val="0"/>
                <w:sz w:val="24"/>
                <w:szCs w:val="24"/>
                <w:lang w:bidi="ar"/>
              </w:rPr>
              <w:t>企业财务状况</w:t>
            </w:r>
          </w:p>
          <w:p>
            <w:pPr>
              <w:pStyle w:val="7"/>
              <w:wordWrap w:val="0"/>
              <w:adjustRightInd w:val="0"/>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snapToGrid w:val="0"/>
                <w:color w:val="auto"/>
                <w:kern w:val="0"/>
                <w:sz w:val="24"/>
                <w:szCs w:val="24"/>
                <w:lang w:bidi="ar"/>
              </w:rPr>
              <w:t>（3分）</w:t>
            </w:r>
          </w:p>
        </w:tc>
        <w:tc>
          <w:tcPr>
            <w:tcW w:w="3094" w:type="dxa"/>
            <w:noWrap w:val="0"/>
            <w:vAlign w:val="center"/>
          </w:tcPr>
          <w:p>
            <w:pPr>
              <w:pStyle w:val="30"/>
              <w:wordWrap w:val="0"/>
              <w:adjustRightInd w:val="0"/>
              <w:snapToGri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1.提供投标人基本账户在本项目招标公告发布之日起至投标截止时间期间出现过至少连续 3 日不少于</w:t>
            </w:r>
            <w:r>
              <w:rPr>
                <w:rFonts w:hint="eastAsia" w:ascii="宋体" w:hAnsi="宋体" w:eastAsia="宋体" w:cs="宋体"/>
                <w:snapToGrid w:val="0"/>
                <w:color w:val="auto"/>
                <w:kern w:val="0"/>
                <w:sz w:val="24"/>
                <w:szCs w:val="24"/>
                <w:u w:val="single"/>
                <w:lang w:val="en-US" w:eastAsia="zh-CN"/>
              </w:rPr>
              <w:t>400</w:t>
            </w:r>
            <w:r>
              <w:rPr>
                <w:rFonts w:hint="eastAsia" w:ascii="宋体" w:hAnsi="宋体" w:eastAsia="宋体" w:cs="宋体"/>
                <w:snapToGrid w:val="0"/>
                <w:color w:val="auto"/>
                <w:kern w:val="0"/>
                <w:sz w:val="24"/>
                <w:szCs w:val="24"/>
                <w:u w:val="single"/>
              </w:rPr>
              <w:t>万元</w:t>
            </w:r>
            <w:r>
              <w:rPr>
                <w:rFonts w:hint="eastAsia" w:ascii="宋体" w:hAnsi="宋体" w:eastAsia="宋体" w:cs="宋体"/>
                <w:snapToGrid w:val="0"/>
                <w:color w:val="auto"/>
                <w:kern w:val="0"/>
                <w:sz w:val="24"/>
                <w:szCs w:val="24"/>
              </w:rPr>
              <w:t>存款余额资金流水证明的，得3分。</w:t>
            </w:r>
          </w:p>
          <w:p>
            <w:pPr>
              <w:pStyle w:val="30"/>
              <w:wordWrap w:val="0"/>
              <w:adjustRightInd w:val="0"/>
              <w:snapToGrid w:val="0"/>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snapToGrid w:val="0"/>
                <w:color w:val="auto"/>
                <w:kern w:val="0"/>
                <w:sz w:val="24"/>
                <w:szCs w:val="24"/>
              </w:rPr>
              <w:t>2.未提供证明的，不予计分。</w:t>
            </w:r>
          </w:p>
        </w:tc>
        <w:tc>
          <w:tcPr>
            <w:tcW w:w="3349" w:type="dxa"/>
            <w:noWrap w:val="0"/>
            <w:vAlign w:val="center"/>
          </w:tcPr>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1.需附①基本账户开户许可证或基本存款账户开户银行出具的《基本存款账户信息》彩色扫描件、②存款余额资金流水证明彩色扫描件。</w:t>
            </w:r>
          </w:p>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2.存款余额资金流水证明有以下情形之一的，视为无效，不予计分：</w:t>
            </w:r>
          </w:p>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①存款账户不是基本账户的；</w:t>
            </w:r>
          </w:p>
          <w:p>
            <w:pPr>
              <w:pStyle w:val="7"/>
              <w:wordWrap w:val="0"/>
              <w:adjustRightInd w:val="0"/>
              <w:snapToGrid w:val="0"/>
              <w:spacing w:line="360" w:lineRule="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②存款时间不符合要求的；</w:t>
            </w:r>
          </w:p>
          <w:p>
            <w:pPr>
              <w:pStyle w:val="7"/>
              <w:wordWrap w:val="0"/>
              <w:adjustRightInd w:val="0"/>
              <w:snapToGrid w:val="0"/>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snapToGrid w:val="0"/>
                <w:color w:val="auto"/>
                <w:kern w:val="0"/>
                <w:sz w:val="24"/>
                <w:szCs w:val="24"/>
              </w:rPr>
              <w:t>③存款额度不符合要求的。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8"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735" w:type="dxa"/>
            <w:vMerge w:val="restart"/>
            <w:noWrap w:val="0"/>
            <w:vAlign w:val="center"/>
          </w:tcPr>
          <w:p>
            <w:pPr>
              <w:widowControl/>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勘察企业（</w:t>
            </w:r>
            <w:r>
              <w:rPr>
                <w:rFonts w:hint="eastAsia" w:ascii="宋体" w:hAnsi="宋体" w:eastAsia="宋体" w:cs="宋体"/>
                <w:color w:val="auto"/>
                <w:kern w:val="0"/>
                <w:sz w:val="24"/>
                <w:szCs w:val="24"/>
                <w:lang w:val="en-US" w:eastAsia="zh-CN"/>
              </w:rPr>
              <w:t>5分</w:t>
            </w:r>
            <w:r>
              <w:rPr>
                <w:rFonts w:hint="eastAsia" w:ascii="宋体" w:hAnsi="宋体" w:eastAsia="宋体" w:cs="宋体"/>
                <w:color w:val="auto"/>
                <w:kern w:val="0"/>
                <w:sz w:val="24"/>
                <w:szCs w:val="24"/>
                <w:lang w:eastAsia="zh-CN"/>
              </w:rPr>
              <w:t>）</w:t>
            </w:r>
          </w:p>
        </w:tc>
        <w:tc>
          <w:tcPr>
            <w:tcW w:w="1466" w:type="dxa"/>
            <w:gridSpan w:val="3"/>
            <w:noWrap w:val="0"/>
            <w:vAlign w:val="center"/>
          </w:tcPr>
          <w:p>
            <w:pPr>
              <w:spacing w:beforeLines="0" w:afterLines="0" w:line="360" w:lineRule="auto"/>
              <w:jc w:val="center"/>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highlight w:val="none"/>
                <w:lang w:val="en-US" w:eastAsia="zh-CN"/>
              </w:rPr>
              <w:t>勘察单位业绩（2分）</w:t>
            </w:r>
          </w:p>
        </w:tc>
        <w:tc>
          <w:tcPr>
            <w:tcW w:w="3094" w:type="dxa"/>
            <w:noWrap w:val="0"/>
            <w:vAlign w:val="center"/>
          </w:tcPr>
          <w:p>
            <w:pPr>
              <w:pStyle w:val="7"/>
              <w:keepNext w:val="0"/>
              <w:keepLines w:val="0"/>
              <w:pageBreakBefore w:val="0"/>
              <w:kinsoku/>
              <w:wordWrap w:val="0"/>
              <w:overflowPunct/>
              <w:topLinePunct w:val="0"/>
              <w:autoSpaceDE/>
              <w:autoSpaceDN/>
              <w:bidi w:val="0"/>
              <w:adjustRightInd w:val="0"/>
              <w:snapToGrid w:val="0"/>
              <w:spacing w:beforeLines="0" w:after="0" w:line="360" w:lineRule="auto"/>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lang w:val="en-US" w:eastAsia="zh-CN"/>
              </w:rPr>
              <w:t>勘察单位近5年来（2019年1月1日至今）</w:t>
            </w:r>
            <w:r>
              <w:rPr>
                <w:rFonts w:hint="eastAsia" w:ascii="宋体" w:hAnsi="宋体" w:eastAsia="宋体" w:cs="宋体"/>
                <w:color w:val="auto"/>
                <w:kern w:val="0"/>
                <w:sz w:val="24"/>
                <w:szCs w:val="24"/>
                <w:highlight w:val="none"/>
              </w:rPr>
              <w:t>业绩情况</w:t>
            </w:r>
            <w:r>
              <w:rPr>
                <w:rFonts w:hint="eastAsia" w:ascii="宋体" w:hAnsi="宋体" w:eastAsia="宋体" w:cs="宋体"/>
                <w:color w:val="auto"/>
                <w:kern w:val="0"/>
                <w:sz w:val="24"/>
                <w:szCs w:val="24"/>
                <w:highlight w:val="none"/>
                <w:lang w:eastAsia="zh-CN"/>
              </w:rPr>
              <w:t>：</w:t>
            </w:r>
          </w:p>
          <w:p>
            <w:pPr>
              <w:pStyle w:val="30"/>
              <w:spacing w:beforeLines="0" w:afterLines="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承接过</w:t>
            </w:r>
            <w:r>
              <w:rPr>
                <w:rFonts w:hint="eastAsia" w:ascii="宋体" w:hAnsi="宋体" w:eastAsia="宋体" w:cs="宋体"/>
                <w:color w:val="auto"/>
                <w:kern w:val="0"/>
                <w:sz w:val="24"/>
                <w:szCs w:val="24"/>
                <w:highlight w:val="none"/>
              </w:rPr>
              <w:t>类似工程的，每个得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p>
          <w:p>
            <w:pPr>
              <w:pStyle w:val="30"/>
              <w:spacing w:beforeLines="0" w:afterLines="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2．未</w:t>
            </w:r>
            <w:r>
              <w:rPr>
                <w:rFonts w:hint="eastAsia" w:ascii="宋体" w:hAnsi="宋体" w:eastAsia="宋体" w:cs="宋体"/>
                <w:color w:val="auto"/>
                <w:kern w:val="0"/>
                <w:sz w:val="24"/>
                <w:szCs w:val="24"/>
                <w:highlight w:val="none"/>
                <w:lang w:val="en-US" w:eastAsia="zh-CN"/>
              </w:rPr>
              <w:t>承接过</w:t>
            </w:r>
            <w:r>
              <w:rPr>
                <w:rFonts w:hint="eastAsia" w:ascii="宋体" w:hAnsi="宋体" w:eastAsia="宋体" w:cs="宋体"/>
                <w:color w:val="auto"/>
                <w:kern w:val="0"/>
                <w:sz w:val="24"/>
                <w:szCs w:val="24"/>
                <w:highlight w:val="none"/>
              </w:rPr>
              <w:t>类似工程的，不予计分。</w:t>
            </w:r>
          </w:p>
          <w:p>
            <w:pPr>
              <w:pStyle w:val="7"/>
              <w:keepNext w:val="0"/>
              <w:keepLines w:val="0"/>
              <w:pageBreakBefore w:val="0"/>
              <w:kinsoku/>
              <w:wordWrap w:val="0"/>
              <w:overflowPunct/>
              <w:topLinePunct w:val="0"/>
              <w:autoSpaceDE/>
              <w:autoSpaceDN/>
              <w:bidi w:val="0"/>
              <w:adjustRightInd w:val="0"/>
              <w:snapToGrid w:val="0"/>
              <w:spacing w:beforeLines="0" w:after="0" w:line="360" w:lineRule="auto"/>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highlight w:val="none"/>
              </w:rPr>
              <w:t>3.本项最高得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p>
        </w:tc>
        <w:tc>
          <w:tcPr>
            <w:tcW w:w="3349" w:type="dxa"/>
            <w:noWrap w:val="0"/>
            <w:vAlign w:val="center"/>
          </w:tcPr>
          <w:p>
            <w:pPr>
              <w:pStyle w:val="31"/>
              <w:spacing w:beforeLines="0" w:afterLines="0" w:line="360" w:lineRule="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类似工程指：</w:t>
            </w:r>
            <w:r>
              <w:rPr>
                <w:rFonts w:hint="eastAsia" w:ascii="宋体" w:hAnsi="宋体" w:eastAsia="宋体" w:cs="宋体"/>
                <w:color w:val="auto"/>
                <w:kern w:val="0"/>
                <w:sz w:val="24"/>
                <w:szCs w:val="24"/>
                <w:highlight w:val="none"/>
                <w:u w:val="none"/>
                <w:lang w:val="en-US" w:eastAsia="zh-CN"/>
              </w:rPr>
              <w:t>勘察费≥50万元的</w:t>
            </w:r>
            <w:r>
              <w:rPr>
                <w:rFonts w:hint="eastAsia" w:ascii="宋体" w:hAnsi="宋体" w:eastAsia="宋体" w:cs="宋体"/>
                <w:color w:val="auto"/>
                <w:kern w:val="0"/>
                <w:sz w:val="24"/>
                <w:szCs w:val="24"/>
                <w:highlight w:val="none"/>
                <w:u w:val="none"/>
              </w:rPr>
              <w:t>房屋建筑</w:t>
            </w:r>
            <w:r>
              <w:rPr>
                <w:rFonts w:hint="eastAsia" w:ascii="宋体" w:hAnsi="宋体" w:eastAsia="宋体" w:cs="宋体"/>
                <w:color w:val="auto"/>
                <w:kern w:val="0"/>
                <w:sz w:val="24"/>
                <w:szCs w:val="24"/>
                <w:highlight w:val="none"/>
                <w:u w:val="none"/>
                <w:lang w:val="en-US" w:eastAsia="zh-CN"/>
              </w:rPr>
              <w:t>类或市政公用工工程类工程。</w:t>
            </w:r>
          </w:p>
          <w:p>
            <w:pPr>
              <w:pStyle w:val="31"/>
              <w:spacing w:beforeLines="0" w:afterLines="0" w:line="360" w:lineRule="auto"/>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highlight w:val="none"/>
              </w:rPr>
              <w:t>2．</w:t>
            </w:r>
            <w:r>
              <w:rPr>
                <w:rFonts w:hint="eastAsia" w:ascii="宋体" w:hAnsi="宋体" w:eastAsia="宋体" w:cs="宋体"/>
                <w:snapToGrid w:val="0"/>
                <w:color w:val="auto"/>
                <w:kern w:val="0"/>
                <w:sz w:val="24"/>
                <w:szCs w:val="24"/>
              </w:rPr>
              <w:t>需附有关业绩合同协议书的彩色扫描件。</w:t>
            </w:r>
          </w:p>
          <w:p>
            <w:pPr>
              <w:pStyle w:val="31"/>
              <w:spacing w:beforeLines="0" w:afterLines="0"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3．业绩时间以</w:t>
            </w:r>
            <w:r>
              <w:rPr>
                <w:rFonts w:hint="eastAsia" w:ascii="宋体" w:hAnsi="宋体" w:eastAsia="宋体" w:cs="宋体"/>
                <w:color w:val="auto"/>
                <w:kern w:val="0"/>
                <w:sz w:val="24"/>
                <w:szCs w:val="24"/>
                <w:highlight w:val="none"/>
                <w:lang w:val="en-US" w:eastAsia="zh-CN"/>
              </w:rPr>
              <w:t>合同协议书签订</w:t>
            </w:r>
            <w:r>
              <w:rPr>
                <w:rFonts w:hint="eastAsia" w:ascii="宋体" w:hAnsi="宋体" w:eastAsia="宋体" w:cs="宋体"/>
                <w:color w:val="auto"/>
                <w:kern w:val="0"/>
                <w:sz w:val="24"/>
                <w:szCs w:val="24"/>
                <w:highlight w:val="none"/>
              </w:rPr>
              <w:t>日期为准。</w:t>
            </w:r>
          </w:p>
          <w:p>
            <w:pPr>
              <w:pStyle w:val="31"/>
              <w:spacing w:beforeLines="0" w:afterLines="0"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4．任一业绩有以下情形之一的，该业绩视为无效，不予计分：</w:t>
            </w:r>
          </w:p>
          <w:p>
            <w:pPr>
              <w:pStyle w:val="31"/>
              <w:spacing w:beforeLines="0" w:afterLines="0"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①业绩不属于类似工程的；</w:t>
            </w:r>
          </w:p>
          <w:p>
            <w:pPr>
              <w:pStyle w:val="31"/>
              <w:spacing w:beforeLines="0" w:afterLines="0"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highlight w:val="none"/>
              </w:rPr>
              <w:t>②业绩时间不符合要求的</w:t>
            </w:r>
            <w:r>
              <w:rPr>
                <w:rFonts w:hint="eastAsia" w:ascii="宋体" w:hAnsi="宋体" w:eastAsia="宋体" w:cs="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735" w:type="dxa"/>
            <w:vMerge w:val="continue"/>
            <w:noWrap w:val="0"/>
            <w:vAlign w:val="center"/>
          </w:tcPr>
          <w:p>
            <w:pPr>
              <w:widowControl/>
              <w:spacing w:line="360" w:lineRule="auto"/>
              <w:jc w:val="center"/>
              <w:rPr>
                <w:rFonts w:hint="eastAsia" w:ascii="宋体" w:hAnsi="宋体" w:eastAsia="宋体" w:cs="宋体"/>
                <w:color w:val="auto"/>
                <w:kern w:val="0"/>
                <w:sz w:val="24"/>
                <w:szCs w:val="24"/>
                <w:lang w:eastAsia="zh-CN"/>
              </w:rPr>
            </w:pPr>
          </w:p>
        </w:tc>
        <w:tc>
          <w:tcPr>
            <w:tcW w:w="1466" w:type="dxa"/>
            <w:gridSpan w:val="3"/>
            <w:noWrap w:val="0"/>
            <w:vAlign w:val="center"/>
          </w:tcPr>
          <w:p>
            <w:pPr>
              <w:pStyle w:val="7"/>
              <w:tabs>
                <w:tab w:val="left" w:pos="448"/>
              </w:tabs>
              <w:wordWrap w:val="0"/>
              <w:adjustRightInd w:val="0"/>
              <w:snapToGrid w:val="0"/>
              <w:spacing w:line="360" w:lineRule="auto"/>
              <w:jc w:val="center"/>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lang w:val="en-US" w:eastAsia="zh-CN" w:bidi="ar"/>
              </w:rPr>
              <w:t>勘察负责人综合素质（3分）</w:t>
            </w:r>
          </w:p>
        </w:tc>
        <w:tc>
          <w:tcPr>
            <w:tcW w:w="3094" w:type="dxa"/>
            <w:noWrap w:val="0"/>
            <w:vAlign w:val="center"/>
          </w:tcPr>
          <w:p>
            <w:pPr>
              <w:pStyle w:val="7"/>
              <w:wordWrap w:val="0"/>
              <w:adjustRightInd w:val="0"/>
              <w:snapToGrid w:val="0"/>
              <w:spacing w:after="0"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1.勘察负责人具备地质类相关专业高级工程师或以上职称的，得3分；</w:t>
            </w:r>
          </w:p>
          <w:p>
            <w:pPr>
              <w:pStyle w:val="7"/>
              <w:wordWrap w:val="0"/>
              <w:adjustRightInd w:val="0"/>
              <w:snapToGrid w:val="0"/>
              <w:spacing w:after="0"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t>2.本项最高得3分。</w:t>
            </w:r>
          </w:p>
        </w:tc>
        <w:tc>
          <w:tcPr>
            <w:tcW w:w="3349" w:type="dxa"/>
            <w:noWrap w:val="0"/>
            <w:vAlign w:val="center"/>
          </w:tcPr>
          <w:p>
            <w:pPr>
              <w:pStyle w:val="7"/>
              <w:wordWrap w:val="0"/>
              <w:adjustRightInd w:val="0"/>
              <w:snapToGrid w:val="0"/>
              <w:spacing w:line="360" w:lineRule="auto"/>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color w:val="auto"/>
                <w:kern w:val="2"/>
                <w:sz w:val="24"/>
                <w:szCs w:val="24"/>
                <w:lang w:val="en-US" w:eastAsia="zh-CN" w:bidi="ar-SA"/>
              </w:rPr>
              <w:t>注：提供职称证书彩色扫描件。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735" w:type="dxa"/>
            <w:vMerge w:val="restart"/>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设计企业（1</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分）</w:t>
            </w:r>
          </w:p>
        </w:tc>
        <w:tc>
          <w:tcPr>
            <w:tcW w:w="1466" w:type="dxa"/>
            <w:gridSpan w:val="3"/>
            <w:noWrap w:val="0"/>
            <w:vAlign w:val="center"/>
          </w:tcPr>
          <w:p>
            <w:pPr>
              <w:wordWrap w:val="0"/>
              <w:adjustRightInd w:val="0"/>
              <w:snapToGrid w:val="0"/>
              <w:spacing w:line="360"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color w:val="auto"/>
                <w:sz w:val="24"/>
                <w:szCs w:val="24"/>
                <w:highlight w:val="none"/>
                <w:lang w:val="en-US" w:eastAsia="zh-CN"/>
              </w:rPr>
              <w:t>设计</w:t>
            </w:r>
            <w:r>
              <w:rPr>
                <w:rFonts w:hint="eastAsia" w:ascii="宋体" w:hAnsi="宋体" w:eastAsia="宋体" w:cs="宋体"/>
                <w:color w:val="auto"/>
                <w:sz w:val="24"/>
                <w:szCs w:val="24"/>
              </w:rPr>
              <w:t>企业</w:t>
            </w:r>
            <w:r>
              <w:rPr>
                <w:rFonts w:hint="eastAsia" w:ascii="宋体" w:hAnsi="宋体" w:eastAsia="宋体" w:cs="宋体"/>
                <w:color w:val="auto"/>
                <w:sz w:val="24"/>
                <w:szCs w:val="24"/>
                <w:lang w:eastAsia="zh-CN"/>
              </w:rPr>
              <w:t>业绩</w:t>
            </w:r>
            <w:r>
              <w:rPr>
                <w:rFonts w:hint="eastAsia" w:ascii="宋体" w:hAnsi="宋体" w:eastAsia="宋体" w:cs="宋体"/>
                <w:color w:val="auto"/>
                <w:sz w:val="24"/>
                <w:szCs w:val="24"/>
              </w:rPr>
              <w:t>（5分）</w:t>
            </w:r>
          </w:p>
        </w:tc>
        <w:tc>
          <w:tcPr>
            <w:tcW w:w="3094" w:type="dxa"/>
            <w:noWrap w:val="0"/>
            <w:vAlign w:val="center"/>
          </w:tcPr>
          <w:p>
            <w:pPr>
              <w:pStyle w:val="32"/>
              <w:numPr>
                <w:ilvl w:val="0"/>
                <w:numId w:val="0"/>
              </w:numPr>
              <w:shd w:val="clear" w:color="auto" w:fill="auto"/>
              <w:spacing w:before="63" w:line="360" w:lineRule="auto"/>
              <w:ind w:right="28" w:rightChars="0"/>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2021年1月1日至今业绩情况：</w:t>
            </w:r>
          </w:p>
          <w:p>
            <w:pPr>
              <w:pStyle w:val="32"/>
              <w:numPr>
                <w:ilvl w:val="0"/>
                <w:numId w:val="0"/>
              </w:numPr>
              <w:shd w:val="clear" w:color="auto" w:fill="auto"/>
              <w:spacing w:before="63" w:line="360" w:lineRule="auto"/>
              <w:ind w:right="28" w:rightChars="0"/>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1.承接过类似项目的单项工程，每个得2.5分。</w:t>
            </w:r>
          </w:p>
          <w:p>
            <w:pPr>
              <w:pStyle w:val="32"/>
              <w:numPr>
                <w:ilvl w:val="0"/>
                <w:numId w:val="0"/>
              </w:numPr>
              <w:shd w:val="clear" w:color="auto" w:fill="auto"/>
              <w:spacing w:before="63" w:line="360" w:lineRule="auto"/>
              <w:ind w:right="28" w:rightChars="0"/>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2.未</w:t>
            </w:r>
            <w:r>
              <w:rPr>
                <w:rFonts w:hint="eastAsia" w:ascii="宋体" w:hAnsi="宋体" w:eastAsia="宋体" w:cs="宋体"/>
                <w:color w:val="auto"/>
                <w:sz w:val="24"/>
                <w:szCs w:val="24"/>
                <w:highlight w:val="none"/>
                <w:u w:val="single"/>
                <w:shd w:val="clear" w:color="auto" w:fill="auto"/>
                <w:lang w:val="en-US" w:eastAsia="zh-CN"/>
              </w:rPr>
              <w:t xml:space="preserve"> 承接 </w:t>
            </w:r>
            <w:r>
              <w:rPr>
                <w:rFonts w:hint="eastAsia" w:ascii="宋体" w:hAnsi="宋体" w:eastAsia="宋体" w:cs="宋体"/>
                <w:color w:val="auto"/>
                <w:sz w:val="24"/>
                <w:szCs w:val="24"/>
                <w:highlight w:val="none"/>
                <w:shd w:val="clear" w:color="auto" w:fill="auto"/>
                <w:lang w:val="en-US" w:eastAsia="zh-CN"/>
              </w:rPr>
              <w:t>过类似项目的，不予计分。</w:t>
            </w:r>
          </w:p>
          <w:p>
            <w:pPr>
              <w:pStyle w:val="32"/>
              <w:numPr>
                <w:ilvl w:val="0"/>
                <w:numId w:val="0"/>
              </w:numPr>
              <w:shd w:val="clear" w:color="auto" w:fill="auto"/>
              <w:spacing w:before="63" w:line="360" w:lineRule="auto"/>
              <w:ind w:left="0" w:leftChars="0" w:right="28" w:righ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highlight w:val="none"/>
                <w:shd w:val="clear" w:color="auto" w:fill="auto"/>
              </w:rPr>
              <w:t>3</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本项最高得</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分。</w:t>
            </w:r>
          </w:p>
        </w:tc>
        <w:tc>
          <w:tcPr>
            <w:tcW w:w="3349" w:type="dxa"/>
            <w:noWrap w:val="0"/>
            <w:vAlign w:val="center"/>
          </w:tcPr>
          <w:p>
            <w:pPr>
              <w:pStyle w:val="7"/>
              <w:keepNext w:val="0"/>
              <w:keepLines w:val="0"/>
              <w:pageBreakBefore w:val="0"/>
              <w:widowControl w:val="0"/>
              <w:numPr>
                <w:ilvl w:val="0"/>
                <w:numId w:val="0"/>
              </w:numPr>
              <w:shd w:val="clear" w:color="auto" w:fill="auto"/>
              <w:kinsoku/>
              <w:wordWrap w:val="0"/>
              <w:overflowPunct/>
              <w:topLinePunct w:val="0"/>
              <w:autoSpaceDE/>
              <w:autoSpaceDN/>
              <w:bidi w:val="0"/>
              <w:adjustRightInd w:val="0"/>
              <w:snapToGrid w:val="0"/>
              <w:spacing w:before="0" w:beforeLines="0" w:after="0" w:afterLines="0" w:line="360" w:lineRule="auto"/>
              <w:ind w:leftChars="0" w:right="0" w:rightChars="0"/>
              <w:textAlignment w:val="auto"/>
              <w:outlineLvl w:val="9"/>
              <w:rPr>
                <w:rFonts w:hint="eastAsia" w:ascii="宋体" w:hAnsi="宋体" w:eastAsia="宋体" w:cs="宋体"/>
                <w:caps w:val="0"/>
                <w:smallCaps w:val="0"/>
                <w:snapToGrid w:val="0"/>
                <w:color w:val="auto"/>
                <w:spacing w:val="0"/>
                <w:kern w:val="0"/>
                <w:sz w:val="24"/>
                <w:szCs w:val="24"/>
                <w:highlight w:val="none"/>
                <w:lang w:val="en-US" w:eastAsia="zh-CN"/>
              </w:rPr>
            </w:pPr>
            <w:r>
              <w:rPr>
                <w:rFonts w:hint="eastAsia" w:ascii="宋体" w:hAnsi="宋体" w:eastAsia="宋体" w:cs="宋体"/>
                <w:caps w:val="0"/>
                <w:smallCaps w:val="0"/>
                <w:snapToGrid w:val="0"/>
                <w:color w:val="auto"/>
                <w:spacing w:val="0"/>
                <w:kern w:val="0"/>
                <w:sz w:val="24"/>
                <w:szCs w:val="24"/>
                <w:highlight w:val="none"/>
                <w:lang w:val="en-US" w:eastAsia="zh-CN"/>
              </w:rPr>
              <w:t>1．类似项目指：房屋建筑工程类或市政公用工程类工程设计项目（含设计，勘察设计，勘察设计施工总承包项目）。</w:t>
            </w:r>
          </w:p>
          <w:p>
            <w:pPr>
              <w:pStyle w:val="7"/>
              <w:shd w:val="clear" w:color="auto" w:fill="auto"/>
              <w:wordWrap w:val="0"/>
              <w:adjustRightInd w:val="0"/>
              <w:snapToGrid w:val="0"/>
              <w:spacing w:after="0" w:line="360" w:lineRule="auto"/>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2．需附有关业绩合同协议书扫描件，</w:t>
            </w:r>
            <w:r>
              <w:rPr>
                <w:rFonts w:hint="eastAsia" w:ascii="宋体" w:hAnsi="宋体" w:eastAsia="宋体" w:cs="宋体"/>
                <w:caps w:val="0"/>
                <w:smallCaps w:val="0"/>
                <w:snapToGrid w:val="0"/>
                <w:color w:val="auto"/>
                <w:spacing w:val="0"/>
                <w:kern w:val="0"/>
                <w:sz w:val="24"/>
                <w:szCs w:val="24"/>
                <w:highlight w:val="none"/>
                <w:lang w:val="en-US" w:eastAsia="zh-CN"/>
              </w:rPr>
              <w:t>并加盖投标人公章</w:t>
            </w:r>
            <w:r>
              <w:rPr>
                <w:rFonts w:hint="eastAsia" w:ascii="宋体" w:hAnsi="宋体" w:eastAsia="宋体" w:cs="宋体"/>
                <w:snapToGrid w:val="0"/>
                <w:color w:val="auto"/>
                <w:kern w:val="0"/>
                <w:sz w:val="24"/>
                <w:szCs w:val="24"/>
                <w:highlight w:val="none"/>
                <w:lang w:val="en-US" w:eastAsia="zh-CN"/>
              </w:rPr>
              <w:t>。</w:t>
            </w:r>
          </w:p>
          <w:p>
            <w:pPr>
              <w:pStyle w:val="7"/>
              <w:shd w:val="clear" w:color="auto" w:fill="auto"/>
              <w:wordWrap w:val="0"/>
              <w:adjustRightInd w:val="0"/>
              <w:snapToGrid w:val="0"/>
              <w:spacing w:after="0" w:line="360" w:lineRule="auto"/>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3．业绩时间以合同协议书日期为准。</w:t>
            </w:r>
          </w:p>
          <w:p>
            <w:pPr>
              <w:pStyle w:val="7"/>
              <w:shd w:val="clear" w:color="auto" w:fill="auto"/>
              <w:wordWrap w:val="0"/>
              <w:adjustRightInd w:val="0"/>
              <w:snapToGrid w:val="0"/>
              <w:spacing w:after="0" w:line="360" w:lineRule="auto"/>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4.任一业绩有以下情形之一的，该业绩视为无效，不予计分：</w:t>
            </w:r>
          </w:p>
          <w:p>
            <w:pPr>
              <w:pStyle w:val="7"/>
              <w:shd w:val="clear" w:color="auto" w:fill="auto"/>
              <w:wordWrap w:val="0"/>
              <w:adjustRightInd w:val="0"/>
              <w:snapToGrid w:val="0"/>
              <w:spacing w:after="0" w:line="360" w:lineRule="auto"/>
              <w:jc w:val="both"/>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①业绩不属于类似工程的；</w:t>
            </w:r>
          </w:p>
          <w:p>
            <w:pPr>
              <w:pStyle w:val="7"/>
              <w:shd w:val="clear" w:color="auto" w:fill="auto"/>
              <w:wordWrap w:val="0"/>
              <w:adjustRightInd w:val="0"/>
              <w:snapToGrid w:val="0"/>
              <w:spacing w:after="0" w:line="360" w:lineRule="auto"/>
              <w:jc w:val="both"/>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lang w:val="en-US" w:eastAsia="zh-CN"/>
              </w:rPr>
              <w:t>②业绩时间不符合要求的。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735"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1466" w:type="dxa"/>
            <w:gridSpan w:val="3"/>
            <w:noWrap w:val="0"/>
            <w:vAlign w:val="center"/>
          </w:tcPr>
          <w:p>
            <w:pPr>
              <w:spacing w:line="360" w:lineRule="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企业荣誉</w:t>
            </w:r>
          </w:p>
          <w:p>
            <w:pPr>
              <w:spacing w:line="360" w:lineRule="auto"/>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highlight w:val="none"/>
                <w:lang w:val="en-US" w:eastAsia="zh-CN"/>
              </w:rPr>
              <w:t>（3分）</w:t>
            </w:r>
          </w:p>
        </w:tc>
        <w:tc>
          <w:tcPr>
            <w:tcW w:w="3094" w:type="dxa"/>
            <w:noWrap w:val="0"/>
            <w:vAlign w:val="center"/>
          </w:tcPr>
          <w:p>
            <w:pPr>
              <w:pStyle w:val="7"/>
              <w:shd w:val="clear" w:color="auto" w:fill="auto"/>
              <w:wordWrap w:val="0"/>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1.2021年1月1日至今获得过</w:t>
            </w:r>
            <w:r>
              <w:rPr>
                <w:rFonts w:hint="eastAsia" w:ascii="宋体" w:hAnsi="宋体" w:eastAsia="宋体" w:cs="宋体"/>
                <w:color w:val="auto"/>
                <w:sz w:val="24"/>
                <w:szCs w:val="24"/>
                <w:highlight w:val="none"/>
                <w:lang w:eastAsia="zh-CN"/>
              </w:rPr>
              <w:t>地级市或地级市以上建筑协会颁发的“建筑业优秀典型设计企业”</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Style w:val="13"/>
              <w:shd w:val="clear" w:color="auto" w:fill="auto"/>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本项最高得</w:t>
            </w:r>
            <w:r>
              <w:rPr>
                <w:rFonts w:hint="eastAsia" w:ascii="宋体" w:hAnsi="宋体" w:eastAsia="宋体" w:cs="宋体"/>
                <w:color w:val="auto"/>
                <w:sz w:val="24"/>
                <w:szCs w:val="24"/>
                <w:highlight w:val="none"/>
                <w:lang w:val="en-US" w:eastAsia="zh-CN"/>
              </w:rPr>
              <w:t>3分。</w:t>
            </w:r>
          </w:p>
        </w:tc>
        <w:tc>
          <w:tcPr>
            <w:tcW w:w="3349" w:type="dxa"/>
            <w:noWrap w:val="0"/>
            <w:vAlign w:val="center"/>
          </w:tcPr>
          <w:p>
            <w:pPr>
              <w:shd w:val="clear" w:color="auto" w:fill="auto"/>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1.需提供证书和相关部门网站截图彩色扫描件。</w:t>
            </w:r>
          </w:p>
          <w:p>
            <w:pPr>
              <w:shd w:val="clear" w:color="auto" w:fill="auto"/>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2.提供建筑行业协会或建设行政主管部门网站截图。</w:t>
            </w:r>
          </w:p>
          <w:p>
            <w:pPr>
              <w:shd w:val="clear" w:color="auto" w:fill="auto"/>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aps w:val="0"/>
                <w:smallCaps w:val="0"/>
                <w:snapToGrid w:val="0"/>
                <w:color w:val="auto"/>
                <w:spacing w:val="0"/>
                <w:kern w:val="0"/>
                <w:sz w:val="24"/>
                <w:szCs w:val="24"/>
                <w:highlight w:val="none"/>
                <w:lang w:val="en-US" w:eastAsia="zh-CN"/>
              </w:rPr>
              <w:t>获</w:t>
            </w:r>
            <w:r>
              <w:rPr>
                <w:rFonts w:hint="eastAsia" w:ascii="宋体" w:hAnsi="宋体" w:eastAsia="宋体" w:cs="宋体"/>
                <w:snapToGrid w:val="0"/>
                <w:color w:val="auto"/>
                <w:kern w:val="0"/>
                <w:sz w:val="24"/>
                <w:szCs w:val="24"/>
                <w:highlight w:val="none"/>
                <w:lang w:val="en-US" w:eastAsia="zh-CN"/>
              </w:rPr>
              <w:t>荣誉</w:t>
            </w:r>
            <w:r>
              <w:rPr>
                <w:rFonts w:hint="eastAsia" w:ascii="宋体" w:hAnsi="宋体" w:eastAsia="宋体" w:cs="宋体"/>
                <w:caps w:val="0"/>
                <w:smallCaps w:val="0"/>
                <w:snapToGrid w:val="0"/>
                <w:color w:val="auto"/>
                <w:spacing w:val="0"/>
                <w:kern w:val="0"/>
                <w:sz w:val="24"/>
                <w:szCs w:val="24"/>
                <w:highlight w:val="none"/>
                <w:lang w:val="en-US" w:eastAsia="zh-CN"/>
              </w:rPr>
              <w:t>时间以</w:t>
            </w:r>
            <w:r>
              <w:rPr>
                <w:rFonts w:hint="eastAsia" w:ascii="宋体" w:hAnsi="宋体" w:eastAsia="宋体" w:cs="宋体"/>
                <w:snapToGrid w:val="0"/>
                <w:color w:val="auto"/>
                <w:kern w:val="0"/>
                <w:sz w:val="24"/>
                <w:szCs w:val="24"/>
                <w:highlight w:val="none"/>
                <w:lang w:val="en-US" w:eastAsia="zh-CN"/>
              </w:rPr>
              <w:t>荣誉</w:t>
            </w:r>
            <w:r>
              <w:rPr>
                <w:rFonts w:hint="eastAsia" w:ascii="宋体" w:hAnsi="宋体" w:eastAsia="宋体" w:cs="宋体"/>
                <w:caps w:val="0"/>
                <w:smallCaps w:val="0"/>
                <w:snapToGrid w:val="0"/>
                <w:color w:val="auto"/>
                <w:spacing w:val="0"/>
                <w:kern w:val="0"/>
                <w:sz w:val="24"/>
                <w:szCs w:val="24"/>
                <w:highlight w:val="none"/>
                <w:lang w:val="en-US" w:eastAsia="zh-CN"/>
              </w:rPr>
              <w:t>证明的落款日期为准。</w:t>
            </w:r>
          </w:p>
          <w:p>
            <w:pPr>
              <w:pStyle w:val="7"/>
              <w:shd w:val="clear" w:color="auto" w:fill="auto"/>
              <w:wordWrap w:val="0"/>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.发布机关、</w:t>
            </w:r>
            <w:r>
              <w:rPr>
                <w:rFonts w:hint="eastAsia" w:ascii="宋体" w:hAnsi="宋体" w:eastAsia="宋体" w:cs="宋体"/>
                <w:caps w:val="0"/>
                <w:smallCaps w:val="0"/>
                <w:snapToGrid w:val="0"/>
                <w:color w:val="auto"/>
                <w:spacing w:val="0"/>
                <w:kern w:val="0"/>
                <w:sz w:val="24"/>
                <w:szCs w:val="24"/>
                <w:highlight w:val="none"/>
                <w:lang w:val="en-US" w:eastAsia="zh-CN"/>
              </w:rPr>
              <w:t>获</w:t>
            </w:r>
            <w:r>
              <w:rPr>
                <w:rFonts w:hint="eastAsia" w:ascii="宋体" w:hAnsi="宋体" w:eastAsia="宋体" w:cs="宋体"/>
                <w:snapToGrid w:val="0"/>
                <w:color w:val="auto"/>
                <w:kern w:val="0"/>
                <w:sz w:val="24"/>
                <w:szCs w:val="24"/>
                <w:highlight w:val="none"/>
                <w:lang w:val="en-US" w:eastAsia="zh-CN"/>
              </w:rPr>
              <w:t>荣誉</w:t>
            </w:r>
            <w:r>
              <w:rPr>
                <w:rFonts w:hint="eastAsia" w:ascii="宋体" w:hAnsi="宋体" w:eastAsia="宋体" w:cs="宋体"/>
                <w:caps w:val="0"/>
                <w:smallCaps w:val="0"/>
                <w:snapToGrid w:val="0"/>
                <w:color w:val="auto"/>
                <w:spacing w:val="0"/>
                <w:kern w:val="0"/>
                <w:sz w:val="24"/>
                <w:szCs w:val="24"/>
                <w:highlight w:val="none"/>
                <w:lang w:val="en-US" w:eastAsia="zh-CN"/>
              </w:rPr>
              <w:t>时间</w:t>
            </w:r>
            <w:r>
              <w:rPr>
                <w:rFonts w:hint="eastAsia" w:ascii="宋体" w:hAnsi="宋体" w:eastAsia="宋体" w:cs="宋体"/>
                <w:color w:val="auto"/>
                <w:sz w:val="24"/>
                <w:szCs w:val="24"/>
                <w:highlight w:val="none"/>
              </w:rPr>
              <w:t>不符合要求的，</w:t>
            </w:r>
            <w:r>
              <w:rPr>
                <w:rFonts w:hint="eastAsia" w:ascii="宋体" w:hAnsi="宋体" w:eastAsia="宋体" w:cs="宋体"/>
                <w:snapToGrid w:val="0"/>
                <w:color w:val="auto"/>
                <w:kern w:val="0"/>
                <w:sz w:val="24"/>
                <w:szCs w:val="24"/>
                <w:highlight w:val="none"/>
                <w:lang w:val="en-US" w:eastAsia="zh-CN"/>
              </w:rPr>
              <w:t>不予计分</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735"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1466" w:type="dxa"/>
            <w:gridSpan w:val="3"/>
            <w:noWrap w:val="0"/>
            <w:vAlign w:val="center"/>
          </w:tcPr>
          <w:p>
            <w:pPr>
              <w:pStyle w:val="7"/>
              <w:widowControl/>
              <w:wordWrap w:val="0"/>
              <w:adjustRightInd w:val="0"/>
              <w:snapToGrid w:val="0"/>
              <w:spacing w:after="0" w:line="360" w:lineRule="auto"/>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highlight w:val="none"/>
                <w:lang w:val="en-US" w:eastAsia="zh-CN"/>
              </w:rPr>
              <w:t>纳税信用</w:t>
            </w:r>
            <w:r>
              <w:rPr>
                <w:rFonts w:hint="eastAsia" w:ascii="宋体" w:hAnsi="宋体" w:eastAsia="宋体" w:cs="宋体"/>
                <w:color w:val="auto"/>
                <w:sz w:val="24"/>
                <w:szCs w:val="24"/>
                <w:highlight w:val="none"/>
                <w:lang w:val="en-US" w:eastAsia="zh-CN"/>
              </w:rPr>
              <w:t>（3分）</w:t>
            </w:r>
          </w:p>
        </w:tc>
        <w:tc>
          <w:tcPr>
            <w:tcW w:w="3094" w:type="dxa"/>
            <w:noWrap w:val="0"/>
            <w:vAlign w:val="center"/>
          </w:tcPr>
          <w:p>
            <w:pPr>
              <w:pStyle w:val="7"/>
              <w:numPr>
                <w:ilvl w:val="0"/>
                <w:numId w:val="0"/>
              </w:numPr>
              <w:wordWrap w:val="0"/>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1.企业连续5年或5年以上获得纳税信用A级纳税人的，得 3 分；(其中必须有2023年度)</w:t>
            </w:r>
          </w:p>
          <w:p>
            <w:pPr>
              <w:pStyle w:val="7"/>
              <w:numPr>
                <w:ilvl w:val="0"/>
                <w:numId w:val="0"/>
              </w:numPr>
              <w:wordWrap w:val="0"/>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2.企业连续3年获得纳税信用A级纳税人的，得2分；(其中必须有2023年度)</w:t>
            </w:r>
          </w:p>
          <w:p>
            <w:pPr>
              <w:pStyle w:val="7"/>
              <w:numPr>
                <w:ilvl w:val="0"/>
                <w:numId w:val="0"/>
              </w:numPr>
              <w:wordWrap w:val="0"/>
              <w:adjustRightInd w:val="0"/>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3.企业连续1年或以上获得纳税信用A级纳税人的，得1分；(其中必须有2023年度)</w:t>
            </w:r>
          </w:p>
          <w:p>
            <w:pPr>
              <w:pStyle w:val="13"/>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4.其他情形不予计分。</w:t>
            </w:r>
          </w:p>
          <w:p>
            <w:pPr>
              <w:pStyle w:val="7"/>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本项最高得3分。</w:t>
            </w:r>
          </w:p>
        </w:tc>
        <w:tc>
          <w:tcPr>
            <w:tcW w:w="3349" w:type="dxa"/>
            <w:noWrap w:val="0"/>
            <w:vAlign w:val="center"/>
          </w:tcPr>
          <w:p>
            <w:pPr>
              <w:pStyle w:val="7"/>
              <w:numPr>
                <w:ilvl w:val="0"/>
                <w:numId w:val="4"/>
              </w:numPr>
              <w:wordWrap w:val="0"/>
              <w:adjustRightInd w:val="0"/>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必须提供企业纳税信用A级纳税人证明材料（或证书）及国家税务总局（或省级电子税务局）网上查询截图，否则不得分。</w:t>
            </w:r>
          </w:p>
          <w:p>
            <w:pPr>
              <w:pStyle w:val="7"/>
              <w:numPr>
                <w:ilvl w:val="0"/>
                <w:numId w:val="4"/>
              </w:numPr>
              <w:wordWrap w:val="0"/>
              <w:adjustRightInd w:val="0"/>
              <w:snapToGrid w:val="0"/>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只计算投标人自身（不计算投标人的分公司、子公司及分支机构）</w:t>
            </w:r>
          </w:p>
          <w:p>
            <w:pPr>
              <w:numPr>
                <w:ilvl w:val="-1"/>
                <w:numId w:val="0"/>
              </w:numPr>
              <w:spacing w:line="360" w:lineRule="auto"/>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4" w:type="dxa"/>
            <w:vMerge w:val="restart"/>
            <w:noWrap w:val="0"/>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538" w:type="dxa"/>
            <w:vMerge w:val="restart"/>
            <w:noWrap w:val="0"/>
            <w:vAlign w:val="center"/>
          </w:tcPr>
          <w:p>
            <w:pPr>
              <w:widowControl/>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技术评分（</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lang w:eastAsia="zh-CN"/>
              </w:rPr>
              <w:t>）</w:t>
            </w:r>
          </w:p>
          <w:p>
            <w:pPr>
              <w:pStyle w:val="7"/>
              <w:spacing w:line="360" w:lineRule="auto"/>
              <w:jc w:val="center"/>
              <w:rPr>
                <w:rFonts w:hint="eastAsia" w:ascii="宋体" w:hAnsi="宋体" w:eastAsia="宋体" w:cs="宋体"/>
                <w:color w:val="auto"/>
                <w:sz w:val="24"/>
                <w:szCs w:val="24"/>
              </w:rPr>
            </w:pPr>
          </w:p>
        </w:tc>
        <w:tc>
          <w:tcPr>
            <w:tcW w:w="1315" w:type="dxa"/>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80" w:leftChars="-38" w:right="-71" w:rightChars="-34"/>
              <w:jc w:val="center"/>
              <w:textAlignment w:val="auto"/>
              <w:rPr>
                <w:rFonts w:hint="eastAsia" w:ascii="宋体" w:hAnsi="宋体" w:eastAsia="宋体" w:cs="宋体"/>
                <w:color w:val="000000"/>
                <w:spacing w:val="-2"/>
                <w:kern w:val="0"/>
                <w:sz w:val="24"/>
                <w:szCs w:val="24"/>
              </w:rPr>
            </w:pPr>
            <w:r>
              <w:rPr>
                <w:rFonts w:hint="eastAsia" w:ascii="宋体" w:hAnsi="宋体" w:eastAsia="宋体" w:cs="宋体"/>
                <w:color w:val="000000"/>
                <w:spacing w:val="-2"/>
                <w:kern w:val="0"/>
                <w:sz w:val="24"/>
                <w:szCs w:val="24"/>
              </w:rPr>
              <w:t>对项目的概况的了解</w:t>
            </w:r>
          </w:p>
          <w:p>
            <w:pPr>
              <w:keepNext w:val="0"/>
              <w:keepLines w:val="0"/>
              <w:pageBreakBefore w:val="0"/>
              <w:kinsoku/>
              <w:overflowPunct/>
              <w:topLinePunct w:val="0"/>
              <w:autoSpaceDE/>
              <w:autoSpaceDN/>
              <w:bidi w:val="0"/>
              <w:adjustRightInd w:val="0"/>
              <w:snapToGrid w:val="0"/>
              <w:spacing w:line="360" w:lineRule="auto"/>
              <w:ind w:left="-80" w:leftChars="-38" w:right="-71" w:rightChars="-34"/>
              <w:jc w:val="center"/>
              <w:textAlignment w:val="auto"/>
              <w:rPr>
                <w:rFonts w:hint="eastAsia" w:ascii="宋体" w:hAnsi="宋体" w:eastAsia="宋体" w:cs="宋体"/>
                <w:color w:val="000000"/>
                <w:spacing w:val="-2"/>
                <w:kern w:val="0"/>
                <w:sz w:val="24"/>
                <w:szCs w:val="24"/>
              </w:rPr>
            </w:pPr>
            <w:r>
              <w:rPr>
                <w:rFonts w:hint="eastAsia" w:ascii="宋体" w:hAnsi="宋体" w:eastAsia="宋体" w:cs="宋体"/>
                <w:color w:val="000000"/>
                <w:spacing w:val="-2"/>
                <w:kern w:val="0"/>
                <w:sz w:val="24"/>
                <w:szCs w:val="24"/>
              </w:rPr>
              <w:t>（</w:t>
            </w:r>
            <w:r>
              <w:rPr>
                <w:rFonts w:hint="eastAsia" w:ascii="宋体" w:hAnsi="宋体" w:eastAsia="宋体" w:cs="宋体"/>
                <w:color w:val="000000"/>
                <w:spacing w:val="-2"/>
                <w:kern w:val="0"/>
                <w:sz w:val="24"/>
                <w:szCs w:val="24"/>
                <w:lang w:val="en-US" w:eastAsia="zh-CN"/>
              </w:rPr>
              <w:t>4</w:t>
            </w:r>
            <w:r>
              <w:rPr>
                <w:rFonts w:hint="eastAsia" w:ascii="宋体" w:hAnsi="宋体" w:eastAsia="宋体" w:cs="宋体"/>
                <w:color w:val="000000"/>
                <w:spacing w:val="-2"/>
                <w:kern w:val="0"/>
                <w:sz w:val="24"/>
                <w:szCs w:val="24"/>
              </w:rPr>
              <w:t>分）</w:t>
            </w:r>
          </w:p>
        </w:tc>
        <w:tc>
          <w:tcPr>
            <w:tcW w:w="7329" w:type="dxa"/>
            <w:gridSpan w:val="4"/>
            <w:noWrap w:val="0"/>
            <w:vAlign w:val="center"/>
          </w:tcPr>
          <w:p>
            <w:pPr>
              <w:keepNext w:val="0"/>
              <w:keepLines w:val="0"/>
              <w:pageBreakBefore w:val="0"/>
              <w:kinsoku/>
              <w:overflowPunct/>
              <w:topLinePunct w:val="0"/>
              <w:autoSpaceDE/>
              <w:autoSpaceDN/>
              <w:bidi w:val="0"/>
              <w:spacing w:line="360" w:lineRule="auto"/>
              <w:jc w:val="left"/>
              <w:textAlignment w:val="auto"/>
              <w:rPr>
                <w:rFonts w:hint="eastAsia" w:ascii="宋体" w:hAnsi="宋体" w:eastAsia="宋体" w:cs="宋体"/>
                <w:color w:val="000000"/>
                <w:spacing w:val="-2"/>
                <w:kern w:val="0"/>
                <w:sz w:val="24"/>
                <w:szCs w:val="24"/>
                <w:lang w:eastAsia="zh-CN"/>
              </w:rPr>
            </w:pPr>
            <w:r>
              <w:rPr>
                <w:rFonts w:hint="eastAsia" w:ascii="宋体" w:hAnsi="宋体" w:eastAsia="宋体" w:cs="宋体"/>
                <w:color w:val="000000"/>
                <w:spacing w:val="-2"/>
                <w:kern w:val="0"/>
                <w:sz w:val="24"/>
                <w:szCs w:val="24"/>
              </w:rPr>
              <w:t>对本次招标项目的</w:t>
            </w:r>
            <w:r>
              <w:rPr>
                <w:rFonts w:hint="eastAsia" w:ascii="宋体" w:hAnsi="宋体" w:eastAsia="宋体" w:cs="宋体"/>
                <w:color w:val="000000"/>
                <w:spacing w:val="-2"/>
                <w:kern w:val="0"/>
                <w:sz w:val="24"/>
                <w:szCs w:val="24"/>
                <w:lang w:eastAsia="zh-CN"/>
              </w:rPr>
              <w:t>总体认识、</w:t>
            </w:r>
            <w:r>
              <w:rPr>
                <w:rFonts w:hint="eastAsia" w:ascii="宋体" w:hAnsi="宋体" w:eastAsia="宋体" w:cs="宋体"/>
                <w:color w:val="000000"/>
                <w:spacing w:val="-2"/>
                <w:kern w:val="0"/>
                <w:sz w:val="24"/>
                <w:szCs w:val="24"/>
              </w:rPr>
              <w:t>概况、规模等描述详尽、透彻</w:t>
            </w:r>
            <w:r>
              <w:rPr>
                <w:rFonts w:hint="eastAsia" w:ascii="宋体" w:hAnsi="宋体" w:eastAsia="宋体" w:cs="宋体"/>
                <w:color w:val="000000"/>
                <w:spacing w:val="-2"/>
                <w:kern w:val="0"/>
                <w:sz w:val="24"/>
                <w:szCs w:val="24"/>
                <w:lang w:eastAsia="zh-CN"/>
              </w:rPr>
              <w:t>：</w:t>
            </w:r>
          </w:p>
          <w:p>
            <w:pPr>
              <w:pStyle w:val="7"/>
              <w:widowControl w:val="0"/>
              <w:wordWrap w:val="0"/>
              <w:adjustRightInd w:val="0"/>
              <w:snapToGrid w:val="0"/>
              <w:spacing w:after="0" w:line="360" w:lineRule="auto"/>
              <w:jc w:val="left"/>
              <w:rPr>
                <w:rFonts w:hint="eastAsia"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【优秀】对项目总体有深刻认识，表述清晰、完整、严谨、合理，措施先进、具体、有效、成熟，采用了新技术、新工艺、新材料、新设备；施工段划分呼应总体表述，划分清晰、合理，符合规范要求，得4分；</w:t>
            </w:r>
          </w:p>
          <w:p>
            <w:pPr>
              <w:pStyle w:val="7"/>
              <w:widowControl w:val="0"/>
              <w:wordWrap w:val="0"/>
              <w:adjustRightInd w:val="0"/>
              <w:snapToGrid w:val="0"/>
              <w:spacing w:after="0" w:line="360" w:lineRule="auto"/>
              <w:jc w:val="left"/>
              <w:rPr>
                <w:rFonts w:hint="eastAsia"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【良好】对项目总体有一定认识，表述清晰、完整，措施具体有效；施工段划分呼应总体表述，划分清晰，符合规范要求，得3分；</w:t>
            </w:r>
          </w:p>
          <w:p>
            <w:pPr>
              <w:pStyle w:val="7"/>
              <w:widowControl w:val="0"/>
              <w:wordWrap w:val="0"/>
              <w:adjustRightInd w:val="0"/>
              <w:snapToGrid w:val="0"/>
              <w:spacing w:after="0" w:line="360" w:lineRule="auto"/>
              <w:jc w:val="left"/>
              <w:rPr>
                <w:rFonts w:hint="eastAsia"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【一般】对项目总体有认识，有一定的措施但部分不具体；施工段划分较合理，符合规范要求，得2分。</w:t>
            </w:r>
          </w:p>
          <w:p>
            <w:pPr>
              <w:pStyle w:val="7"/>
              <w:shd w:val="clear" w:color="auto" w:fill="auto"/>
              <w:wordWrap w:val="0"/>
              <w:adjustRightInd w:val="0"/>
              <w:snapToGrid w:val="0"/>
              <w:spacing w:after="0" w:line="360" w:lineRule="auto"/>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snapToGrid w:val="0"/>
                <w:color w:val="auto"/>
                <w:kern w:val="0"/>
                <w:sz w:val="24"/>
                <w:szCs w:val="24"/>
                <w:lang w:val="en-US" w:eastAsia="zh-CN"/>
              </w:rPr>
              <w:t>【合格】对项目认识不足，表述不清晰，措施不具体；施工段划分不合理，得1分。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lang w:eastAsia="zh-CN"/>
              </w:rPr>
            </w:pPr>
          </w:p>
        </w:tc>
        <w:tc>
          <w:tcPr>
            <w:tcW w:w="1315" w:type="dxa"/>
            <w:gridSpan w:val="2"/>
            <w:noWrap w:val="0"/>
            <w:vAlign w:val="center"/>
          </w:tcPr>
          <w:p>
            <w:pPr>
              <w:pStyle w:val="33"/>
              <w:wordWrap w:val="0"/>
              <w:adjustRightInd w:val="0"/>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施工总进</w:t>
            </w:r>
          </w:p>
          <w:p>
            <w:pPr>
              <w:pStyle w:val="33"/>
              <w:wordWrap w:val="0"/>
              <w:adjustRightInd w:val="0"/>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度计划及</w:t>
            </w:r>
          </w:p>
          <w:p>
            <w:pPr>
              <w:pStyle w:val="33"/>
              <w:wordWrap w:val="0"/>
              <w:adjustRightInd w:val="0"/>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保证措施</w:t>
            </w:r>
          </w:p>
          <w:p>
            <w:pPr>
              <w:keepNext w:val="0"/>
              <w:keepLines w:val="0"/>
              <w:pageBreakBefore w:val="0"/>
              <w:kinsoku/>
              <w:overflowPunct/>
              <w:topLinePunct w:val="0"/>
              <w:autoSpaceDE/>
              <w:autoSpaceDN/>
              <w:bidi w:val="0"/>
              <w:adjustRightInd w:val="0"/>
              <w:snapToGrid w:val="0"/>
              <w:spacing w:line="360" w:lineRule="auto"/>
              <w:ind w:left="-80" w:leftChars="-38" w:right="-71" w:rightChars="-34"/>
              <w:jc w:val="center"/>
              <w:textAlignment w:val="auto"/>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rPr>
              <w:t>（</w:t>
            </w:r>
            <w:r>
              <w:rPr>
                <w:rFonts w:hint="eastAsia" w:ascii="宋体" w:hAnsi="宋体" w:eastAsia="宋体" w:cs="宋体"/>
                <w:snapToGrid w:val="0"/>
                <w:color w:val="auto"/>
                <w:kern w:val="0"/>
                <w:sz w:val="24"/>
                <w:szCs w:val="24"/>
                <w:u w:val="none"/>
                <w:lang w:val="en-US" w:eastAsia="zh-CN"/>
              </w:rPr>
              <w:t>4</w:t>
            </w:r>
            <w:r>
              <w:rPr>
                <w:rFonts w:hint="eastAsia" w:ascii="宋体" w:hAnsi="宋体" w:eastAsia="宋体" w:cs="宋体"/>
                <w:snapToGrid w:val="0"/>
                <w:color w:val="auto"/>
                <w:kern w:val="0"/>
                <w:sz w:val="24"/>
                <w:szCs w:val="24"/>
              </w:rPr>
              <w:t>分）</w:t>
            </w:r>
          </w:p>
        </w:tc>
        <w:tc>
          <w:tcPr>
            <w:tcW w:w="7329" w:type="dxa"/>
            <w:gridSpan w:val="4"/>
            <w:noWrap w:val="0"/>
            <w:vAlign w:val="center"/>
          </w:tcPr>
          <w:p>
            <w:pPr>
              <w:pStyle w:val="34"/>
              <w:wordWrap w:val="0"/>
              <w:adjustRightInd w:val="0"/>
              <w:snapToGrid w:val="0"/>
              <w:spacing w:line="360" w:lineRule="auto"/>
              <w:rPr>
                <w:rFonts w:hint="eastAsia"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w:t>
            </w:r>
            <w:r>
              <w:rPr>
                <w:rFonts w:hint="eastAsia" w:ascii="宋体" w:hAnsi="宋体" w:eastAsia="宋体" w:cs="宋体"/>
                <w:snapToGrid w:val="0"/>
                <w:color w:val="auto"/>
                <w:kern w:val="0"/>
                <w:sz w:val="24"/>
                <w:szCs w:val="24"/>
              </w:rPr>
              <w:t>优</w:t>
            </w:r>
            <w:r>
              <w:rPr>
                <w:rFonts w:hint="eastAsia" w:ascii="宋体" w:hAnsi="宋体" w:eastAsia="宋体" w:cs="宋体"/>
                <w:snapToGrid w:val="0"/>
                <w:color w:val="auto"/>
                <w:kern w:val="0"/>
                <w:sz w:val="24"/>
                <w:szCs w:val="24"/>
                <w:lang w:eastAsia="zh-CN"/>
              </w:rPr>
              <w:t>秀</w:t>
            </w:r>
            <w:r>
              <w:rPr>
                <w:rFonts w:hint="eastAsia" w:ascii="宋体" w:hAnsi="宋体" w:eastAsia="宋体" w:cs="宋体"/>
                <w:snapToGrid w:val="0"/>
                <w:color w:val="auto"/>
                <w:kern w:val="0"/>
                <w:sz w:val="24"/>
                <w:szCs w:val="24"/>
              </w:rPr>
              <w:t>】关键线路清晰、准确、完整，计划编制合理、可行。关键节点的控制措施有力、合理、可行。人、材、机需求和进场计划与进度计划相呼应，较好满足施工需要，调配投入计划合理、准确。进度违约责任承诺具体，</w:t>
            </w:r>
            <w:r>
              <w:rPr>
                <w:rFonts w:hint="eastAsia" w:ascii="宋体" w:hAnsi="宋体" w:eastAsia="宋体" w:cs="宋体"/>
                <w:b w:val="0"/>
                <w:bCs w:val="0"/>
                <w:snapToGrid w:val="0"/>
                <w:color w:val="auto"/>
                <w:kern w:val="0"/>
                <w:sz w:val="24"/>
                <w:szCs w:val="24"/>
              </w:rPr>
              <w:t>经济赔偿合理</w:t>
            </w:r>
            <w:r>
              <w:rPr>
                <w:rFonts w:hint="eastAsia" w:ascii="宋体" w:hAnsi="宋体" w:eastAsia="宋体" w:cs="宋体"/>
                <w:b w:val="0"/>
                <w:bCs w:val="0"/>
                <w:snapToGrid w:val="0"/>
                <w:color w:val="auto"/>
                <w:kern w:val="0"/>
                <w:sz w:val="24"/>
                <w:szCs w:val="24"/>
                <w:lang w:eastAsia="zh-CN"/>
              </w:rPr>
              <w:t>，</w:t>
            </w:r>
            <w:r>
              <w:rPr>
                <w:rFonts w:hint="eastAsia" w:ascii="宋体" w:hAnsi="宋体" w:eastAsia="宋体" w:cs="宋体"/>
                <w:snapToGrid w:val="0"/>
                <w:color w:val="auto"/>
                <w:kern w:val="0"/>
                <w:sz w:val="24"/>
                <w:szCs w:val="24"/>
                <w:lang w:val="en-US" w:eastAsia="zh-CN"/>
              </w:rPr>
              <w:t>得4分；</w:t>
            </w:r>
          </w:p>
          <w:p>
            <w:pPr>
              <w:pStyle w:val="34"/>
              <w:wordWrap w:val="0"/>
              <w:adjustRightInd w:val="0"/>
              <w:snapToGrid w:val="0"/>
              <w:spacing w:line="360" w:lineRule="auto"/>
              <w:rPr>
                <w:rFonts w:hint="eastAsia" w:ascii="宋体" w:hAnsi="宋体" w:eastAsia="宋体" w:cs="宋体"/>
                <w:b/>
                <w:bCs/>
                <w:snapToGrid w:val="0"/>
                <w:color w:val="auto"/>
                <w:kern w:val="0"/>
                <w:sz w:val="24"/>
                <w:szCs w:val="24"/>
                <w:lang w:eastAsia="zh-CN"/>
              </w:rPr>
            </w:pPr>
            <w:r>
              <w:rPr>
                <w:rFonts w:hint="eastAsia" w:ascii="宋体" w:hAnsi="宋体" w:eastAsia="宋体" w:cs="宋体"/>
                <w:snapToGrid w:val="0"/>
                <w:color w:val="auto"/>
                <w:kern w:val="0"/>
                <w:sz w:val="24"/>
                <w:szCs w:val="24"/>
              </w:rPr>
              <w:t>【良</w:t>
            </w:r>
            <w:r>
              <w:rPr>
                <w:rFonts w:hint="eastAsia" w:ascii="宋体" w:hAnsi="宋体" w:eastAsia="宋体" w:cs="宋体"/>
                <w:snapToGrid w:val="0"/>
                <w:color w:val="auto"/>
                <w:kern w:val="0"/>
                <w:sz w:val="24"/>
                <w:szCs w:val="24"/>
                <w:lang w:eastAsia="zh-CN"/>
              </w:rPr>
              <w:t>好</w:t>
            </w:r>
            <w:r>
              <w:rPr>
                <w:rFonts w:hint="eastAsia" w:ascii="宋体" w:hAnsi="宋体" w:eastAsia="宋体" w:cs="宋体"/>
                <w:snapToGrid w:val="0"/>
                <w:color w:val="auto"/>
                <w:kern w:val="0"/>
                <w:sz w:val="24"/>
                <w:szCs w:val="24"/>
              </w:rPr>
              <w:t>】关键线路清晰、准确、完整，计划编制可行。关键节点的控制措施合理、可行。人、材、机需求和进场计划与进度计划相呼应，基本满足施工需要，调配投入计划基本合理、准确。进度违约责任承诺具体，</w:t>
            </w:r>
            <w:r>
              <w:rPr>
                <w:rFonts w:hint="eastAsia" w:ascii="宋体" w:hAnsi="宋体" w:eastAsia="宋体" w:cs="宋体"/>
                <w:b w:val="0"/>
                <w:bCs w:val="0"/>
                <w:snapToGrid w:val="0"/>
                <w:color w:val="auto"/>
                <w:kern w:val="0"/>
                <w:sz w:val="24"/>
                <w:szCs w:val="24"/>
              </w:rPr>
              <w:t>经济赔偿较合理</w:t>
            </w:r>
            <w:r>
              <w:rPr>
                <w:rFonts w:hint="eastAsia" w:ascii="宋体" w:hAnsi="宋体" w:eastAsia="宋体" w:cs="宋体"/>
                <w:b w:val="0"/>
                <w:bCs w:val="0"/>
                <w:snapToGrid w:val="0"/>
                <w:color w:val="auto"/>
                <w:kern w:val="0"/>
                <w:sz w:val="24"/>
                <w:szCs w:val="24"/>
                <w:lang w:eastAsia="zh-CN"/>
              </w:rPr>
              <w:t>，</w:t>
            </w:r>
            <w:r>
              <w:rPr>
                <w:rFonts w:hint="eastAsia" w:ascii="宋体" w:hAnsi="宋体" w:eastAsia="宋体" w:cs="宋体"/>
                <w:snapToGrid w:val="0"/>
                <w:color w:val="auto"/>
                <w:kern w:val="0"/>
                <w:sz w:val="24"/>
                <w:szCs w:val="24"/>
                <w:lang w:val="en-US" w:eastAsia="zh-CN"/>
              </w:rPr>
              <w:t>得3分；</w:t>
            </w:r>
          </w:p>
          <w:p>
            <w:pPr>
              <w:pStyle w:val="34"/>
              <w:wordWrap w:val="0"/>
              <w:adjustRightInd w:val="0"/>
              <w:snapToGrid w:val="0"/>
              <w:spacing w:line="360" w:lineRule="auto"/>
              <w:rPr>
                <w:rFonts w:hint="eastAsia" w:ascii="宋体" w:hAnsi="宋体" w:eastAsia="宋体" w:cs="宋体"/>
                <w:snapToGrid w:val="0"/>
                <w:color w:val="auto"/>
                <w:kern w:val="0"/>
                <w:sz w:val="24"/>
                <w:szCs w:val="24"/>
                <w:lang w:eastAsia="zh-CN"/>
              </w:rPr>
            </w:pPr>
            <w:r>
              <w:rPr>
                <w:rFonts w:hint="eastAsia" w:ascii="宋体" w:hAnsi="宋体" w:eastAsia="宋体" w:cs="宋体"/>
                <w:snapToGrid w:val="0"/>
                <w:color w:val="auto"/>
                <w:kern w:val="0"/>
                <w:sz w:val="24"/>
                <w:szCs w:val="24"/>
              </w:rPr>
              <w:t>【</w:t>
            </w:r>
            <w:r>
              <w:rPr>
                <w:rFonts w:hint="eastAsia" w:ascii="宋体" w:hAnsi="宋体" w:eastAsia="宋体" w:cs="宋体"/>
                <w:snapToGrid w:val="0"/>
                <w:color w:val="auto"/>
                <w:kern w:val="0"/>
                <w:sz w:val="24"/>
                <w:szCs w:val="24"/>
                <w:lang w:eastAsia="zh-CN"/>
              </w:rPr>
              <w:t>一般</w:t>
            </w:r>
            <w:r>
              <w:rPr>
                <w:rFonts w:hint="eastAsia" w:ascii="宋体" w:hAnsi="宋体" w:eastAsia="宋体" w:cs="宋体"/>
                <w:snapToGrid w:val="0"/>
                <w:color w:val="auto"/>
                <w:kern w:val="0"/>
                <w:sz w:val="24"/>
                <w:szCs w:val="24"/>
              </w:rPr>
              <w:t>】关键线路基本准确，计划编制基本合理。关键节点的控制措施基本可行。人、材、机需求和进场计划与进度计划相呼应，基本满足施工需要，调配投入计划基本合理。进度违约责任承诺具体</w:t>
            </w:r>
            <w:r>
              <w:rPr>
                <w:rFonts w:hint="eastAsia" w:ascii="宋体" w:hAnsi="宋体" w:eastAsia="宋体" w:cs="宋体"/>
                <w:snapToGrid w:val="0"/>
                <w:color w:val="auto"/>
                <w:kern w:val="0"/>
                <w:sz w:val="24"/>
                <w:szCs w:val="24"/>
                <w:lang w:eastAsia="zh-CN"/>
              </w:rPr>
              <w:t>，</w:t>
            </w:r>
            <w:r>
              <w:rPr>
                <w:rFonts w:hint="eastAsia" w:ascii="宋体" w:hAnsi="宋体" w:eastAsia="宋体" w:cs="宋体"/>
                <w:snapToGrid w:val="0"/>
                <w:color w:val="auto"/>
                <w:kern w:val="0"/>
                <w:sz w:val="24"/>
                <w:szCs w:val="24"/>
                <w:lang w:val="en-US" w:eastAsia="zh-CN"/>
              </w:rPr>
              <w:t>得2分。</w:t>
            </w:r>
          </w:p>
          <w:p>
            <w:pPr>
              <w:spacing w:beforeLines="0" w:after="0" w:afterLines="0" w:line="360" w:lineRule="auto"/>
              <w:jc w:val="left"/>
              <w:rPr>
                <w:rFonts w:hint="eastAsia" w:ascii="宋体" w:hAnsi="宋体" w:eastAsia="宋体" w:cs="宋体"/>
                <w:color w:val="auto"/>
                <w:sz w:val="24"/>
                <w:szCs w:val="24"/>
                <w:lang w:val="en-US"/>
              </w:rPr>
            </w:pPr>
            <w:r>
              <w:rPr>
                <w:rFonts w:hint="eastAsia" w:ascii="宋体" w:hAnsi="宋体" w:eastAsia="宋体" w:cs="宋体"/>
                <w:snapToGrid w:val="0"/>
                <w:color w:val="auto"/>
                <w:kern w:val="0"/>
                <w:sz w:val="24"/>
                <w:szCs w:val="24"/>
              </w:rPr>
              <w:t>【差】关键线路不准确，计划编制不合理。关键节点的控制不可行。人、材、机需求和进场计划与进度计划不相呼应，不能满足施工需要。没有违约责任承诺</w:t>
            </w:r>
            <w:r>
              <w:rPr>
                <w:rFonts w:hint="eastAsia" w:ascii="宋体" w:hAnsi="宋体" w:eastAsia="宋体" w:cs="宋体"/>
                <w:snapToGrid w:val="0"/>
                <w:color w:val="auto"/>
                <w:kern w:val="0"/>
                <w:sz w:val="24"/>
                <w:szCs w:val="24"/>
                <w:lang w:eastAsia="zh-CN"/>
              </w:rPr>
              <w:t>，</w:t>
            </w:r>
            <w:r>
              <w:rPr>
                <w:rFonts w:hint="eastAsia" w:ascii="宋体" w:hAnsi="宋体" w:eastAsia="宋体" w:cs="宋体"/>
                <w:snapToGrid w:val="0"/>
                <w:color w:val="auto"/>
                <w:kern w:val="0"/>
                <w:sz w:val="24"/>
                <w:szCs w:val="24"/>
                <w:lang w:val="en-US" w:eastAsia="zh-CN"/>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4" w:type="dxa"/>
            <w:vMerge w:val="restart"/>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restart"/>
            <w:noWrap w:val="0"/>
            <w:vAlign w:val="center"/>
          </w:tcPr>
          <w:p>
            <w:pPr>
              <w:widowControl/>
              <w:spacing w:line="360" w:lineRule="auto"/>
              <w:jc w:val="center"/>
              <w:rPr>
                <w:rFonts w:hint="eastAsia" w:ascii="宋体" w:hAnsi="宋体" w:eastAsia="宋体" w:cs="宋体"/>
                <w:color w:val="auto"/>
                <w:kern w:val="0"/>
                <w:sz w:val="24"/>
                <w:szCs w:val="24"/>
              </w:rPr>
            </w:pPr>
          </w:p>
        </w:tc>
        <w:tc>
          <w:tcPr>
            <w:tcW w:w="1320" w:type="dxa"/>
            <w:gridSpan w:val="3"/>
            <w:noWrap w:val="0"/>
            <w:vAlign w:val="center"/>
          </w:tcPr>
          <w:p>
            <w:pPr>
              <w:spacing w:beforeLines="0" w:after="0" w:afterLines="0" w:line="36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highlight w:val="none"/>
                <w:lang w:val="en-US" w:eastAsia="zh-CN"/>
              </w:rPr>
              <w:t>建筑及市政设计方案合理性（4分）</w:t>
            </w:r>
          </w:p>
        </w:tc>
        <w:tc>
          <w:tcPr>
            <w:tcW w:w="7324" w:type="dxa"/>
            <w:gridSpan w:val="3"/>
            <w:noWrap w:val="0"/>
            <w:vAlign w:val="center"/>
          </w:tcPr>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建筑及市政专业设计内容及深度：须包含建筑、结构、给排水、电气、暖通、节能、绿色建筑及其他必要的设计内容：</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【优秀】有提供设计方案，包含建筑、结构、给排水、电气、暖通、节能、绿色建筑的，得4分；</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【良好】有提供设计方案，包含建筑、结构、给排水、电气、暖通、节能的，得3分；</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【一般】有提供设计方案，包含建筑、结构、给排水、电气、暖通的，得2分；</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【合格】有提供设计方案，但缺少至少3项以上内容的，得1分；</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highlight w:val="none"/>
                <w:lang w:val="en-US" w:eastAsia="zh-CN"/>
              </w:rPr>
              <w:t>无该项内容得0分。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1320" w:type="dxa"/>
            <w:gridSpan w:val="3"/>
            <w:noWrap w:val="0"/>
            <w:vAlign w:val="center"/>
          </w:tcPr>
          <w:p>
            <w:pPr>
              <w:spacing w:beforeLines="0" w:after="0" w:afterLines="0"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勘察方案合理性</w:t>
            </w:r>
          </w:p>
          <w:p>
            <w:pPr>
              <w:spacing w:beforeLines="0" w:after="0" w:afterLines="0"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highlight w:val="none"/>
                <w:lang w:val="en-US" w:eastAsia="zh-CN"/>
              </w:rPr>
              <w:t>（4分）</w:t>
            </w:r>
          </w:p>
        </w:tc>
        <w:tc>
          <w:tcPr>
            <w:tcW w:w="7324" w:type="dxa"/>
            <w:gridSpan w:val="3"/>
            <w:noWrap w:val="0"/>
            <w:vAlign w:val="center"/>
          </w:tcPr>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勘察方案内容：</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【优秀】有提供针对项目所在地的勘察方案，且提出合理建议至少3条的，得4分；</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【良好】有提供针对项目所在地的勘察方案，且提出合理建议2条的，得3分；</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【一般】有提供针对项目所在地的勘察方案，且提出1条合理建议的，得2分；</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【合格】有提供针对项目所在地的勘察方案，但无合理建议的，得1分；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无该项内容得0分。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414"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538" w:type="dxa"/>
            <w:vMerge w:val="continue"/>
            <w:noWrap w:val="0"/>
            <w:vAlign w:val="center"/>
          </w:tcPr>
          <w:p>
            <w:pPr>
              <w:widowControl/>
              <w:spacing w:line="360" w:lineRule="auto"/>
              <w:jc w:val="center"/>
              <w:rPr>
                <w:rFonts w:hint="eastAsia" w:ascii="宋体" w:hAnsi="宋体" w:eastAsia="宋体" w:cs="宋体"/>
                <w:color w:val="auto"/>
                <w:kern w:val="0"/>
                <w:sz w:val="24"/>
                <w:szCs w:val="24"/>
              </w:rPr>
            </w:pPr>
          </w:p>
        </w:tc>
        <w:tc>
          <w:tcPr>
            <w:tcW w:w="1320" w:type="dxa"/>
            <w:gridSpan w:val="3"/>
            <w:noWrap w:val="0"/>
            <w:vAlign w:val="center"/>
          </w:tcPr>
          <w:p>
            <w:pPr>
              <w:spacing w:beforeLines="0" w:after="0" w:afterLines="0"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绿色节能控制措施</w:t>
            </w:r>
          </w:p>
          <w:p>
            <w:pPr>
              <w:spacing w:beforeLines="0" w:after="0" w:afterLines="0" w:line="360" w:lineRule="auto"/>
              <w:jc w:val="center"/>
              <w:rPr>
                <w:rFonts w:hint="eastAsia" w:ascii="宋体" w:hAnsi="宋体" w:eastAsia="宋体" w:cs="宋体"/>
                <w:bCs/>
                <w:color w:val="auto"/>
                <w:kern w:val="2"/>
                <w:sz w:val="24"/>
                <w:szCs w:val="24"/>
                <w:lang w:val="en-US" w:eastAsia="zh-CN" w:bidi="ar-SA"/>
              </w:rPr>
            </w:pPr>
            <w:r>
              <w:rPr>
                <w:rFonts w:hint="eastAsia" w:ascii="宋体" w:hAnsi="宋体" w:eastAsia="宋体" w:cs="宋体"/>
                <w:color w:val="auto"/>
                <w:sz w:val="24"/>
                <w:szCs w:val="24"/>
                <w:highlight w:val="none"/>
                <w:lang w:val="en-US" w:eastAsia="zh-CN"/>
              </w:rPr>
              <w:t>（4分）</w:t>
            </w:r>
          </w:p>
        </w:tc>
        <w:tc>
          <w:tcPr>
            <w:tcW w:w="7324" w:type="dxa"/>
            <w:gridSpan w:val="3"/>
            <w:noWrap w:val="0"/>
            <w:vAlign w:val="center"/>
          </w:tcPr>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需包含设计和施工造价控制措施、预防投资失控的措施、预算审定和材料价格争议解决方案措施、绿色施工目标、绿色施工管理体系：</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【优秀】包含以上全部内容，得4分；</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【良好】缺少1项内容，得3分；</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【一般】缺少2项内容，得2分；</w:t>
            </w:r>
          </w:p>
          <w:p>
            <w:pPr>
              <w:spacing w:beforeLines="0" w:after="0" w:afterLines="0"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【合格】有提供此项内容但缺少3项及以上的，得1分；</w:t>
            </w:r>
          </w:p>
          <w:p>
            <w:pPr>
              <w:spacing w:beforeLines="0" w:after="0" w:afterLines="0"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highlight w:val="none"/>
                <w:lang w:val="en-US" w:eastAsia="zh-CN"/>
              </w:rPr>
              <w:t>无该项内容得0分</w:t>
            </w:r>
            <w:r>
              <w:rPr>
                <w:rFonts w:hint="eastAsia" w:ascii="宋体" w:hAnsi="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4" w:type="dxa"/>
            <w:noWrap w:val="0"/>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538" w:type="dxa"/>
            <w:vMerge w:val="restart"/>
            <w:noWrap w:val="0"/>
            <w:vAlign w:val="center"/>
          </w:tcPr>
          <w:p>
            <w:pPr>
              <w:pStyle w:val="7"/>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投标报价得分</w:t>
            </w:r>
          </w:p>
          <w:p>
            <w:pPr>
              <w:widowControl/>
              <w:spacing w:line="360" w:lineRule="auto"/>
              <w:jc w:val="center"/>
              <w:rPr>
                <w:rFonts w:hint="eastAsia" w:ascii="宋体" w:hAnsi="宋体" w:eastAsia="宋体" w:cs="宋体"/>
                <w:b w:val="0"/>
                <w:bCs/>
                <w:color w:val="auto"/>
                <w:kern w:val="0"/>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0分）</w:t>
            </w:r>
          </w:p>
        </w:tc>
        <w:tc>
          <w:tcPr>
            <w:tcW w:w="1320" w:type="dxa"/>
            <w:gridSpan w:val="3"/>
            <w:noWrap w:val="0"/>
            <w:vAlign w:val="center"/>
          </w:tcPr>
          <w:p>
            <w:pPr>
              <w:spacing w:beforeLines="0" w:after="0" w:afterLines="0" w:line="36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rPr>
              <w:t>评标基准价D</w:t>
            </w:r>
          </w:p>
        </w:tc>
        <w:tc>
          <w:tcPr>
            <w:tcW w:w="7324" w:type="dxa"/>
            <w:gridSpan w:val="3"/>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确定招标控制价下浮系数n：用1～21号球分别代表一个下浮系数，由评委代表从这21个号码中随机抽取3次，每次抽取1个号码，抽出的号球不参与下次抽取。所抽取的3个号码对应下浮系数的算术平均值作为招标控制价下浮系数n。具体号码对应的下浮系数可参考下表。</w:t>
            </w:r>
          </w:p>
          <w:tbl>
            <w:tblPr>
              <w:tblStyle w:val="15"/>
              <w:tblW w:w="6150" w:type="dxa"/>
              <w:jc w:val="center"/>
              <w:tblLayout w:type="fixed"/>
              <w:tblCellMar>
                <w:top w:w="0" w:type="dxa"/>
                <w:left w:w="108" w:type="dxa"/>
                <w:bottom w:w="0" w:type="dxa"/>
                <w:right w:w="108" w:type="dxa"/>
              </w:tblCellMar>
            </w:tblPr>
            <w:tblGrid>
              <w:gridCol w:w="1711"/>
              <w:gridCol w:w="655"/>
              <w:gridCol w:w="613"/>
              <w:gridCol w:w="641"/>
              <w:gridCol w:w="641"/>
              <w:gridCol w:w="641"/>
              <w:gridCol w:w="613"/>
              <w:gridCol w:w="635"/>
            </w:tblGrid>
            <w:tr>
              <w:tblPrEx>
                <w:tblCellMar>
                  <w:top w:w="0" w:type="dxa"/>
                  <w:left w:w="108" w:type="dxa"/>
                  <w:bottom w:w="0" w:type="dxa"/>
                  <w:right w:w="108" w:type="dxa"/>
                </w:tblCellMar>
              </w:tblPrEx>
              <w:trPr>
                <w:trHeight w:val="479" w:hRule="atLeast"/>
                <w:jc w:val="center"/>
              </w:trPr>
              <w:tc>
                <w:tcPr>
                  <w:tcW w:w="1711"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val="0"/>
                    <w:adjustRightInd w:val="0"/>
                    <w:snapToGrid w:val="0"/>
                    <w:spacing w:line="360" w:lineRule="auto"/>
                    <w:jc w:val="center"/>
                    <w:rPr>
                      <w:rFonts w:hint="eastAsia" w:ascii="宋体" w:hAnsi="宋体" w:eastAsia="宋体" w:cs="宋体"/>
                      <w:b/>
                      <w:snapToGrid w:val="0"/>
                      <w:color w:val="auto"/>
                      <w:kern w:val="0"/>
                      <w:sz w:val="24"/>
                      <w:szCs w:val="24"/>
                    </w:rPr>
                  </w:pPr>
                  <w:r>
                    <w:rPr>
                      <w:rFonts w:hint="eastAsia" w:ascii="宋体" w:hAnsi="宋体" w:eastAsia="宋体" w:cs="宋体"/>
                      <w:bCs/>
                      <w:snapToGrid w:val="0"/>
                      <w:color w:val="auto"/>
                      <w:kern w:val="0"/>
                      <w:sz w:val="24"/>
                      <w:szCs w:val="24"/>
                      <w:lang w:bidi="ar"/>
                    </w:rPr>
                    <w:t>号球</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3</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4</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5</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6</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7</w:t>
                  </w:r>
                </w:p>
              </w:tc>
            </w:tr>
            <w:tr>
              <w:tblPrEx>
                <w:tblCellMar>
                  <w:top w:w="0" w:type="dxa"/>
                  <w:left w:w="108" w:type="dxa"/>
                  <w:bottom w:w="0" w:type="dxa"/>
                  <w:right w:w="108" w:type="dxa"/>
                </w:tblCellMar>
              </w:tblPrEx>
              <w:trPr>
                <w:trHeight w:val="948" w:hRule="atLeast"/>
                <w:jc w:val="center"/>
              </w:trPr>
              <w:tc>
                <w:tcPr>
                  <w:tcW w:w="1711"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val="0"/>
                    <w:adjustRightInd w:val="0"/>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snapToGrid w:val="0"/>
                      <w:color w:val="auto"/>
                      <w:kern w:val="0"/>
                      <w:sz w:val="24"/>
                      <w:szCs w:val="24"/>
                      <w:lang w:bidi="ar"/>
                    </w:rPr>
                    <w:t>下浮系数（</w:t>
                  </w:r>
                  <w:r>
                    <w:rPr>
                      <w:rFonts w:hint="eastAsia" w:ascii="宋体" w:hAnsi="宋体" w:eastAsia="宋体" w:cs="宋体"/>
                      <w:color w:val="auto"/>
                      <w:kern w:val="0"/>
                      <w:sz w:val="24"/>
                      <w:szCs w:val="24"/>
                      <w:lang w:bidi="ar"/>
                    </w:rPr>
                    <w:t>%</w:t>
                  </w:r>
                  <w:r>
                    <w:rPr>
                      <w:rFonts w:hint="eastAsia" w:ascii="宋体" w:hAnsi="宋体" w:eastAsia="宋体" w:cs="宋体"/>
                      <w:snapToGrid w:val="0"/>
                      <w:color w:val="auto"/>
                      <w:kern w:val="0"/>
                      <w:sz w:val="24"/>
                      <w:szCs w:val="24"/>
                      <w:lang w:bidi="ar"/>
                    </w:rPr>
                    <w:t>）</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1.0</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1.1</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1.2</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1.3</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1.4</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1.5</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1.6</w:t>
                  </w:r>
                </w:p>
              </w:tc>
            </w:tr>
            <w:tr>
              <w:tblPrEx>
                <w:tblCellMar>
                  <w:top w:w="0" w:type="dxa"/>
                  <w:left w:w="108" w:type="dxa"/>
                  <w:bottom w:w="0" w:type="dxa"/>
                  <w:right w:w="108" w:type="dxa"/>
                </w:tblCellMar>
              </w:tblPrEx>
              <w:trPr>
                <w:trHeight w:val="479" w:hRule="atLeast"/>
                <w:jc w:val="center"/>
              </w:trPr>
              <w:tc>
                <w:tcPr>
                  <w:tcW w:w="1711"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val="0"/>
                    <w:adjustRightInd w:val="0"/>
                    <w:snapToGrid w:val="0"/>
                    <w:spacing w:line="360" w:lineRule="auto"/>
                    <w:jc w:val="center"/>
                    <w:rPr>
                      <w:rFonts w:hint="eastAsia" w:ascii="宋体" w:hAnsi="宋体" w:eastAsia="宋体" w:cs="宋体"/>
                      <w:b/>
                      <w:snapToGrid w:val="0"/>
                      <w:color w:val="auto"/>
                      <w:kern w:val="0"/>
                      <w:sz w:val="24"/>
                      <w:szCs w:val="24"/>
                    </w:rPr>
                  </w:pPr>
                  <w:r>
                    <w:rPr>
                      <w:rFonts w:hint="eastAsia" w:ascii="宋体" w:hAnsi="宋体" w:eastAsia="宋体" w:cs="宋体"/>
                      <w:bCs/>
                      <w:snapToGrid w:val="0"/>
                      <w:color w:val="auto"/>
                      <w:kern w:val="0"/>
                      <w:sz w:val="24"/>
                      <w:szCs w:val="24"/>
                      <w:lang w:bidi="ar"/>
                    </w:rPr>
                    <w:t>号球</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8</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9</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10</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11</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12</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13</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14</w:t>
                  </w:r>
                </w:p>
              </w:tc>
            </w:tr>
            <w:tr>
              <w:tblPrEx>
                <w:tblCellMar>
                  <w:top w:w="0" w:type="dxa"/>
                  <w:left w:w="108" w:type="dxa"/>
                  <w:bottom w:w="0" w:type="dxa"/>
                  <w:right w:w="108" w:type="dxa"/>
                </w:tblCellMar>
              </w:tblPrEx>
              <w:trPr>
                <w:trHeight w:val="948" w:hRule="atLeast"/>
                <w:jc w:val="center"/>
              </w:trPr>
              <w:tc>
                <w:tcPr>
                  <w:tcW w:w="1711"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val="0"/>
                    <w:adjustRightInd w:val="0"/>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snapToGrid w:val="0"/>
                      <w:color w:val="auto"/>
                      <w:kern w:val="0"/>
                      <w:sz w:val="24"/>
                      <w:szCs w:val="24"/>
                      <w:lang w:bidi="ar"/>
                    </w:rPr>
                    <w:t>下浮系数（</w:t>
                  </w:r>
                  <w:r>
                    <w:rPr>
                      <w:rFonts w:hint="eastAsia" w:ascii="宋体" w:hAnsi="宋体" w:eastAsia="宋体" w:cs="宋体"/>
                      <w:color w:val="auto"/>
                      <w:kern w:val="0"/>
                      <w:sz w:val="24"/>
                      <w:szCs w:val="24"/>
                      <w:lang w:bidi="ar"/>
                    </w:rPr>
                    <w:t>%</w:t>
                  </w:r>
                  <w:r>
                    <w:rPr>
                      <w:rFonts w:hint="eastAsia" w:ascii="宋体" w:hAnsi="宋体" w:eastAsia="宋体" w:cs="宋体"/>
                      <w:snapToGrid w:val="0"/>
                      <w:color w:val="auto"/>
                      <w:kern w:val="0"/>
                      <w:sz w:val="24"/>
                      <w:szCs w:val="24"/>
                      <w:lang w:bidi="ar"/>
                    </w:rPr>
                    <w:t>）</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1.7</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1.8</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1.9</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2.0</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2.1</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2.2</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2.3</w:t>
                  </w:r>
                </w:p>
              </w:tc>
            </w:tr>
            <w:tr>
              <w:tblPrEx>
                <w:tblCellMar>
                  <w:top w:w="0" w:type="dxa"/>
                  <w:left w:w="108" w:type="dxa"/>
                  <w:bottom w:w="0" w:type="dxa"/>
                  <w:right w:w="108" w:type="dxa"/>
                </w:tblCellMar>
              </w:tblPrEx>
              <w:trPr>
                <w:trHeight w:val="479" w:hRule="atLeast"/>
                <w:jc w:val="center"/>
              </w:trPr>
              <w:tc>
                <w:tcPr>
                  <w:tcW w:w="1711"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val="0"/>
                    <w:adjustRightInd w:val="0"/>
                    <w:snapToGrid w:val="0"/>
                    <w:spacing w:line="360" w:lineRule="auto"/>
                    <w:jc w:val="center"/>
                    <w:rPr>
                      <w:rFonts w:hint="eastAsia" w:ascii="宋体" w:hAnsi="宋体" w:eastAsia="宋体" w:cs="宋体"/>
                      <w:b/>
                      <w:snapToGrid w:val="0"/>
                      <w:color w:val="auto"/>
                      <w:kern w:val="0"/>
                      <w:sz w:val="24"/>
                      <w:szCs w:val="24"/>
                    </w:rPr>
                  </w:pPr>
                  <w:r>
                    <w:rPr>
                      <w:rFonts w:hint="eastAsia" w:ascii="宋体" w:hAnsi="宋体" w:eastAsia="宋体" w:cs="宋体"/>
                      <w:bCs/>
                      <w:snapToGrid w:val="0"/>
                      <w:color w:val="auto"/>
                      <w:kern w:val="0"/>
                      <w:sz w:val="24"/>
                      <w:szCs w:val="24"/>
                      <w:lang w:bidi="ar"/>
                    </w:rPr>
                    <w:t>号球</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15</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16</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17</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18</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19</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20</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21</w:t>
                  </w:r>
                </w:p>
              </w:tc>
            </w:tr>
            <w:tr>
              <w:tblPrEx>
                <w:tblCellMar>
                  <w:top w:w="0" w:type="dxa"/>
                  <w:left w:w="108" w:type="dxa"/>
                  <w:bottom w:w="0" w:type="dxa"/>
                  <w:right w:w="108" w:type="dxa"/>
                </w:tblCellMar>
              </w:tblPrEx>
              <w:trPr>
                <w:trHeight w:val="959" w:hRule="atLeast"/>
                <w:jc w:val="center"/>
              </w:trPr>
              <w:tc>
                <w:tcPr>
                  <w:tcW w:w="1711"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val="0"/>
                    <w:adjustRightInd w:val="0"/>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snapToGrid w:val="0"/>
                      <w:color w:val="auto"/>
                      <w:kern w:val="0"/>
                      <w:sz w:val="24"/>
                      <w:szCs w:val="24"/>
                      <w:lang w:bidi="ar"/>
                    </w:rPr>
                    <w:t>下浮系数（</w:t>
                  </w:r>
                  <w:r>
                    <w:rPr>
                      <w:rFonts w:hint="eastAsia" w:ascii="宋体" w:hAnsi="宋体" w:eastAsia="宋体" w:cs="宋体"/>
                      <w:color w:val="auto"/>
                      <w:kern w:val="0"/>
                      <w:sz w:val="24"/>
                      <w:szCs w:val="24"/>
                      <w:lang w:bidi="ar"/>
                    </w:rPr>
                    <w:t>%</w:t>
                  </w:r>
                  <w:r>
                    <w:rPr>
                      <w:rFonts w:hint="eastAsia" w:ascii="宋体" w:hAnsi="宋体" w:eastAsia="宋体" w:cs="宋体"/>
                      <w:snapToGrid w:val="0"/>
                      <w:color w:val="auto"/>
                      <w:kern w:val="0"/>
                      <w:sz w:val="24"/>
                      <w:szCs w:val="24"/>
                      <w:lang w:bidi="ar"/>
                    </w:rPr>
                    <w:t>）</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2.4</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2.5</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2.6</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2.7</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2.8</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rPr>
                    <w:t>2.9</w:t>
                  </w:r>
                </w:p>
              </w:tc>
              <w:tc>
                <w:tcPr>
                  <w:tcW w:w="6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bl>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（2）评标基准价D＝招标控制价×（1－n）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jc w:val="center"/>
        </w:trPr>
        <w:tc>
          <w:tcPr>
            <w:tcW w:w="414" w:type="dxa"/>
            <w:noWrap w:val="0"/>
            <w:vAlign w:val="center"/>
          </w:tcPr>
          <w:p>
            <w:pPr>
              <w:widowControl/>
              <w:spacing w:line="360" w:lineRule="auto"/>
              <w:jc w:val="center"/>
              <w:rPr>
                <w:rFonts w:hint="eastAsia" w:ascii="宋体" w:hAnsi="宋体" w:eastAsia="宋体" w:cs="宋体"/>
                <w:color w:val="auto"/>
                <w:kern w:val="0"/>
                <w:sz w:val="24"/>
                <w:szCs w:val="24"/>
                <w:lang w:eastAsia="zh-CN"/>
              </w:rPr>
            </w:pPr>
          </w:p>
        </w:tc>
        <w:tc>
          <w:tcPr>
            <w:tcW w:w="538" w:type="dxa"/>
            <w:vMerge w:val="continue"/>
            <w:noWrap w:val="0"/>
            <w:vAlign w:val="center"/>
          </w:tcPr>
          <w:p>
            <w:pPr>
              <w:pStyle w:val="7"/>
              <w:spacing w:line="360" w:lineRule="auto"/>
              <w:jc w:val="center"/>
              <w:rPr>
                <w:rFonts w:hint="eastAsia" w:ascii="宋体" w:hAnsi="宋体" w:eastAsia="宋体" w:cs="宋体"/>
                <w:color w:val="auto"/>
                <w:sz w:val="24"/>
                <w:szCs w:val="24"/>
              </w:rPr>
            </w:pPr>
          </w:p>
        </w:tc>
        <w:tc>
          <w:tcPr>
            <w:tcW w:w="1320" w:type="dxa"/>
            <w:gridSpan w:val="3"/>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得分N</w:t>
            </w:r>
          </w:p>
        </w:tc>
        <w:tc>
          <w:tcPr>
            <w:tcW w:w="7324" w:type="dxa"/>
            <w:gridSpan w:val="3"/>
            <w:noWrap w:val="0"/>
            <w:vAlign w:val="center"/>
          </w:tcPr>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采用内插法计算某投标人的投标报价得分N，即当投标人的投标总价等于评标基准价时得</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分，每高于评标基准价一个百分点扣1分, 每低于评标基准价一个百分点扣0.5分，扣完为止。公式如下：</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N＝</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 Di－D | ÷D）×100×E</w:t>
            </w:r>
          </w:p>
          <w:p>
            <w:pPr>
              <w:spacing w:line="360" w:lineRule="auto"/>
              <w:ind w:firstLine="480" w:firstLineChars="200"/>
              <w:rPr>
                <w:rFonts w:hint="eastAsia" w:ascii="宋体" w:hAnsi="宋体" w:eastAsia="宋体" w:cs="宋体"/>
                <w:color w:val="auto"/>
                <w:kern w:val="0"/>
                <w:sz w:val="24"/>
                <w:szCs w:val="24"/>
                <w:lang w:bidi="ar"/>
              </w:rPr>
            </w:pPr>
            <w:r>
              <w:rPr>
                <w:rFonts w:hint="eastAsia" w:ascii="宋体" w:hAnsi="宋体" w:eastAsia="宋体" w:cs="宋体"/>
                <w:color w:val="auto"/>
                <w:sz w:val="24"/>
                <w:szCs w:val="24"/>
              </w:rPr>
              <w:t>式中：D为评标基准价；Di为某投标人的投标总价；E为扣分因子，当Di＞D时，E＝1；当Di＜D时，E＝0.5。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272" w:type="dxa"/>
            <w:gridSpan w:val="5"/>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7324" w:type="dxa"/>
            <w:gridSpan w:val="3"/>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商务技术得分+投标报价得分=总得分</w:t>
            </w:r>
          </w:p>
        </w:tc>
      </w:tr>
    </w:tbl>
    <w:p>
      <w:pPr>
        <w:pStyle w:val="20"/>
        <w:spacing w:line="360" w:lineRule="auto"/>
        <w:rPr>
          <w:rFonts w:hint="eastAsia" w:ascii="宋体" w:hAnsi="宋体" w:eastAsia="宋体" w:cs="宋体"/>
          <w:b/>
          <w:color w:val="auto"/>
          <w:kern w:val="1"/>
          <w:sz w:val="24"/>
          <w:szCs w:val="24"/>
        </w:rPr>
      </w:pPr>
      <w:r>
        <w:rPr>
          <w:rFonts w:hint="eastAsia" w:ascii="宋体" w:hAnsi="宋体" w:eastAsia="宋体" w:cs="宋体"/>
          <w:b/>
          <w:bCs/>
          <w:color w:val="auto"/>
          <w:spacing w:val="10"/>
          <w:szCs w:val="24"/>
        </w:rPr>
        <w:t>备注：</w:t>
      </w:r>
      <w:r>
        <w:rPr>
          <w:rFonts w:hint="eastAsia" w:ascii="宋体" w:hAnsi="宋体" w:eastAsia="宋体" w:cs="宋体"/>
          <w:b/>
          <w:color w:val="auto"/>
          <w:kern w:val="1"/>
          <w:sz w:val="24"/>
          <w:szCs w:val="24"/>
        </w:rPr>
        <w:t>评分如出现小数点，则保留小数点后两位，第三位四舍五入。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ordWrap w:val="0"/>
        <w:adjustRightInd w:val="0"/>
        <w:snapToGrid w:val="0"/>
        <w:spacing w:line="360" w:lineRule="auto"/>
        <w:ind w:firstLine="482" w:firstLineChars="200"/>
        <w:rPr>
          <w:rFonts w:hint="eastAsia" w:ascii="宋体" w:hAnsi="宋体" w:eastAsia="宋体" w:cs="宋体"/>
          <w:b/>
          <w:snapToGrid w:val="0"/>
          <w:color w:val="auto"/>
          <w:kern w:val="0"/>
          <w:sz w:val="24"/>
          <w:szCs w:val="24"/>
        </w:rPr>
      </w:pPr>
      <w:r>
        <w:rPr>
          <w:rFonts w:hint="eastAsia" w:ascii="宋体" w:hAnsi="宋体" w:eastAsia="宋体" w:cs="宋体"/>
          <w:b/>
          <w:snapToGrid w:val="0"/>
          <w:color w:val="auto"/>
          <w:kern w:val="0"/>
          <w:sz w:val="24"/>
          <w:szCs w:val="24"/>
        </w:rPr>
        <w:t>18.5.2 否决投标说明</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详细评审阶段否决投标的全部条件，在本章第四节“否决投标条件”第4条中集中列示。投标人有其中所列任何一种情形的，由评标委员会否决其投标。经详细评审后，若所有投标均被否决，招标人应当依法重新招标。</w:t>
      </w:r>
    </w:p>
    <w:p>
      <w:pPr>
        <w:wordWrap w:val="0"/>
        <w:adjustRightInd w:val="0"/>
        <w:snapToGrid w:val="0"/>
        <w:spacing w:line="360" w:lineRule="auto"/>
        <w:ind w:firstLine="482" w:firstLineChars="200"/>
        <w:rPr>
          <w:rFonts w:hint="eastAsia" w:ascii="宋体" w:hAnsi="宋体" w:eastAsia="宋体" w:cs="宋体"/>
          <w:b/>
          <w:bCs/>
          <w:snapToGrid w:val="0"/>
          <w:color w:val="auto"/>
          <w:kern w:val="0"/>
          <w:sz w:val="24"/>
          <w:szCs w:val="24"/>
        </w:rPr>
      </w:pPr>
      <w:r>
        <w:rPr>
          <w:rFonts w:hint="eastAsia" w:ascii="宋体" w:hAnsi="宋体" w:eastAsia="宋体" w:cs="宋体"/>
          <w:b/>
          <w:bCs/>
          <w:snapToGrid w:val="0"/>
          <w:color w:val="auto"/>
          <w:kern w:val="0"/>
          <w:sz w:val="24"/>
          <w:szCs w:val="24"/>
        </w:rPr>
        <w:t>注：投标人在详细评审阶段根据评分方法提供的佐证材料，其合法性、有效性和准确性不符合要求的，有关评分因素的评分按相应评分标准处理，但不否决投标。</w:t>
      </w:r>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172" w:name="_Toc1913"/>
      <w:bookmarkStart w:id="173" w:name="_Toc26439"/>
      <w:bookmarkStart w:id="174" w:name="_Toc26587"/>
      <w:bookmarkStart w:id="175" w:name="_Toc32706"/>
      <w:r>
        <w:rPr>
          <w:rFonts w:hint="eastAsia" w:ascii="宋体" w:hAnsi="宋体" w:eastAsia="宋体" w:cs="宋体"/>
          <w:b/>
          <w:color w:val="auto"/>
          <w:kern w:val="2"/>
          <w:sz w:val="24"/>
          <w:szCs w:val="24"/>
          <w:lang w:val="en-US" w:eastAsia="zh-CN"/>
        </w:rPr>
        <w:t>19．推荐中标候选人</w:t>
      </w:r>
      <w:bookmarkEnd w:id="172"/>
      <w:bookmarkEnd w:id="173"/>
      <w:bookmarkEnd w:id="174"/>
      <w:bookmarkEnd w:id="175"/>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19.1 确定排名</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评标委员会汇总、比较所有投标人的综合得分后，取综合得分最高的投标人为第一中标候选人，取综合得分第二、第三高的投标人为第二、第三中标候选人。如果最高综合得分相同，取投标总价低者为第一中标候选人，并依此确定第二、第三中标候选人。如果最高综合得分相同，投标总价也相同，由评标委员会投票确定。</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19.2 推荐方法</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（1）有效投标人数量达到或超过3个的，评标委员会将前三名投标人作为中标候选人向招标人推荐，并标明排列顺序。</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有效投标人数量不足3个的，评标委员会将所有有效投标人均作为中标候选人向招标人推荐，并标明排列顺序。若评标委员会认为有效投标不足3个使得投标明显缺乏竞争的，可以在评标报告中建议招标人重新招标。</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19.3 评标委员会完成评标后，应向招标人提交由全体评标委员会成员签字的评标报告和中标候选人名单。</w:t>
      </w:r>
    </w:p>
    <w:p>
      <w:pPr>
        <w:pStyle w:val="24"/>
        <w:keepNext/>
        <w:keepLines/>
        <w:spacing w:line="360" w:lineRule="auto"/>
        <w:ind w:firstLine="482" w:firstLineChars="200"/>
        <w:outlineLvl w:val="2"/>
        <w:rPr>
          <w:rFonts w:hint="eastAsia" w:ascii="宋体" w:hAnsi="宋体" w:eastAsia="宋体" w:cs="宋体"/>
          <w:b/>
          <w:color w:val="auto"/>
          <w:kern w:val="2"/>
          <w:sz w:val="24"/>
          <w:szCs w:val="24"/>
          <w:lang w:val="en-US" w:eastAsia="zh-CN"/>
        </w:rPr>
      </w:pPr>
      <w:bookmarkStart w:id="176" w:name="_Toc644"/>
      <w:bookmarkStart w:id="177" w:name="_Toc10289"/>
      <w:bookmarkStart w:id="178" w:name="_Toc854"/>
      <w:bookmarkStart w:id="179" w:name="_Toc15352"/>
      <w:r>
        <w:rPr>
          <w:rFonts w:hint="eastAsia" w:ascii="宋体" w:hAnsi="宋体" w:eastAsia="宋体" w:cs="宋体"/>
          <w:b/>
          <w:color w:val="auto"/>
          <w:kern w:val="2"/>
          <w:sz w:val="24"/>
          <w:szCs w:val="24"/>
          <w:lang w:val="en-US" w:eastAsia="zh-CN"/>
        </w:rPr>
        <w:t>20．中标候选人公示</w:t>
      </w:r>
      <w:bookmarkEnd w:id="176"/>
      <w:bookmarkEnd w:id="177"/>
      <w:bookmarkEnd w:id="178"/>
      <w:bookmarkEnd w:id="179"/>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20.1 招标人自收到评标委员会提交的书面评标报告和中标候选人名单之日起3日内，将评标结果（即中标候选人名单）、中标候选人投标文件、评标过程（评标专家姓名用代码标记）一并在广东省招标投标监管网（http://zbtb.gd.gov.cn）及全国公共资源交易平台（广东省·韶关市）（https://ygp.gdzwfw.gov.cn/ggzy-portal/#/440200/index）进行公示，公示期不得少于3天。</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20.2 投标人对评标结果、中标候选人投标文件、评标过程有异议的，必须在以上内容公示期间向招标人提出书面异议，否则招标人不予受理。经招标人书面答复，异议人仍不满意的，可在法律规定的时限内向行政监督部门提出书面投诉。异议（投诉）提出、处理的具体办法和要求，按照《韶关市工程建设项目招标投标活动异议和投诉处理暂行办法》（韶发改办〔2021〕44号）执行。</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20.3 中标候选人公示期满无异议（投诉）后，招标人确定第一中标候选人为中标人，并在中标人确定之日起7日内向中标人发出中标通知书。在中标通知书发出后5个工作日内，韶关市公共资源交易中心将投标保证金（或银行保函）退还给中标候选人以外的投标人。</w:t>
      </w:r>
    </w:p>
    <w:p>
      <w:pPr>
        <w:rPr>
          <w:rFonts w:hint="eastAsia" w:ascii="宋体" w:hAnsi="宋体" w:eastAsia="宋体" w:cs="宋体"/>
        </w:rPr>
      </w:pPr>
      <w:bookmarkStart w:id="180" w:name="_Toc4673"/>
      <w:bookmarkStart w:id="181" w:name="_Toc21251"/>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
        <w:wordWrap w:val="0"/>
        <w:autoSpaceDE/>
        <w:autoSpaceDN/>
        <w:snapToGrid w:val="0"/>
        <w:spacing w:before="260" w:after="260" w:line="360" w:lineRule="auto"/>
        <w:jc w:val="both"/>
        <w:outlineLvl w:val="1"/>
        <w:rPr>
          <w:rFonts w:hint="eastAsia" w:ascii="宋体" w:hAnsi="宋体" w:eastAsia="宋体" w:cs="宋体"/>
          <w:b/>
          <w:snapToGrid w:val="0"/>
          <w:color w:val="auto"/>
          <w:sz w:val="24"/>
          <w:szCs w:val="24"/>
          <w:lang w:val="en-US" w:eastAsia="zh-CN"/>
        </w:rPr>
      </w:pPr>
      <w:bookmarkStart w:id="182" w:name="_Toc32556"/>
      <w:r>
        <w:rPr>
          <w:rFonts w:hint="eastAsia" w:ascii="宋体" w:hAnsi="宋体" w:eastAsia="宋体" w:cs="宋体"/>
          <w:b/>
          <w:snapToGrid w:val="0"/>
          <w:color w:val="auto"/>
          <w:sz w:val="24"/>
          <w:szCs w:val="24"/>
          <w:lang w:val="en-US" w:eastAsia="zh-CN"/>
        </w:rPr>
        <w:t>第四节   否决投标条件</w:t>
      </w:r>
      <w:bookmarkEnd w:id="180"/>
      <w:bookmarkEnd w:id="181"/>
      <w:bookmarkEnd w:id="182"/>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本节所集中列示的否决投标条件，是本章第三节“投标人须知正文”的组成部分，是对本章第三节所规定的否决投标条件的总结和补充。</w:t>
      </w:r>
      <w:r>
        <w:rPr>
          <w:rFonts w:hint="eastAsia" w:ascii="宋体" w:hAnsi="宋体" w:eastAsia="宋体" w:cs="宋体"/>
          <w:b/>
          <w:bCs/>
          <w:snapToGrid w:val="0"/>
          <w:color w:val="auto"/>
          <w:kern w:val="0"/>
          <w:sz w:val="24"/>
          <w:szCs w:val="24"/>
          <w:highlight w:val="none"/>
        </w:rPr>
        <w:t>投标人未有列入本节情形的，评标时一律不得否决其投标。</w:t>
      </w:r>
      <w:r>
        <w:rPr>
          <w:rFonts w:hint="eastAsia" w:ascii="宋体" w:hAnsi="宋体" w:eastAsia="宋体" w:cs="宋体"/>
          <w:snapToGrid w:val="0"/>
          <w:color w:val="auto"/>
          <w:kern w:val="0"/>
          <w:sz w:val="24"/>
          <w:szCs w:val="24"/>
          <w:highlight w:val="none"/>
        </w:rPr>
        <w:t>本节所称“规定”均指招标文件的规定。</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183" w:name="_Toc22248"/>
      <w:bookmarkStart w:id="184" w:name="_Toc25868"/>
      <w:bookmarkStart w:id="185" w:name="_Toc15668"/>
      <w:bookmarkStart w:id="186" w:name="_Toc6290"/>
      <w:bookmarkStart w:id="187" w:name="_Toc13433"/>
      <w:bookmarkStart w:id="188" w:name="_Toc20941"/>
      <w:bookmarkStart w:id="189" w:name="_Toc4284"/>
      <w:bookmarkStart w:id="190" w:name="_Toc24582"/>
      <w:r>
        <w:rPr>
          <w:rFonts w:hint="eastAsia" w:ascii="宋体" w:hAnsi="宋体" w:eastAsia="宋体" w:cs="宋体"/>
          <w:snapToGrid w:val="0"/>
          <w:color w:val="auto"/>
          <w:sz w:val="24"/>
          <w:szCs w:val="24"/>
        </w:rPr>
        <w:t>1．资格评审环节</w:t>
      </w:r>
      <w:bookmarkEnd w:id="183"/>
      <w:bookmarkEnd w:id="184"/>
      <w:bookmarkEnd w:id="185"/>
      <w:bookmarkEnd w:id="186"/>
      <w:bookmarkEnd w:id="187"/>
      <w:bookmarkEnd w:id="188"/>
      <w:bookmarkEnd w:id="189"/>
      <w:bookmarkEnd w:id="190"/>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投标人有下列情形之一的，评标委员会应否决其投标。被否决的投标人，不进入形式评审环节。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（1）有本章第三节第</w:t>
      </w:r>
      <w:r>
        <w:rPr>
          <w:rFonts w:hint="eastAsia" w:ascii="宋体" w:hAnsi="宋体" w:eastAsia="宋体" w:cs="宋体"/>
          <w:b/>
          <w:bCs/>
          <w:snapToGrid w:val="0"/>
          <w:color w:val="auto"/>
          <w:kern w:val="0"/>
          <w:sz w:val="24"/>
          <w:szCs w:val="24"/>
          <w:highlight w:val="none"/>
        </w:rPr>
        <w:t>2.4</w:t>
      </w:r>
      <w:r>
        <w:rPr>
          <w:rFonts w:hint="eastAsia" w:ascii="宋体" w:hAnsi="宋体" w:eastAsia="宋体" w:cs="宋体"/>
          <w:snapToGrid w:val="0"/>
          <w:color w:val="auto"/>
          <w:kern w:val="0"/>
          <w:sz w:val="24"/>
          <w:szCs w:val="24"/>
          <w:highlight w:val="none"/>
        </w:rPr>
        <w:t>条“禁止投标条款”规定的任何一种情形；</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（2）投标人资质不符合规定的；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投标人名称与营业执照、资质证书、安全生产许可证上的企业名称相互不一致的；其资质证书、安全生产许可证不是由住房城乡建设主管部门颁发的；营业执照、资质证书、安全生产许可证被吊销、暂扣或不在有效期内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注：投标人已经工商变更，但其企业资质证书、安全生产许可证的企业名称未完成变更的，不得否决其投标；投标人营业执照、资质证书、安全生产许可证之间登记的信息不一致，应当允许投标人澄清，不得直接否决其投标。</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highlight w:val="none"/>
        </w:rPr>
        <w:t>根据有关文件精神，投标人的企业相关证书到期的，均按该证书的发证机构相关行政主管部门最新文件执行（如自动顺延或推迟办理延期业务的通知等）投标人须提供相关证明材料附在该证书后面，证明在开标日继续有效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（4）拟派项目经理、项目技术负责人、专职安全员、设计负责人</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lang w:val="en-US" w:eastAsia="zh-CN"/>
        </w:rPr>
        <w:t>勘察负责人</w:t>
      </w:r>
      <w:r>
        <w:rPr>
          <w:rFonts w:hint="eastAsia" w:ascii="宋体" w:hAnsi="宋体" w:eastAsia="宋体" w:cs="宋体"/>
          <w:snapToGrid w:val="0"/>
          <w:color w:val="auto"/>
          <w:kern w:val="0"/>
          <w:sz w:val="24"/>
          <w:szCs w:val="24"/>
          <w:highlight w:val="none"/>
        </w:rPr>
        <w:t>的条件不符合规定的；拟派专职安全员数量不符合规定的；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trike w:val="0"/>
          <w:dstrike w:val="0"/>
          <w:snapToGrid w:val="0"/>
          <w:color w:val="auto"/>
          <w:kern w:val="0"/>
          <w:sz w:val="24"/>
          <w:szCs w:val="24"/>
          <w:highlight w:val="none"/>
        </w:rPr>
        <w:t>（5）</w:t>
      </w:r>
      <w:r>
        <w:rPr>
          <w:rFonts w:hint="eastAsia" w:ascii="宋体" w:hAnsi="宋体" w:eastAsia="宋体" w:cs="宋体"/>
          <w:snapToGrid w:val="0"/>
          <w:color w:val="auto"/>
          <w:kern w:val="0"/>
          <w:sz w:val="24"/>
          <w:szCs w:val="24"/>
          <w:highlight w:val="none"/>
        </w:rPr>
        <w:t>拟派人员的各类证书、证件、证明不在有效期内的；或注册单位与投标人不一致的；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注：投标人已经工商变更，但其员工执业资格注册证书的注册单位名称未完成变更的，不得否决其投标。</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rPr>
        <w:t>鉴于目前继续教育开展的实际情况，建筑和市政工程施工现场专业人员（指：施工员、质量员、材料员、资料员）的岗位证书或培训证书不审查其证书的有效期。</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（6）联合体投标，未提交《联合体协议书》的；擅自修改、遗漏《联合体协议书》实质性内容的；联合体成员的数量、资质不符合规定的；联合体成员同时以自己名义单独投标或者参加其他联合体投标的；</w:t>
      </w:r>
    </w:p>
    <w:p>
      <w:pPr>
        <w:keepNext w:val="0"/>
        <w:keepLines w:val="0"/>
        <w:pageBreakBefore w:val="0"/>
        <w:widowControl w:val="0"/>
        <w:kinsoku/>
        <w:wordWrap w:val="0"/>
        <w:overflowPunct/>
        <w:topLinePunct w:val="0"/>
        <w:autoSpaceDE/>
        <w:autoSpaceDN/>
        <w:bidi w:val="0"/>
        <w:snapToGrid w:val="0"/>
        <w:spacing w:line="360" w:lineRule="auto"/>
        <w:ind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（7）投标人为外省建筑企业，但未提供“进粤企业和人员诚信信息登记平台”企业信息情况打印页的。</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191" w:name="_Toc32171"/>
      <w:bookmarkStart w:id="192" w:name="_Toc22692"/>
      <w:bookmarkStart w:id="193" w:name="_Toc6262"/>
      <w:r>
        <w:rPr>
          <w:rFonts w:hint="eastAsia" w:ascii="宋体" w:hAnsi="宋体" w:eastAsia="宋体" w:cs="宋体"/>
          <w:snapToGrid w:val="0"/>
          <w:color w:val="auto"/>
          <w:sz w:val="24"/>
          <w:szCs w:val="24"/>
        </w:rPr>
        <w:t>2．形式评审环节</w:t>
      </w:r>
      <w:bookmarkEnd w:id="191"/>
      <w:bookmarkEnd w:id="192"/>
      <w:bookmarkEnd w:id="193"/>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bookmarkStart w:id="194" w:name="_Toc29122"/>
      <w:bookmarkStart w:id="195" w:name="_Toc26983"/>
      <w:r>
        <w:rPr>
          <w:rFonts w:hint="eastAsia" w:ascii="宋体" w:hAnsi="宋体" w:eastAsia="宋体" w:cs="宋体"/>
          <w:snapToGrid w:val="0"/>
          <w:color w:val="auto"/>
          <w:kern w:val="0"/>
          <w:sz w:val="24"/>
          <w:szCs w:val="24"/>
          <w:highlight w:val="none"/>
        </w:rPr>
        <w:t>投标人有下列情形之一的，评标委员会应否决其投标。被否决的投标人，不进入响应性评审环节。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（8）</w:t>
      </w:r>
      <w:r>
        <w:rPr>
          <w:rFonts w:hint="eastAsia" w:ascii="宋体" w:hAnsi="宋体" w:eastAsia="宋体" w:cs="宋体"/>
          <w:snapToGrid w:val="0"/>
          <w:color w:val="auto"/>
          <w:kern w:val="0"/>
          <w:sz w:val="24"/>
          <w:szCs w:val="24"/>
          <w:highlight w:val="none"/>
          <w:lang w:val="en-US" w:eastAsia="zh-CN"/>
        </w:rPr>
        <w:t>投标文件</w:t>
      </w:r>
      <w:r>
        <w:rPr>
          <w:rFonts w:hint="eastAsia" w:ascii="宋体" w:hAnsi="宋体" w:eastAsia="宋体" w:cs="宋体"/>
          <w:snapToGrid w:val="0"/>
          <w:color w:val="auto"/>
          <w:kern w:val="0"/>
          <w:sz w:val="24"/>
          <w:szCs w:val="24"/>
          <w:highlight w:val="none"/>
        </w:rPr>
        <w:t>没按招标文件规定加盖电子印章；</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（9）本章第三节第</w:t>
      </w:r>
      <w:r>
        <w:rPr>
          <w:rFonts w:hint="eastAsia" w:ascii="宋体" w:hAnsi="宋体" w:eastAsia="宋体" w:cs="宋体"/>
          <w:b/>
          <w:bCs/>
          <w:snapToGrid w:val="0"/>
          <w:color w:val="auto"/>
          <w:kern w:val="0"/>
          <w:sz w:val="24"/>
          <w:szCs w:val="24"/>
          <w:highlight w:val="none"/>
        </w:rPr>
        <w:t>11.2.2</w:t>
      </w:r>
      <w:r>
        <w:rPr>
          <w:rFonts w:hint="eastAsia" w:ascii="宋体" w:hAnsi="宋体" w:eastAsia="宋体" w:cs="宋体"/>
          <w:snapToGrid w:val="0"/>
          <w:color w:val="auto"/>
          <w:kern w:val="0"/>
          <w:sz w:val="24"/>
          <w:szCs w:val="24"/>
          <w:highlight w:val="none"/>
        </w:rPr>
        <w:t>目中规定的“所有投标人均应提供”的组成内容（包括该组成内容的所附资料）中，任何一项有缺漏的；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（10）关键字迹模糊、无法辨认，</w:t>
      </w:r>
      <w:r>
        <w:rPr>
          <w:rFonts w:hint="eastAsia" w:ascii="宋体" w:hAnsi="宋体" w:eastAsia="宋体" w:cs="宋体"/>
          <w:b/>
          <w:bCs/>
          <w:snapToGrid w:val="0"/>
          <w:color w:val="auto"/>
          <w:kern w:val="0"/>
          <w:sz w:val="24"/>
          <w:szCs w:val="24"/>
          <w:highlight w:val="none"/>
        </w:rPr>
        <w:t>且该种过错将导致评标委员会无法判断投标文件是否响应招标文件实质性要求的</w:t>
      </w:r>
      <w:r>
        <w:rPr>
          <w:rFonts w:hint="eastAsia" w:ascii="宋体" w:hAnsi="宋体" w:eastAsia="宋体" w:cs="宋体"/>
          <w:snapToGrid w:val="0"/>
          <w:color w:val="auto"/>
          <w:kern w:val="0"/>
          <w:sz w:val="24"/>
          <w:szCs w:val="24"/>
          <w:highlight w:val="none"/>
        </w:rPr>
        <w:t>；出现手工涂改、行间插字或删除，但未加盖单位章或由投标人的法定代表人或其委托代理人签字确认的；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（11）投标文件未按规定签字、盖章的；</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196" w:name="_Toc32735"/>
      <w:r>
        <w:rPr>
          <w:rFonts w:hint="eastAsia" w:ascii="宋体" w:hAnsi="宋体" w:eastAsia="宋体" w:cs="宋体"/>
          <w:snapToGrid w:val="0"/>
          <w:color w:val="auto"/>
          <w:sz w:val="24"/>
          <w:szCs w:val="24"/>
        </w:rPr>
        <w:t>3．响应性评审环节</w:t>
      </w:r>
      <w:bookmarkEnd w:id="194"/>
      <w:bookmarkEnd w:id="195"/>
      <w:bookmarkEnd w:id="196"/>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bookmarkStart w:id="197" w:name="_Toc6331"/>
      <w:bookmarkStart w:id="198" w:name="_Toc19353"/>
      <w:r>
        <w:rPr>
          <w:rFonts w:hint="eastAsia" w:ascii="宋体" w:hAnsi="宋体" w:eastAsia="宋体" w:cs="宋体"/>
          <w:snapToGrid w:val="0"/>
          <w:color w:val="auto"/>
          <w:kern w:val="0"/>
          <w:sz w:val="24"/>
          <w:szCs w:val="24"/>
          <w:highlight w:val="none"/>
        </w:rPr>
        <w:t>投标人有下列情形之一的，评标委员会应否决其投标。被否决的投标人，不进入详细评审阶段。</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（12）承诺的投标有效期短于规定的；质量标准低于规定的；工期超出规定的；擅自修改、遗漏《投标函》《各项承诺一览表》实质性内容的；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highlight w:val="none"/>
        </w:rPr>
        <w:t>（13）出现两个或两个以上投标总价的（同一个投标总价大、小写不一致的除外）；投标总价超出最高投标限价的；投标费率低于85%，又未提供相应书面说明和佐证材料或提供的书面说明和佐证材料不能令人信服，被评标委员会认定以低于成本报价竞标的；</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199" w:name="_Toc29288"/>
      <w:r>
        <w:rPr>
          <w:rFonts w:hint="eastAsia" w:ascii="宋体" w:hAnsi="宋体" w:eastAsia="宋体" w:cs="宋体"/>
          <w:snapToGrid w:val="0"/>
          <w:color w:val="auto"/>
          <w:sz w:val="24"/>
          <w:szCs w:val="24"/>
        </w:rPr>
        <w:t>4．其他</w:t>
      </w:r>
      <w:bookmarkEnd w:id="197"/>
      <w:bookmarkEnd w:id="198"/>
      <w:bookmarkEnd w:id="199"/>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napToGrid w:val="0"/>
          <w:color w:val="auto"/>
          <w:kern w:val="0"/>
          <w:sz w:val="24"/>
          <w:szCs w:val="24"/>
          <w:highlight w:val="none"/>
        </w:rPr>
      </w:pPr>
      <w:bookmarkStart w:id="200" w:name="_Toc23993"/>
      <w:bookmarkStart w:id="201" w:name="_Toc10409"/>
      <w:r>
        <w:rPr>
          <w:rFonts w:hint="eastAsia" w:ascii="宋体" w:hAnsi="宋体" w:eastAsia="宋体" w:cs="宋体"/>
          <w:snapToGrid w:val="0"/>
          <w:color w:val="auto"/>
          <w:kern w:val="0"/>
          <w:sz w:val="24"/>
          <w:szCs w:val="24"/>
          <w:highlight w:val="none"/>
        </w:rPr>
        <w:t>在任何评标环节（或阶段），投标人有下列情形之一的，评标委员会应否决其投标。被否决的投标人，不进入下一环节（或阶段）。</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（14）不按评标委员会要求澄清、说明或补正的；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（15）有下列情形之一，被评标委员会认定属于串通投标的：</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①不同投标人的投标文件两处以上（含两处）错、漏一致；</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②不同投标人的投标总价相近且各分项报价、综合单价分析表内容混乱不能相互对应、乱调乱压或乱抬的，而在询标时没有合理的解释或者不能提供计算依据和报价依据；</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③不同投标人的投标各项报价存在异常一致或者呈规律性变化；</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④不同投标人的投标文件由同一单位或者同一个人编制；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⑤不同投标人的投标文件中投标资料（包括电子资料）相互混装或项目班子成员出现同一人；</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⑥投标报价用同一个预算编制软件密码锁制作或出自同一电子文档；</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⑦不同投标人的投标保证由同一企业或同一账户资金缴纳；</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napToGrid w:val="0"/>
          <w:color w:val="auto"/>
          <w:kern w:val="0"/>
          <w:sz w:val="24"/>
          <w:szCs w:val="24"/>
          <w:highlight w:val="none"/>
        </w:rPr>
      </w:pPr>
      <w:bookmarkStart w:id="202" w:name="_Toc22924"/>
      <w:r>
        <w:rPr>
          <w:rFonts w:hint="eastAsia" w:ascii="宋体" w:hAnsi="宋体" w:eastAsia="宋体" w:cs="宋体"/>
          <w:snapToGrid w:val="0"/>
          <w:color w:val="auto"/>
          <w:kern w:val="0"/>
          <w:sz w:val="24"/>
          <w:szCs w:val="24"/>
          <w:highlight w:val="none"/>
        </w:rPr>
        <w:t>⑧不同投标人委托同一个人或注册在同一家企业的注册人员或同一家企业为其投标提供投标咨询、商务报价、技术咨询（招标工程本身要求采用专有技术的除外）等服务。</w:t>
      </w:r>
      <w:bookmarkEnd w:id="202"/>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
        <w:wordWrap w:val="0"/>
        <w:autoSpaceDE/>
        <w:autoSpaceDN/>
        <w:snapToGrid w:val="0"/>
        <w:spacing w:line="360" w:lineRule="auto"/>
        <w:jc w:val="center"/>
        <w:rPr>
          <w:rFonts w:hint="eastAsia" w:ascii="宋体" w:hAnsi="宋体" w:eastAsia="宋体" w:cs="宋体"/>
          <w:b/>
          <w:snapToGrid w:val="0"/>
          <w:color w:val="auto"/>
          <w:kern w:val="0"/>
          <w:sz w:val="24"/>
          <w:szCs w:val="24"/>
        </w:rPr>
      </w:pPr>
      <w:bookmarkStart w:id="203" w:name="_Toc20960"/>
      <w:bookmarkStart w:id="204" w:name="_Toc484"/>
      <w:bookmarkStart w:id="205" w:name="_Toc20406"/>
      <w:r>
        <w:rPr>
          <w:rFonts w:hint="eastAsia" w:ascii="宋体" w:hAnsi="宋体" w:eastAsia="宋体" w:cs="宋体"/>
          <w:b/>
          <w:snapToGrid w:val="0"/>
          <w:color w:val="auto"/>
          <w:sz w:val="24"/>
          <w:szCs w:val="24"/>
        </w:rPr>
        <w:t>第二章</w:t>
      </w:r>
      <w:r>
        <w:rPr>
          <w:rFonts w:hint="eastAsia" w:ascii="宋体" w:hAnsi="宋体" w:eastAsia="宋体" w:cs="宋体"/>
          <w:b/>
          <w:snapToGrid w:val="0"/>
          <w:color w:val="auto"/>
          <w:sz w:val="24"/>
          <w:szCs w:val="24"/>
          <w:lang w:val="en-US" w:eastAsia="zh-CN"/>
        </w:rPr>
        <w:t xml:space="preserve">   </w:t>
      </w:r>
      <w:r>
        <w:rPr>
          <w:rFonts w:hint="eastAsia" w:ascii="宋体" w:hAnsi="宋体" w:eastAsia="宋体" w:cs="宋体"/>
          <w:b/>
          <w:snapToGrid w:val="0"/>
          <w:color w:val="auto"/>
          <w:sz w:val="24"/>
          <w:szCs w:val="24"/>
        </w:rPr>
        <w:t>中标人须知</w:t>
      </w:r>
      <w:bookmarkEnd w:id="200"/>
      <w:bookmarkEnd w:id="201"/>
      <w:bookmarkEnd w:id="203"/>
      <w:bookmarkEnd w:id="204"/>
      <w:bookmarkEnd w:id="205"/>
    </w:p>
    <w:p>
      <w:pPr>
        <w:pStyle w:val="5"/>
        <w:wordWrap w:val="0"/>
        <w:snapToGrid w:val="0"/>
        <w:spacing w:line="360" w:lineRule="auto"/>
        <w:ind w:firstLine="420"/>
        <w:rPr>
          <w:rFonts w:hint="eastAsia" w:ascii="宋体" w:hAnsi="宋体" w:eastAsia="宋体" w:cs="宋体"/>
          <w:snapToGrid w:val="0"/>
          <w:color w:val="auto"/>
          <w:sz w:val="24"/>
          <w:szCs w:val="24"/>
        </w:rPr>
      </w:pPr>
      <w:bookmarkStart w:id="206" w:name="_Toc19325"/>
      <w:r>
        <w:rPr>
          <w:rFonts w:hint="eastAsia" w:ascii="宋体" w:hAnsi="宋体" w:eastAsia="宋体" w:cs="宋体"/>
          <w:snapToGrid w:val="0"/>
          <w:color w:val="auto"/>
          <w:sz w:val="24"/>
          <w:szCs w:val="24"/>
        </w:rPr>
        <w:t>1．中标通知书</w:t>
      </w:r>
      <w:bookmarkEnd w:id="206"/>
    </w:p>
    <w:p>
      <w:pPr>
        <w:wordWrap w:val="0"/>
        <w:adjustRightInd w:val="0"/>
        <w:snapToGrid w:val="0"/>
        <w:spacing w:line="360" w:lineRule="auto"/>
        <w:ind w:firstLine="56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招标人确定第一中标候选人为中标人，并在中标人确定之日起7日内向中标人发出中标通知书，中标人必须按韶关市公共资源交易中心的规定办理相关手续后方可领取。中标通知书对招标人和中标人均具有法律约束力。中标通知书发出后，招标人改变中标结果和中标人放弃中标的，应当承担法律责任。</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07" w:name="_Toc17858"/>
      <w:r>
        <w:rPr>
          <w:rFonts w:hint="eastAsia" w:ascii="宋体" w:hAnsi="宋体" w:eastAsia="宋体" w:cs="宋体"/>
          <w:snapToGrid w:val="0"/>
          <w:color w:val="auto"/>
          <w:sz w:val="24"/>
          <w:szCs w:val="24"/>
        </w:rPr>
        <w:t>2．中标结果公示</w:t>
      </w:r>
      <w:bookmarkEnd w:id="207"/>
    </w:p>
    <w:p>
      <w:pPr>
        <w:wordWrap w:val="0"/>
        <w:adjustRightInd w:val="0"/>
        <w:snapToGrid w:val="0"/>
        <w:spacing w:line="360" w:lineRule="auto"/>
        <w:ind w:firstLine="56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中标通知书发出后15日内，招标人应将中标结果在广东省招标投标监管网（http://zbtb.gd.gov.cn）、广东省公共资源交易平台（韶关市）（https://ygp.gdzwfw.gov.cn/ggzy-portal/#/440200/index）及全国公共资源交易平台（广东省·韶关市）（https://ygp.gdzwfw.gov.cn/ggzy-portal/#/440200/index）进行公示。</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08" w:name="_Toc21530"/>
      <w:r>
        <w:rPr>
          <w:rFonts w:hint="eastAsia" w:ascii="宋体" w:hAnsi="宋体" w:eastAsia="宋体" w:cs="宋体"/>
          <w:snapToGrid w:val="0"/>
          <w:color w:val="auto"/>
          <w:sz w:val="24"/>
          <w:szCs w:val="24"/>
        </w:rPr>
        <w:t>3．履约保证</w:t>
      </w:r>
      <w:bookmarkEnd w:id="208"/>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3.1</w:t>
      </w:r>
      <w:r>
        <w:rPr>
          <w:rFonts w:hint="eastAsia" w:ascii="宋体" w:hAnsi="宋体" w:eastAsia="宋体" w:cs="宋体"/>
          <w:snapToGrid w:val="0"/>
          <w:color w:val="auto"/>
          <w:kern w:val="0"/>
          <w:sz w:val="24"/>
          <w:szCs w:val="24"/>
        </w:rPr>
        <w:t xml:space="preserve"> 中标人须在领取中标通知书之日起</w:t>
      </w:r>
      <w:r>
        <w:rPr>
          <w:rFonts w:hint="eastAsia" w:ascii="宋体" w:hAnsi="宋体" w:eastAsia="宋体" w:cs="宋体"/>
          <w:snapToGrid w:val="0"/>
          <w:color w:val="auto"/>
          <w:kern w:val="0"/>
          <w:sz w:val="24"/>
          <w:szCs w:val="24"/>
          <w:u w:val="single"/>
        </w:rPr>
        <w:t>10</w:t>
      </w:r>
      <w:r>
        <w:rPr>
          <w:rFonts w:hint="eastAsia" w:ascii="宋体" w:hAnsi="宋体" w:eastAsia="宋体" w:cs="宋体"/>
          <w:snapToGrid w:val="0"/>
          <w:color w:val="auto"/>
          <w:kern w:val="0"/>
          <w:sz w:val="24"/>
          <w:szCs w:val="24"/>
        </w:rPr>
        <w:t>个工作日内、签订合同前向招标人提交金额为中标价</w:t>
      </w:r>
      <w:r>
        <w:rPr>
          <w:rFonts w:hint="eastAsia" w:ascii="宋体" w:hAnsi="宋体" w:eastAsia="宋体" w:cs="宋体"/>
          <w:snapToGrid w:val="0"/>
          <w:color w:val="auto"/>
          <w:kern w:val="0"/>
          <w:sz w:val="24"/>
          <w:szCs w:val="24"/>
          <w:u w:val="single"/>
        </w:rPr>
        <w:t>3</w:t>
      </w:r>
      <w:r>
        <w:rPr>
          <w:rFonts w:hint="eastAsia" w:ascii="宋体" w:hAnsi="宋体" w:eastAsia="宋体" w:cs="宋体"/>
          <w:snapToGrid w:val="0"/>
          <w:color w:val="auto"/>
          <w:kern w:val="0"/>
          <w:sz w:val="24"/>
          <w:szCs w:val="24"/>
        </w:rPr>
        <w:t>% 的履约保证。联合体投标的，由联合体牵头人缴纳。</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3.2</w:t>
      </w:r>
      <w:r>
        <w:rPr>
          <w:rFonts w:hint="eastAsia" w:ascii="宋体" w:hAnsi="宋体" w:eastAsia="宋体" w:cs="宋体"/>
          <w:snapToGrid w:val="0"/>
          <w:color w:val="auto"/>
          <w:kern w:val="0"/>
          <w:sz w:val="24"/>
          <w:szCs w:val="24"/>
        </w:rPr>
        <w:t xml:space="preserve"> 履约保证的形式包括履约保证金、履约保证担保、履约保证保险三种，由中标人自主选择。</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（1）采用履约保证金的，中标人须从其法人开户银行的账号将履约保证金划至招标人账户，并详细注明项目名称及用途。</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采用履约保证担保或履约保证保险的，中标人应提交有效的银行保函或保险合同（或保险单）原件，银行保函或保险合同（或保险单）的有效期应当自合同生效之日起至项目通过竣工验收之日后28天止。如果中标人无法获得具体截止日期，银行保函或保险合同（或保险单）中应当有“变更工程竣工日期的，保证期间按照变更后的竣工日期做相应调整”或类似约定的条款。</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3.3</w:t>
      </w:r>
      <w:r>
        <w:rPr>
          <w:rFonts w:hint="eastAsia" w:ascii="宋体" w:hAnsi="宋体" w:eastAsia="宋体" w:cs="宋体"/>
          <w:snapToGrid w:val="0"/>
          <w:color w:val="auto"/>
          <w:kern w:val="0"/>
          <w:sz w:val="24"/>
          <w:szCs w:val="24"/>
        </w:rPr>
        <w:t xml:space="preserve"> 中标人在领取中标通知书之日起10个工作日内仍未提交履约保证的，招标人发出第一次提醒函；在领取中标通知书之日起15个工作日内仍未提交的，招标人发出第二次提醒函；在领取中标通知书之日起20个工作日内仍未提交的，视其放弃中标</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3.4</w:t>
      </w:r>
      <w:r>
        <w:rPr>
          <w:rFonts w:hint="eastAsia" w:ascii="宋体" w:hAnsi="宋体" w:eastAsia="宋体" w:cs="宋体"/>
          <w:snapToGrid w:val="0"/>
          <w:color w:val="auto"/>
          <w:kern w:val="0"/>
          <w:sz w:val="24"/>
          <w:szCs w:val="24"/>
        </w:rPr>
        <w:t xml:space="preserve"> 在工程实施过程中，如果承包人（即招标阶段的中标人，下同）由于自身的资金、技术、质量、非不可抗力等原因给发包人（即招标阶段的招标人，下同）造成经济损失，扣除相应履约保证。</w:t>
      </w:r>
    </w:p>
    <w:p>
      <w:pPr>
        <w:wordWrap w:val="0"/>
        <w:adjustRightInd w:val="0"/>
        <w:snapToGrid w:val="0"/>
        <w:spacing w:line="360" w:lineRule="auto"/>
        <w:ind w:firstLine="562"/>
        <w:rPr>
          <w:rFonts w:hint="eastAsia" w:ascii="宋体" w:hAnsi="宋体" w:eastAsia="宋体" w:cs="宋体"/>
          <w:b/>
          <w:bCs/>
          <w:snapToGrid w:val="0"/>
          <w:color w:val="auto"/>
          <w:kern w:val="0"/>
          <w:sz w:val="24"/>
          <w:szCs w:val="24"/>
        </w:rPr>
      </w:pPr>
      <w:r>
        <w:rPr>
          <w:rFonts w:hint="eastAsia" w:ascii="宋体" w:hAnsi="宋体" w:eastAsia="宋体" w:cs="宋体"/>
          <w:b/>
          <w:bCs/>
          <w:snapToGrid w:val="0"/>
          <w:color w:val="auto"/>
          <w:kern w:val="0"/>
          <w:sz w:val="24"/>
          <w:szCs w:val="24"/>
        </w:rPr>
        <w:t>3.5</w:t>
      </w:r>
      <w:r>
        <w:rPr>
          <w:rFonts w:hint="eastAsia" w:ascii="宋体" w:hAnsi="宋体" w:eastAsia="宋体" w:cs="宋体"/>
          <w:snapToGrid w:val="0"/>
          <w:color w:val="auto"/>
          <w:kern w:val="0"/>
          <w:sz w:val="24"/>
          <w:szCs w:val="24"/>
        </w:rPr>
        <w:t xml:space="preserve"> 项目通过竣工验收之日后28天内，发包人将履约保证退还给承包人。</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09" w:name="_Toc8144"/>
      <w:r>
        <w:rPr>
          <w:rFonts w:hint="eastAsia" w:ascii="宋体" w:hAnsi="宋体" w:eastAsia="宋体" w:cs="宋体"/>
          <w:snapToGrid w:val="0"/>
          <w:color w:val="auto"/>
          <w:sz w:val="24"/>
          <w:szCs w:val="24"/>
        </w:rPr>
        <w:t>4．合同订立</w:t>
      </w:r>
      <w:bookmarkEnd w:id="209"/>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4.1</w:t>
      </w:r>
      <w:r>
        <w:rPr>
          <w:rFonts w:hint="eastAsia" w:ascii="宋体" w:hAnsi="宋体" w:eastAsia="宋体" w:cs="宋体"/>
          <w:snapToGrid w:val="0"/>
          <w:color w:val="auto"/>
          <w:kern w:val="0"/>
          <w:sz w:val="24"/>
          <w:szCs w:val="24"/>
        </w:rPr>
        <w:t xml:space="preserve"> 招标人应当自中标通知书发出之日起</w:t>
      </w:r>
      <w:r>
        <w:rPr>
          <w:rFonts w:hint="eastAsia" w:ascii="宋体" w:hAnsi="宋体" w:eastAsia="宋体" w:cs="宋体"/>
          <w:snapToGrid w:val="0"/>
          <w:color w:val="auto"/>
          <w:kern w:val="0"/>
          <w:sz w:val="24"/>
          <w:szCs w:val="24"/>
          <w:u w:val="single"/>
        </w:rPr>
        <w:t>30</w:t>
      </w:r>
      <w:r>
        <w:rPr>
          <w:rFonts w:hint="eastAsia" w:ascii="宋体" w:hAnsi="宋体" w:eastAsia="宋体" w:cs="宋体"/>
          <w:snapToGrid w:val="0"/>
          <w:color w:val="auto"/>
          <w:kern w:val="0"/>
          <w:sz w:val="24"/>
          <w:szCs w:val="24"/>
        </w:rPr>
        <w:t>日内，按照招标文件、中标人的投标文件与中标人订立书面合同。</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4.2</w:t>
      </w:r>
      <w:r>
        <w:rPr>
          <w:rFonts w:hint="eastAsia" w:ascii="宋体" w:hAnsi="宋体" w:eastAsia="宋体" w:cs="宋体"/>
          <w:snapToGrid w:val="0"/>
          <w:color w:val="auto"/>
          <w:kern w:val="0"/>
          <w:sz w:val="24"/>
          <w:szCs w:val="24"/>
        </w:rPr>
        <w:t xml:space="preserve"> 不正常报价的梳理和确认</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4.2.1</w:t>
      </w:r>
      <w:r>
        <w:rPr>
          <w:rFonts w:hint="eastAsia" w:ascii="宋体" w:hAnsi="宋体" w:eastAsia="宋体" w:cs="宋体"/>
          <w:snapToGrid w:val="0"/>
          <w:color w:val="auto"/>
          <w:kern w:val="0"/>
          <w:sz w:val="24"/>
          <w:szCs w:val="24"/>
        </w:rPr>
        <w:t xml:space="preserve"> </w:t>
      </w:r>
      <w:r>
        <w:rPr>
          <w:rFonts w:hint="eastAsia" w:ascii="宋体" w:hAnsi="宋体" w:eastAsia="宋体" w:cs="宋体"/>
          <w:b/>
          <w:bCs/>
          <w:snapToGrid w:val="0"/>
          <w:color w:val="auto"/>
          <w:kern w:val="0"/>
          <w:sz w:val="24"/>
          <w:szCs w:val="24"/>
        </w:rPr>
        <w:t>合同订立期间，招标人应对中标人的投标报价进行全面分析和整理，从而发现并提取其中可能存在的算术性错误、错漏项、不平衡报价等不正常报价，并修正其中的算术性错误。</w:t>
      </w:r>
      <w:r>
        <w:rPr>
          <w:rFonts w:hint="eastAsia" w:ascii="宋体" w:hAnsi="宋体" w:eastAsia="宋体" w:cs="宋体"/>
          <w:snapToGrid w:val="0"/>
          <w:color w:val="auto"/>
          <w:kern w:val="0"/>
          <w:sz w:val="24"/>
          <w:szCs w:val="24"/>
        </w:rPr>
        <w:t>招标人不具备以上能力的，可委托造价咨询单位实施。</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4.2.2</w:t>
      </w:r>
      <w:r>
        <w:rPr>
          <w:rFonts w:hint="eastAsia" w:ascii="宋体" w:hAnsi="宋体" w:eastAsia="宋体" w:cs="宋体"/>
          <w:snapToGrid w:val="0"/>
          <w:color w:val="auto"/>
          <w:kern w:val="0"/>
          <w:sz w:val="24"/>
          <w:szCs w:val="24"/>
        </w:rPr>
        <w:t xml:space="preserve"> 招标人或其授权的造价咨询单位应就发现的以上所有不正常报价分类整理、汇总，形成《不正常报价清单》，并交中标人复核和确认。经招标人和中标人共同签字、盖章确认的《不正常报价清单》，构成施工合同的组成部分。</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 xml:space="preserve">4.3 </w:t>
      </w:r>
      <w:r>
        <w:rPr>
          <w:rFonts w:hint="eastAsia" w:ascii="宋体" w:hAnsi="宋体" w:eastAsia="宋体" w:cs="宋体"/>
          <w:snapToGrid w:val="0"/>
          <w:color w:val="auto"/>
          <w:kern w:val="0"/>
          <w:sz w:val="24"/>
          <w:szCs w:val="24"/>
        </w:rPr>
        <w:t>本招标工程合同计价方式为：</w:t>
      </w:r>
      <w:r>
        <w:rPr>
          <w:rFonts w:hint="eastAsia" w:ascii="宋体" w:hAnsi="宋体" w:eastAsia="宋体" w:cs="宋体"/>
          <w:b/>
          <w:bCs/>
          <w:snapToGrid w:val="0"/>
          <w:color w:val="auto"/>
          <w:kern w:val="0"/>
          <w:sz w:val="24"/>
          <w:szCs w:val="24"/>
          <w:u w:val="single"/>
        </w:rPr>
        <w:t>总价合同</w:t>
      </w:r>
      <w:r>
        <w:rPr>
          <w:rFonts w:hint="eastAsia" w:ascii="宋体" w:hAnsi="宋体" w:eastAsia="宋体" w:cs="宋体"/>
          <w:snapToGrid w:val="0"/>
          <w:color w:val="auto"/>
          <w:kern w:val="0"/>
          <w:sz w:val="24"/>
          <w:szCs w:val="24"/>
        </w:rPr>
        <w:t>。</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4.4</w:t>
      </w:r>
      <w:r>
        <w:rPr>
          <w:rFonts w:hint="eastAsia" w:ascii="宋体" w:hAnsi="宋体" w:eastAsia="宋体" w:cs="宋体"/>
          <w:snapToGrid w:val="0"/>
          <w:color w:val="auto"/>
          <w:kern w:val="0"/>
          <w:sz w:val="24"/>
          <w:szCs w:val="24"/>
        </w:rPr>
        <w:t xml:space="preserve"> 合同的标的、质量、履行期限条款和合同的价款、单价、比例条款等主要条款，应当与招标文件、中标人的投标文件的内容一致。中标人在签订合同时不得向招标人提出附加条件。</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4.5</w:t>
      </w:r>
      <w:r>
        <w:rPr>
          <w:rFonts w:hint="eastAsia" w:ascii="宋体" w:hAnsi="宋体" w:eastAsia="宋体" w:cs="宋体"/>
          <w:snapToGrid w:val="0"/>
          <w:color w:val="auto"/>
          <w:kern w:val="0"/>
          <w:sz w:val="24"/>
          <w:szCs w:val="24"/>
        </w:rPr>
        <w:t xml:space="preserve"> 若中标人在领取中标通知书之日起30天内仍未签订合同，招标人发出第一次提醒函；在领取中标通知书之日起40天内仍未签订，招标人发出第二次提醒函；在领取中标通知书之日起45天内仍未签订，视其放弃中标。</w:t>
      </w:r>
    </w:p>
    <w:p>
      <w:pPr>
        <w:wordWrap w:val="0"/>
        <w:adjustRightInd w:val="0"/>
        <w:snapToGrid w:val="0"/>
        <w:spacing w:line="360" w:lineRule="auto"/>
        <w:ind w:firstLine="482" w:firstLineChars="200"/>
        <w:rPr>
          <w:rFonts w:hint="eastAsia" w:ascii="宋体" w:hAnsi="宋体" w:eastAsia="宋体" w:cs="宋体"/>
          <w:b/>
          <w:bCs/>
          <w:snapToGrid w:val="0"/>
          <w:color w:val="auto"/>
          <w:kern w:val="0"/>
          <w:sz w:val="24"/>
          <w:szCs w:val="24"/>
        </w:rPr>
      </w:pPr>
      <w:r>
        <w:rPr>
          <w:rFonts w:hint="eastAsia" w:ascii="宋体" w:hAnsi="宋体" w:eastAsia="宋体" w:cs="宋体"/>
          <w:b/>
          <w:bCs/>
          <w:snapToGrid w:val="0"/>
          <w:color w:val="auto"/>
          <w:kern w:val="0"/>
          <w:sz w:val="24"/>
          <w:szCs w:val="24"/>
        </w:rPr>
        <w:t>4.6</w:t>
      </w:r>
      <w:r>
        <w:rPr>
          <w:rFonts w:hint="eastAsia" w:ascii="宋体" w:hAnsi="宋体" w:eastAsia="宋体" w:cs="宋体"/>
          <w:snapToGrid w:val="0"/>
          <w:color w:val="auto"/>
          <w:kern w:val="0"/>
          <w:sz w:val="24"/>
          <w:szCs w:val="24"/>
        </w:rPr>
        <w:t xml:space="preserve"> 在书面合同订立之日起2个工作日内，由中标人将合同上传至建设工程交易系统，并发起退还投标保证的申请。韶关市公共资源交易中心在收到申请之日起3个工作日内，将投标保证金（或银行保函）退还给中标人和其他中标候选人。</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0" w:name="_Toc19937"/>
      <w:r>
        <w:rPr>
          <w:rFonts w:hint="eastAsia" w:ascii="宋体" w:hAnsi="宋体" w:eastAsia="宋体" w:cs="宋体"/>
          <w:snapToGrid w:val="0"/>
          <w:color w:val="auto"/>
          <w:sz w:val="24"/>
          <w:szCs w:val="24"/>
        </w:rPr>
        <w:t>5．放弃中标的处理</w:t>
      </w:r>
      <w:bookmarkEnd w:id="210"/>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5.1</w:t>
      </w:r>
      <w:r>
        <w:rPr>
          <w:rFonts w:hint="eastAsia" w:ascii="宋体" w:hAnsi="宋体" w:eastAsia="宋体" w:cs="宋体"/>
          <w:snapToGrid w:val="0"/>
          <w:color w:val="auto"/>
          <w:kern w:val="0"/>
          <w:sz w:val="24"/>
          <w:szCs w:val="24"/>
        </w:rPr>
        <w:t xml:space="preserve"> 中标人</w:t>
      </w:r>
      <w:r>
        <w:rPr>
          <w:rFonts w:hint="eastAsia" w:ascii="宋体" w:hAnsi="宋体" w:eastAsia="宋体" w:cs="宋体"/>
          <w:snapToGrid w:val="0"/>
          <w:color w:val="auto"/>
          <w:sz w:val="24"/>
          <w:szCs w:val="24"/>
        </w:rPr>
        <w:t>无正当理由放弃中标的，</w:t>
      </w:r>
      <w:r>
        <w:rPr>
          <w:rFonts w:hint="eastAsia" w:ascii="宋体" w:hAnsi="宋体" w:eastAsia="宋体" w:cs="宋体"/>
          <w:snapToGrid w:val="0"/>
          <w:color w:val="auto"/>
          <w:kern w:val="0"/>
          <w:sz w:val="24"/>
          <w:szCs w:val="24"/>
        </w:rPr>
        <w:t>取消其中标资格，其投标保证不予退还，给招标人造成的损失超过投标保证金额的，弃标人还应当对超过部分予以赔偿。招标人可按照评标委员会提出的中标候选人名单排序依次确定其他中标候选人为中标人，如果招标人认为其他中标候选人的条件明显不利于招标人的，也可以重新招标。</w:t>
      </w:r>
      <w:r>
        <w:rPr>
          <w:rFonts w:hint="eastAsia" w:ascii="宋体" w:hAnsi="宋体" w:eastAsia="宋体" w:cs="宋体"/>
          <w:bCs/>
          <w:snapToGrid w:val="0"/>
          <w:color w:val="auto"/>
          <w:kern w:val="0"/>
          <w:sz w:val="24"/>
          <w:szCs w:val="24"/>
        </w:rPr>
        <w:t>因此种情况造成招标人重新招标的</w:t>
      </w:r>
      <w:r>
        <w:rPr>
          <w:rFonts w:hint="eastAsia" w:ascii="宋体" w:hAnsi="宋体" w:eastAsia="宋体" w:cs="宋体"/>
          <w:snapToGrid w:val="0"/>
          <w:color w:val="auto"/>
          <w:kern w:val="0"/>
          <w:sz w:val="24"/>
          <w:szCs w:val="24"/>
        </w:rPr>
        <w:t>，招标人可不接受该弃标人再次投标。同时，招标人应将该弃标人的失信行为向行政监督部门报告。</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5.2</w:t>
      </w:r>
      <w:r>
        <w:rPr>
          <w:rFonts w:hint="eastAsia" w:ascii="宋体" w:hAnsi="宋体" w:eastAsia="宋体" w:cs="宋体"/>
          <w:snapToGrid w:val="0"/>
          <w:color w:val="auto"/>
          <w:kern w:val="0"/>
          <w:sz w:val="24"/>
          <w:szCs w:val="24"/>
        </w:rPr>
        <w:t xml:space="preserve"> 中标人因不可抗力提出不能履行合同的，须在领取中标通知书之日起10天内提供有关证明文件或资料，其投标保证予以退还，招标人可按照评标委员会提出的中标候选人名单排序依次确定其他中标候选人为中标人。如果招标人认为其他中标候选人的条件明显不利于招标人的，也可以重新招标。</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1" w:name="_Toc28610"/>
      <w:r>
        <w:rPr>
          <w:rFonts w:hint="eastAsia" w:ascii="宋体" w:hAnsi="宋体" w:eastAsia="宋体" w:cs="宋体"/>
          <w:snapToGrid w:val="0"/>
          <w:color w:val="auto"/>
          <w:sz w:val="24"/>
          <w:szCs w:val="24"/>
        </w:rPr>
        <w:t>6．专业工程分包</w:t>
      </w:r>
      <w:bookmarkEnd w:id="211"/>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合同范围内的工程未经发包人同意一律不得分包，一经发现，取消承包人的承包资格，由此引起的一切经济损失和法律责任由承包人自行承担。若有专业工程必须分包的，发包人不另行支付总包服务费；其分包合同由总包人与分包人双方签订，发包人不参与总包人与分包人之间的结算，该部分工程的造价仍按总包人与发包人签订的合同的有关条款进行结算。</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2" w:name="_Toc9939"/>
      <w:r>
        <w:rPr>
          <w:rFonts w:hint="eastAsia" w:ascii="宋体" w:hAnsi="宋体" w:eastAsia="宋体" w:cs="宋体"/>
          <w:snapToGrid w:val="0"/>
          <w:color w:val="auto"/>
          <w:sz w:val="24"/>
          <w:szCs w:val="24"/>
        </w:rPr>
        <w:t>7．工人工资支付专用账户</w:t>
      </w:r>
      <w:bookmarkEnd w:id="212"/>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7.1</w:t>
      </w:r>
      <w:r>
        <w:rPr>
          <w:rFonts w:hint="eastAsia" w:ascii="宋体" w:hAnsi="宋体" w:eastAsia="宋体" w:cs="宋体"/>
          <w:snapToGrid w:val="0"/>
          <w:color w:val="auto"/>
          <w:kern w:val="0"/>
          <w:sz w:val="24"/>
          <w:szCs w:val="24"/>
        </w:rPr>
        <w:t xml:space="preserve"> 发、承包双方订立合同时，应就承包人设立工人工资支付专用账户（以下简称“工资专户”）、工程进度款中工人工资款的比例、工资款拨付的期限等事项作出明确约定。发包人按照合同约定，按月将工程款中的工资款项单独足额拨付到承包人的工资专户，并对承包人工人工资支付情况进行监督，及时协调解决工人工资发放中存在的问题。</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7.2</w:t>
      </w:r>
      <w:r>
        <w:rPr>
          <w:rFonts w:hint="eastAsia" w:ascii="宋体" w:hAnsi="宋体" w:eastAsia="宋体" w:cs="宋体"/>
          <w:snapToGrid w:val="0"/>
          <w:color w:val="auto"/>
          <w:kern w:val="0"/>
          <w:sz w:val="24"/>
          <w:szCs w:val="24"/>
        </w:rPr>
        <w:t xml:space="preserve"> 承包人必须在项目开工前，在项目所在地银行设立工资专户，并在作业工人进场前按照相关规定完成实名管理登记及作业工人工资卡开办。承包人应在工资专户开立后2个工作日内，将开户银行及其账号、开户协议等资料提交给发包人。</w:t>
      </w:r>
    </w:p>
    <w:p>
      <w:pPr>
        <w:wordWrap w:val="0"/>
        <w:adjustRightInd w:val="0"/>
        <w:snapToGrid w:val="0"/>
        <w:spacing w:line="360" w:lineRule="auto"/>
        <w:ind w:firstLine="482" w:firstLineChars="200"/>
        <w:rPr>
          <w:rFonts w:hint="eastAsia" w:ascii="宋体" w:hAnsi="宋体" w:eastAsia="宋体" w:cs="宋体"/>
          <w:b/>
          <w:bCs/>
          <w:snapToGrid w:val="0"/>
          <w:color w:val="auto"/>
          <w:kern w:val="0"/>
          <w:sz w:val="24"/>
          <w:szCs w:val="24"/>
        </w:rPr>
      </w:pPr>
      <w:r>
        <w:rPr>
          <w:rFonts w:hint="eastAsia" w:ascii="宋体" w:hAnsi="宋体" w:eastAsia="宋体" w:cs="宋体"/>
          <w:b/>
          <w:bCs/>
          <w:snapToGrid w:val="0"/>
          <w:color w:val="auto"/>
          <w:kern w:val="0"/>
          <w:sz w:val="24"/>
          <w:szCs w:val="24"/>
        </w:rPr>
        <w:t>7.3</w:t>
      </w:r>
      <w:r>
        <w:rPr>
          <w:rFonts w:hint="eastAsia" w:ascii="宋体" w:hAnsi="宋体" w:eastAsia="宋体" w:cs="宋体"/>
          <w:snapToGrid w:val="0"/>
          <w:color w:val="auto"/>
          <w:kern w:val="0"/>
          <w:sz w:val="24"/>
          <w:szCs w:val="24"/>
        </w:rPr>
        <w:t xml:space="preserve"> 施工总承包企业依法将专业工程分包的，应在分包合同中就分包人设立工资专户、工程进度款中工人工资款的比例、工资款拨付的期限等事项作出明确约定。总包人按照分包合同约定，按月将工程款中的工资款项单独足额拨付到分包人的工资专户，并对分包人工人工资支付情况进行监督，及时协调解决工人工资发放中存在的问题。</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3" w:name="_Toc2225"/>
      <w:r>
        <w:rPr>
          <w:rFonts w:hint="eastAsia" w:ascii="宋体" w:hAnsi="宋体" w:eastAsia="宋体" w:cs="宋体"/>
          <w:snapToGrid w:val="0"/>
          <w:color w:val="auto"/>
          <w:sz w:val="24"/>
          <w:szCs w:val="24"/>
        </w:rPr>
        <w:t>8．诚信登记</w:t>
      </w:r>
      <w:bookmarkEnd w:id="213"/>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承包人在签订合同30日内，须按《韶关市住建管理局关于加强我市建筑行业企业及注册执业人员诚信管理的通知》（韶市建字〔2018）56号）的要求办理诚信登记，纳入诚信管理范围。</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4" w:name="_Toc30296"/>
      <w:r>
        <w:rPr>
          <w:rFonts w:hint="eastAsia" w:ascii="宋体" w:hAnsi="宋体" w:eastAsia="宋体" w:cs="宋体"/>
          <w:snapToGrid w:val="0"/>
          <w:color w:val="auto"/>
          <w:sz w:val="24"/>
          <w:szCs w:val="24"/>
        </w:rPr>
        <w:t>9．工期进度</w:t>
      </w:r>
      <w:bookmarkEnd w:id="214"/>
    </w:p>
    <w:p>
      <w:pPr>
        <w:pStyle w:val="14"/>
        <w:spacing w:beforeAutospacing="0" w:after="150" w:afterAutospacing="0" w:line="360" w:lineRule="auto"/>
        <w:ind w:firstLine="480"/>
        <w:rPr>
          <w:rFonts w:hint="eastAsia" w:ascii="宋体" w:hAnsi="宋体" w:eastAsia="宋体" w:cs="宋体"/>
          <w:snapToGrid w:val="0"/>
          <w:color w:val="auto"/>
          <w:sz w:val="24"/>
          <w:szCs w:val="24"/>
          <w:highlight w:val="yellow"/>
        </w:rPr>
      </w:pPr>
      <w:r>
        <w:rPr>
          <w:rFonts w:hint="eastAsia" w:ascii="宋体" w:hAnsi="宋体" w:eastAsia="宋体" w:cs="宋体"/>
          <w:b/>
          <w:bCs/>
          <w:snapToGrid w:val="0"/>
          <w:color w:val="auto"/>
          <w:sz w:val="24"/>
          <w:szCs w:val="24"/>
          <w:highlight w:val="none"/>
        </w:rPr>
        <w:t>9.1</w:t>
      </w: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设计、施工工期：共</w:t>
      </w:r>
      <w:r>
        <w:rPr>
          <w:rFonts w:hint="eastAsia" w:ascii="宋体" w:hAnsi="宋体" w:eastAsia="宋体" w:cs="宋体"/>
          <w:color w:val="auto"/>
          <w:sz w:val="24"/>
          <w:szCs w:val="24"/>
          <w:highlight w:val="none"/>
          <w:lang w:val="en-US" w:eastAsia="zh-CN"/>
        </w:rPr>
        <w:t>330</w:t>
      </w:r>
      <w:r>
        <w:rPr>
          <w:rFonts w:hint="eastAsia" w:ascii="宋体" w:hAnsi="宋体" w:eastAsia="宋体" w:cs="宋体"/>
          <w:color w:val="auto"/>
          <w:sz w:val="24"/>
          <w:szCs w:val="24"/>
          <w:highlight w:val="none"/>
        </w:rPr>
        <w:t>日历天（其中：</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设计工期为</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日历天；施工工期</w:t>
      </w:r>
      <w:r>
        <w:rPr>
          <w:rFonts w:hint="eastAsia" w:ascii="宋体" w:hAnsi="宋体" w:eastAsia="宋体" w:cs="宋体"/>
          <w:color w:val="auto"/>
          <w:sz w:val="24"/>
          <w:szCs w:val="24"/>
          <w:highlight w:val="none"/>
          <w:lang w:val="en-US" w:eastAsia="zh-CN"/>
        </w:rPr>
        <w:t>240</w:t>
      </w:r>
      <w:r>
        <w:rPr>
          <w:rFonts w:hint="eastAsia" w:ascii="宋体" w:hAnsi="宋体" w:eastAsia="宋体" w:cs="宋体"/>
          <w:color w:val="auto"/>
          <w:sz w:val="24"/>
          <w:szCs w:val="24"/>
          <w:highlight w:val="none"/>
        </w:rPr>
        <w:t>日历天）。</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9.2</w:t>
      </w:r>
      <w:r>
        <w:rPr>
          <w:rFonts w:hint="eastAsia" w:ascii="宋体" w:hAnsi="宋体" w:eastAsia="宋体" w:cs="宋体"/>
          <w:snapToGrid w:val="0"/>
          <w:color w:val="auto"/>
          <w:kern w:val="0"/>
          <w:sz w:val="24"/>
          <w:szCs w:val="24"/>
        </w:rPr>
        <w:t xml:space="preserve"> 施工工期从承包人收到监理单位签发的开工令之日起计，至竣工验收合格之日止。</w:t>
      </w:r>
    </w:p>
    <w:p>
      <w:pPr>
        <w:wordWrap w:val="0"/>
        <w:adjustRightInd w:val="0"/>
        <w:snapToGrid w:val="0"/>
        <w:spacing w:line="360" w:lineRule="auto"/>
        <w:ind w:firstLine="482" w:firstLineChars="200"/>
        <w:rPr>
          <w:rFonts w:hint="eastAsia" w:ascii="宋体" w:hAnsi="宋体" w:eastAsia="宋体" w:cs="宋体"/>
          <w:b/>
          <w:bCs/>
          <w:snapToGrid w:val="0"/>
          <w:color w:val="auto"/>
          <w:kern w:val="0"/>
          <w:sz w:val="24"/>
          <w:szCs w:val="24"/>
        </w:rPr>
      </w:pPr>
      <w:r>
        <w:rPr>
          <w:rFonts w:hint="eastAsia" w:ascii="宋体" w:hAnsi="宋体" w:eastAsia="宋体" w:cs="宋体"/>
          <w:b/>
          <w:bCs/>
          <w:snapToGrid w:val="0"/>
          <w:color w:val="auto"/>
          <w:kern w:val="0"/>
          <w:sz w:val="24"/>
          <w:szCs w:val="24"/>
        </w:rPr>
        <w:t>9.3</w:t>
      </w:r>
      <w:r>
        <w:rPr>
          <w:rFonts w:hint="eastAsia" w:ascii="宋体" w:hAnsi="宋体" w:eastAsia="宋体" w:cs="宋体"/>
          <w:snapToGrid w:val="0"/>
          <w:color w:val="auto"/>
          <w:kern w:val="0"/>
          <w:sz w:val="24"/>
          <w:szCs w:val="24"/>
        </w:rPr>
        <w:t xml:space="preserve"> 由于承包人原因，没有按期完成设计工作的，承包人须在逾期第壹天起每天按设计费合同价款的</w:t>
      </w:r>
      <w:r>
        <w:rPr>
          <w:rFonts w:hint="eastAsia" w:ascii="宋体" w:hAnsi="宋体" w:eastAsia="宋体" w:cs="宋体"/>
          <w:snapToGrid w:val="0"/>
          <w:color w:val="auto"/>
          <w:kern w:val="0"/>
          <w:sz w:val="24"/>
          <w:szCs w:val="24"/>
          <w:u w:val="single"/>
        </w:rPr>
        <w:t>1%</w:t>
      </w:r>
      <w:r>
        <w:rPr>
          <w:rFonts w:hint="eastAsia" w:ascii="宋体" w:hAnsi="宋体" w:eastAsia="宋体" w:cs="宋体"/>
          <w:snapToGrid w:val="0"/>
          <w:color w:val="auto"/>
          <w:kern w:val="0"/>
          <w:sz w:val="24"/>
          <w:szCs w:val="24"/>
        </w:rPr>
        <w:t>向招标人返纳逾期违约金；由于承包人原因，工程没有按期竣工并通过验收时（工期自监理单位签发的开工令日期起算），承包人须在逾期第壹天起每天按合同价款的</w:t>
      </w:r>
      <w:r>
        <w:rPr>
          <w:rFonts w:hint="eastAsia" w:ascii="宋体" w:hAnsi="宋体" w:eastAsia="宋体" w:cs="宋体"/>
          <w:snapToGrid w:val="0"/>
          <w:color w:val="auto"/>
          <w:kern w:val="0"/>
          <w:sz w:val="24"/>
          <w:szCs w:val="24"/>
          <w:u w:val="single"/>
        </w:rPr>
        <w:t>1‰</w:t>
      </w:r>
      <w:r>
        <w:rPr>
          <w:rFonts w:hint="eastAsia" w:ascii="宋体" w:hAnsi="宋体" w:eastAsia="宋体" w:cs="宋体"/>
          <w:snapToGrid w:val="0"/>
          <w:color w:val="auto"/>
          <w:kern w:val="0"/>
          <w:sz w:val="24"/>
          <w:szCs w:val="24"/>
        </w:rPr>
        <w:t>向招标人返纳逾期竣工违约金。逾期竣工违约金的最高限额为</w:t>
      </w:r>
      <w:r>
        <w:rPr>
          <w:rFonts w:hint="eastAsia" w:ascii="宋体" w:hAnsi="宋体" w:eastAsia="宋体" w:cs="宋体"/>
          <w:snapToGrid w:val="0"/>
          <w:color w:val="auto"/>
          <w:kern w:val="0"/>
          <w:sz w:val="24"/>
          <w:szCs w:val="24"/>
          <w:u w:val="single"/>
        </w:rPr>
        <w:t>合同价款的10%</w:t>
      </w:r>
      <w:r>
        <w:rPr>
          <w:rFonts w:hint="eastAsia" w:ascii="宋体" w:hAnsi="宋体" w:eastAsia="宋体" w:cs="宋体"/>
          <w:snapToGrid w:val="0"/>
          <w:color w:val="auto"/>
          <w:kern w:val="0"/>
          <w:sz w:val="24"/>
          <w:szCs w:val="24"/>
        </w:rPr>
        <w:t>。</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5" w:name="_Toc14924"/>
      <w:r>
        <w:rPr>
          <w:rFonts w:hint="eastAsia" w:ascii="宋体" w:hAnsi="宋体" w:eastAsia="宋体" w:cs="宋体"/>
          <w:snapToGrid w:val="0"/>
          <w:color w:val="auto"/>
          <w:sz w:val="24"/>
          <w:szCs w:val="24"/>
        </w:rPr>
        <w:t>10．项目管理机构</w:t>
      </w:r>
      <w:bookmarkEnd w:id="215"/>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10.1</w:t>
      </w:r>
      <w:r>
        <w:rPr>
          <w:rFonts w:hint="eastAsia" w:ascii="宋体" w:hAnsi="宋体" w:eastAsia="宋体" w:cs="宋体"/>
          <w:snapToGrid w:val="0"/>
          <w:color w:val="auto"/>
          <w:kern w:val="0"/>
          <w:sz w:val="24"/>
          <w:szCs w:val="24"/>
        </w:rPr>
        <w:t xml:space="preserve"> 承包人派驻的项目管理班子成员必须为其投标文件确定的人员，否则发包人有权终止合同。</w:t>
      </w:r>
    </w:p>
    <w:p>
      <w:pPr>
        <w:wordWrap w:val="0"/>
        <w:adjustRightInd w:val="0"/>
        <w:snapToGrid w:val="0"/>
        <w:spacing w:line="360" w:lineRule="auto"/>
        <w:ind w:firstLine="480"/>
        <w:rPr>
          <w:rFonts w:hint="eastAsia" w:ascii="宋体" w:hAnsi="宋体" w:eastAsia="宋体" w:cs="宋体"/>
          <w:b/>
          <w:snapToGrid w:val="0"/>
          <w:color w:val="auto"/>
          <w:kern w:val="0"/>
          <w:sz w:val="24"/>
          <w:szCs w:val="24"/>
        </w:rPr>
      </w:pPr>
      <w:r>
        <w:rPr>
          <w:rFonts w:hint="eastAsia" w:ascii="宋体" w:hAnsi="宋体" w:eastAsia="宋体" w:cs="宋体"/>
          <w:b/>
          <w:bCs/>
          <w:snapToGrid w:val="0"/>
          <w:color w:val="auto"/>
          <w:kern w:val="0"/>
          <w:sz w:val="24"/>
          <w:szCs w:val="24"/>
        </w:rPr>
        <w:t>10.2</w:t>
      </w:r>
      <w:r>
        <w:rPr>
          <w:rFonts w:hint="eastAsia" w:ascii="宋体" w:hAnsi="宋体" w:eastAsia="宋体" w:cs="宋体"/>
          <w:snapToGrid w:val="0"/>
          <w:color w:val="auto"/>
          <w:kern w:val="0"/>
          <w:sz w:val="24"/>
          <w:szCs w:val="24"/>
        </w:rPr>
        <w:t xml:space="preserve"> 项目管理班子成员不得擅自变更。其中，项目经理若有《广东省住房和城乡建设厅关于建设工程项目招标中标后监督检查的办法》（粤建市〔2009〕8号，以下简称“《办法》”）第九条所述除外情形之一确需变更的，承包人应填写《建设工程项目管理班子变更情况报告表》并附上相关证明资料，经发包人和建设行政主管部门审核同意方可变更，且更换后的项目经理应与承包人的投标文件所确定的原项目经理的主要条件一致；项目管理班子其他成员若有《办法》第九条所述除外情形之一确需变更的，承包人应填写《建设工程项目管理班子变更情况报告表》并附上相关证明资料，经发包人审核同意方可变更。</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6" w:name="_Toc13217"/>
      <w:r>
        <w:rPr>
          <w:rFonts w:hint="eastAsia" w:ascii="宋体" w:hAnsi="宋体" w:eastAsia="宋体" w:cs="宋体"/>
          <w:snapToGrid w:val="0"/>
          <w:color w:val="auto"/>
          <w:sz w:val="24"/>
          <w:szCs w:val="24"/>
        </w:rPr>
        <w:t>11．现场管理</w:t>
      </w:r>
      <w:bookmarkEnd w:id="216"/>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11.1</w:t>
      </w:r>
      <w:r>
        <w:rPr>
          <w:rFonts w:hint="eastAsia" w:ascii="宋体" w:hAnsi="宋体" w:eastAsia="宋体" w:cs="宋体"/>
          <w:snapToGrid w:val="0"/>
          <w:color w:val="auto"/>
          <w:kern w:val="0"/>
          <w:sz w:val="24"/>
          <w:szCs w:val="24"/>
        </w:rPr>
        <w:t xml:space="preserve"> 承包人在施工期间应严格遵守国家、广东省、韶关市有关绿色施工、文明施工、噪音扬尘、消防爆破、环境卫生、渣土清运、治安保卫等方面的规定，并建立相应规章制度和保障措施。否则由此造成的经济损失和法律责任，均由承包人承担。</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11.2</w:t>
      </w:r>
      <w:r>
        <w:rPr>
          <w:rFonts w:hint="eastAsia" w:ascii="宋体" w:hAnsi="宋体" w:eastAsia="宋体" w:cs="宋体"/>
          <w:snapToGrid w:val="0"/>
          <w:color w:val="auto"/>
          <w:kern w:val="0"/>
          <w:sz w:val="24"/>
          <w:szCs w:val="24"/>
        </w:rPr>
        <w:t xml:space="preserve"> 承包人应按安全施工有关规定，采取严格、科学的安全防护措施，确保施工和人员（包括第三者）的安全，承担由于自身安全防护措施不力所造成的安全事故责任和发生的费用。</w:t>
      </w:r>
    </w:p>
    <w:p>
      <w:pPr>
        <w:wordWrap w:val="0"/>
        <w:adjustRightInd w:val="0"/>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snapToGrid w:val="0"/>
          <w:color w:val="auto"/>
          <w:kern w:val="0"/>
          <w:sz w:val="24"/>
          <w:szCs w:val="24"/>
        </w:rPr>
        <w:t>11.3</w:t>
      </w:r>
      <w:r>
        <w:rPr>
          <w:rFonts w:hint="eastAsia" w:ascii="宋体" w:hAnsi="宋体" w:eastAsia="宋体" w:cs="宋体"/>
          <w:snapToGrid w:val="0"/>
          <w:color w:val="auto"/>
          <w:kern w:val="0"/>
          <w:sz w:val="24"/>
          <w:szCs w:val="24"/>
        </w:rPr>
        <w:t xml:space="preserve"> 为保证施工现场的环境卫生，承包人在本招标工程施工过程中，所有的车辆必须按发包人规定的行车路线行驶。</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7" w:name="_Toc29759"/>
      <w:r>
        <w:rPr>
          <w:rFonts w:hint="eastAsia" w:ascii="宋体" w:hAnsi="宋体" w:eastAsia="宋体" w:cs="宋体"/>
          <w:snapToGrid w:val="0"/>
          <w:color w:val="auto"/>
          <w:sz w:val="24"/>
          <w:szCs w:val="24"/>
        </w:rPr>
        <w:t>12．监督实施</w:t>
      </w:r>
      <w:bookmarkEnd w:id="217"/>
    </w:p>
    <w:p>
      <w:pPr>
        <w:wordWrap w:val="0"/>
        <w:adjustRightInd w:val="0"/>
        <w:snapToGrid w:val="0"/>
        <w:spacing w:line="360" w:lineRule="auto"/>
        <w:ind w:firstLine="560"/>
        <w:rPr>
          <w:rFonts w:hint="eastAsia" w:ascii="宋体" w:hAnsi="宋体" w:eastAsia="宋体" w:cs="宋体"/>
          <w:b/>
          <w:snapToGrid w:val="0"/>
          <w:color w:val="auto"/>
          <w:kern w:val="0"/>
          <w:sz w:val="24"/>
          <w:szCs w:val="24"/>
        </w:rPr>
      </w:pPr>
      <w:r>
        <w:rPr>
          <w:rFonts w:hint="eastAsia" w:ascii="宋体" w:hAnsi="宋体" w:eastAsia="宋体" w:cs="宋体"/>
          <w:snapToGrid w:val="0"/>
          <w:color w:val="auto"/>
          <w:kern w:val="0"/>
          <w:sz w:val="24"/>
          <w:szCs w:val="24"/>
        </w:rPr>
        <w:t>承包人须服从发包人对工程质量、进度、成本的全方位监督，施工中的年度计划、季度计划、月度计划、施工方案等应报送监理单位审批和发包人备案。施工中的质量保证措施等资料均应及时报送监理单位和发包人备案。</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8" w:name="_Toc30722"/>
      <w:r>
        <w:rPr>
          <w:rFonts w:hint="eastAsia" w:ascii="宋体" w:hAnsi="宋体" w:eastAsia="宋体" w:cs="宋体"/>
          <w:snapToGrid w:val="0"/>
          <w:color w:val="auto"/>
          <w:sz w:val="24"/>
          <w:szCs w:val="24"/>
        </w:rPr>
        <w:t>13．主材的采购和使用</w:t>
      </w:r>
      <w:bookmarkEnd w:id="218"/>
    </w:p>
    <w:p>
      <w:pPr>
        <w:wordWrap w:val="0"/>
        <w:adjustRightInd w:val="0"/>
        <w:snapToGrid w:val="0"/>
        <w:spacing w:line="360" w:lineRule="auto"/>
        <w:ind w:firstLine="56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招标人有权拒绝承包人提供的不合格或不符合绿色施工要求的材料，并要求承包人立即进行更换。承包人应按发包人确认后的主要材料的规格、颜色要求采购。如果变更规格或颜色，必须经发包人同意后，报有关审核部门重新核定单价后方可采购，并相应调整合同价款。主要材料必须先提供样板给发包人确定其规格、颜色、等级等，发包人同意后方可使用。</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19" w:name="_Toc31125"/>
      <w:r>
        <w:rPr>
          <w:rFonts w:hint="eastAsia" w:ascii="宋体" w:hAnsi="宋体" w:eastAsia="宋体" w:cs="宋体"/>
          <w:snapToGrid w:val="0"/>
          <w:color w:val="auto"/>
          <w:sz w:val="24"/>
          <w:szCs w:val="24"/>
        </w:rPr>
        <w:t>14．竣工资料移交</w:t>
      </w:r>
      <w:bookmarkEnd w:id="219"/>
    </w:p>
    <w:p>
      <w:pPr>
        <w:wordWrap w:val="0"/>
        <w:adjustRightInd w:val="0"/>
        <w:snapToGrid w:val="0"/>
        <w:spacing w:line="360" w:lineRule="auto"/>
        <w:ind w:firstLine="560"/>
        <w:rPr>
          <w:rFonts w:hint="eastAsia" w:ascii="宋体" w:hAnsi="宋体" w:eastAsia="宋体" w:cs="宋体"/>
          <w:b/>
          <w:snapToGrid w:val="0"/>
          <w:color w:val="auto"/>
          <w:kern w:val="0"/>
          <w:sz w:val="24"/>
          <w:szCs w:val="24"/>
        </w:rPr>
      </w:pPr>
      <w:r>
        <w:rPr>
          <w:rFonts w:hint="eastAsia" w:ascii="宋体" w:hAnsi="宋体" w:eastAsia="宋体" w:cs="宋体"/>
          <w:bCs/>
          <w:snapToGrid w:val="0"/>
          <w:color w:val="auto"/>
          <w:kern w:val="0"/>
          <w:sz w:val="24"/>
          <w:szCs w:val="24"/>
        </w:rPr>
        <w:t>工程竣工验收时，</w:t>
      </w:r>
      <w:r>
        <w:rPr>
          <w:rFonts w:hint="eastAsia" w:ascii="宋体" w:hAnsi="宋体" w:eastAsia="宋体" w:cs="宋体"/>
          <w:snapToGrid w:val="0"/>
          <w:color w:val="auto"/>
          <w:kern w:val="0"/>
          <w:sz w:val="24"/>
          <w:szCs w:val="24"/>
        </w:rPr>
        <w:t>承包</w:t>
      </w:r>
      <w:r>
        <w:rPr>
          <w:rFonts w:hint="eastAsia" w:ascii="宋体" w:hAnsi="宋体" w:eastAsia="宋体" w:cs="宋体"/>
          <w:bCs/>
          <w:snapToGrid w:val="0"/>
          <w:color w:val="auto"/>
          <w:kern w:val="0"/>
          <w:sz w:val="24"/>
          <w:szCs w:val="24"/>
        </w:rPr>
        <w:t>人应向监理单位和</w:t>
      </w:r>
      <w:r>
        <w:rPr>
          <w:rFonts w:hint="eastAsia" w:ascii="宋体" w:hAnsi="宋体" w:eastAsia="宋体" w:cs="宋体"/>
          <w:snapToGrid w:val="0"/>
          <w:color w:val="auto"/>
          <w:kern w:val="0"/>
          <w:sz w:val="24"/>
          <w:szCs w:val="24"/>
        </w:rPr>
        <w:t>发包</w:t>
      </w:r>
      <w:r>
        <w:rPr>
          <w:rFonts w:hint="eastAsia" w:ascii="宋体" w:hAnsi="宋体" w:eastAsia="宋体" w:cs="宋体"/>
          <w:bCs/>
          <w:snapToGrid w:val="0"/>
          <w:color w:val="auto"/>
          <w:kern w:val="0"/>
          <w:sz w:val="24"/>
          <w:szCs w:val="24"/>
        </w:rPr>
        <w:t>人提供符合国家档案部门备案要求的，编制成册的竣工图及有关的技术档案资料（含声像档案）一式</w:t>
      </w:r>
      <w:r>
        <w:rPr>
          <w:rFonts w:hint="eastAsia" w:ascii="宋体" w:hAnsi="宋体" w:eastAsia="宋体" w:cs="宋体"/>
          <w:bCs/>
          <w:snapToGrid w:val="0"/>
          <w:color w:val="auto"/>
          <w:kern w:val="0"/>
          <w:sz w:val="24"/>
          <w:szCs w:val="24"/>
          <w:u w:val="single"/>
        </w:rPr>
        <w:t>捌</w:t>
      </w:r>
      <w:r>
        <w:rPr>
          <w:rFonts w:hint="eastAsia" w:ascii="宋体" w:hAnsi="宋体" w:eastAsia="宋体" w:cs="宋体"/>
          <w:bCs/>
          <w:snapToGrid w:val="0"/>
          <w:color w:val="auto"/>
          <w:kern w:val="0"/>
          <w:sz w:val="24"/>
          <w:szCs w:val="24"/>
        </w:rPr>
        <w:t>份。</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20" w:name="_Toc30005"/>
      <w:r>
        <w:rPr>
          <w:rFonts w:hint="eastAsia" w:ascii="宋体" w:hAnsi="宋体" w:eastAsia="宋体" w:cs="宋体"/>
          <w:snapToGrid w:val="0"/>
          <w:color w:val="auto"/>
          <w:sz w:val="24"/>
          <w:szCs w:val="24"/>
        </w:rPr>
        <w:t>15．质量保证</w:t>
      </w:r>
      <w:bookmarkEnd w:id="220"/>
    </w:p>
    <w:p>
      <w:pPr>
        <w:wordWrap w:val="0"/>
        <w:adjustRightInd w:val="0"/>
        <w:snapToGrid w:val="0"/>
        <w:spacing w:line="360" w:lineRule="auto"/>
        <w:ind w:firstLine="560"/>
        <w:rPr>
          <w:rFonts w:hint="eastAsia" w:ascii="宋体" w:hAnsi="宋体" w:eastAsia="宋体" w:cs="宋体"/>
          <w:bCs/>
          <w:snapToGrid w:val="0"/>
          <w:color w:val="auto"/>
          <w:kern w:val="0"/>
          <w:sz w:val="24"/>
          <w:szCs w:val="24"/>
        </w:rPr>
      </w:pPr>
      <w:r>
        <w:rPr>
          <w:rFonts w:hint="eastAsia" w:ascii="宋体" w:hAnsi="宋体" w:eastAsia="宋体" w:cs="宋体"/>
          <w:b/>
          <w:bCs/>
          <w:snapToGrid w:val="0"/>
          <w:color w:val="auto"/>
          <w:kern w:val="0"/>
          <w:sz w:val="24"/>
          <w:szCs w:val="24"/>
        </w:rPr>
        <w:t>15.1</w:t>
      </w:r>
      <w:r>
        <w:rPr>
          <w:rFonts w:hint="eastAsia" w:ascii="宋体" w:hAnsi="宋体" w:eastAsia="宋体" w:cs="宋体"/>
          <w:bCs/>
          <w:snapToGrid w:val="0"/>
          <w:color w:val="auto"/>
          <w:kern w:val="0"/>
          <w:sz w:val="24"/>
          <w:szCs w:val="24"/>
        </w:rPr>
        <w:t xml:space="preserve"> </w:t>
      </w:r>
      <w:r>
        <w:rPr>
          <w:rFonts w:hint="eastAsia" w:ascii="宋体" w:hAnsi="宋体" w:eastAsia="宋体" w:cs="宋体"/>
          <w:snapToGrid w:val="0"/>
          <w:color w:val="auto"/>
          <w:kern w:val="0"/>
          <w:sz w:val="24"/>
          <w:szCs w:val="24"/>
        </w:rPr>
        <w:t>本招标工程</w:t>
      </w:r>
      <w:r>
        <w:rPr>
          <w:rFonts w:hint="eastAsia" w:ascii="宋体" w:hAnsi="宋体" w:eastAsia="宋体" w:cs="宋体"/>
          <w:bCs/>
          <w:snapToGrid w:val="0"/>
          <w:color w:val="auto"/>
          <w:kern w:val="0"/>
          <w:sz w:val="24"/>
          <w:szCs w:val="24"/>
        </w:rPr>
        <w:t>缺陷责任期为</w:t>
      </w:r>
      <w:r>
        <w:rPr>
          <w:rFonts w:hint="eastAsia" w:ascii="宋体" w:hAnsi="宋体" w:eastAsia="宋体" w:cs="宋体"/>
          <w:bCs/>
          <w:snapToGrid w:val="0"/>
          <w:color w:val="auto"/>
          <w:kern w:val="0"/>
          <w:sz w:val="24"/>
          <w:szCs w:val="24"/>
          <w:u w:val="single"/>
        </w:rPr>
        <w:t>2</w:t>
      </w:r>
      <w:r>
        <w:rPr>
          <w:rFonts w:hint="eastAsia" w:ascii="宋体" w:hAnsi="宋体" w:eastAsia="宋体" w:cs="宋体"/>
          <w:bCs/>
          <w:snapToGrid w:val="0"/>
          <w:color w:val="auto"/>
          <w:kern w:val="0"/>
          <w:sz w:val="24"/>
          <w:szCs w:val="24"/>
        </w:rPr>
        <w:t>年（自通过竣工验收之日起计），在此期间预留金额为结算价</w:t>
      </w:r>
      <w:r>
        <w:rPr>
          <w:rFonts w:hint="eastAsia" w:ascii="宋体" w:hAnsi="宋体" w:eastAsia="宋体" w:cs="宋体"/>
          <w:bCs/>
          <w:snapToGrid w:val="0"/>
          <w:color w:val="auto"/>
          <w:kern w:val="0"/>
          <w:sz w:val="24"/>
          <w:szCs w:val="24"/>
          <w:u w:val="single"/>
        </w:rPr>
        <w:t xml:space="preserve"> 3% </w:t>
      </w:r>
      <w:r>
        <w:rPr>
          <w:rFonts w:hint="eastAsia" w:ascii="宋体" w:hAnsi="宋体" w:eastAsia="宋体" w:cs="宋体"/>
          <w:bCs/>
          <w:snapToGrid w:val="0"/>
          <w:color w:val="auto"/>
          <w:kern w:val="0"/>
          <w:sz w:val="24"/>
          <w:szCs w:val="24"/>
        </w:rPr>
        <w:t>的质量保证。</w:t>
      </w:r>
    </w:p>
    <w:p>
      <w:pPr>
        <w:wordWrap w:val="0"/>
        <w:adjustRightInd w:val="0"/>
        <w:snapToGrid w:val="0"/>
        <w:spacing w:line="360" w:lineRule="auto"/>
        <w:ind w:firstLine="560"/>
        <w:rPr>
          <w:rFonts w:hint="eastAsia" w:ascii="宋体" w:hAnsi="宋体" w:eastAsia="宋体" w:cs="宋体"/>
          <w:bCs/>
          <w:snapToGrid w:val="0"/>
          <w:color w:val="auto"/>
          <w:kern w:val="0"/>
          <w:sz w:val="24"/>
          <w:szCs w:val="24"/>
        </w:rPr>
      </w:pPr>
      <w:r>
        <w:rPr>
          <w:rFonts w:hint="eastAsia" w:ascii="宋体" w:hAnsi="宋体" w:eastAsia="宋体" w:cs="宋体"/>
          <w:b/>
          <w:bCs/>
          <w:snapToGrid w:val="0"/>
          <w:color w:val="auto"/>
          <w:kern w:val="0"/>
          <w:sz w:val="24"/>
          <w:szCs w:val="24"/>
        </w:rPr>
        <w:t>15.2</w:t>
      </w:r>
      <w:r>
        <w:rPr>
          <w:rFonts w:hint="eastAsia" w:ascii="宋体" w:hAnsi="宋体" w:eastAsia="宋体" w:cs="宋体"/>
          <w:bCs/>
          <w:snapToGrid w:val="0"/>
          <w:color w:val="auto"/>
          <w:kern w:val="0"/>
          <w:sz w:val="24"/>
          <w:szCs w:val="24"/>
        </w:rPr>
        <w:t xml:space="preserve"> 质量保证的形式包括质量保证金、质量保证担保、质量保证保险三种，由承包人自主选择。</w:t>
      </w:r>
    </w:p>
    <w:p>
      <w:pPr>
        <w:wordWrap w:val="0"/>
        <w:adjustRightInd w:val="0"/>
        <w:snapToGrid w:val="0"/>
        <w:spacing w:line="360" w:lineRule="auto"/>
        <w:ind w:firstLine="56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（1）采用质量保证金形式的，在结清审定总造价时一次性扣留相应金额作为质量保证金。</w:t>
      </w:r>
    </w:p>
    <w:p>
      <w:pPr>
        <w:wordWrap w:val="0"/>
        <w:adjustRightInd w:val="0"/>
        <w:snapToGrid w:val="0"/>
        <w:spacing w:line="360" w:lineRule="auto"/>
        <w:ind w:firstLine="56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（2）采用质量保证担保或质量保证保险的，承包人应在竣工验收时向发包人提交有效的银行保函或保险合同（或保险单）原件，银行保函或保险合同（或保险单）的有效期不得短于缺陷责任期。</w:t>
      </w:r>
    </w:p>
    <w:p>
      <w:pPr>
        <w:wordWrap w:val="0"/>
        <w:adjustRightInd w:val="0"/>
        <w:snapToGrid w:val="0"/>
        <w:spacing w:line="360" w:lineRule="auto"/>
        <w:ind w:firstLine="560"/>
        <w:rPr>
          <w:rFonts w:hint="eastAsia" w:ascii="宋体" w:hAnsi="宋体" w:eastAsia="宋体" w:cs="宋体"/>
          <w:bCs/>
          <w:snapToGrid w:val="0"/>
          <w:color w:val="auto"/>
          <w:kern w:val="0"/>
          <w:sz w:val="24"/>
          <w:szCs w:val="24"/>
        </w:rPr>
      </w:pPr>
      <w:r>
        <w:rPr>
          <w:rFonts w:hint="eastAsia" w:ascii="宋体" w:hAnsi="宋体" w:eastAsia="宋体" w:cs="宋体"/>
          <w:b/>
          <w:bCs/>
          <w:snapToGrid w:val="0"/>
          <w:color w:val="auto"/>
          <w:kern w:val="0"/>
          <w:sz w:val="24"/>
          <w:szCs w:val="24"/>
        </w:rPr>
        <w:t>15.3</w:t>
      </w:r>
      <w:r>
        <w:rPr>
          <w:rFonts w:hint="eastAsia" w:ascii="宋体" w:hAnsi="宋体" w:eastAsia="宋体" w:cs="宋体"/>
          <w:bCs/>
          <w:snapToGrid w:val="0"/>
          <w:color w:val="auto"/>
          <w:kern w:val="0"/>
          <w:sz w:val="24"/>
          <w:szCs w:val="24"/>
        </w:rPr>
        <w:t xml:space="preserve"> 缺陷责任期内，由承包人原因造成的缺陷，承包人应负责维修，并承担鉴定及维修费用。如果承包人不维修也不承担费用，发包人可按合同约定从质量保证中扣除，维修费用超出保证金额的，发包人可按合同约定向承包人进行索赔。承包人维修并承担相应费用后，不免除对工程的损失赔偿责任。</w:t>
      </w:r>
    </w:p>
    <w:p>
      <w:pPr>
        <w:wordWrap w:val="0"/>
        <w:adjustRightInd w:val="0"/>
        <w:snapToGrid w:val="0"/>
        <w:spacing w:line="360" w:lineRule="auto"/>
        <w:ind w:firstLine="56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由他人原因造成的缺陷，发包人负责组织维修，承包人不承担费用，且发包人不得从质量保证中扣除费用。</w:t>
      </w:r>
    </w:p>
    <w:p>
      <w:pPr>
        <w:wordWrap w:val="0"/>
        <w:adjustRightInd w:val="0"/>
        <w:snapToGrid w:val="0"/>
        <w:spacing w:line="360" w:lineRule="auto"/>
        <w:ind w:firstLine="560"/>
        <w:rPr>
          <w:rFonts w:hint="eastAsia" w:ascii="宋体" w:hAnsi="宋体" w:eastAsia="宋体" w:cs="宋体"/>
          <w:b/>
          <w:bCs/>
          <w:snapToGrid w:val="0"/>
          <w:color w:val="auto"/>
          <w:kern w:val="0"/>
          <w:sz w:val="24"/>
          <w:szCs w:val="24"/>
        </w:rPr>
      </w:pPr>
      <w:r>
        <w:rPr>
          <w:rFonts w:hint="eastAsia" w:ascii="宋体" w:hAnsi="宋体" w:eastAsia="宋体" w:cs="宋体"/>
          <w:b/>
          <w:bCs/>
          <w:snapToGrid w:val="0"/>
          <w:color w:val="auto"/>
          <w:kern w:val="0"/>
          <w:sz w:val="24"/>
          <w:szCs w:val="24"/>
        </w:rPr>
        <w:t>15.4</w:t>
      </w:r>
      <w:r>
        <w:rPr>
          <w:rFonts w:hint="eastAsia" w:ascii="宋体" w:hAnsi="宋体" w:eastAsia="宋体" w:cs="宋体"/>
          <w:bCs/>
          <w:snapToGrid w:val="0"/>
          <w:color w:val="auto"/>
          <w:kern w:val="0"/>
          <w:sz w:val="24"/>
          <w:szCs w:val="24"/>
        </w:rPr>
        <w:t xml:space="preserve"> 缺陷责任期内，承包人应认真履行合同约定的责任。缺陷责任期到期后，承包人向发包人申请退还质量保证，发包人应按照《建设工程质量保证金管理办法》有关规定将质量保证退还给承包人。</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21" w:name="_Toc19580"/>
      <w:r>
        <w:rPr>
          <w:rFonts w:hint="eastAsia" w:ascii="宋体" w:hAnsi="宋体" w:eastAsia="宋体" w:cs="宋体"/>
          <w:snapToGrid w:val="0"/>
          <w:color w:val="auto"/>
          <w:sz w:val="24"/>
          <w:szCs w:val="24"/>
        </w:rPr>
        <w:t>16．不良行为处理</w:t>
      </w:r>
      <w:bookmarkEnd w:id="221"/>
    </w:p>
    <w:p>
      <w:pPr>
        <w:pStyle w:val="36"/>
        <w:wordWrap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承包人及其有关人员有下列行为之一的，发包人应及时向建设行政主管部门报告。除按照有关法律、法规进行处罚外，不良行为将计入企业及有关个人诚信档案，并在韶关市住房和城乡建设管理局网站（http://zgj.sg.gov.cn）公示。</w:t>
      </w:r>
    </w:p>
    <w:p>
      <w:pPr>
        <w:pStyle w:val="36"/>
        <w:wordWrap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（1）转包、违法分包或违反投标承诺分包工程的；</w:t>
      </w:r>
    </w:p>
    <w:p>
      <w:pPr>
        <w:pStyle w:val="36"/>
        <w:wordWrap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（2）非原参加投标中标的项目经理负责组织施工或在实施过程中擅自更换项目经理的、项目的其他主要管理人员与中标文件确定的人员不相符的；</w:t>
      </w:r>
    </w:p>
    <w:p>
      <w:pPr>
        <w:pStyle w:val="36"/>
        <w:wordWrap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（3）投标文件确定的大型机械设备没有进入施工现场的；</w:t>
      </w:r>
    </w:p>
    <w:p>
      <w:pPr>
        <w:pStyle w:val="36"/>
        <w:wordWrap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（4）与建设单位、监理单位串通，签认虚假工程量或工程造价的；</w:t>
      </w:r>
    </w:p>
    <w:p>
      <w:pPr>
        <w:pStyle w:val="36"/>
        <w:wordWrap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（5）项目经理施工现场管理不到位的；</w:t>
      </w:r>
    </w:p>
    <w:p>
      <w:pPr>
        <w:pStyle w:val="36"/>
        <w:wordWrap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（6）项目经理在非本人资格证书注册单位从事工程项目施工管理的；</w:t>
      </w:r>
    </w:p>
    <w:p>
      <w:pPr>
        <w:pStyle w:val="36"/>
        <w:wordWrap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（7）项目经理同时承担超过一项工程项目的；</w:t>
      </w:r>
    </w:p>
    <w:p>
      <w:pPr>
        <w:pStyle w:val="36"/>
        <w:wordWrap w:val="0"/>
        <w:adjustRightInd w:val="0"/>
        <w:snapToGrid w:val="0"/>
        <w:spacing w:line="360" w:lineRule="auto"/>
        <w:ind w:firstLine="480" w:firstLineChars="200"/>
        <w:jc w:val="left"/>
        <w:rPr>
          <w:rFonts w:hint="eastAsia" w:ascii="宋体" w:hAnsi="宋体" w:eastAsia="宋体" w:cs="宋体"/>
          <w:b/>
          <w:bCs/>
          <w:snapToGrid w:val="0"/>
          <w:color w:val="auto"/>
          <w:kern w:val="0"/>
          <w:sz w:val="24"/>
          <w:szCs w:val="24"/>
        </w:rPr>
      </w:pPr>
      <w:r>
        <w:rPr>
          <w:rFonts w:hint="eastAsia" w:ascii="宋体" w:hAnsi="宋体" w:eastAsia="宋体" w:cs="宋体"/>
          <w:snapToGrid w:val="0"/>
          <w:color w:val="auto"/>
          <w:kern w:val="0"/>
          <w:sz w:val="24"/>
          <w:szCs w:val="24"/>
        </w:rPr>
        <w:t>（8）违反有关法律、法规、规章规定的其它行为。</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22" w:name="_Toc18087"/>
      <w:r>
        <w:rPr>
          <w:rFonts w:hint="eastAsia" w:ascii="宋体" w:hAnsi="宋体" w:eastAsia="宋体" w:cs="宋体"/>
          <w:snapToGrid w:val="0"/>
          <w:color w:val="auto"/>
          <w:sz w:val="24"/>
          <w:szCs w:val="24"/>
        </w:rPr>
        <w:t>17．信用评价条款内容</w:t>
      </w:r>
      <w:bookmarkEnd w:id="222"/>
    </w:p>
    <w:p>
      <w:pPr>
        <w:pStyle w:val="38"/>
        <w:wordWrap w:val="0"/>
        <w:adjustRightInd w:val="0"/>
        <w:snapToGrid w:val="0"/>
        <w:spacing w:line="360" w:lineRule="auto"/>
        <w:ind w:firstLine="560"/>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rPr>
        <w:t>由招标人决定是否对施工单位的履约情况进行信用评价。若进行信用评价，评价条款由招标人自拟，条款内容可参考人员到位情况、服务配合程度、服务成果质量、项目后期服务及信用评价结果的运用等。</w:t>
      </w:r>
      <w:bookmarkStart w:id="223" w:name="_Toc14079368"/>
      <w:bookmarkStart w:id="224" w:name="_Toc30736"/>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225" w:name="_Toc28557"/>
      <w:bookmarkStart w:id="226" w:name="_Toc39136346"/>
      <w:bookmarkStart w:id="227" w:name="_Toc31280"/>
      <w:bookmarkStart w:id="228" w:name="_Toc27448"/>
      <w:bookmarkStart w:id="229" w:name="_Toc2332"/>
      <w:bookmarkStart w:id="230" w:name="_Toc20256"/>
      <w:bookmarkStart w:id="231" w:name="_Toc11642"/>
      <w:bookmarkStart w:id="232" w:name="_Toc31953"/>
      <w:r>
        <w:rPr>
          <w:rFonts w:hint="eastAsia" w:ascii="宋体" w:hAnsi="宋体" w:eastAsia="宋体" w:cs="宋体"/>
          <w:snapToGrid w:val="0"/>
          <w:color w:val="auto"/>
          <w:sz w:val="24"/>
          <w:szCs w:val="24"/>
          <w:lang w:val="en-US" w:eastAsia="zh-CN"/>
        </w:rPr>
        <w:t>18．其他事项</w:t>
      </w:r>
      <w:bookmarkEnd w:id="223"/>
      <w:bookmarkEnd w:id="224"/>
      <w:bookmarkEnd w:id="225"/>
      <w:bookmarkEnd w:id="226"/>
      <w:bookmarkEnd w:id="227"/>
      <w:bookmarkEnd w:id="228"/>
      <w:bookmarkEnd w:id="229"/>
      <w:bookmarkEnd w:id="230"/>
      <w:bookmarkEnd w:id="231"/>
      <w:bookmarkEnd w:id="232"/>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w:t>
      </w:r>
      <w:r>
        <w:rPr>
          <w:rFonts w:hint="eastAsia" w:ascii="宋体" w:hAnsi="宋体" w:eastAsia="宋体" w:cs="宋体"/>
          <w:color w:val="auto"/>
          <w:sz w:val="24"/>
          <w:szCs w:val="24"/>
          <w:shd w:val="clear" w:color="auto" w:fill="FFFFFF"/>
        </w:rPr>
        <w:t>中标人须为招标人提供现场管理的交通便利（开工至质保期满）。中标人不得以任何理由提出任何费用及补偿要求。</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18.2</w:t>
      </w:r>
      <w:r>
        <w:rPr>
          <w:rFonts w:hint="eastAsia" w:ascii="宋体" w:hAnsi="宋体" w:eastAsia="宋体" w:cs="宋体"/>
          <w:color w:val="auto"/>
          <w:sz w:val="24"/>
          <w:szCs w:val="24"/>
          <w:shd w:val="clear" w:color="auto" w:fill="FFFFFF"/>
        </w:rPr>
        <w:t>中标人须为招标人提供现场办公管理的便利。按工程需要配置办公室、会议室及办公家具、生活设施，配备满足工作需要的办公设备（电脑、打印机、复印机、传真机、办公用品等）。中标人不得以任何理由提出任何费用及补偿要求。</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18.3</w:t>
      </w:r>
      <w:r>
        <w:rPr>
          <w:rFonts w:hint="eastAsia" w:ascii="宋体" w:hAnsi="宋体" w:eastAsia="宋体" w:cs="宋体"/>
          <w:color w:val="auto"/>
          <w:sz w:val="24"/>
          <w:szCs w:val="24"/>
          <w:shd w:val="clear" w:color="auto" w:fill="FFFFFF"/>
        </w:rPr>
        <w:t>中标人须服从工程监理单位对工程质量全方位的监理，施工中的年度计划、季度计划、月度计划、施工方案等应报送监理单位审批和招标人备案。施工中的质量保证等资料均应及时报送监理单位和招标人备案。</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18.4</w:t>
      </w:r>
      <w:r>
        <w:rPr>
          <w:rFonts w:hint="eastAsia" w:ascii="宋体" w:hAnsi="宋体" w:eastAsia="宋体" w:cs="宋体"/>
          <w:color w:val="auto"/>
          <w:sz w:val="24"/>
          <w:szCs w:val="24"/>
          <w:shd w:val="clear" w:color="auto" w:fill="FFFFFF"/>
        </w:rPr>
        <w:t>工程竣工验收后15日内，中标人应按市城建档案馆的要求（质量、数量），将编制成册的施工档案资料（含声像档案和电子档案）提供给招标人、市城建档案馆、住建局、质量监督单位及监理单位，并承担档案涉及的所有费用（制作标准和相关要求按市城建档案馆的有关规定执行）。中标人提交符合城建档案馆要求的竣工资料经招标人确认签收后，即可办理工程结算手续。</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18.5</w:t>
      </w:r>
      <w:r>
        <w:rPr>
          <w:rFonts w:hint="eastAsia" w:ascii="宋体" w:hAnsi="宋体" w:eastAsia="宋体" w:cs="宋体"/>
          <w:color w:val="auto"/>
          <w:sz w:val="24"/>
          <w:szCs w:val="24"/>
          <w:shd w:val="clear" w:color="auto" w:fill="FFFFFF"/>
        </w:rPr>
        <w:t>为保证施工现场的环境卫生，中标人在本工程施工过程中，所有的车辆必须按招标人规定的行车路线行驶。并负责施工现场及受施工影响周边道路的卫生。</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18.6</w:t>
      </w:r>
      <w:r>
        <w:rPr>
          <w:rFonts w:hint="eastAsia" w:ascii="宋体" w:hAnsi="宋体" w:eastAsia="宋体" w:cs="宋体"/>
          <w:color w:val="auto"/>
          <w:sz w:val="24"/>
          <w:szCs w:val="24"/>
          <w:shd w:val="clear" w:color="auto" w:fill="FFFFFF"/>
        </w:rPr>
        <w:t>中标人应按招标人确认后的主要材料的规格、颜色要求采购。如变更规格或颜色，必须经招标人同意，并报有关审核部门重新核定单价后方可采购，并相应调整工程造价。主要材料必须先提供样板给招标人确定其规格、颜色、等级等，然后方可使用。</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18.7</w:t>
      </w:r>
      <w:r>
        <w:rPr>
          <w:rFonts w:hint="eastAsia" w:ascii="宋体" w:hAnsi="宋体" w:eastAsia="宋体" w:cs="宋体"/>
          <w:color w:val="auto"/>
          <w:sz w:val="24"/>
          <w:szCs w:val="24"/>
          <w:shd w:val="clear" w:color="auto" w:fill="FFFFFF"/>
        </w:rPr>
        <w:t>中标人须按工程所在地关于建筑渣土管理和扬尘治理等有关规定执行。</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18.8</w:t>
      </w:r>
      <w:r>
        <w:rPr>
          <w:rFonts w:hint="eastAsia" w:ascii="宋体" w:hAnsi="宋体" w:eastAsia="宋体" w:cs="宋体"/>
          <w:color w:val="auto"/>
          <w:sz w:val="24"/>
          <w:szCs w:val="24"/>
          <w:shd w:val="clear" w:color="auto" w:fill="FFFFFF"/>
        </w:rPr>
        <w:t>中标人应已详细了解本项目的前期工作（包括征地拆迁），同时也应已勘察施工现场、周围环境、地形、地貌、水文、交通等情况。中标人投标报价应已充分考虑在施工中由于招标人原因造成停工或工期延误等因素所产生的相关费用，招标人不予另计费；中标人不得以不完全了解项目的前期工作及现场情况为理由，提出因外界因素造成停工或工期延误的额外付款要求；对此类要求，招标人不作任何考虑及答复。</w:t>
      </w:r>
    </w:p>
    <w:p>
      <w:pPr>
        <w:pStyle w:val="38"/>
        <w:snapToGrid w:val="0"/>
        <w:spacing w:line="360" w:lineRule="auto"/>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如因招标人原因（自然灾害等不可抗力因素除外），工程不能按期开工，或开工后全部停滞，工期按相关规定予以顺延。停工发生后，若可复工时，中标人应在收到招标人发出的复工通知书后3日内开始复工。</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18.9</w:t>
      </w:r>
      <w:r>
        <w:rPr>
          <w:rFonts w:hint="eastAsia" w:ascii="宋体" w:hAnsi="宋体" w:eastAsia="宋体" w:cs="宋体"/>
          <w:color w:val="auto"/>
          <w:sz w:val="24"/>
          <w:szCs w:val="24"/>
          <w:shd w:val="clear" w:color="auto" w:fill="FFFFFF"/>
        </w:rPr>
        <w:t>若设计超过了限额标准，中标人必须无条件优化，直至达到限额要求为止，设计及施工工期不予以顺延，招标人不再支付由此而增加的设计费。</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18.10</w:t>
      </w:r>
      <w:r>
        <w:rPr>
          <w:rFonts w:hint="eastAsia" w:ascii="宋体" w:hAnsi="宋体" w:eastAsia="宋体" w:cs="宋体"/>
          <w:color w:val="auto"/>
          <w:sz w:val="24"/>
          <w:szCs w:val="24"/>
          <w:shd w:val="clear" w:color="auto" w:fill="FFFFFF"/>
        </w:rPr>
        <w:t>施工图设计通过招标人确，若由于审查过程中提出的设计修改或变更，中标人必须无条件进行修改或优化设计，招标人不再支付由此而增加的设计费用。</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18.11</w:t>
      </w:r>
      <w:r>
        <w:rPr>
          <w:rFonts w:hint="eastAsia" w:ascii="宋体" w:hAnsi="宋体" w:eastAsia="宋体" w:cs="宋体"/>
          <w:color w:val="auto"/>
          <w:sz w:val="24"/>
          <w:szCs w:val="24"/>
          <w:shd w:val="clear" w:color="auto" w:fill="FFFFFF"/>
        </w:rPr>
        <w:t>增加工程造价在施工14天前中标人必须提供详细的报价书（含工程项目名称、变更部位、理由、预计造价等）给监理单位核实并报招标人或有关审核部门核定后，方可施工。</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18.12</w:t>
      </w:r>
      <w:r>
        <w:rPr>
          <w:rFonts w:hint="eastAsia" w:ascii="宋体" w:hAnsi="宋体" w:eastAsia="宋体" w:cs="宋体"/>
          <w:color w:val="auto"/>
          <w:sz w:val="24"/>
          <w:szCs w:val="24"/>
          <w:shd w:val="clear" w:color="auto" w:fill="FFFFFF"/>
        </w:rPr>
        <w:t>中标人在施工图设计前，要充分进行市场调查，主要材料、设备在满足设计规范及建设标准的情况下，尽量采用造价管理机构发布的信息价中有相应型号、规格的标准材料，若必须采用非标准材料的，必须经招标人同意，否则参照信息价中相近且低于其标准的材料信息价作为该项材料的结算价。施工图设计工作须经招标人审核通过后方可进行下一步设计。</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18.13</w:t>
      </w:r>
      <w:r>
        <w:rPr>
          <w:rFonts w:hint="eastAsia" w:ascii="宋体" w:hAnsi="宋体" w:eastAsia="宋体" w:cs="宋体"/>
          <w:color w:val="auto"/>
          <w:sz w:val="24"/>
          <w:szCs w:val="24"/>
          <w:shd w:val="clear" w:color="auto" w:fill="FFFFFF"/>
        </w:rPr>
        <w:t>依据《关于进一步明确EPC建设工程财政投资评审工作有关事项的通知》（韶财建【2018】6号）文件，本项目有关具体事项如下：</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18.13.1</w:t>
      </w:r>
      <w:r>
        <w:rPr>
          <w:rFonts w:hint="eastAsia" w:ascii="宋体" w:hAnsi="宋体" w:eastAsia="宋体" w:cs="宋体"/>
          <w:color w:val="auto"/>
          <w:sz w:val="24"/>
          <w:szCs w:val="24"/>
          <w:shd w:val="clear" w:color="auto" w:fill="FFFFFF"/>
        </w:rPr>
        <w:t>承包人应按合同专用条款约定时间提交施工图设计文件、图纸及相关资料后按节点要求上报施工图工程量清单、预算。</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18.13.2</w:t>
      </w:r>
      <w:r>
        <w:rPr>
          <w:rFonts w:hint="eastAsia" w:ascii="宋体" w:hAnsi="宋体" w:eastAsia="宋体" w:cs="宋体"/>
          <w:color w:val="auto"/>
          <w:sz w:val="24"/>
          <w:szCs w:val="24"/>
          <w:shd w:val="clear" w:color="auto" w:fill="FFFFFF"/>
        </w:rPr>
        <w:t>承包人必须根据已批准的有关文件深化和优化设计，保证设计文件的深度；因承包人原因造成设计文件存在遭漏、错误、缺陷和不足导致造价增加由承包人负责；在实施过程中的设计优化，不得增加工程造价；确因发包人原因、法律法规调整或者不可抗力造成的设计变更，按工程变更处理。</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18.13.3</w:t>
      </w:r>
      <w:r>
        <w:rPr>
          <w:rFonts w:hint="eastAsia" w:ascii="宋体" w:hAnsi="宋体" w:eastAsia="宋体" w:cs="宋体"/>
          <w:color w:val="auto"/>
          <w:sz w:val="24"/>
          <w:szCs w:val="24"/>
          <w:shd w:val="clear" w:color="auto" w:fill="FFFFFF"/>
        </w:rPr>
        <w:t>燃气、通信、电力等专业工程设计、施工方案需要相关部门审批的必须通过审查；在实施过程中由于设计、施工原因导致整体方案改变的，按设计遗漏、错误、缺陷和不足及施工方案不足处理，增加工程造价由承包人负责及承担费用。承包人因勘察不全面导致施工破坏地下管线的由承包人承担全部损失及责任。</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18.13.4</w:t>
      </w:r>
      <w:r>
        <w:rPr>
          <w:rFonts w:hint="eastAsia" w:ascii="宋体" w:hAnsi="宋体" w:eastAsia="宋体" w:cs="宋体"/>
          <w:color w:val="auto"/>
          <w:sz w:val="24"/>
          <w:szCs w:val="24"/>
          <w:shd w:val="clear" w:color="auto" w:fill="FFFFFF"/>
        </w:rPr>
        <w:t>承包人不得在设计文件中或以口头暗示方式指定工程物资供货商或者制造厂，只有唯一厂家除外；承包人应通过招标等竞争性方式选择供货商或制造厂。</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18.13.5</w:t>
      </w:r>
      <w:r>
        <w:rPr>
          <w:rFonts w:hint="eastAsia" w:ascii="宋体" w:hAnsi="宋体" w:eastAsia="宋体" w:cs="宋体"/>
          <w:color w:val="auto"/>
          <w:sz w:val="24"/>
          <w:szCs w:val="24"/>
          <w:shd w:val="clear" w:color="auto" w:fill="FFFFFF"/>
        </w:rPr>
        <w:t>主要设备、管材(主材)以及专业工程结算报审要求</w:t>
      </w:r>
    </w:p>
    <w:p>
      <w:pPr>
        <w:pStyle w:val="38"/>
        <w:snapToGrid w:val="0"/>
        <w:spacing w:line="360" w:lineRule="auto"/>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主要设备、管材(主材) 以及专业工程等在工程预算中以“暂估价”形式包括在总承包范围内进行单列的，实施时确定规格型号、参数及档次、询价确价须经过有关承包人充分协商一致并形成书面材料；设备、管材(主材) 采购额达到依法招标条件的，应按国家相关规定采用招标方式确定设备、管材(主材) 供货商或制造厂和价格；结算时需提供选型、确价、实施采购、招标等决策过程文件，互相佐证的采购(招标)文件、投标文件、合同、发票、银行转账单等依据，专业工程需提供图纸等相关完整资料。</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18.13.6</w:t>
      </w:r>
      <w:r>
        <w:rPr>
          <w:rFonts w:hint="eastAsia" w:ascii="宋体" w:hAnsi="宋体" w:eastAsia="宋体" w:cs="宋体"/>
          <w:color w:val="auto"/>
          <w:sz w:val="24"/>
          <w:szCs w:val="24"/>
          <w:shd w:val="clear" w:color="auto" w:fill="FFFFFF"/>
        </w:rPr>
        <w:t>承包人不得为了用完设计限额额度，擅自扩大建设规模、增加建设内容、提高建设标准的行为，因此导致造价增加由承包人负责及承担费用。</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18.14</w:t>
      </w:r>
      <w:r>
        <w:rPr>
          <w:rFonts w:hint="eastAsia" w:ascii="宋体" w:hAnsi="宋体" w:eastAsia="宋体" w:cs="宋体"/>
          <w:color w:val="auto"/>
          <w:sz w:val="24"/>
          <w:szCs w:val="24"/>
          <w:shd w:val="clear" w:color="auto" w:fill="FFFFFF"/>
        </w:rPr>
        <w:t>工程质量保修期按《中华人民共和国建筑法》、《建设工程质量管理条例》等相关规定实施。</w:t>
      </w:r>
    </w:p>
    <w:p>
      <w:pPr>
        <w:pStyle w:val="38"/>
        <w:snapToGrid w:val="0"/>
        <w:spacing w:line="360" w:lineRule="auto"/>
        <w:ind w:firstLine="482" w:firstLineChars="200"/>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18.15</w:t>
      </w:r>
      <w:r>
        <w:rPr>
          <w:rFonts w:hint="eastAsia" w:ascii="宋体" w:hAnsi="宋体" w:eastAsia="宋体" w:cs="宋体"/>
          <w:color w:val="auto"/>
          <w:sz w:val="24"/>
          <w:szCs w:val="24"/>
          <w:shd w:val="clear" w:color="auto" w:fill="FFFFFF"/>
        </w:rPr>
        <w:t>（一）用人单位应当在建设项目动工前，在建设项目所在地商业银行设立工人工资支付专用账户。</w:t>
      </w:r>
    </w:p>
    <w:p>
      <w:pPr>
        <w:pStyle w:val="38"/>
        <w:snapToGrid w:val="0"/>
        <w:spacing w:line="360" w:lineRule="auto"/>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（二）用人单位应当在用工之日起15日内为每一位工人办理个人银行账户。</w:t>
      </w:r>
    </w:p>
    <w:p>
      <w:pPr>
        <w:pStyle w:val="38"/>
        <w:snapToGrid w:val="0"/>
        <w:spacing w:line="360" w:lineRule="auto"/>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（三）用人单位应当指定专人负责建设项目施工现场台账管理，真实、准确记录工人名册、劳务合同、劳动合同、工程进度、工时台账、劳务承包款和工人工资支付等信息，并保存两年以上备查。</w:t>
      </w:r>
    </w:p>
    <w:p>
      <w:pPr>
        <w:pStyle w:val="38"/>
        <w:snapToGrid w:val="0"/>
        <w:spacing w:line="360" w:lineRule="auto"/>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四）用人单位应当按照“及时支付，按实结算”的原则，在规定日期前通过银行工人工资支付专用账户将工人工资直接支付到工人的个人银行账户，并按月将工人工资支付明细表报施工总承包单位和建设单位备案。</w:t>
      </w:r>
    </w:p>
    <w:p>
      <w:pPr>
        <w:wordWrap w:val="0"/>
        <w:adjustRightInd w:val="0"/>
        <w:snapToGrid w:val="0"/>
        <w:spacing w:line="360" w:lineRule="auto"/>
        <w:ind w:firstLine="480" w:firstLineChars="200"/>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用人单位未建立、保存用工管理台账，或者伪造相关台账的，按照《广东省劳动保障监察条例》第五十条的规定，由人力资源社会保障部门责令改正，并可处以二千元以上二万元以下的人民币罚款。</w:t>
      </w:r>
    </w:p>
    <w:p>
      <w:pPr>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shd w:val="clear" w:color="auto" w:fill="FFFFFF"/>
        </w:rPr>
        <w:t>8.16</w:t>
      </w:r>
      <w:r>
        <w:rPr>
          <w:rFonts w:hint="eastAsia" w:ascii="宋体" w:hAnsi="宋体" w:eastAsia="宋体" w:cs="宋体"/>
          <w:color w:val="auto"/>
          <w:sz w:val="24"/>
          <w:szCs w:val="24"/>
        </w:rPr>
        <w:t>按照《广东省住房和城乡建设厅关于建设工程项目招标中标后监督检查的办法》（粤建市〔2009〕8号）和《韶关市住房和城乡建设局关于加强房屋建筑和市政工程项目招标中标后监督检查的通知》（韶市建字〔2014〕145号）等相关法律法规。中标人中标之后，工程施工项目负责人和项目管理班子其他成员必须是该工程中标时所承诺的项目管理班子成员。</w:t>
      </w:r>
    </w:p>
    <w:p>
      <w:pPr>
        <w:snapToGrid w:val="0"/>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项目管理班子成员不得擅自变更，项目管理班子成员因有粤建市〔2009〕8号第九条所述情形之一确属不能履行职责需要变更的，施工或监理单位应向建设行政主管部门填报《建设工程项目管理班子变更情况报告表》并附上有关证明文件，经建设行政主管部门审核同意方可变更。更换后的项目经理与中标单位的投标文件所确定的项目负责人或总监理工程师的主要条件一致。</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若中标单位有下列行为之一的，除依照有关法律、法规进行处罚外，将通过市建设与房地产信息网站予以及时曝光，并作为今后该单位参与投标的评分扣分依据直至取消投标资格。</w:t>
      </w:r>
    </w:p>
    <w:p>
      <w:pPr>
        <w:pStyle w:val="36"/>
        <w:widowControl/>
        <w:snapToGrid w:val="0"/>
        <w:spacing w:line="360" w:lineRule="auto"/>
        <w:ind w:firstLine="420"/>
        <w:jc w:val="left"/>
        <w:rPr>
          <w:rFonts w:hint="eastAsia" w:ascii="宋体" w:hAnsi="宋体" w:eastAsia="宋体" w:cs="宋体"/>
          <w:color w:val="auto"/>
          <w:sz w:val="24"/>
          <w:szCs w:val="24"/>
        </w:rPr>
      </w:pPr>
      <w:bookmarkStart w:id="233" w:name="_Toc13876"/>
      <w:r>
        <w:rPr>
          <w:rFonts w:hint="eastAsia" w:ascii="宋体" w:hAnsi="宋体" w:eastAsia="宋体" w:cs="宋体"/>
          <w:color w:val="auto"/>
          <w:sz w:val="24"/>
          <w:szCs w:val="24"/>
        </w:rPr>
        <w:t>1. 转包、违法分包或违反投标承诺分包工程的；</w:t>
      </w:r>
      <w:bookmarkEnd w:id="233"/>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 非原参加投标中标的项目经理负责组织施工或在实施过程违反粤建市〔2009〕8号第九条规定更换项目经理的、项目的其他主要管理人员与中标文件确定的人员不相符的；</w:t>
      </w:r>
    </w:p>
    <w:p>
      <w:pPr>
        <w:pStyle w:val="36"/>
        <w:widowControl/>
        <w:snapToGrid w:val="0"/>
        <w:spacing w:line="360" w:lineRule="auto"/>
        <w:ind w:firstLine="420"/>
        <w:jc w:val="left"/>
        <w:rPr>
          <w:rFonts w:hint="eastAsia" w:ascii="宋体" w:hAnsi="宋体" w:eastAsia="宋体" w:cs="宋体"/>
          <w:color w:val="auto"/>
          <w:sz w:val="24"/>
          <w:szCs w:val="24"/>
        </w:rPr>
      </w:pPr>
      <w:bookmarkStart w:id="234" w:name="_Toc23743"/>
      <w:r>
        <w:rPr>
          <w:rFonts w:hint="eastAsia" w:ascii="宋体" w:hAnsi="宋体" w:eastAsia="宋体" w:cs="宋体"/>
          <w:color w:val="auto"/>
          <w:sz w:val="24"/>
          <w:szCs w:val="24"/>
        </w:rPr>
        <w:t>3. 投标文件确定的大型机械设备没有进入施工现场的；</w:t>
      </w:r>
      <w:bookmarkEnd w:id="234"/>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4. 建设、监理、施工等单位串通，签认虚假工程量或工程造价的；</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5. 施工现场管理不到位的；</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6. 非本人资格证书登记所在的单位从事工程项目施工管理的；</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7. 项目经理同时承担超过一项工程项目的；</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8. 违反有关法律、法规、规章规定的其它行为。</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18.17</w:t>
      </w:r>
      <w:r>
        <w:rPr>
          <w:rFonts w:hint="eastAsia" w:ascii="宋体" w:hAnsi="宋体" w:eastAsia="宋体" w:cs="宋体"/>
          <w:color w:val="auto"/>
          <w:sz w:val="24"/>
          <w:szCs w:val="24"/>
          <w:lang w:val="zh-CN"/>
        </w:rPr>
        <w:t>中标单位必须做好临时道路（含进场道路）的建设与维护及周边环境的保护工作。如临时道路及设施达不到安全文明施工标准的，由招标人组织安排施工队进行维修，实际完成结算由监理单位审定。</w:t>
      </w:r>
    </w:p>
    <w:p>
      <w:pPr>
        <w:pStyle w:val="36"/>
        <w:widowControl/>
        <w:snapToGrid w:val="0"/>
        <w:spacing w:line="360" w:lineRule="auto"/>
        <w:ind w:firstLine="420"/>
        <w:jc w:val="left"/>
        <w:rPr>
          <w:rFonts w:hint="eastAsia" w:ascii="宋体" w:hAnsi="宋体" w:eastAsia="宋体" w:cs="宋体"/>
          <w:b/>
          <w:color w:val="auto"/>
          <w:sz w:val="24"/>
          <w:szCs w:val="24"/>
        </w:rPr>
      </w:pPr>
      <w:r>
        <w:rPr>
          <w:rFonts w:hint="eastAsia" w:ascii="宋体" w:hAnsi="宋体" w:eastAsia="宋体" w:cs="宋体"/>
          <w:b/>
          <w:color w:val="auto"/>
          <w:sz w:val="24"/>
          <w:szCs w:val="24"/>
        </w:rPr>
        <w:t>18.18中标人违约行为及违约责任条款</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（一）工程移交延误违约</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由于设计原因造成设计资料质量不合格，不能满足技术要求或使工期延误的，中标人除应按招标人要求期限返工外，其返工的设计费、施工费用均由中标人承担，并根据受损失程度向招标人支付相应赔偿金。</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（2）因中标人的原因，未按招标人或监理单位开工令要求时间开工的，每迟延开工1 天，应向招标人支付违约金5000 元；迟延开工超过20 天的，招标人有权根据实际情况单方面解除合同。</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（3）因中标人的原因造成工期延误</w:t>
      </w:r>
      <w:r>
        <w:rPr>
          <w:rFonts w:hint="eastAsia" w:ascii="宋体" w:hAnsi="宋体" w:eastAsia="宋体" w:cs="宋体"/>
          <w:snapToGrid w:val="0"/>
          <w:color w:val="auto"/>
          <w:kern w:val="0"/>
          <w:sz w:val="24"/>
          <w:szCs w:val="24"/>
        </w:rPr>
        <w:t>（工期自监理单位签发的开工令日期起算）</w:t>
      </w:r>
      <w:r>
        <w:rPr>
          <w:rFonts w:hint="eastAsia" w:ascii="宋体" w:hAnsi="宋体" w:eastAsia="宋体" w:cs="宋体"/>
          <w:color w:val="auto"/>
          <w:sz w:val="24"/>
          <w:szCs w:val="24"/>
        </w:rPr>
        <w:t>，从延误的第一天起按合同价1‰向招标人支付违约金，支付违约金上限为工程合同价款的10%。</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4）中标人必须按期完成主要工序的施工任务，若属中标人原因逾期达10天未完成主要节点的施工任务时，除按第（1）项约定承担违约责任外，招标人可要求撤换项目负责人，中标人应予以执行，并在总工期不调整的前提下自行消化节点工期的延误。逾期1天，罚款3000元，逾期30 天未完成主要节点的施工任务时，属中标人进度严重违约行为，招标人可单方面终止合同，将中标人作不良纪录报建设行政主管部门备案。并由中标人承担相应的进度严重违约责任。</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（5）中标人承担的进度严重违约责任为：如果中标人出现进度严重违约事件，则须无条件接受招标人终止合同，并在接到终止合同通知书之日起5 个日历天内（招标人应予以配合），在监理工程师的监督下退场完毕。退场完毕后由监理工程师出具《退出完结证明书》，并据此进行相关结算。中标人按履约担保金额支付违约金。给招标人造成的损失超过履约担保金额的部分，中标人还应承担赔偿责任。</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6）工程施工过程中（竣工验收前），中标人必须按招标人、监理人的要求及时为专业工程（电信、电力管线、电力走廊、煤气、道路绿化、路灯、交通设施、给水等）提供工作面及为专业工程穿插施工所需各项配合工作给予方便，中标人应在施工方案中充分考虑专业工程穿插施工所需的穿插工作面及工期，由于中标人未能给予专业工程穿插施工，造成总施工工期的延误，施工工期不予顺延，中标人承担由于工期延误所产生的损失。</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（7）中标人违反合同专用条款的约定和招标人的规定，逾期完成竣工档案的整理、移交、送审备案工作的，每逾期1 天，中标人支付违约金1000 元。</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（8）因承包人原因，工程没有按期竣工时（除自然灾害、流行疾病、业主方通知停工造成的工期顺延外），承包人须在逾期第一天起每天按合同价的 1 ‰ 向发包人返纳逾期竣工违约金。逾期竣工违约金的最高限额为合同总价的 3%。（开工时间具体以监理发出开工通知为准）</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承包人需提供各子项目的年度、季度、月、周施工计划报监理单位及发包人确认，在计划实施过程中，发包人及监理单位对承包人实际工期按周、月、季度进行检查、分析、评价，如与实际施工进度发生偏离的，由监理单位书面提醒承包人采取措施，如提醒后承包人未采取有效措施按施工计划按时完成的，每次按人民币2000元支付违约金给发包人，在结算中一并扣除。</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承包人在进场后7天内提交施工进度计划，并注明主要施工节点时间，送监理单位及发包人审核后，作为工期考核的阶段性指标，若因承包人原因无法按进度节点完成的，逾期第一天起每天按2000元向发包人返纳逾期违约金。</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（二）安全、文明施工要求及违约处理：</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中标人必须按本合同的约定编制施工组织设计（施工方案、包括安全文明施工措施），经过监理人和招标人审核确认后按其施工，不得随意更改。如果根据实际情况确需修改，则需经工程师及招标人审批同意。</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中标人应严格遵守国家、省、市及有关防火、爆破和施工安全以及文明施工、深夜施工、环卫和城市管理等规定，建立规章制度和防护措施，并组织施工。在相关部门的检查中，中标人施工场地被评为不合格工地或被通报批评或下发停工整改通知的或者被新闻媒体曝光的，每发生一次，中标人支付5000 元违约金，如招标人因此被相关部门处罚的，罚金由中标人承担。</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3）如果中标人未按招投标文件、本合同、《广东省建设厅建筑工程安全防护、文明施工措施费用管理办法》、招标人要求做好绿色施工安全防护相关措施，未在限期内完成整改的，每延期一天，中标人支付1000元违约金。</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4）在本工程余泥渣土清运施工和建筑垃圾排放运输时，中标人必须严格执行当地相关管理规定的标准和要求，办齐排放有关证照，雇请有合格准运证车辆和具备资质的运输企业，设立专职人员管理余泥渣土、建筑垃圾的运输工作，并对分包单位依法排放余泥渣土、建筑垃圾进行监管。中标人因违反本款约定所造成的一切责任后果全部由中标人承担。经招标人或相关部门检查发现中标人未执行本款约定的，每发现一次，中标人支付1000 元违约金。同时，招标人将根据中标人违反余泥渣土运输管理有关规定而造成的不良后果的严重程度，上报建设行政主管部门进行处理。</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5）中标人必须按合同约定的“绿色施工安全防护措施费”足额投入，否则发包人有权自行实施，承包人无条件接受并承担相关费用并接受处罚。招标人根据中标人提供的绿色施工安全防护投入明细经监理单位审核后在合同约定的“绿色施工安全防护措施费”金额内按实结算。</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如承包人违反国家、广东省、发包人及合同关于安全文明施工的规定，但尚未造成安全责任事故，承包人应及时改正行为并赔偿相关方的损失，如未及时整改,针对每一违约行为每持续一天应缴纳违约金2000～6000元。</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承包人现场施工人员存在野蛮施工行为，经现场发包人（含监理单位）管理人员确认后，首次发现责令承包人进行整改，如未按规定时间进行整改或整改不到位的，承包人须按1万元/次缴纳违约金；如因野蛮施工行为，引起投诉或网络问政的，承包人须按1万元/次缴纳违约金；并承担因野蛮施工行为所造成的全部责任。</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承包人必须接受发包人及监理单位组织的安全、文明施工的检查，检查中的不合格项目、安全隐患必须在规定的时间内整改完成，否则每拖延一天处以1万元人民币违约金，直至整改合格。</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承包人施工现场发生工伤或其他责任事故的，承包人按下列标准缴纳违约金：</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①一次事故或全年累计死亡3人及以上：安全第一责任人在韶关市地区建设范围内公开检查；项目部必须撤换项目经理、主管安全副经理和安全主管，一次或全年累计缴纳违约金10万元至12万元；</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②一次事故或全年累计死亡2人：安全第一责任人在韶关市地区建设范围内公开检查；承包人必须撤换项目主管安全副经理或安全主管；一次或全年累计缴纳违约金7万至10万元人民币；</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③全年死亡1人：安全第一责任人在韶关市地区建设范围内公开检查，并报其上级单位；建议承包人撤换项目安全主管；缴纳违约金5万至7万元人民币。</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④重伤事故、造成10人及以上集体中毒住院、经济损失重大的火灾、设备及交通事故，缴纳违约金3万元人民币。</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⑤因施工造成的道路交通中断、通讯中断、管线漏水漏气等全部责任事故，由承包人承担责任，并缴纳违约金2万元人民币。</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（三）工程质量方面的违约责任：</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中标人必须保证用于本合同工程所有的材料设备的品牌、型号、规格、质量等符合本合同及招投标文件的要求，严禁假冒伪劣产品，严禁以次充好，严禁未经招标人批准即以其他产品（包括中标人的产品）顶替本合同及招投标文件中规定的产品。中标人在施工中偷工减料、使用不合格的建筑材料、建筑构配件或设备、不按照工程设计图纸、施工技术标准施工，或者未对建筑材料、建筑构配件、设备、商品混凝土进行检验，或者未对涉及结构安全的试块、试件以及有关材料取样送检的，应负责无偿修理或返工，并应支付合同价款千分之三的违约金给招标人。</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（2）设计人对设计资料及文件出现的遗漏或错误负责修改或补充。由于设计错误造成工程质量事故损失，设计人负责采取补救措施。</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（3）由于设计人原因造成设计成果资料质量不合格，不能满足技术要求时设计人应按招标人要求期限返工，其返工设计费用由设计人承担。</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（4）如工程在竣工验收达不到合格标准，招标人不予支付工程款，直至中标人返工至合格后方予以支付，并按合同价款的1%向招标人返纳质量违约金。</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材料违约处理，若发现材料不符合国家标准或发包人在技术规范中规定的标准，视为承包人违约，按现行《建设工程质量管理条例》处理。</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工程质量违约，在施工过程中经监理单位日常巡查或抽检发现未达到合格标准，责令承包人进行整改，如未按规定时间进行整改或整改不到位的，每次按10000元缴纳违约金给发包人，在进度款或结算款中一并扣除。</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如工程在竣工验收时未达到合格标准，则按合同价款的3‰向发包人缴纳质量违约金。</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重大责任事故违约，承包人因违反国家安全质量法规及合同有关条款约定,出现火灾、坍塌、人员重伤、死亡等重大责任事故,则承包人应承担全部损失,并按相关法规接受行政处罚；如造成发包人及对第三人利益的损害,该等损害赔偿责任均由承包人承担。同时,每出现一次重大责任事故, 承包人应同时缴纳惩罚性违约金10万元。</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（四）关于农民工工资支付的违约责任：</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中标人拖欠农民工工资，被农民工投诉属实的，中标人必须在3 天内发放拖欠的款项。若继续拖延被投诉2 次及以上，经查实，中标人除应立即支付拖欠款项外，还应支付10000 元违约金给招标人。因中标人拖欠农民工工资，导致农民工采取停工、集聚围阻招标人办公地点甚至政府办公部门等过激行动的，中标人应支付20000 元违约金，并立即采取切实有效措施予以整改；拒不采取切实有效措施整改的，或整改效果不明显的，招标人可用中标人工程款垫付。若中标人在本工程内发生无故拖欠农民工工资现象，将被作不良记录，上报建设行政主管部门。</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（五）项目管理机构人员、机械设备、劳动力到位方面的违约责任：</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中标人必须保证投标文件中确定的项目负责人及其项目技术负责人、主要施工管理人员能及时地、始终地参与本工程施工管理，在未征得招标人书面同意之前不得更换。如果擅自更换项目负责人或项目技术负责人，中标人每更换一人次，需支付10000 元违约金给招标人，如果擅自更换主要施工管理人员，每更换一人次，中标人需支付5000 元违约金给招标人。</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（2）如果中标人未按监理单位确认后的施工组织设计中的机械设备投入计划投入机械设备，经监理工程师或招标人代表检查发现的，将书面告知限期整改。</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（3）如果中标人未按监理单位确认后的施工组织设计中的人力投入计划投入，经监理工程师和招标人代表检查发现的，每发现一次，中标人支付3000 元违约金给招标人。</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如果检查发现中标人超过三次未按承诺投入的人力、机械、物力组织施工，招标人将作为不良纪录报建设行政主管部门备案。如果检查发现中标人没有按施工组织设计的进度安排推进工程建设，使主要工序的工期延误超过10 天，没有按招标人的意见撤换现场负责人；或者按招标人的意见撤换现场负责人后，仍然无法有效控制工程进度，招标人将发出书面警告，警告发出后15 天内，主要工序的工期延误仍然超过10 天，招标人将作为不良纪录报建设行政主管部门备案。对此，中标人不得有异议。</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安排在施工场地的主要管理人员（主要指项目经理、项目技术负责人和专职安全生产管理人员）应与承包人投标文件承诺的名单一致，并保持相对稳定。未经总监理工程师批准，上述人员不应无故不到位或被替换。若确实无法到位或需替换，需经总监理工程师审核并报发包人批准后，承包人可安排同等资历的人员替换；考勤指模打卡每月累计不到位次数超过10天，按1万元/人/天缴纳违约金给发包人。</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中标人施工资料必须与形象进度同步，如招标人在日常检查中发现不同步的现象的，首次发现责令承包人进行整改，如未按规定时间进行整改或整改不到位的，视为违约并扣除违约金1万元/每次。</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发包人要求承包人替换项目部中不称职人员，而承包人不予替换，视为承包人违约，承包人须按承包人项目部主要管理人员（主要指项目经理、项目技术负责人和专职安全生产管理人员）10万元/人次缴纳违约金给发包人。</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发包人根据项目实施进度情况要求承包人增派项目管理人员，而承包人不予增派的，视为承包人违约，承包人须按5万元/人次缴纳违约金给发包人。</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发包人对上述约定中的规定并不免除承包人接受国家、地方政府相关部门依法对承包人的处罚。</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承包人没有正当合理的理由中途退场，可扣除承包人已递交的所有履约风险保证金。</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有下列情况之一的，承包人在一年内不得参与发包人的任何工程任务，并勒令从现施工的工地退场，同时缴纳10万元违约金：</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A、路面沉降、开裂超过规范要求并造成不良社会影响的；</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B、发生重大责任安全事故的；</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C、不能在合同规定的期限内竣工的；</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D、承包人所承担的施工任务在施工期间，由于工程质量或工程进度原因，监理单位发出10个以上﹙含10个﹚停工令的；</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E、质量监督部门在抽检时发出5个以上（含5个）由于工程质量原因通报的；</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F、业主组织的质量大检查发现由于工程质量原因而通报二次以上（含二次）的；</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必须严格塔吊、起重机等机械设备及货梯、提升机等机电设备的安装、拆卸和使用运行管理。必须落实持证上岗、专人操作、专人检查，严格落实每天操作前和操作后的检查，检查发现未落实相关措施和规定的，承包人须按人民币5000元/次缴纳违约金给发包人。</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承包人必须加强施工组织管理。严格落实高支模、深基坑防护措施，做到严密组织、严格检查，严防重大风险。检查发现未落实相关措施和规定的，承包人须按人民币5000元/处缴纳违约金给发包人。</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承包人应加强生活用电管理，检查发现私拉乱接电线的，责令承包人进行整改，如未按规定时间进行整改或整改不到位的，承包人须按人民币2000元/次缴纳违约金给发包人。</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承包人应加强建设范围内因雨季造成临时积水部位的管理，防止发生淹亡、溺亡事故，若因措施不严造成的后果全部由承包人承担。</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承包人不落实人车分流措施，责令承包人进行整改，如未按规定时间进行整改或整改不到位的，承包人须按人民币30万元缴纳违约金给发包人。</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应严格工地管理。不戴安全帽或穿拖鞋上岗的，首次发现责令承包人进行整改，如未按规定时间进行整改或整改不到位的，承包人须按人民币500元/人/次缴纳违约金给发包人；应系安全带作业而没有系安全带的、饮酒或醉酒进行现场作业的，承包人须按人民币1000元/人/次缴纳违约金给发包人。</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承包人必须加强现场临边维护，检查发现临边维护不到位的，首次发现责令承包人进行整改，如未按规定时间进行整改或整改不到位的，承包人须按人民币2000元/处缴纳违约金给发包人。</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承包人不落实农民工工资专户及实名用工的，承包人须按人民币2000元/人/次缴纳违约金给发包人。</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国家发生疫情或其他重大风险期间，承包人不执行有关部门关于特殊时期管控规定、不落实相关措施的，承包人须按人民币2000元/人/次缴纳违约金给发包人。</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承包人必须在中标通知书发出之日起一个月内完成现场临时设施（施工用水用电、围蔽、板房、洗车槽、相关公示牌等）施工，因承包人原因导致逾期的，逾期第壹天起按5000元/天缴纳违约金给发包人。</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承包人因上述违约行为而须缴纳的违约金在工程进度款中或结算时一并扣除。</w:t>
      </w:r>
    </w:p>
    <w:p>
      <w:pPr>
        <w:pStyle w:val="36"/>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（六）.工人工资支付保证金的约定</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签订工程承包合同后，承包人必须根据《韶关市建设领域企业人工工资支付保证金管理办法》韶关市人民政府令（第82号）的要求到相关部门办理工资保证金登记手续，并在指定银行设立工资保证金专用账户。</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（七）农民工工资管理和发放</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 用工实名管理， 承包人必须与劳动者签订劳动合同。劳动合同必须明确规定劳动者工作时间、工作内容、工资支付标准、支付项目、支付形式和支付时间等内容。</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 承包人招用劳动者，应当在劳动者进场三日内采集其实名信息，劳动者实名信息包括：姓名、性别、出生年月、民族、户口性质、身份证号码、家庭住址、在本地区的暂住地址、联系电话、用工主体、直属班组长及其联系电话、进场及撤场时间、工种、持证情况、文化程度、培训记录、政治面貌、婚姻状况、工资、考勤、个人信用等。 劳动者上述信息发生变化的，承包人应当在三日内进行更新。</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 ）承包人必须配备劳资专管员，建立劳动者进出场登记制度和考勤计量、工资支付等用工管理台帐，实时掌握施工现场用工及其工资支付情况，不得以包代管。用工管理台帐由劳动者签字确认并保存至工程竣工且工资全部结清后至少两年。并随时接受发包人的检查。</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 工人工资支付 承包人签订合同前必须在建设项目所在地银行机构设立工人工资支付专用账户。签订合同时要提供开户信息。</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（5）承包人必须以实名制为为每一位工人办理个人银行账户（可使用工人自己提供的银行账户），不得以任何形式截留、拖欠工人工资、弄虚作假。工资发放后及时整理资料归档，并随时接受发包人的检查。</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（6）发包人根据工程建设监理等单位核定的工程量支付工程款时，将应付工程款的20%作为工人工资拨入到承包人设立的工人工资支付专用账户。</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（7）发包人对工人工资的发放有权监督和检查。</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（8）承包人在与发包人签订工程施工承包合同后，要到市人力资源和社会保障行政部门办理工资支付保证金缴存手续，并一次性将应缴保证金存入工人工资支付保证金专用帐户。</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 如承包人违反以上条款，未按规定履行相关职责，发包人将协同相关主管部门按相关规定处罚承包人。如出现一例次工人上访讨薪的扣除50%用工实名管理费。</w:t>
      </w:r>
    </w:p>
    <w:p>
      <w:pPr>
        <w:pStyle w:val="36"/>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）中标人的项目负责人、技术负责人、安全负责人、质量负责人等必须常驻施工现场，且须无条件参加每周的工地例会以及双方约定的其它重要会议，如有缺席，则每人每缺席一次，中标人需支付1000 元人民币违约金。</w:t>
      </w:r>
    </w:p>
    <w:p>
      <w:pPr>
        <w:pStyle w:val="36"/>
        <w:widowControl/>
        <w:snapToGrid w:val="0"/>
        <w:spacing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）设计代表必须常驻施工现场，且须无条件参加每周的工地例会以及双方约定的其它重要会议，如有缺席，则每人每缺席一次，中标人需支付500 元人民币违约金。</w:t>
      </w:r>
    </w:p>
    <w:p>
      <w:pPr>
        <w:wordWrap w:val="0"/>
        <w:adjustRightInd w:val="0"/>
        <w:snapToGrid w:val="0"/>
        <w:spacing w:line="360" w:lineRule="auto"/>
        <w:ind w:firstLine="420"/>
        <w:rPr>
          <w:rFonts w:hint="eastAsia" w:ascii="宋体" w:hAnsi="宋体" w:eastAsia="宋体" w:cs="宋体"/>
          <w:color w:val="auto"/>
          <w:sz w:val="24"/>
          <w:szCs w:val="24"/>
        </w:rPr>
      </w:pPr>
      <w:r>
        <w:rPr>
          <w:rFonts w:hint="eastAsia" w:ascii="宋体" w:hAnsi="宋体" w:eastAsia="宋体" w:cs="宋体"/>
          <w:color w:val="auto"/>
          <w:sz w:val="24"/>
          <w:szCs w:val="24"/>
        </w:rPr>
        <w:t>18.20中标人需综合考虑现场因素，不得以不完全了解现场情况为理由，提出额外付款或延长工期等要求（除征地拆迁及管线搬迁造成停工，招标人按规定调整工期）。对此类要求，招标人不作任何考虑及答复。</w:t>
      </w:r>
    </w:p>
    <w:p>
      <w:pPr>
        <w:wordWrap w:val="0"/>
        <w:adjustRightInd w:val="0"/>
        <w:snapToGrid w:val="0"/>
        <w:spacing w:line="360" w:lineRule="auto"/>
        <w:ind w:firstLine="420"/>
        <w:rPr>
          <w:rFonts w:hint="eastAsia" w:ascii="宋体" w:hAnsi="宋体" w:eastAsia="宋体" w:cs="宋体"/>
          <w:color w:val="auto"/>
          <w:sz w:val="24"/>
          <w:szCs w:val="24"/>
        </w:rPr>
      </w:pPr>
      <w:r>
        <w:rPr>
          <w:rFonts w:hint="eastAsia" w:ascii="宋体" w:hAnsi="宋体" w:eastAsia="宋体" w:cs="宋体"/>
          <w:color w:val="auto"/>
          <w:sz w:val="24"/>
          <w:szCs w:val="24"/>
        </w:rPr>
        <w:t>18.21招标代理费及评标专家酬劳的支付：本工程的招标代理费和评标专家酬劳全部由中标人支付，该费用不再另行报价，由投标人在投标报价时综合考虑在内。中标人在领取中标通知书前须向招标代理机构一次性支付后方可领取中标通知书。</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
        <w:wordWrap w:val="0"/>
        <w:autoSpaceDE/>
        <w:autoSpaceDN/>
        <w:snapToGrid w:val="0"/>
        <w:spacing w:line="360" w:lineRule="auto"/>
        <w:jc w:val="center"/>
        <w:rPr>
          <w:rFonts w:hint="eastAsia" w:ascii="宋体" w:hAnsi="宋体" w:eastAsia="宋体" w:cs="宋体"/>
          <w:b/>
          <w:snapToGrid w:val="0"/>
          <w:color w:val="auto"/>
          <w:sz w:val="24"/>
          <w:szCs w:val="24"/>
        </w:rPr>
      </w:pPr>
      <w:bookmarkStart w:id="235" w:name="_Toc29009"/>
      <w:bookmarkStart w:id="236" w:name="_Toc8559"/>
      <w:bookmarkStart w:id="237" w:name="_Toc14941"/>
      <w:bookmarkStart w:id="238" w:name="_Toc8758"/>
      <w:bookmarkStart w:id="239" w:name="_Toc3198"/>
      <w:bookmarkStart w:id="240" w:name="_Toc15937"/>
      <w:r>
        <w:rPr>
          <w:rFonts w:hint="eastAsia" w:ascii="宋体" w:hAnsi="宋体" w:eastAsia="宋体" w:cs="宋体"/>
          <w:b/>
          <w:snapToGrid w:val="0"/>
          <w:color w:val="auto"/>
          <w:sz w:val="24"/>
          <w:szCs w:val="24"/>
          <w:lang w:val="en-US" w:eastAsia="zh-CN"/>
        </w:rPr>
        <w:t>第三章   拟签订合同的主要条款</w:t>
      </w:r>
      <w:bookmarkEnd w:id="235"/>
      <w:bookmarkEnd w:id="236"/>
      <w:bookmarkEnd w:id="237"/>
      <w:bookmarkEnd w:id="238"/>
      <w:bookmarkEnd w:id="239"/>
      <w:bookmarkEnd w:id="240"/>
      <w:bookmarkStart w:id="241" w:name="_Hlt69698765"/>
      <w:bookmarkStart w:id="242" w:name="_Hlt69698713"/>
    </w:p>
    <w:bookmarkEnd w:id="241"/>
    <w:bookmarkEnd w:id="242"/>
    <w:p>
      <w:pPr>
        <w:pStyle w:val="5"/>
        <w:wordWrap w:val="0"/>
        <w:snapToGrid w:val="0"/>
        <w:spacing w:line="360" w:lineRule="auto"/>
        <w:ind w:firstLine="420"/>
        <w:rPr>
          <w:rFonts w:hint="eastAsia" w:ascii="宋体" w:hAnsi="宋体" w:eastAsia="宋体" w:cs="宋体"/>
          <w:snapToGrid w:val="0"/>
          <w:color w:val="auto"/>
          <w:sz w:val="24"/>
          <w:szCs w:val="24"/>
        </w:rPr>
      </w:pPr>
      <w:bookmarkStart w:id="243" w:name="_Toc23947"/>
      <w:bookmarkStart w:id="244" w:name="_Toc19871"/>
      <w:bookmarkStart w:id="245" w:name="_Toc15022"/>
      <w:bookmarkStart w:id="246" w:name="_Toc4308"/>
      <w:bookmarkStart w:id="247" w:name="_Toc7413"/>
      <w:bookmarkStart w:id="248" w:name="_Toc12603"/>
      <w:bookmarkStart w:id="249" w:name="_Toc20457"/>
      <w:bookmarkStart w:id="250" w:name="_Toc11424"/>
      <w:bookmarkStart w:id="251" w:name="_Toc39136347"/>
      <w:bookmarkStart w:id="252" w:name="_Toc15741"/>
      <w:bookmarkStart w:id="253" w:name="_Toc20638"/>
      <w:bookmarkStart w:id="254" w:name="_Toc6235"/>
      <w:bookmarkStart w:id="255" w:name="_Toc322793288"/>
      <w:bookmarkStart w:id="256" w:name="_Toc326916629"/>
      <w:bookmarkStart w:id="257" w:name="_Hlt69698769"/>
      <w:bookmarkStart w:id="258" w:name="_Hlt69698741"/>
      <w:bookmarkStart w:id="259" w:name="_Hlt69698722"/>
      <w:r>
        <w:rPr>
          <w:rFonts w:hint="eastAsia" w:ascii="宋体" w:hAnsi="宋体" w:eastAsia="宋体" w:cs="宋体"/>
          <w:snapToGrid w:val="0"/>
          <w:color w:val="auto"/>
          <w:sz w:val="24"/>
          <w:szCs w:val="24"/>
        </w:rPr>
        <w:t>1</w:t>
      </w:r>
      <w:r>
        <w:rPr>
          <w:rFonts w:hint="eastAsia" w:ascii="宋体" w:hAnsi="宋体" w:eastAsia="宋体" w:cs="宋体"/>
          <w:snapToGrid w:val="0"/>
          <w:color w:val="auto"/>
          <w:sz w:val="24"/>
          <w:szCs w:val="24"/>
          <w:lang w:val="en-US" w:eastAsia="zh-CN"/>
        </w:rPr>
        <w:t>．</w:t>
      </w:r>
      <w:r>
        <w:rPr>
          <w:rFonts w:hint="eastAsia" w:ascii="宋体" w:hAnsi="宋体" w:eastAsia="宋体" w:cs="宋体"/>
          <w:snapToGrid w:val="0"/>
          <w:color w:val="auto"/>
          <w:sz w:val="24"/>
          <w:szCs w:val="24"/>
        </w:rPr>
        <w:t>工程承包方式</w:t>
      </w:r>
      <w:bookmarkEnd w:id="243"/>
      <w:bookmarkEnd w:id="244"/>
      <w:bookmarkEnd w:id="245"/>
      <w:bookmarkEnd w:id="246"/>
      <w:bookmarkEnd w:id="247"/>
      <w:bookmarkEnd w:id="248"/>
      <w:bookmarkEnd w:id="249"/>
      <w:bookmarkEnd w:id="250"/>
      <w:bookmarkEnd w:id="251"/>
      <w:bookmarkEnd w:id="252"/>
      <w:bookmarkEnd w:id="253"/>
      <w:bookmarkEnd w:id="254"/>
    </w:p>
    <w:bookmarkEnd w:id="255"/>
    <w:bookmarkEnd w:id="256"/>
    <w:p>
      <w:pPr>
        <w:shd w:val="clear" w:color="auto" w:fill="auto"/>
        <w:wordWrap w:val="0"/>
        <w:adjustRightInd w:val="0"/>
        <w:snapToGrid w:val="0"/>
        <w:spacing w:line="360" w:lineRule="auto"/>
        <w:ind w:firstLine="480" w:firstLineChars="200"/>
        <w:rPr>
          <w:rFonts w:hint="eastAsia" w:ascii="宋体" w:hAnsi="宋体" w:eastAsia="宋体" w:cs="宋体"/>
          <w:snapToGrid w:val="0"/>
          <w:kern w:val="0"/>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中标人以中标价按合同约定和招标文件内容要求，法</w:t>
      </w:r>
      <w:r>
        <w:rPr>
          <w:rFonts w:hint="eastAsia" w:ascii="宋体" w:hAnsi="宋体" w:eastAsia="宋体" w:cs="宋体"/>
          <w:sz w:val="24"/>
          <w:szCs w:val="24"/>
        </w:rPr>
        <w:t>律法规及国家强制性标准要求，提供完整的最新工程地形图、初步设计，初勘报告和详细勘察报告、施工图设计文件和建设期的服务内容，不允许转包和违法分包，如确需分包须与招标人协商并得到招标人和监理单位同意并报工程主管部门备案</w:t>
      </w:r>
      <w:r>
        <w:rPr>
          <w:rFonts w:hint="eastAsia" w:ascii="宋体" w:hAnsi="宋体" w:eastAsia="宋体" w:cs="宋体"/>
          <w:snapToGrid w:val="0"/>
          <w:kern w:val="0"/>
          <w:sz w:val="24"/>
          <w:szCs w:val="24"/>
        </w:rPr>
        <w:t>。</w:t>
      </w:r>
    </w:p>
    <w:p>
      <w:pPr>
        <w:wordWrap w:val="0"/>
        <w:adjustRightInd w:val="0"/>
        <w:snapToGrid w:val="0"/>
        <w:spacing w:line="360" w:lineRule="auto"/>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color w:val="auto"/>
          <w:sz w:val="24"/>
          <w:szCs w:val="24"/>
        </w:rPr>
        <w:t xml:space="preserve"> </w:t>
      </w:r>
      <w:r>
        <w:rPr>
          <w:rFonts w:hint="eastAsia" w:ascii="宋体" w:hAnsi="宋体" w:eastAsia="宋体" w:cs="宋体"/>
          <w:b/>
          <w:bCs/>
          <w:snapToGrid w:val="0"/>
          <w:color w:val="auto"/>
          <w:kern w:val="0"/>
          <w:sz w:val="24"/>
          <w:szCs w:val="24"/>
        </w:rPr>
        <w:t>1.1.1</w:t>
      </w:r>
      <w:r>
        <w:rPr>
          <w:rFonts w:hint="eastAsia" w:ascii="宋体" w:hAnsi="宋体" w:eastAsia="宋体" w:cs="宋体"/>
          <w:snapToGrid w:val="0"/>
          <w:color w:val="auto"/>
          <w:kern w:val="0"/>
          <w:sz w:val="24"/>
          <w:szCs w:val="24"/>
        </w:rPr>
        <w:t xml:space="preserve"> 包工包料：材料符合招标文件要求并报验使用；办理用工保险。</w:t>
      </w:r>
    </w:p>
    <w:p>
      <w:pPr>
        <w:wordWrap w:val="0"/>
        <w:adjustRightInd w:val="0"/>
        <w:snapToGrid w:val="0"/>
        <w:spacing w:line="360" w:lineRule="auto"/>
        <w:ind w:firstLine="56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1.1.2</w:t>
      </w:r>
      <w:r>
        <w:rPr>
          <w:rFonts w:hint="eastAsia" w:ascii="宋体" w:hAnsi="宋体" w:eastAsia="宋体" w:cs="宋体"/>
          <w:snapToGrid w:val="0"/>
          <w:color w:val="auto"/>
          <w:kern w:val="0"/>
          <w:sz w:val="24"/>
          <w:szCs w:val="24"/>
        </w:rPr>
        <w:t xml:space="preserve"> 包质量：符合招标文件要求。</w:t>
      </w:r>
    </w:p>
    <w:p>
      <w:pPr>
        <w:wordWrap w:val="0"/>
        <w:adjustRightInd w:val="0"/>
        <w:snapToGrid w:val="0"/>
        <w:spacing w:line="360" w:lineRule="auto"/>
        <w:ind w:firstLine="56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1.1.3</w:t>
      </w:r>
      <w:r>
        <w:rPr>
          <w:rFonts w:hint="eastAsia" w:ascii="宋体" w:hAnsi="宋体" w:eastAsia="宋体" w:cs="宋体"/>
          <w:snapToGrid w:val="0"/>
          <w:color w:val="auto"/>
          <w:kern w:val="0"/>
          <w:sz w:val="24"/>
          <w:szCs w:val="24"/>
        </w:rPr>
        <w:t xml:space="preserve"> 包安全包文明施工：符合招标文件要求。</w:t>
      </w:r>
    </w:p>
    <w:p>
      <w:pPr>
        <w:wordWrap w:val="0"/>
        <w:adjustRightInd w:val="0"/>
        <w:snapToGrid w:val="0"/>
        <w:spacing w:line="360" w:lineRule="auto"/>
        <w:ind w:firstLine="560"/>
        <w:rPr>
          <w:rFonts w:hint="eastAsia" w:ascii="宋体" w:hAnsi="宋体" w:eastAsia="宋体" w:cs="宋体"/>
          <w:color w:val="auto"/>
          <w:sz w:val="24"/>
          <w:szCs w:val="24"/>
        </w:rPr>
      </w:pPr>
      <w:r>
        <w:rPr>
          <w:rFonts w:hint="eastAsia" w:ascii="宋体" w:hAnsi="宋体" w:eastAsia="宋体" w:cs="宋体"/>
          <w:b/>
          <w:bCs/>
          <w:snapToGrid w:val="0"/>
          <w:color w:val="auto"/>
          <w:kern w:val="0"/>
          <w:sz w:val="24"/>
          <w:szCs w:val="24"/>
        </w:rPr>
        <w:t xml:space="preserve">1.1.4 </w:t>
      </w:r>
      <w:r>
        <w:rPr>
          <w:rFonts w:hint="eastAsia" w:ascii="宋体" w:hAnsi="宋体" w:eastAsia="宋体" w:cs="宋体"/>
          <w:snapToGrid w:val="0"/>
          <w:color w:val="auto"/>
          <w:kern w:val="0"/>
          <w:sz w:val="24"/>
          <w:szCs w:val="24"/>
        </w:rPr>
        <w:t>包工期：本招标工程施工必须在招标工期内完成。</w:t>
      </w:r>
    </w:p>
    <w:p>
      <w:pPr>
        <w:pStyle w:val="5"/>
        <w:wordWrap w:val="0"/>
        <w:snapToGrid w:val="0"/>
        <w:spacing w:line="360" w:lineRule="auto"/>
        <w:ind w:firstLine="420"/>
        <w:rPr>
          <w:rFonts w:hint="eastAsia" w:ascii="宋体" w:hAnsi="宋体" w:eastAsia="宋体" w:cs="宋体"/>
          <w:snapToGrid w:val="0"/>
          <w:color w:val="auto"/>
          <w:sz w:val="24"/>
          <w:szCs w:val="24"/>
        </w:rPr>
      </w:pPr>
      <w:bookmarkStart w:id="260" w:name="_Toc7156"/>
      <w:bookmarkStart w:id="261" w:name="_Toc862"/>
      <w:bookmarkStart w:id="262" w:name="_Toc9786"/>
      <w:bookmarkStart w:id="263" w:name="_Toc39136348"/>
      <w:bookmarkStart w:id="264" w:name="_Toc467587699"/>
      <w:bookmarkStart w:id="265" w:name="_Toc14294"/>
      <w:bookmarkStart w:id="266" w:name="_Toc506"/>
      <w:bookmarkStart w:id="267" w:name="_Toc26064"/>
      <w:bookmarkStart w:id="268" w:name="_Toc469940920"/>
      <w:bookmarkStart w:id="269" w:name="_Toc14704"/>
      <w:bookmarkStart w:id="270" w:name="_Toc4161"/>
      <w:bookmarkStart w:id="271" w:name="_Toc23803"/>
      <w:bookmarkStart w:id="272" w:name="_Toc7848"/>
      <w:r>
        <w:rPr>
          <w:rFonts w:hint="eastAsia" w:ascii="宋体" w:hAnsi="宋体" w:eastAsia="宋体" w:cs="宋体"/>
          <w:snapToGrid w:val="0"/>
          <w:color w:val="auto"/>
          <w:sz w:val="24"/>
          <w:szCs w:val="24"/>
          <w:lang w:val="en-US" w:eastAsia="zh-CN"/>
        </w:rPr>
        <w:t>2．</w:t>
      </w:r>
      <w:r>
        <w:rPr>
          <w:rFonts w:hint="eastAsia" w:ascii="宋体" w:hAnsi="宋体" w:eastAsia="宋体" w:cs="宋体"/>
          <w:snapToGrid w:val="0"/>
          <w:color w:val="auto"/>
          <w:sz w:val="24"/>
          <w:szCs w:val="24"/>
        </w:rPr>
        <w:t>施工图工程量清单预算的编制原则</w:t>
      </w:r>
      <w:bookmarkEnd w:id="260"/>
      <w:bookmarkEnd w:id="261"/>
      <w:bookmarkEnd w:id="262"/>
      <w:bookmarkEnd w:id="263"/>
      <w:bookmarkEnd w:id="264"/>
      <w:bookmarkEnd w:id="265"/>
      <w:bookmarkEnd w:id="266"/>
      <w:bookmarkEnd w:id="267"/>
      <w:bookmarkEnd w:id="268"/>
      <w:bookmarkEnd w:id="269"/>
      <w:bookmarkEnd w:id="270"/>
    </w:p>
    <w:p>
      <w:pPr>
        <w:pStyle w:val="3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预算及结算编制原则按所在地签订施工合同当月工程造价管理机构发布的人工、材料、机械台班综合单价及市场参考价计算，规费、税金等其它费用则按有关规定计算（费率有上、下限的按其平均值计算）。</w:t>
      </w:r>
      <w:bookmarkEnd w:id="271"/>
      <w:bookmarkEnd w:id="272"/>
    </w:p>
    <w:p>
      <w:pPr>
        <w:pStyle w:val="3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2.1、施工图设计必须符合本项目限额设计要求。本项目的建安工程费预算价不得超过已批复概算中相应的建安工程费。否则，中标人必须进行调整，直至符合限额设计要求为止。</w:t>
      </w:r>
    </w:p>
    <w:p>
      <w:pPr>
        <w:pStyle w:val="30"/>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施工图工程量清单预算价的编制：承包人根据招标文件及招标人规定完成本项目的设计工作，承包人设计的施工图经发包人确认后由有资质的审图公司审查，施工图经审查合格后，由招标人委托的全过程造价咨询单位编制施工图工程量清单预算并通过县</w:t>
      </w:r>
      <w:r>
        <w:rPr>
          <w:rFonts w:hint="eastAsia" w:ascii="宋体" w:hAnsi="宋体" w:eastAsia="宋体" w:cs="宋体"/>
          <w:color w:val="auto"/>
          <w:sz w:val="24"/>
          <w:szCs w:val="24"/>
        </w:rPr>
        <w:t>财政投资评审中心</w:t>
      </w:r>
      <w:r>
        <w:rPr>
          <w:rFonts w:hint="eastAsia" w:ascii="宋体" w:hAnsi="宋体" w:eastAsia="宋体" w:cs="宋体"/>
          <w:color w:val="auto"/>
          <w:kern w:val="0"/>
          <w:sz w:val="24"/>
          <w:szCs w:val="24"/>
        </w:rPr>
        <w:t>审核。施工图工程量清单预算的编制依据为：按（1）GB50500-2013年《建设工程工程量清单计价规范》，</w:t>
      </w:r>
      <w:r>
        <w:rPr>
          <w:rFonts w:hint="eastAsia" w:ascii="宋体" w:hAnsi="宋体" w:eastAsia="宋体" w:cs="宋体"/>
          <w:color w:val="auto"/>
          <w:sz w:val="24"/>
          <w:szCs w:val="24"/>
        </w:rPr>
        <w:t>（2）2018年广东省建设工程计价依据：2018年《广东省市政工程综合定额》、2018年《广东省房屋建筑与装饰工程综合定额》、2018年《广东省通用安装工程综合定额》、2018年《广东省园林绿化工程综合定额》、2018年《广东省建设工程施工机具台班费用编制规则》。</w:t>
      </w:r>
      <w:r>
        <w:rPr>
          <w:rFonts w:hint="eastAsia" w:ascii="宋体" w:hAnsi="宋体" w:eastAsia="宋体" w:cs="宋体"/>
          <w:color w:val="auto"/>
          <w:kern w:val="0"/>
          <w:sz w:val="24"/>
          <w:szCs w:val="24"/>
        </w:rPr>
        <w:t>工程量按施工图计算，主要材料价格按投标当月工程所在地工程造价管理机构发布的人工、材料、机械台班综合单价及市场参考价计算，规费、税金等其它费用则按有关规定计算（费率有上、下限的按其平均值计算）。</w:t>
      </w:r>
    </w:p>
    <w:p>
      <w:pPr>
        <w:pStyle w:val="3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2.3、在预算编制或项目实施过程当中，因财政部、国家税务总局实施的营改增政策，发包人、承包人应当按国家、省、市发布的相关政策调整。</w:t>
      </w:r>
    </w:p>
    <w:p>
      <w:pPr>
        <w:pStyle w:val="3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工程预算价经县财政局投资评审中心审核，在设计施工图纸未做改动的情况下，审核后确定的工程造价×（1-中标人的投标下浮率）即为此工程项目的结算基准价（建安工程施工承包合同价），其分部分项工程量清单对应的综合单价即为结算基准单价。</w:t>
      </w: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273" w:name="_Toc5651"/>
      <w:bookmarkStart w:id="274" w:name="_Toc11913"/>
      <w:bookmarkStart w:id="275" w:name="_Toc14683"/>
      <w:bookmarkStart w:id="276" w:name="_Toc28606"/>
      <w:bookmarkStart w:id="277" w:name="_Toc7305"/>
      <w:bookmarkStart w:id="278" w:name="_Toc21446"/>
      <w:bookmarkStart w:id="279" w:name="_Toc3586"/>
      <w:bookmarkStart w:id="280" w:name="_Toc7793"/>
      <w:bookmarkStart w:id="281" w:name="_Toc39136349"/>
      <w:bookmarkStart w:id="282" w:name="_Toc5539"/>
      <w:bookmarkStart w:id="283" w:name="_Toc12709"/>
      <w:r>
        <w:rPr>
          <w:rFonts w:hint="eastAsia" w:ascii="宋体" w:hAnsi="宋体" w:eastAsia="宋体" w:cs="宋体"/>
          <w:snapToGrid w:val="0"/>
          <w:color w:val="auto"/>
          <w:sz w:val="24"/>
          <w:szCs w:val="24"/>
          <w:lang w:val="en-US" w:eastAsia="zh-CN"/>
        </w:rPr>
        <w:t>3．勘察、设计费结算原则</w:t>
      </w:r>
      <w:bookmarkEnd w:id="273"/>
      <w:bookmarkEnd w:id="274"/>
      <w:bookmarkEnd w:id="275"/>
      <w:bookmarkEnd w:id="276"/>
      <w:bookmarkEnd w:id="277"/>
      <w:bookmarkEnd w:id="278"/>
      <w:bookmarkEnd w:id="279"/>
      <w:bookmarkEnd w:id="280"/>
      <w:bookmarkEnd w:id="281"/>
      <w:bookmarkEnd w:id="282"/>
      <w:bookmarkEnd w:id="283"/>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按中标价包干，投标价就是合同价即是结算价，结算时不作任何调整。</w:t>
      </w: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284" w:name="_Toc466640604"/>
      <w:bookmarkStart w:id="285" w:name="_Toc1827"/>
      <w:bookmarkStart w:id="286" w:name="_Toc24645"/>
      <w:bookmarkStart w:id="287" w:name="_Toc39136350"/>
      <w:bookmarkStart w:id="288" w:name="_Toc4085"/>
      <w:bookmarkStart w:id="289" w:name="_Toc16105"/>
      <w:bookmarkStart w:id="290" w:name="_Toc10153"/>
      <w:bookmarkStart w:id="291" w:name="_Toc8396"/>
      <w:bookmarkStart w:id="292" w:name="_Toc10517"/>
      <w:bookmarkStart w:id="293" w:name="_Toc7972"/>
      <w:bookmarkStart w:id="294" w:name="_Toc8563"/>
      <w:bookmarkStart w:id="295" w:name="_Toc2079"/>
      <w:bookmarkStart w:id="296" w:name="_Hlt87948449"/>
      <w:bookmarkStart w:id="297" w:name="_Hlt87948447"/>
      <w:r>
        <w:rPr>
          <w:rFonts w:hint="eastAsia" w:ascii="宋体" w:hAnsi="宋体" w:eastAsia="宋体" w:cs="宋体"/>
          <w:snapToGrid w:val="0"/>
          <w:color w:val="auto"/>
          <w:sz w:val="24"/>
          <w:szCs w:val="24"/>
          <w:lang w:val="en-US" w:eastAsia="zh-CN"/>
        </w:rPr>
        <w:t>4</w:t>
      </w:r>
      <w:bookmarkEnd w:id="284"/>
      <w:r>
        <w:rPr>
          <w:rFonts w:hint="eastAsia" w:ascii="宋体" w:hAnsi="宋体" w:eastAsia="宋体" w:cs="宋体"/>
          <w:snapToGrid w:val="0"/>
          <w:color w:val="auto"/>
          <w:sz w:val="24"/>
          <w:szCs w:val="24"/>
          <w:lang w:val="en-US" w:eastAsia="zh-CN"/>
        </w:rPr>
        <w:t>．建安工程结算原则</w:t>
      </w:r>
      <w:bookmarkEnd w:id="285"/>
      <w:bookmarkEnd w:id="286"/>
      <w:bookmarkEnd w:id="287"/>
      <w:bookmarkEnd w:id="288"/>
      <w:bookmarkEnd w:id="289"/>
      <w:bookmarkEnd w:id="290"/>
      <w:bookmarkEnd w:id="291"/>
      <w:bookmarkEnd w:id="292"/>
      <w:bookmarkEnd w:id="293"/>
    </w:p>
    <w:p>
      <w:pPr>
        <w:pStyle w:val="30"/>
        <w:spacing w:line="360" w:lineRule="auto"/>
        <w:ind w:firstLine="480" w:firstLineChars="20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结算编制原则按所在地签订施工合同当月工程造价管理机构发布的人工、材料、机械台班综合单价及市场参考价计算，规费、税金等其它费用则按有关规定计算（费率有上、下限的按其平均值计算）。</w:t>
      </w:r>
    </w:p>
    <w:bookmarkEnd w:id="294"/>
    <w:bookmarkEnd w:id="295"/>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4.1、在施工过程中凡设计图纸中包含的工程量不增减的情况下，结算基准价即为结算价，凡设计图纸中包含的工程量而实际未实施的部分，结算时必须按结算基准综合单价全部扣除。</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4.2、施工过程中</w:t>
      </w:r>
      <w:r>
        <w:rPr>
          <w:rFonts w:hint="eastAsia" w:ascii="宋体" w:hAnsi="宋体" w:eastAsia="宋体" w:cs="宋体"/>
          <w:color w:val="auto"/>
          <w:kern w:val="0"/>
          <w:sz w:val="24"/>
          <w:szCs w:val="24"/>
        </w:rPr>
        <w:t>招标人提出的工程变更及基础结构形式改变重大设计变更与工程量清单项目特征描述不符、有漏项错项的，可按新的项目特征和实际项目调整工程结算价款。因承包人原因造成的超出合同工程范围施工或返工的工程量，发包人不予计量。</w:t>
      </w:r>
    </w:p>
    <w:p>
      <w:pPr>
        <w:pStyle w:val="39"/>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4.3、施工合同履行期间，若出现下列情形的，发、承包双方应当按照以下规定调整合同价款，但因承包人原因导致工程延误的，按投标截止之日之后的进行调整，在合同工程原定竣工时间之后，合同价款调增的不予调整，合同价款调减的予以调整：</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4.3.1 合同履行期间，当应予计算的实际工程量与清单工程量出现偏差，或因工程变更引起已审核的工程量清单项目或其工程数量发生变化时，按实际完成的工程量计算（经发包方、承包方、监理三方共同签证确认）。因工程变更引起相关措施项目相应发生变化时，按规定调整。</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4.4.2 国家政策性人工价差调整：调整方式按省、市有关规定调整。</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4.4.3 当后继相关法律、法规、规章和政策引起安全文明施工费发生变化时，应当按照省建设行政主管部门或省、韶关市、</w:t>
      </w:r>
      <w:r>
        <w:rPr>
          <w:rFonts w:hint="eastAsia" w:ascii="宋体" w:hAnsi="宋体" w:eastAsia="宋体" w:cs="宋体"/>
          <w:color w:val="auto"/>
          <w:sz w:val="24"/>
          <w:szCs w:val="24"/>
          <w:u w:val="none"/>
          <w:lang w:val="en-US" w:eastAsia="zh-CN"/>
        </w:rPr>
        <w:t>项目所在地</w:t>
      </w:r>
      <w:r>
        <w:rPr>
          <w:rFonts w:hint="eastAsia" w:ascii="宋体" w:hAnsi="宋体" w:eastAsia="宋体" w:cs="宋体"/>
          <w:color w:val="auto"/>
          <w:sz w:val="24"/>
          <w:szCs w:val="24"/>
          <w:u w:val="none"/>
        </w:rPr>
        <w:t>工程造价管理机构据此发布的规定调整；</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4.3.4当后继相关法律、法规、规章和政策引起规费、税金等发生变化时，应当按照省政府或省、韶关市、</w:t>
      </w:r>
      <w:r>
        <w:rPr>
          <w:rFonts w:hint="eastAsia" w:ascii="宋体" w:hAnsi="宋体" w:eastAsia="宋体" w:cs="宋体"/>
          <w:color w:val="auto"/>
          <w:sz w:val="24"/>
          <w:szCs w:val="24"/>
          <w:u w:val="none"/>
          <w:lang w:val="en-US" w:eastAsia="zh-CN"/>
        </w:rPr>
        <w:t>项目所在地</w:t>
      </w:r>
      <w:r>
        <w:rPr>
          <w:rFonts w:hint="eastAsia" w:ascii="宋体" w:hAnsi="宋体" w:eastAsia="宋体" w:cs="宋体"/>
          <w:color w:val="auto"/>
          <w:sz w:val="24"/>
          <w:szCs w:val="24"/>
          <w:u w:val="none"/>
        </w:rPr>
        <w:t>有关主管部门据此发布的规定调整；</w:t>
      </w:r>
    </w:p>
    <w:p>
      <w:pPr>
        <w:spacing w:line="360" w:lineRule="auto"/>
        <w:ind w:firstLine="561"/>
        <w:rPr>
          <w:rFonts w:hint="eastAsia" w:ascii="宋体" w:hAnsi="宋体" w:eastAsia="宋体" w:cs="宋体"/>
          <w:color w:val="auto"/>
          <w:sz w:val="24"/>
          <w:szCs w:val="24"/>
        </w:rPr>
      </w:pPr>
      <w:r>
        <w:rPr>
          <w:rFonts w:hint="eastAsia" w:ascii="宋体" w:hAnsi="宋体" w:eastAsia="宋体" w:cs="宋体"/>
          <w:color w:val="auto"/>
          <w:sz w:val="24"/>
          <w:szCs w:val="24"/>
        </w:rPr>
        <w:t>4.3.5</w:t>
      </w:r>
      <w:r>
        <w:rPr>
          <w:rFonts w:hint="eastAsia" w:ascii="宋体" w:hAnsi="宋体" w:eastAsia="宋体" w:cs="宋体"/>
          <w:color w:val="auto"/>
          <w:kern w:val="0"/>
          <w:sz w:val="24"/>
          <w:szCs w:val="24"/>
        </w:rPr>
        <w:t>当工程施工期间，因人工、材料、工程设备、机械台 班价格波动影响合同价款时，引起工程所在地工程造价管理机构发布的价格信息中材料、工程设备价格（指钢材、商品砼、水泥、砂、石，或经双方认可的其它主要材料及工程设备）变化超过5%或施工机械使用费变化超过10%时，招标人或中标人材料价格可调整5%以外的部分、施工机械使用费可调整10%以外的部分。</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注：人工费、材料单价、机械台班的价差调整基数是以施工当季工程所在地工程造价管理机构公布的信息价（包括人工费、材料单价、机械台班）为F1与投标当（月/季）工程所在地工程造价管理机构公布的信息价（包括人工费、材料单价、机械台班）F0比较。</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1）人工费调整方式：按省、市有关规定调整。</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2）材料补差方式：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本项目</w:t>
      </w:r>
      <w:r>
        <w:rPr>
          <w:rFonts w:hint="eastAsia" w:ascii="宋体" w:hAnsi="宋体" w:eastAsia="宋体" w:cs="宋体"/>
          <w:color w:val="auto"/>
          <w:kern w:val="0"/>
          <w:sz w:val="24"/>
          <w:szCs w:val="24"/>
          <w:lang w:val="en-US" w:eastAsia="zh-CN"/>
        </w:rPr>
        <w:t>不适用）</w:t>
      </w:r>
      <w:r>
        <w:rPr>
          <w:rFonts w:hint="eastAsia" w:ascii="宋体" w:hAnsi="宋体" w:eastAsia="宋体" w:cs="宋体"/>
          <w:color w:val="auto"/>
          <w:kern w:val="0"/>
          <w:sz w:val="24"/>
          <w:szCs w:val="24"/>
        </w:rPr>
        <w:t>。</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调价系数A=（F1-F0）÷F0×100%</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当材料涨价时,材料补差= F0×（A-5%），当材料跌价时, 材料补差= F0×（A+5%），材料补差只计算相应的规费和税金。</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3）施工机械使用费补差方式：(本项目不适用)</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调价系数A=（F1-F0）÷F0×100%</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当施工机械台班费涨价时，机械台班补差= F0×（A-10%）, 当施工机械台班费跌价时,机械台班补差= F0×（A+10%）， 施工机械使用费补差只计算相应的规费和税金。</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4.3.6施工合同履行期间，由于非承包人原因导致工程变更的，发、承包双方应当按照GB50500-2013年《建设工程工程量清单计价规范》和省的有关规定，依据实际变更项目调整工程价款。工程变更引起工程量发生变化，出现本合同价款调整方式第4.3.8款情形的，应当按照其规定调整；其他情形的，按照以下规定调整：</w:t>
      </w:r>
    </w:p>
    <w:p>
      <w:pPr>
        <w:pStyle w:val="39"/>
        <w:spacing w:line="360" w:lineRule="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①结算基准价中有适用于变更工程项目的，按照该项目的单价或合价调整</w:t>
      </w:r>
      <w:r>
        <w:rPr>
          <w:rFonts w:hint="eastAsia" w:ascii="宋体" w:hAnsi="宋体" w:eastAsia="宋体" w:cs="宋体"/>
          <w:color w:val="auto"/>
          <w:sz w:val="24"/>
          <w:szCs w:val="24"/>
          <w:u w:val="none"/>
          <w:lang w:eastAsia="zh-CN"/>
        </w:rPr>
        <w:t>；</w:t>
      </w:r>
    </w:p>
    <w:p>
      <w:pPr>
        <w:pStyle w:val="39"/>
        <w:spacing w:line="360" w:lineRule="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②结算基准价中没有适用、只有类似于变更工程项目的，可在合理范围内参照类似项目的单价或合价调整</w:t>
      </w:r>
      <w:r>
        <w:rPr>
          <w:rFonts w:hint="eastAsia" w:ascii="宋体" w:hAnsi="宋体" w:eastAsia="宋体" w:cs="宋体"/>
          <w:color w:val="auto"/>
          <w:sz w:val="24"/>
          <w:szCs w:val="24"/>
          <w:u w:val="none"/>
          <w:lang w:eastAsia="zh-CN"/>
        </w:rPr>
        <w:t>；</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 ③结算基准价中没有适用也没有类似于变更工程项目的，根据变更工程资料、计量规则和计价办法、施工期间工程造价管理机构发布的价格信息，按本结算原则第5款重新确定综合单价后，相应调整工程价款；</w:t>
      </w:r>
    </w:p>
    <w:p>
      <w:pPr>
        <w:pStyle w:val="39"/>
        <w:spacing w:line="360" w:lineRule="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④结算基准价中没有适用也没有类似于变更工程项目，且施工期间工程造价管理机构发布的价格信息缺项的，根据变更工程资料、计量规则、计价办法和通过市场调查等的有合法依据的市场价格，按本原则第4.3.8条提出变更工程项目的单价或合价，经发、承包双方确认后调整</w:t>
      </w:r>
      <w:r>
        <w:rPr>
          <w:rFonts w:hint="eastAsia" w:ascii="宋体" w:hAnsi="宋体" w:eastAsia="宋体" w:cs="宋体"/>
          <w:color w:val="auto"/>
          <w:sz w:val="24"/>
          <w:szCs w:val="24"/>
          <w:u w:val="none"/>
          <w:lang w:eastAsia="zh-CN"/>
        </w:rPr>
        <w:t>；</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⑤如招标人只调整材料的等级、规格或品牌，则其综合单价按结算基准价中单价＋该项材料的价差（经招标人审定后的材料单价-结算基准价中的材料单价）进行调整，规费、税金按有关规定调整。</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4.3.7建设工程完工后，发、承包双方和受其委托具有相应资质的工程造价咨询企业必须按照GB50500-2013年《建设工程工程量清单计价规范》和省的有关规定办理竣工结算。</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4.3.8工程造价调整项目若是结算基准价中没有的项目，其造价调整如下：</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按（1）GB50500-2013年《建设工程工程量清单计价规范》、（2）2018年广东省建设工程计价依据（包括2018年《广东省市政工程综合定额》、2018年《广东省房屋建筑与装饰工程综合定额》、2018年《广东省通用安装工程综合定额》、2018年《广东省园林绿化工程综合定额》、2018年《广东省建设工程施工机具台班费用编制规则》，工程量按甲乙双方签证确认的、应予计量的实际完成的工程量计算，主要材料价格按施工同期工程所在地工程造价管理机构发布的价格信息中的综合单价计算，</w:t>
      </w:r>
      <w:r>
        <w:rPr>
          <w:rFonts w:hint="eastAsia" w:ascii="宋体" w:hAnsi="宋体" w:eastAsia="宋体" w:cs="宋体"/>
          <w:color w:val="auto"/>
          <w:sz w:val="24"/>
          <w:szCs w:val="24"/>
          <w:u w:val="none"/>
          <w:lang w:val="en-US" w:eastAsia="zh-CN"/>
        </w:rPr>
        <w:t>工程</w:t>
      </w:r>
      <w:r>
        <w:rPr>
          <w:rFonts w:hint="eastAsia" w:ascii="宋体" w:hAnsi="宋体" w:eastAsia="宋体" w:cs="宋体"/>
          <w:color w:val="auto"/>
          <w:sz w:val="24"/>
          <w:szCs w:val="24"/>
          <w:u w:val="none"/>
        </w:rPr>
        <w:t>所在地工程造价管理机构发布的价格信息中参考价没有的材料价由甲乙双方市场询价确定，规费、税金等其它费用则按有关规定计算（费率有上、下限的以平均值计算），预算包干费及赶工措施费不予计算。经</w:t>
      </w:r>
      <w:r>
        <w:rPr>
          <w:rFonts w:hint="eastAsia" w:ascii="宋体" w:hAnsi="宋体" w:eastAsia="宋体" w:cs="宋体"/>
          <w:color w:val="auto"/>
          <w:sz w:val="24"/>
          <w:szCs w:val="24"/>
          <w:u w:val="none"/>
          <w:lang w:val="en-US" w:eastAsia="zh-CN"/>
        </w:rPr>
        <w:t>县</w:t>
      </w:r>
      <w:r>
        <w:rPr>
          <w:rFonts w:hint="eastAsia" w:ascii="宋体" w:hAnsi="宋体" w:eastAsia="宋体" w:cs="宋体"/>
          <w:color w:val="auto"/>
          <w:sz w:val="24"/>
          <w:szCs w:val="24"/>
          <w:u w:val="none"/>
        </w:rPr>
        <w:t>财政局投资评审中心审核后的造价按中标人的建安工程费中标下浮率下浮后作为工程结算价。</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4.4、清单项目如只单独调整人工、材料、机械台班价差的，其人工、材料、机械台班消耗量均以审定施工图预算中的该清单项目的人工、材料、机械台班消耗量为准。</w:t>
      </w:r>
    </w:p>
    <w:p>
      <w:pPr>
        <w:pStyle w:val="39"/>
        <w:spacing w:line="360" w:lineRule="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4.5、中标人不得以不完全了解现场情况为理由，提出额外付款或延长工期等要求。对此类要求，招标人不作任何考虑及答复。</w:t>
      </w:r>
    </w:p>
    <w:p>
      <w:pPr>
        <w:pStyle w:val="39"/>
        <w:spacing w:line="360" w:lineRule="auto"/>
        <w:rPr>
          <w:rFonts w:hint="eastAsia" w:ascii="宋体" w:hAnsi="宋体" w:eastAsia="宋体" w:cs="宋体"/>
          <w:color w:val="auto"/>
          <w:kern w:val="2"/>
          <w:sz w:val="24"/>
          <w:szCs w:val="24"/>
        </w:rPr>
      </w:pPr>
      <w:r>
        <w:rPr>
          <w:rFonts w:hint="eastAsia" w:ascii="宋体" w:hAnsi="宋体" w:eastAsia="宋体" w:cs="宋体"/>
          <w:color w:val="auto"/>
          <w:sz w:val="24"/>
          <w:szCs w:val="24"/>
          <w:u w:val="none"/>
        </w:rPr>
        <w:t>4.6、合同履行期间，由于设计人原因导致发生设计变更或现场签证的，由此增加的工程造价费用，由承包人自行承担，发包人不予以考虑和补偿，同时按相关违约条款处罚。</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4.7、项目预备费的结算原则，使用范围包括但不限于如下情形：</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由于发包人的要求导致发生设计变更或合同约定调整因素出现时的工程价款调整以及发生的索赔、现场签证等，其工程量按实调整，结算时按实际施工工作量及招标文件、合同约定进行结算，不发生时应不计入结算总价。</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（2）国家政策性人工价差调整。</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（3）施工期间市场物价涨落，引起工程所在地工程造价管理机构发布的价格信息中材料价格变化，主要建筑材料（具体参照第3.4.4条款）价格浮动超过+5%的。</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（4）施工合同签订时尚未确定或者不可预见的所需材料、设备、服务的采购。结算时按实际发生根据本招标文件的工程结算原则第3.4.5款进行结算。</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（5）因不可预见的原因施工局部调整或施工技术工艺调整或应急工作需要发生的工程量。</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6）土石方工程、排洪工程、桥涵基础等相应的投资估算范围之外的及因地质情况引起的基础变更（含溶洞处理）的工程价款调整：其工程量按实调整，结算时按实际施工工作量及招标文件、合同约定进行结算。</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4.8预算包干费：根据2018年《广东省市政工程综合定额》、2018年《广东省房屋建筑与装饰工程综合定额》、2018年《广东省通用安装工程综合定额》、2018年《广东省园林绿化工程综合定额》，以各专业分部分项的人工费与施工机具费之和为基础计算预算包干费。本工程的预算包干内容包括：按《广东省建设工程计价依据（2018）》相关规定。</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4.9本工程结算不另行计取高温补贴费用、概（预）算编制费、专业分包总包服务及配合费、设计优化及修改增加的费用。</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4.10、最终建安工程结算价</w:t>
      </w:r>
    </w:p>
    <w:p>
      <w:pPr>
        <w:spacing w:line="360" w:lineRule="auto"/>
        <w:ind w:firstLine="482" w:firstLineChars="200"/>
        <w:jc w:val="left"/>
        <w:rPr>
          <w:rFonts w:hint="eastAsia" w:ascii="宋体" w:hAnsi="宋体" w:eastAsia="宋体" w:cs="宋体"/>
          <w:b/>
          <w:bCs/>
          <w:color w:val="auto"/>
          <w:sz w:val="24"/>
          <w:szCs w:val="24"/>
          <w:u w:val="double"/>
        </w:rPr>
      </w:pPr>
      <w:r>
        <w:rPr>
          <w:rFonts w:hint="eastAsia" w:ascii="宋体" w:hAnsi="宋体" w:eastAsia="宋体" w:cs="宋体"/>
          <w:b/>
          <w:bCs/>
          <w:color w:val="auto"/>
          <w:sz w:val="24"/>
          <w:szCs w:val="24"/>
          <w:u w:val="double"/>
        </w:rPr>
        <w:t>最终建安工程结算价=工程结算基准价-违约金额。最终工程结算价须经财政局投资评审中心审核后作为最终结算价依据。</w:t>
      </w:r>
    </w:p>
    <w:p>
      <w:pPr>
        <w:spacing w:line="360" w:lineRule="auto"/>
        <w:ind w:firstLine="482" w:firstLineChars="200"/>
        <w:jc w:val="left"/>
        <w:rPr>
          <w:rFonts w:hint="eastAsia" w:ascii="宋体" w:hAnsi="宋体" w:eastAsia="宋体" w:cs="宋体"/>
          <w:b/>
          <w:bCs/>
          <w:color w:val="auto"/>
          <w:sz w:val="24"/>
          <w:szCs w:val="24"/>
          <w:u w:val="double"/>
        </w:rPr>
      </w:pPr>
      <w:r>
        <w:rPr>
          <w:rFonts w:hint="eastAsia" w:ascii="宋体" w:hAnsi="宋体" w:eastAsia="宋体" w:cs="宋体"/>
          <w:b/>
          <w:bCs/>
          <w:color w:val="auto"/>
          <w:sz w:val="24"/>
          <w:szCs w:val="24"/>
          <w:u w:val="double"/>
        </w:rPr>
        <w:t>4.11、本工程为限额</w:t>
      </w:r>
      <w:r>
        <w:rPr>
          <w:rFonts w:hint="eastAsia" w:ascii="宋体" w:hAnsi="宋体" w:eastAsia="宋体" w:cs="宋体"/>
          <w:b/>
          <w:bCs/>
          <w:color w:val="auto"/>
          <w:sz w:val="24"/>
          <w:szCs w:val="24"/>
          <w:u w:val="double"/>
          <w:lang w:eastAsia="zh-CN"/>
        </w:rPr>
        <w:t>勘察</w:t>
      </w:r>
      <w:r>
        <w:rPr>
          <w:rFonts w:hint="eastAsia" w:ascii="宋体" w:hAnsi="宋体" w:eastAsia="宋体" w:cs="宋体"/>
          <w:b/>
          <w:bCs/>
          <w:color w:val="auto"/>
          <w:sz w:val="24"/>
          <w:szCs w:val="24"/>
          <w:u w:val="double"/>
        </w:rPr>
        <w:t>设计，结算时，工程结算总造价未超过中标价建安工程总价时按实结算，超过中标建安工程总价则按中标建安工程总价结算。</w:t>
      </w:r>
    </w:p>
    <w:bookmarkEnd w:id="296"/>
    <w:bookmarkEnd w:id="297"/>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298" w:name="_Hlt112206782"/>
      <w:bookmarkEnd w:id="298"/>
      <w:bookmarkStart w:id="299" w:name="_Toc6306"/>
      <w:bookmarkStart w:id="300" w:name="_Toc5234"/>
      <w:bookmarkStart w:id="301" w:name="_Toc32445"/>
      <w:bookmarkStart w:id="302" w:name="_Toc3820"/>
      <w:bookmarkStart w:id="303" w:name="_Toc39136351"/>
      <w:bookmarkStart w:id="304" w:name="_Toc11990"/>
      <w:bookmarkStart w:id="305" w:name="_Toc326916631"/>
      <w:bookmarkStart w:id="306" w:name="_Hlt87951777"/>
      <w:bookmarkStart w:id="307" w:name="_Toc30800"/>
      <w:bookmarkStart w:id="308" w:name="_Toc17349"/>
      <w:bookmarkStart w:id="309" w:name="_Toc322793290"/>
      <w:bookmarkStart w:id="310" w:name="_Toc23250"/>
      <w:bookmarkStart w:id="311" w:name="_Toc22218"/>
      <w:bookmarkStart w:id="312" w:name="_Toc22655"/>
      <w:bookmarkStart w:id="313" w:name="_Hlk38455698"/>
      <w:r>
        <w:rPr>
          <w:rFonts w:hint="eastAsia" w:ascii="宋体" w:hAnsi="宋体" w:eastAsia="宋体" w:cs="宋体"/>
          <w:snapToGrid w:val="0"/>
          <w:color w:val="auto"/>
          <w:sz w:val="24"/>
          <w:szCs w:val="24"/>
          <w:lang w:val="en-US" w:eastAsia="zh-CN"/>
        </w:rPr>
        <w:t>5. 工程付款办法</w:t>
      </w:r>
      <w:bookmarkEnd w:id="299"/>
      <w:bookmarkEnd w:id="300"/>
      <w:bookmarkEnd w:id="301"/>
      <w:bookmarkEnd w:id="302"/>
      <w:bookmarkEnd w:id="303"/>
      <w:bookmarkEnd w:id="304"/>
      <w:bookmarkEnd w:id="305"/>
      <w:bookmarkEnd w:id="306"/>
      <w:bookmarkEnd w:id="307"/>
      <w:bookmarkEnd w:id="308"/>
      <w:bookmarkEnd w:id="309"/>
      <w:bookmarkEnd w:id="310"/>
    </w:p>
    <w:bookmarkEnd w:id="311"/>
    <w:bookmarkEnd w:id="312"/>
    <w:p>
      <w:pPr>
        <w:pStyle w:val="2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5.1</w:t>
      </w:r>
      <w:r>
        <w:rPr>
          <w:rFonts w:hint="eastAsia" w:ascii="宋体" w:hAnsi="宋体" w:eastAsia="宋体" w:cs="宋体"/>
          <w:color w:val="auto"/>
          <w:sz w:val="24"/>
          <w:szCs w:val="24"/>
          <w:highlight w:val="none"/>
          <w:lang w:val="zh-CN"/>
        </w:rPr>
        <w:t>勘察费的支付：分三期支付工程勘察费</w:t>
      </w:r>
    </w:p>
    <w:p>
      <w:pPr>
        <w:pStyle w:val="2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5.1.1</w:t>
      </w:r>
      <w:r>
        <w:rPr>
          <w:rFonts w:hint="eastAsia" w:ascii="宋体" w:hAnsi="宋体" w:eastAsia="宋体" w:cs="宋体"/>
          <w:color w:val="auto"/>
          <w:sz w:val="24"/>
          <w:szCs w:val="24"/>
          <w:highlight w:val="none"/>
          <w:lang w:val="zh-CN"/>
        </w:rPr>
        <w:t>合同签订后支付</w:t>
      </w:r>
      <w:r>
        <w:rPr>
          <w:rFonts w:hint="eastAsia" w:ascii="宋体" w:hAnsi="宋体" w:eastAsia="宋体" w:cs="宋体"/>
          <w:color w:val="auto"/>
          <w:sz w:val="24"/>
          <w:szCs w:val="24"/>
          <w:highlight w:val="none"/>
        </w:rPr>
        <w:t>勘察费的</w:t>
      </w:r>
      <w:r>
        <w:rPr>
          <w:rFonts w:hint="eastAsia" w:ascii="宋体" w:hAnsi="宋体" w:eastAsia="宋体" w:cs="宋体"/>
          <w:color w:val="auto"/>
          <w:sz w:val="24"/>
          <w:szCs w:val="24"/>
          <w:highlight w:val="none"/>
          <w:lang w:val="zh-CN"/>
        </w:rPr>
        <w:t>30%；</w:t>
      </w:r>
    </w:p>
    <w:p>
      <w:pPr>
        <w:pStyle w:val="2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5.1.2</w:t>
      </w:r>
      <w:r>
        <w:rPr>
          <w:rFonts w:hint="eastAsia" w:ascii="宋体" w:hAnsi="宋体" w:eastAsia="宋体" w:cs="宋体"/>
          <w:color w:val="auto"/>
          <w:sz w:val="24"/>
          <w:szCs w:val="24"/>
          <w:highlight w:val="none"/>
          <w:lang w:val="zh-CN"/>
        </w:rPr>
        <w:t>提交勘察成果后支付</w:t>
      </w:r>
      <w:r>
        <w:rPr>
          <w:rFonts w:hint="eastAsia" w:ascii="宋体" w:hAnsi="宋体" w:eastAsia="宋体" w:cs="宋体"/>
          <w:color w:val="auto"/>
          <w:sz w:val="24"/>
          <w:szCs w:val="24"/>
          <w:highlight w:val="none"/>
        </w:rPr>
        <w:t>勘察费</w:t>
      </w:r>
      <w:r>
        <w:rPr>
          <w:rFonts w:hint="eastAsia" w:ascii="宋体" w:hAnsi="宋体" w:eastAsia="宋体" w:cs="宋体"/>
          <w:color w:val="auto"/>
          <w:sz w:val="24"/>
          <w:szCs w:val="24"/>
          <w:highlight w:val="none"/>
          <w:lang w:val="zh-CN"/>
        </w:rPr>
        <w:t>60%；</w:t>
      </w:r>
    </w:p>
    <w:p>
      <w:pPr>
        <w:pStyle w:val="20"/>
        <w:spacing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sz w:val="24"/>
          <w:szCs w:val="24"/>
          <w:highlight w:val="none"/>
          <w:lang w:val="en-US" w:eastAsia="zh-CN"/>
        </w:rPr>
        <w:t>5.1.3</w:t>
      </w:r>
      <w:r>
        <w:rPr>
          <w:rFonts w:hint="eastAsia" w:ascii="宋体" w:hAnsi="宋体" w:eastAsia="宋体" w:cs="宋体"/>
          <w:color w:val="auto"/>
          <w:sz w:val="24"/>
          <w:szCs w:val="24"/>
          <w:highlight w:val="none"/>
          <w:lang w:val="zh-CN"/>
        </w:rPr>
        <w:t>竣工验收合格结算后支付</w:t>
      </w:r>
      <w:r>
        <w:rPr>
          <w:rFonts w:hint="eastAsia" w:ascii="宋体" w:hAnsi="宋体" w:eastAsia="宋体" w:cs="宋体"/>
          <w:color w:val="auto"/>
          <w:sz w:val="24"/>
          <w:szCs w:val="24"/>
          <w:highlight w:val="none"/>
        </w:rPr>
        <w:t>勘察费的</w:t>
      </w:r>
      <w:r>
        <w:rPr>
          <w:rFonts w:hint="eastAsia" w:ascii="宋体" w:hAnsi="宋体" w:eastAsia="宋体" w:cs="宋体"/>
          <w:color w:val="auto"/>
          <w:sz w:val="24"/>
          <w:szCs w:val="24"/>
          <w:highlight w:val="none"/>
          <w:lang w:val="zh-CN"/>
        </w:rPr>
        <w:t>10%。</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5.</w:t>
      </w:r>
      <w:r>
        <w:rPr>
          <w:rFonts w:hint="eastAsia" w:ascii="宋体" w:hAnsi="宋体" w:eastAsia="宋体" w:cs="宋体"/>
          <w:color w:val="auto"/>
          <w:sz w:val="24"/>
          <w:szCs w:val="24"/>
          <w:u w:val="none"/>
          <w:lang w:val="en-US" w:eastAsia="zh-CN"/>
        </w:rPr>
        <w:t>2</w:t>
      </w:r>
      <w:r>
        <w:rPr>
          <w:rFonts w:hint="eastAsia" w:ascii="宋体" w:hAnsi="宋体" w:eastAsia="宋体" w:cs="宋体"/>
          <w:color w:val="auto"/>
          <w:sz w:val="24"/>
          <w:szCs w:val="24"/>
          <w:u w:val="none"/>
        </w:rPr>
        <w:t>、</w:t>
      </w:r>
      <w:r>
        <w:rPr>
          <w:rFonts w:hint="eastAsia" w:ascii="宋体" w:hAnsi="宋体" w:eastAsia="宋体" w:cs="宋体"/>
          <w:b/>
          <w:bCs/>
          <w:color w:val="auto"/>
          <w:sz w:val="24"/>
          <w:szCs w:val="24"/>
          <w:u w:val="none"/>
        </w:rPr>
        <w:t>设计费支付：</w:t>
      </w:r>
      <w:r>
        <w:rPr>
          <w:rFonts w:hint="eastAsia" w:ascii="宋体" w:hAnsi="宋体" w:eastAsia="宋体" w:cs="宋体"/>
          <w:color w:val="auto"/>
          <w:sz w:val="24"/>
          <w:szCs w:val="24"/>
          <w:u w:val="none"/>
        </w:rPr>
        <w:t>分</w:t>
      </w:r>
      <w:r>
        <w:rPr>
          <w:rFonts w:hint="eastAsia" w:ascii="宋体" w:hAnsi="宋体" w:eastAsia="宋体" w:cs="宋体"/>
          <w:color w:val="auto"/>
          <w:sz w:val="24"/>
          <w:szCs w:val="24"/>
          <w:u w:val="none"/>
          <w:lang w:val="en-US" w:eastAsia="zh-CN"/>
        </w:rPr>
        <w:t>四</w:t>
      </w:r>
      <w:r>
        <w:rPr>
          <w:rFonts w:hint="eastAsia" w:ascii="宋体" w:hAnsi="宋体" w:eastAsia="宋体" w:cs="宋体"/>
          <w:color w:val="auto"/>
          <w:sz w:val="24"/>
          <w:szCs w:val="24"/>
          <w:u w:val="none"/>
        </w:rPr>
        <w:t>期支付工程设计费。</w:t>
      </w:r>
    </w:p>
    <w:p>
      <w:pPr>
        <w:pStyle w:val="39"/>
        <w:spacing w:line="360" w:lineRule="auto"/>
        <w:ind w:firstLine="573"/>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lang w:eastAsia="zh-CN"/>
        </w:rPr>
        <w:t>5.</w:t>
      </w:r>
      <w:r>
        <w:rPr>
          <w:rFonts w:hint="eastAsia" w:ascii="宋体" w:hAnsi="宋体" w:eastAsia="宋体" w:cs="宋体"/>
          <w:color w:val="auto"/>
          <w:sz w:val="24"/>
          <w:szCs w:val="24"/>
          <w:u w:val="none"/>
          <w:lang w:val="en-US" w:eastAsia="zh-CN"/>
        </w:rPr>
        <w:t>2</w:t>
      </w:r>
      <w:r>
        <w:rPr>
          <w:rFonts w:hint="eastAsia" w:ascii="宋体" w:hAnsi="宋体" w:eastAsia="宋体" w:cs="宋体"/>
          <w:color w:val="auto"/>
          <w:sz w:val="24"/>
          <w:szCs w:val="24"/>
          <w:u w:val="none"/>
          <w:lang w:eastAsia="zh-CN"/>
        </w:rPr>
        <w:t>.1、</w:t>
      </w:r>
      <w:r>
        <w:rPr>
          <w:rFonts w:hint="eastAsia" w:ascii="宋体" w:hAnsi="宋体" w:eastAsia="宋体" w:cs="宋体"/>
          <w:color w:val="auto"/>
          <w:sz w:val="24"/>
          <w:szCs w:val="24"/>
          <w:u w:val="none"/>
        </w:rPr>
        <w:t>合同签定后发包人付设计费的30%</w:t>
      </w:r>
      <w:r>
        <w:rPr>
          <w:rFonts w:hint="eastAsia" w:ascii="宋体" w:hAnsi="宋体" w:eastAsia="宋体" w:cs="宋体"/>
          <w:color w:val="auto"/>
          <w:sz w:val="24"/>
          <w:szCs w:val="24"/>
          <w:u w:val="none"/>
          <w:lang w:eastAsia="zh-CN"/>
        </w:rPr>
        <w:t>；</w:t>
      </w:r>
    </w:p>
    <w:p>
      <w:pPr>
        <w:pStyle w:val="39"/>
        <w:spacing w:line="360" w:lineRule="auto"/>
        <w:ind w:firstLine="573"/>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lang w:eastAsia="zh-CN"/>
        </w:rPr>
        <w:t>5.</w:t>
      </w:r>
      <w:r>
        <w:rPr>
          <w:rFonts w:hint="eastAsia" w:ascii="宋体" w:hAnsi="宋体" w:eastAsia="宋体" w:cs="宋体"/>
          <w:color w:val="auto"/>
          <w:sz w:val="24"/>
          <w:szCs w:val="24"/>
          <w:u w:val="none"/>
          <w:lang w:val="en-US" w:eastAsia="zh-CN"/>
        </w:rPr>
        <w:t>2</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2</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完成施工图设计及</w:t>
      </w:r>
      <w:r>
        <w:rPr>
          <w:rFonts w:hint="eastAsia" w:ascii="宋体" w:hAnsi="宋体" w:eastAsia="宋体" w:cs="宋体"/>
          <w:color w:val="auto"/>
          <w:sz w:val="24"/>
          <w:szCs w:val="24"/>
          <w:u w:val="none"/>
          <w:lang w:val="en-US" w:eastAsia="zh-CN"/>
        </w:rPr>
        <w:t>交付</w:t>
      </w:r>
      <w:r>
        <w:rPr>
          <w:rFonts w:hint="eastAsia" w:ascii="宋体" w:hAnsi="宋体" w:eastAsia="宋体" w:cs="宋体"/>
          <w:color w:val="auto"/>
          <w:sz w:val="24"/>
          <w:szCs w:val="24"/>
          <w:u w:val="none"/>
        </w:rPr>
        <w:t>施工图设计</w:t>
      </w:r>
      <w:r>
        <w:rPr>
          <w:rFonts w:hint="eastAsia" w:ascii="宋体" w:hAnsi="宋体" w:eastAsia="宋体" w:cs="宋体"/>
          <w:color w:val="auto"/>
          <w:sz w:val="24"/>
          <w:szCs w:val="24"/>
          <w:u w:val="none"/>
          <w:lang w:val="en-US" w:eastAsia="zh-CN"/>
        </w:rPr>
        <w:t>成果</w:t>
      </w:r>
      <w:r>
        <w:rPr>
          <w:rFonts w:hint="eastAsia" w:ascii="宋体" w:hAnsi="宋体" w:eastAsia="宋体" w:cs="宋体"/>
          <w:color w:val="auto"/>
          <w:sz w:val="24"/>
          <w:szCs w:val="24"/>
          <w:u w:val="none"/>
        </w:rPr>
        <w:t>文件后发包人付设计费的</w:t>
      </w:r>
      <w:r>
        <w:rPr>
          <w:rFonts w:hint="eastAsia" w:ascii="宋体" w:hAnsi="宋体" w:eastAsia="宋体" w:cs="宋体"/>
          <w:color w:val="auto"/>
          <w:sz w:val="24"/>
          <w:szCs w:val="24"/>
          <w:u w:val="none"/>
          <w:lang w:val="en-US" w:eastAsia="zh-CN"/>
        </w:rPr>
        <w:t>3</w:t>
      </w:r>
      <w:r>
        <w:rPr>
          <w:rFonts w:hint="eastAsia" w:ascii="宋体" w:hAnsi="宋体" w:eastAsia="宋体" w:cs="宋体"/>
          <w:color w:val="auto"/>
          <w:sz w:val="24"/>
          <w:szCs w:val="24"/>
          <w:u w:val="none"/>
        </w:rPr>
        <w:t>0%</w:t>
      </w:r>
      <w:r>
        <w:rPr>
          <w:rFonts w:hint="eastAsia" w:ascii="宋体" w:hAnsi="宋体" w:eastAsia="宋体" w:cs="宋体"/>
          <w:color w:val="auto"/>
          <w:sz w:val="24"/>
          <w:szCs w:val="24"/>
          <w:u w:val="none"/>
          <w:lang w:eastAsia="zh-CN"/>
        </w:rPr>
        <w:t>；</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eastAsia="zh-CN"/>
        </w:rPr>
        <w:t>5.</w:t>
      </w:r>
      <w:r>
        <w:rPr>
          <w:rFonts w:hint="eastAsia" w:ascii="宋体" w:hAnsi="宋体" w:eastAsia="宋体" w:cs="宋体"/>
          <w:color w:val="auto"/>
          <w:sz w:val="24"/>
          <w:szCs w:val="24"/>
          <w:u w:val="none"/>
          <w:lang w:val="en-US" w:eastAsia="zh-CN"/>
        </w:rPr>
        <w:t>2</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3</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审查合格并按要求提交图纸后发包人付设计费的</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rPr>
        <w:t>0%</w:t>
      </w:r>
      <w:r>
        <w:rPr>
          <w:rFonts w:hint="eastAsia" w:ascii="宋体" w:hAnsi="宋体" w:eastAsia="宋体" w:cs="宋体"/>
          <w:color w:val="auto"/>
          <w:sz w:val="24"/>
          <w:szCs w:val="24"/>
          <w:u w:val="none"/>
        </w:rPr>
        <w:t>；</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eastAsia="zh-CN"/>
        </w:rPr>
        <w:t>5</w:t>
      </w:r>
      <w:r>
        <w:rPr>
          <w:rFonts w:hint="eastAsia" w:ascii="宋体" w:hAnsi="宋体" w:eastAsia="宋体" w:cs="宋体"/>
          <w:color w:val="auto"/>
          <w:sz w:val="24"/>
          <w:szCs w:val="24"/>
          <w:u w:val="none"/>
          <w:lang w:val="en-US" w:eastAsia="zh-CN"/>
        </w:rPr>
        <w:t>.2</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4</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rPr>
        <w:t>工程竣工验收合格后，发包人支付余下</w:t>
      </w:r>
      <w:r>
        <w:rPr>
          <w:rFonts w:hint="eastAsia" w:ascii="宋体" w:hAnsi="宋体" w:eastAsia="宋体" w:cs="宋体"/>
          <w:color w:val="auto"/>
          <w:sz w:val="24"/>
          <w:szCs w:val="24"/>
          <w:highlight w:val="none"/>
          <w:u w:val="none"/>
          <w:lang w:val="en-US" w:eastAsia="zh-CN"/>
        </w:rPr>
        <w:t>10%</w:t>
      </w:r>
      <w:r>
        <w:rPr>
          <w:rFonts w:hint="eastAsia" w:ascii="宋体" w:hAnsi="宋体" w:eastAsia="宋体" w:cs="宋体"/>
          <w:color w:val="auto"/>
          <w:sz w:val="24"/>
          <w:szCs w:val="24"/>
          <w:u w:val="none"/>
        </w:rPr>
        <w:t>的设计费。</w:t>
      </w:r>
    </w:p>
    <w:p>
      <w:pPr>
        <w:pStyle w:val="39"/>
        <w:spacing w:line="360" w:lineRule="auto"/>
        <w:ind w:firstLine="573"/>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5.</w:t>
      </w:r>
      <w:r>
        <w:rPr>
          <w:rFonts w:hint="eastAsia" w:ascii="宋体" w:hAnsi="宋体" w:eastAsia="宋体" w:cs="宋体"/>
          <w:color w:val="auto"/>
          <w:sz w:val="24"/>
          <w:szCs w:val="24"/>
          <w:u w:val="none"/>
          <w:lang w:val="en-US" w:eastAsia="zh-CN"/>
        </w:rPr>
        <w:t>3</w:t>
      </w:r>
      <w:r>
        <w:rPr>
          <w:rFonts w:hint="eastAsia" w:ascii="宋体" w:hAnsi="宋体" w:eastAsia="宋体" w:cs="宋体"/>
          <w:color w:val="auto"/>
          <w:sz w:val="24"/>
          <w:szCs w:val="24"/>
          <w:u w:val="none"/>
        </w:rPr>
        <w:t>、 建安工程款的支付</w:t>
      </w:r>
    </w:p>
    <w:bookmarkEnd w:id="313"/>
    <w:p>
      <w:pPr>
        <w:pStyle w:val="6"/>
        <w:adjustRightIn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snapToGrid w:val="0"/>
          <w:color w:val="auto"/>
          <w:kern w:val="0"/>
          <w:sz w:val="24"/>
          <w:szCs w:val="24"/>
          <w:lang w:val="en-US" w:eastAsia="zh-CN"/>
        </w:rPr>
        <w:t>5</w:t>
      </w:r>
      <w:r>
        <w:rPr>
          <w:rFonts w:hint="eastAsia" w:ascii="宋体" w:hAnsi="宋体" w:eastAsia="宋体" w:cs="宋体"/>
          <w:b/>
          <w:bCs/>
          <w:snapToGrid w:val="0"/>
          <w:color w:val="auto"/>
          <w:kern w:val="0"/>
          <w:sz w:val="24"/>
          <w:szCs w:val="24"/>
        </w:rPr>
        <w:t>.</w:t>
      </w:r>
      <w:r>
        <w:rPr>
          <w:rFonts w:hint="eastAsia" w:ascii="宋体" w:hAnsi="宋体" w:eastAsia="宋体" w:cs="宋体"/>
          <w:b/>
          <w:bCs/>
          <w:snapToGrid w:val="0"/>
          <w:color w:val="auto"/>
          <w:kern w:val="0"/>
          <w:sz w:val="24"/>
          <w:szCs w:val="24"/>
          <w:lang w:val="en-US" w:eastAsia="zh-CN"/>
        </w:rPr>
        <w:t>3.1</w:t>
      </w:r>
      <w:r>
        <w:rPr>
          <w:rFonts w:hint="eastAsia" w:ascii="宋体" w:hAnsi="宋体" w:eastAsia="宋体" w:cs="宋体"/>
          <w:snapToGrid w:val="0"/>
          <w:color w:val="auto"/>
          <w:kern w:val="0"/>
          <w:sz w:val="24"/>
          <w:szCs w:val="24"/>
        </w:rPr>
        <w:t>本工程</w:t>
      </w:r>
      <w:r>
        <w:rPr>
          <w:rFonts w:hint="eastAsia" w:ascii="宋体" w:hAnsi="宋体" w:eastAsia="宋体" w:cs="宋体"/>
          <w:color w:val="auto"/>
          <w:sz w:val="24"/>
          <w:szCs w:val="24"/>
          <w:lang w:val="en-US" w:eastAsia="zh-CN"/>
        </w:rPr>
        <w:t>项目</w:t>
      </w:r>
      <w:r>
        <w:rPr>
          <w:rFonts w:hint="eastAsia" w:ascii="宋体" w:hAnsi="宋体" w:eastAsia="宋体" w:cs="宋体"/>
          <w:snapToGrid w:val="0"/>
          <w:color w:val="auto"/>
          <w:kern w:val="0"/>
          <w:sz w:val="24"/>
          <w:szCs w:val="24"/>
          <w:u w:val="single"/>
        </w:rPr>
        <w:t xml:space="preserve">支付 </w:t>
      </w:r>
      <w:r>
        <w:rPr>
          <w:rFonts w:hint="eastAsia" w:ascii="宋体" w:hAnsi="宋体" w:eastAsia="宋体" w:cs="宋体"/>
          <w:snapToGrid w:val="0"/>
          <w:color w:val="auto"/>
          <w:kern w:val="0"/>
          <w:sz w:val="24"/>
          <w:szCs w:val="24"/>
        </w:rPr>
        <w:t>施工预付款。</w:t>
      </w:r>
    </w:p>
    <w:p>
      <w:pPr>
        <w:pStyle w:val="6"/>
        <w:adjustRightInd w:val="0"/>
        <w:spacing w:line="360" w:lineRule="auto"/>
        <w:ind w:firstLine="480" w:firstLineChars="200"/>
        <w:rPr>
          <w:rFonts w:hint="eastAsia" w:ascii="宋体" w:hAnsi="宋体" w:eastAsia="宋体" w:cs="宋体"/>
          <w:b w:val="0"/>
          <w:bCs w:val="0"/>
          <w:snapToGrid w:val="0"/>
          <w:color w:val="auto"/>
          <w:kern w:val="0"/>
          <w:sz w:val="24"/>
          <w:szCs w:val="24"/>
        </w:rPr>
      </w:pPr>
      <w:r>
        <w:rPr>
          <w:rFonts w:hint="eastAsia" w:ascii="宋体" w:hAnsi="宋体" w:eastAsia="宋体" w:cs="宋体"/>
          <w:b w:val="0"/>
          <w:bCs w:val="0"/>
          <w:color w:val="auto"/>
          <w:sz w:val="24"/>
          <w:szCs w:val="24"/>
          <w:lang w:val="en-US" w:eastAsia="zh-CN"/>
        </w:rPr>
        <w:t>5.3.2</w:t>
      </w:r>
      <w:r>
        <w:rPr>
          <w:rFonts w:hint="eastAsia" w:ascii="宋体" w:hAnsi="宋体" w:eastAsia="宋体" w:cs="宋体"/>
          <w:b w:val="0"/>
          <w:bCs w:val="0"/>
          <w:snapToGrid w:val="0"/>
          <w:color w:val="auto"/>
          <w:kern w:val="0"/>
          <w:sz w:val="24"/>
          <w:szCs w:val="24"/>
        </w:rPr>
        <w:t>施工预付款必须专用于合同工程，并按以下原则支付和抵扣：</w:t>
      </w:r>
    </w:p>
    <w:p>
      <w:pPr>
        <w:pStyle w:val="6"/>
        <w:numPr>
          <w:ilvl w:val="0"/>
          <w:numId w:val="5"/>
        </w:numPr>
        <w:adjustRightInd w:val="0"/>
        <w:spacing w:line="360" w:lineRule="auto"/>
        <w:ind w:firstLine="480" w:firstLineChars="200"/>
        <w:rPr>
          <w:rFonts w:hint="eastAsia" w:ascii="宋体" w:hAnsi="宋体" w:eastAsia="宋体" w:cs="宋体"/>
          <w:b w:val="0"/>
          <w:bCs w:val="0"/>
          <w:snapToGrid w:val="0"/>
          <w:color w:val="auto"/>
          <w:kern w:val="0"/>
          <w:sz w:val="24"/>
          <w:szCs w:val="24"/>
        </w:rPr>
      </w:pPr>
      <w:r>
        <w:rPr>
          <w:rFonts w:hint="eastAsia" w:ascii="宋体" w:hAnsi="宋体" w:eastAsia="宋体" w:cs="宋体"/>
          <w:b w:val="0"/>
          <w:bCs w:val="0"/>
          <w:snapToGrid w:val="0"/>
          <w:color w:val="auto"/>
          <w:kern w:val="0"/>
          <w:sz w:val="24"/>
          <w:szCs w:val="24"/>
        </w:rPr>
        <w:t>施工预付款支付比例为：按施工合同价的</w:t>
      </w:r>
      <w:r>
        <w:rPr>
          <w:rFonts w:hint="eastAsia" w:ascii="宋体" w:hAnsi="宋体" w:eastAsia="宋体" w:cs="宋体"/>
          <w:b w:val="0"/>
          <w:bCs w:val="0"/>
          <w:snapToGrid w:val="0"/>
          <w:color w:val="auto"/>
          <w:kern w:val="0"/>
          <w:sz w:val="24"/>
          <w:szCs w:val="24"/>
          <w:u w:val="single"/>
        </w:rPr>
        <w:t>30%</w:t>
      </w:r>
      <w:r>
        <w:rPr>
          <w:rFonts w:hint="eastAsia" w:ascii="宋体" w:hAnsi="宋体" w:eastAsia="宋体" w:cs="宋体"/>
          <w:b w:val="0"/>
          <w:bCs w:val="0"/>
          <w:snapToGrid w:val="0"/>
          <w:color w:val="auto"/>
          <w:kern w:val="0"/>
          <w:sz w:val="24"/>
          <w:szCs w:val="24"/>
        </w:rPr>
        <w:t>支付。</w:t>
      </w:r>
    </w:p>
    <w:p>
      <w:pPr>
        <w:pStyle w:val="6"/>
        <w:numPr>
          <w:ilvl w:val="0"/>
          <w:numId w:val="0"/>
        </w:numPr>
        <w:adjustRightInd w:val="0"/>
        <w:spacing w:line="360" w:lineRule="auto"/>
        <w:ind w:firstLine="480" w:firstLineChars="200"/>
        <w:rPr>
          <w:rFonts w:hint="eastAsia" w:ascii="宋体" w:hAnsi="宋体" w:eastAsia="宋体" w:cs="宋体"/>
          <w:b w:val="0"/>
          <w:bCs w:val="0"/>
          <w:snapToGrid w:val="0"/>
          <w:color w:val="auto"/>
          <w:kern w:val="0"/>
          <w:sz w:val="24"/>
          <w:szCs w:val="24"/>
          <w:lang w:eastAsia="zh-CN"/>
        </w:rPr>
      </w:pPr>
      <w:r>
        <w:rPr>
          <w:rFonts w:hint="eastAsia" w:ascii="宋体" w:hAnsi="宋体" w:eastAsia="宋体" w:cs="宋体"/>
          <w:b w:val="0"/>
          <w:bCs w:val="0"/>
          <w:snapToGrid w:val="0"/>
          <w:color w:val="auto"/>
          <w:kern w:val="0"/>
          <w:sz w:val="24"/>
          <w:szCs w:val="24"/>
        </w:rPr>
        <w:t>（2）本工程要求承包人提供预付款总额的预付款保函</w:t>
      </w:r>
      <w:r>
        <w:rPr>
          <w:rFonts w:hint="eastAsia" w:ascii="宋体" w:hAnsi="宋体" w:eastAsia="宋体" w:cs="宋体"/>
          <w:b w:val="0"/>
          <w:bCs w:val="0"/>
          <w:snapToGrid w:val="0"/>
          <w:color w:val="auto"/>
          <w:kern w:val="0"/>
          <w:sz w:val="24"/>
          <w:szCs w:val="24"/>
          <w:lang w:eastAsia="zh-CN"/>
        </w:rPr>
        <w:t>。</w:t>
      </w:r>
    </w:p>
    <w:p>
      <w:pPr>
        <w:wordWrap w:val="0"/>
        <w:adjustRightInd w:val="0"/>
        <w:snapToGrid w:val="0"/>
        <w:spacing w:line="360" w:lineRule="auto"/>
        <w:ind w:firstLine="240" w:firstLineChars="100"/>
        <w:rPr>
          <w:rFonts w:hint="eastAsia" w:ascii="宋体" w:hAnsi="宋体" w:eastAsia="宋体" w:cs="宋体"/>
          <w:b w:val="0"/>
          <w:bCs w:val="0"/>
          <w:snapToGrid w:val="0"/>
          <w:color w:val="auto"/>
          <w:kern w:val="0"/>
          <w:sz w:val="24"/>
          <w:szCs w:val="24"/>
        </w:rPr>
      </w:pPr>
      <w:r>
        <w:rPr>
          <w:rFonts w:hint="eastAsia" w:ascii="宋体" w:hAnsi="宋体" w:eastAsia="宋体" w:cs="宋体"/>
          <w:b w:val="0"/>
          <w:bCs w:val="0"/>
          <w:snapToGrid w:val="0"/>
          <w:color w:val="auto"/>
          <w:kern w:val="0"/>
          <w:sz w:val="24"/>
          <w:szCs w:val="24"/>
        </w:rPr>
        <w:t>注：预付款保函有效期不少于6个月，如预付款保函过期需重新开具新的预付款保函（保证扣回预付款前有效）。</w:t>
      </w:r>
    </w:p>
    <w:p>
      <w:pPr>
        <w:wordWrap w:val="0"/>
        <w:adjustRightInd w:val="0"/>
        <w:snapToGrid w:val="0"/>
        <w:spacing w:line="360" w:lineRule="auto"/>
        <w:ind w:firstLine="240" w:firstLineChars="100"/>
        <w:rPr>
          <w:rFonts w:hint="eastAsia" w:ascii="宋体" w:hAnsi="宋体" w:eastAsia="宋体" w:cs="宋体"/>
          <w:b w:val="0"/>
          <w:bCs w:val="0"/>
          <w:snapToGrid w:val="0"/>
          <w:color w:val="auto"/>
          <w:kern w:val="0"/>
          <w:sz w:val="24"/>
          <w:szCs w:val="24"/>
        </w:rPr>
      </w:pPr>
      <w:r>
        <w:rPr>
          <w:rFonts w:hint="eastAsia" w:ascii="宋体" w:hAnsi="宋体" w:eastAsia="宋体" w:cs="宋体"/>
          <w:b w:val="0"/>
          <w:bCs w:val="0"/>
          <w:snapToGrid w:val="0"/>
          <w:color w:val="auto"/>
          <w:kern w:val="0"/>
          <w:sz w:val="24"/>
          <w:szCs w:val="24"/>
        </w:rPr>
        <w:t>发包人在收到支付申请的7天内进行核实后，按程序向财政部门申请预付款。凡未签订合同、未提供预付款保函或不具备施工条件的工程，发包人不预付工程款。</w:t>
      </w:r>
    </w:p>
    <w:p>
      <w:pPr>
        <w:wordWrap w:val="0"/>
        <w:adjustRightInd w:val="0"/>
        <w:snapToGrid w:val="0"/>
        <w:spacing w:line="360" w:lineRule="auto"/>
        <w:ind w:firstLine="240" w:firstLineChars="100"/>
        <w:rPr>
          <w:rFonts w:hint="eastAsia" w:ascii="宋体" w:hAnsi="宋体" w:eastAsia="宋体" w:cs="宋体"/>
          <w:b w:val="0"/>
          <w:bCs w:val="0"/>
          <w:snapToGrid w:val="0"/>
          <w:color w:val="auto"/>
          <w:kern w:val="0"/>
          <w:sz w:val="24"/>
          <w:szCs w:val="24"/>
        </w:rPr>
      </w:pPr>
      <w:r>
        <w:rPr>
          <w:rFonts w:hint="eastAsia" w:ascii="宋体" w:hAnsi="宋体" w:eastAsia="宋体" w:cs="宋体"/>
          <w:b w:val="0"/>
          <w:bCs w:val="0"/>
          <w:snapToGrid w:val="0"/>
          <w:color w:val="auto"/>
          <w:kern w:val="0"/>
          <w:sz w:val="24"/>
          <w:szCs w:val="24"/>
        </w:rPr>
        <w:t>（3）预付款应从每支付期应支付给承包人的工程进度款中扣回，扣回比例为每支付期的工程进度款的40%，直到扣回的金额达到合同约定的预付款金额为止。</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5.</w:t>
      </w:r>
      <w:r>
        <w:rPr>
          <w:rFonts w:hint="eastAsia" w:ascii="宋体" w:hAnsi="宋体" w:eastAsia="宋体" w:cs="宋体"/>
          <w:b/>
          <w:bCs/>
          <w:snapToGrid w:val="0"/>
          <w:color w:val="auto"/>
          <w:kern w:val="0"/>
          <w:sz w:val="24"/>
          <w:szCs w:val="24"/>
          <w:lang w:val="en-US" w:eastAsia="zh-CN"/>
        </w:rPr>
        <w:t>4</w:t>
      </w:r>
      <w:r>
        <w:rPr>
          <w:rFonts w:hint="eastAsia" w:ascii="宋体" w:hAnsi="宋体" w:eastAsia="宋体" w:cs="宋体"/>
          <w:snapToGrid w:val="0"/>
          <w:color w:val="auto"/>
          <w:kern w:val="0"/>
          <w:sz w:val="24"/>
          <w:szCs w:val="24"/>
        </w:rPr>
        <w:t xml:space="preserve"> 施工过程中按月支付工程进度款：承包人每月按工程实际完成工程量（含变更及增加工程）申报，承包人必须将《已完成工程量报表》和《工程付款申请书》于当月26日前报监理单位核</w:t>
      </w:r>
      <w:bookmarkStart w:id="314" w:name="_Hlt127094354"/>
      <w:bookmarkEnd w:id="314"/>
      <w:r>
        <w:rPr>
          <w:rFonts w:hint="eastAsia" w:ascii="宋体" w:hAnsi="宋体" w:eastAsia="宋体" w:cs="宋体"/>
          <w:snapToGrid w:val="0"/>
          <w:color w:val="auto"/>
          <w:kern w:val="0"/>
          <w:sz w:val="24"/>
          <w:szCs w:val="24"/>
        </w:rPr>
        <w:t>实。经监理单位审核、发包人审定后的工程进度款（指已经按照合同约定，扣除该支付期内因承包人违约而应扣除的管理费），于申报次月支付。</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5.</w:t>
      </w:r>
      <w:r>
        <w:rPr>
          <w:rFonts w:hint="eastAsia" w:ascii="宋体" w:hAnsi="宋体" w:eastAsia="宋体" w:cs="宋体"/>
          <w:b/>
          <w:bCs/>
          <w:snapToGrid w:val="0"/>
          <w:color w:val="auto"/>
          <w:kern w:val="0"/>
          <w:sz w:val="24"/>
          <w:szCs w:val="24"/>
          <w:lang w:val="en-US" w:eastAsia="zh-CN"/>
        </w:rPr>
        <w:t>5</w:t>
      </w:r>
      <w:r>
        <w:rPr>
          <w:rFonts w:hint="eastAsia" w:ascii="宋体" w:hAnsi="宋体" w:eastAsia="宋体" w:cs="宋体"/>
          <w:snapToGrid w:val="0"/>
          <w:color w:val="auto"/>
          <w:kern w:val="0"/>
          <w:sz w:val="24"/>
          <w:szCs w:val="24"/>
        </w:rPr>
        <w:t xml:space="preserve"> 每月的工程进度款按应付金额的</w:t>
      </w:r>
      <w:r>
        <w:rPr>
          <w:rFonts w:hint="eastAsia" w:ascii="宋体" w:hAnsi="宋体" w:eastAsia="宋体" w:cs="宋体"/>
          <w:snapToGrid w:val="0"/>
          <w:color w:val="auto"/>
          <w:kern w:val="0"/>
          <w:sz w:val="24"/>
          <w:szCs w:val="24"/>
          <w:u w:val="single"/>
        </w:rPr>
        <w:t xml:space="preserve">  80 % </w:t>
      </w:r>
      <w:r>
        <w:rPr>
          <w:rFonts w:hint="eastAsia" w:ascii="宋体" w:hAnsi="宋体" w:eastAsia="宋体" w:cs="宋体"/>
          <w:snapToGrid w:val="0"/>
          <w:color w:val="auto"/>
          <w:kern w:val="0"/>
          <w:sz w:val="24"/>
          <w:szCs w:val="24"/>
        </w:rPr>
        <w:t>支付，进度款不能超过合同价的80%。工程进度款中的作业工人工资款项由发包人单独足额拨付到承包人的工资专户。</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5.</w:t>
      </w:r>
      <w:r>
        <w:rPr>
          <w:rFonts w:hint="eastAsia" w:ascii="宋体" w:hAnsi="宋体" w:eastAsia="宋体" w:cs="宋体"/>
          <w:b/>
          <w:bCs/>
          <w:snapToGrid w:val="0"/>
          <w:color w:val="auto"/>
          <w:kern w:val="0"/>
          <w:sz w:val="24"/>
          <w:szCs w:val="24"/>
          <w:lang w:val="en-US" w:eastAsia="zh-CN"/>
        </w:rPr>
        <w:t>6</w:t>
      </w:r>
      <w:r>
        <w:rPr>
          <w:rFonts w:hint="eastAsia" w:ascii="宋体" w:hAnsi="宋体" w:eastAsia="宋体" w:cs="宋体"/>
          <w:snapToGrid w:val="0"/>
          <w:color w:val="auto"/>
          <w:kern w:val="0"/>
          <w:sz w:val="24"/>
          <w:szCs w:val="24"/>
        </w:rPr>
        <w:t>措施项目费中的“绿色施工安全防护措施费”拨付按照《广东省建设工程计价依据（2018）》执行，按照项目所在地的建设行政主管部门有关规定支付。发生一般事故及以上等级重大安全事故的，发包人可扣除承包人金额相当于所有“绿色施工安全防护措施费”的工程管理费。</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5.</w:t>
      </w:r>
      <w:r>
        <w:rPr>
          <w:rFonts w:hint="eastAsia" w:ascii="宋体" w:hAnsi="宋体" w:eastAsia="宋体" w:cs="宋体"/>
          <w:b/>
          <w:bCs/>
          <w:snapToGrid w:val="0"/>
          <w:color w:val="auto"/>
          <w:kern w:val="0"/>
          <w:sz w:val="24"/>
          <w:szCs w:val="24"/>
          <w:lang w:val="en-US" w:eastAsia="zh-CN"/>
        </w:rPr>
        <w:t>7</w:t>
      </w:r>
      <w:r>
        <w:rPr>
          <w:rFonts w:hint="eastAsia" w:ascii="宋体" w:hAnsi="宋体" w:eastAsia="宋体" w:cs="宋体"/>
          <w:snapToGrid w:val="0"/>
          <w:color w:val="auto"/>
          <w:kern w:val="0"/>
          <w:sz w:val="24"/>
          <w:szCs w:val="24"/>
        </w:rPr>
        <w:t xml:space="preserve"> 变更工程造价必须经监理单位核实，并经发包人核定后方可支付。</w:t>
      </w:r>
    </w:p>
    <w:p>
      <w:pPr>
        <w:wordWrap w:val="0"/>
        <w:adjustRightInd w:val="0"/>
        <w:snapToGrid w:val="0"/>
        <w:spacing w:line="360" w:lineRule="auto"/>
        <w:ind w:firstLine="482" w:firstLineChars="200"/>
        <w:rPr>
          <w:rFonts w:hint="eastAsia" w:ascii="宋体" w:hAnsi="宋体" w:eastAsia="宋体" w:cs="宋体"/>
          <w:bCs/>
          <w:snapToGrid w:val="0"/>
          <w:color w:val="auto"/>
          <w:kern w:val="0"/>
          <w:sz w:val="24"/>
          <w:szCs w:val="24"/>
        </w:rPr>
      </w:pPr>
      <w:r>
        <w:rPr>
          <w:rFonts w:hint="eastAsia" w:ascii="宋体" w:hAnsi="宋体" w:eastAsia="宋体" w:cs="宋体"/>
          <w:b/>
          <w:bCs/>
          <w:snapToGrid w:val="0"/>
          <w:color w:val="auto"/>
          <w:kern w:val="0"/>
          <w:sz w:val="24"/>
          <w:szCs w:val="24"/>
        </w:rPr>
        <w:t>5.</w:t>
      </w:r>
      <w:r>
        <w:rPr>
          <w:rFonts w:hint="eastAsia" w:ascii="宋体" w:hAnsi="宋体" w:eastAsia="宋体" w:cs="宋体"/>
          <w:b/>
          <w:bCs/>
          <w:snapToGrid w:val="0"/>
          <w:color w:val="auto"/>
          <w:kern w:val="0"/>
          <w:sz w:val="24"/>
          <w:szCs w:val="24"/>
          <w:lang w:val="en-US" w:eastAsia="zh-CN"/>
        </w:rPr>
        <w:t>8</w:t>
      </w:r>
      <w:r>
        <w:rPr>
          <w:rFonts w:hint="eastAsia" w:ascii="宋体" w:hAnsi="宋体" w:eastAsia="宋体" w:cs="宋体"/>
          <w:snapToGrid w:val="0"/>
          <w:color w:val="auto"/>
          <w:kern w:val="0"/>
          <w:sz w:val="24"/>
          <w:szCs w:val="24"/>
        </w:rPr>
        <w:t xml:space="preserve"> 结算审核完成后，于次月支付至合同价格的97%，剩余3%转为质量保证金；承包人提交了等额</w:t>
      </w:r>
      <w:r>
        <w:rPr>
          <w:rFonts w:hint="eastAsia" w:ascii="宋体" w:hAnsi="宋体" w:eastAsia="宋体" w:cs="宋体"/>
          <w:bCs/>
          <w:snapToGrid w:val="0"/>
          <w:color w:val="auto"/>
          <w:kern w:val="0"/>
          <w:sz w:val="24"/>
          <w:szCs w:val="24"/>
        </w:rPr>
        <w:t>质量保证担保或质量保证保险的，于次月一次性结清合同价格。</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snapToGrid w:val="0"/>
          <w:color w:val="auto"/>
          <w:kern w:val="0"/>
          <w:sz w:val="24"/>
          <w:szCs w:val="24"/>
        </w:rPr>
        <w:t>5.</w:t>
      </w:r>
      <w:r>
        <w:rPr>
          <w:rFonts w:hint="eastAsia" w:ascii="宋体" w:hAnsi="宋体" w:eastAsia="宋体" w:cs="宋体"/>
          <w:b/>
          <w:snapToGrid w:val="0"/>
          <w:color w:val="auto"/>
          <w:kern w:val="0"/>
          <w:sz w:val="24"/>
          <w:szCs w:val="24"/>
          <w:lang w:val="en-US" w:eastAsia="zh-CN"/>
        </w:rPr>
        <w:t>9</w:t>
      </w:r>
      <w:r>
        <w:rPr>
          <w:rFonts w:hint="eastAsia" w:ascii="宋体" w:hAnsi="宋体" w:eastAsia="宋体" w:cs="宋体"/>
          <w:bCs/>
          <w:snapToGrid w:val="0"/>
          <w:color w:val="auto"/>
          <w:kern w:val="0"/>
          <w:sz w:val="24"/>
          <w:szCs w:val="24"/>
        </w:rPr>
        <w:t xml:space="preserve"> 本招标项目缺陷责任期为</w:t>
      </w:r>
      <w:r>
        <w:rPr>
          <w:rFonts w:hint="eastAsia" w:ascii="宋体" w:hAnsi="宋体" w:eastAsia="宋体" w:cs="宋体"/>
          <w:bCs/>
          <w:snapToGrid w:val="0"/>
          <w:color w:val="auto"/>
          <w:kern w:val="0"/>
          <w:sz w:val="24"/>
          <w:szCs w:val="24"/>
          <w:u w:val="single"/>
        </w:rPr>
        <w:t xml:space="preserve">  2  </w:t>
      </w:r>
      <w:r>
        <w:rPr>
          <w:rFonts w:hint="eastAsia" w:ascii="宋体" w:hAnsi="宋体" w:eastAsia="宋体" w:cs="宋体"/>
          <w:bCs/>
          <w:snapToGrid w:val="0"/>
          <w:color w:val="auto"/>
          <w:kern w:val="0"/>
          <w:sz w:val="24"/>
          <w:szCs w:val="24"/>
        </w:rPr>
        <w:t>年（自通过竣工验收之日起计）。</w:t>
      </w:r>
      <w:r>
        <w:rPr>
          <w:rFonts w:hint="eastAsia" w:ascii="宋体" w:hAnsi="宋体" w:eastAsia="宋体" w:cs="宋体"/>
          <w:snapToGrid w:val="0"/>
          <w:color w:val="auto"/>
          <w:kern w:val="0"/>
          <w:sz w:val="24"/>
          <w:szCs w:val="24"/>
        </w:rPr>
        <w:t>缺陷责任期到期后，承包人向发包人申请退还质量保证。发包人收到退还申请后，于14天内会同承包人进行核实。经双方核实且均无异议后，发包人在核实之日起</w:t>
      </w:r>
      <w:r>
        <w:rPr>
          <w:rFonts w:hint="eastAsia" w:ascii="宋体" w:hAnsi="宋体" w:eastAsia="宋体" w:cs="宋体"/>
          <w:snapToGrid w:val="0"/>
          <w:color w:val="auto"/>
          <w:kern w:val="0"/>
          <w:sz w:val="24"/>
          <w:szCs w:val="24"/>
          <w:u w:val="single"/>
        </w:rPr>
        <w:t xml:space="preserve"> 14 </w:t>
      </w:r>
      <w:r>
        <w:rPr>
          <w:rFonts w:hint="eastAsia" w:ascii="宋体" w:hAnsi="宋体" w:eastAsia="宋体" w:cs="宋体"/>
          <w:snapToGrid w:val="0"/>
          <w:color w:val="auto"/>
          <w:kern w:val="0"/>
          <w:sz w:val="24"/>
          <w:szCs w:val="24"/>
        </w:rPr>
        <w:t>天内将应返保证金（或银行保函）退还承包人。</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5.</w:t>
      </w:r>
      <w:r>
        <w:rPr>
          <w:rFonts w:hint="eastAsia" w:ascii="宋体" w:hAnsi="宋体" w:eastAsia="宋体" w:cs="宋体"/>
          <w:b/>
          <w:bCs/>
          <w:snapToGrid w:val="0"/>
          <w:color w:val="auto"/>
          <w:kern w:val="0"/>
          <w:sz w:val="24"/>
          <w:szCs w:val="24"/>
          <w:lang w:val="en-US" w:eastAsia="zh-CN"/>
        </w:rPr>
        <w:t>10</w:t>
      </w:r>
      <w:r>
        <w:rPr>
          <w:rFonts w:hint="eastAsia" w:ascii="宋体" w:hAnsi="宋体" w:eastAsia="宋体" w:cs="宋体"/>
          <w:snapToGrid w:val="0"/>
          <w:color w:val="auto"/>
          <w:kern w:val="0"/>
          <w:sz w:val="24"/>
          <w:szCs w:val="24"/>
        </w:rPr>
        <w:t xml:space="preserve"> </w:t>
      </w:r>
      <w:r>
        <w:rPr>
          <w:rFonts w:hint="eastAsia" w:ascii="宋体" w:hAnsi="宋体" w:eastAsia="宋体" w:cs="宋体"/>
          <w:b/>
          <w:bCs/>
          <w:snapToGrid w:val="0"/>
          <w:color w:val="auto"/>
          <w:kern w:val="0"/>
          <w:sz w:val="24"/>
          <w:szCs w:val="24"/>
        </w:rPr>
        <w:t>发包人每次支付工程款前，承包人均应提供有效的增值税专用发票。如果承包人无法提供符合要求的发票，由此造成的相应损失由承包人承担。</w:t>
      </w:r>
    </w:p>
    <w:p>
      <w:pPr>
        <w:wordWrap w:val="0"/>
        <w:adjustRightInd w:val="0"/>
        <w:snapToGrid w:val="0"/>
        <w:spacing w:line="360" w:lineRule="auto"/>
        <w:ind w:firstLine="482" w:firstLineChars="200"/>
        <w:rPr>
          <w:rFonts w:hint="eastAsia" w:ascii="宋体" w:hAnsi="宋体" w:eastAsia="宋体" w:cs="宋体"/>
          <w:snapToGrid w:val="0"/>
          <w:color w:val="auto"/>
          <w:kern w:val="0"/>
          <w:sz w:val="24"/>
          <w:szCs w:val="24"/>
        </w:rPr>
      </w:pPr>
      <w:r>
        <w:rPr>
          <w:rFonts w:hint="eastAsia" w:ascii="宋体" w:hAnsi="宋体" w:eastAsia="宋体" w:cs="宋体"/>
          <w:b/>
          <w:bCs/>
          <w:snapToGrid w:val="0"/>
          <w:color w:val="auto"/>
          <w:kern w:val="0"/>
          <w:sz w:val="24"/>
          <w:szCs w:val="24"/>
        </w:rPr>
        <w:t>5.1</w:t>
      </w:r>
      <w:r>
        <w:rPr>
          <w:rFonts w:hint="eastAsia" w:ascii="宋体" w:hAnsi="宋体" w:eastAsia="宋体" w:cs="宋体"/>
          <w:b/>
          <w:bCs/>
          <w:snapToGrid w:val="0"/>
          <w:color w:val="auto"/>
          <w:kern w:val="0"/>
          <w:sz w:val="24"/>
          <w:szCs w:val="24"/>
          <w:lang w:val="en-US" w:eastAsia="zh-CN"/>
        </w:rPr>
        <w:t>1</w:t>
      </w:r>
      <w:r>
        <w:rPr>
          <w:rFonts w:hint="eastAsia" w:ascii="宋体" w:hAnsi="宋体" w:eastAsia="宋体" w:cs="宋体"/>
          <w:snapToGrid w:val="0"/>
          <w:color w:val="auto"/>
          <w:kern w:val="0"/>
          <w:sz w:val="24"/>
          <w:szCs w:val="24"/>
        </w:rPr>
        <w:t xml:space="preserve"> 暂列金额支付方式： </w:t>
      </w:r>
      <w:r>
        <w:rPr>
          <w:rFonts w:hint="eastAsia" w:ascii="宋体" w:hAnsi="宋体" w:eastAsia="宋体" w:cs="宋体"/>
          <w:snapToGrid w:val="0"/>
          <w:color w:val="auto"/>
          <w:kern w:val="0"/>
          <w:sz w:val="24"/>
          <w:szCs w:val="24"/>
          <w:u w:val="single"/>
        </w:rPr>
        <w:t>与每个月的工程进度款一并报送，在暂列金额的范围内由监理单位进行签认，造价咨询单位审核，发包人确认，需要列明涉及暂列金额的部分。在暂列金额的范围内由监理单位进行签证，造价咨询单位审核后，经发包人确认后按支付节点支付该款项的50％，其余部分待结算完成审核后支付至97%，剩余3%为工程质量保修金</w:t>
      </w:r>
      <w:r>
        <w:rPr>
          <w:rFonts w:hint="eastAsia" w:ascii="宋体" w:hAnsi="宋体" w:eastAsia="宋体" w:cs="宋体"/>
          <w:snapToGrid w:val="0"/>
          <w:color w:val="auto"/>
          <w:kern w:val="0"/>
          <w:sz w:val="24"/>
          <w:szCs w:val="24"/>
        </w:rPr>
        <w:t>。</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bookmarkEnd w:id="15"/>
    <w:bookmarkEnd w:id="257"/>
    <w:bookmarkEnd w:id="258"/>
    <w:bookmarkEnd w:id="259"/>
    <w:p>
      <w:pPr>
        <w:pStyle w:val="3"/>
        <w:keepNext/>
        <w:keepLines/>
        <w:tabs>
          <w:tab w:val="left" w:pos="885"/>
        </w:tabs>
        <w:spacing w:line="360" w:lineRule="auto"/>
        <w:ind w:left="885" w:hanging="885"/>
        <w:jc w:val="center"/>
        <w:outlineLvl w:val="0"/>
        <w:rPr>
          <w:rFonts w:hint="eastAsia" w:ascii="宋体" w:hAnsi="宋体" w:eastAsia="宋体" w:cs="宋体"/>
          <w:b/>
          <w:color w:val="auto"/>
          <w:kern w:val="44"/>
          <w:sz w:val="36"/>
          <w:szCs w:val="36"/>
        </w:rPr>
      </w:pPr>
      <w:bookmarkStart w:id="315" w:name="_Toc7065"/>
      <w:bookmarkStart w:id="316" w:name="_Toc8446"/>
      <w:bookmarkStart w:id="317" w:name="_Toc18039"/>
      <w:bookmarkStart w:id="318" w:name="_Toc21481"/>
      <w:bookmarkStart w:id="319" w:name="_Toc22246"/>
      <w:bookmarkStart w:id="320" w:name="_Toc39136355"/>
      <w:bookmarkStart w:id="321" w:name="_Toc28602"/>
      <w:bookmarkStart w:id="322" w:name="_Toc4362"/>
      <w:bookmarkStart w:id="323" w:name="_Toc466640610"/>
      <w:bookmarkStart w:id="324" w:name="_Toc32270"/>
      <w:r>
        <w:rPr>
          <w:rFonts w:hint="eastAsia" w:ascii="宋体" w:hAnsi="宋体" w:eastAsia="宋体" w:cs="宋体"/>
          <w:b/>
          <w:snapToGrid w:val="0"/>
          <w:color w:val="auto"/>
          <w:kern w:val="0"/>
          <w:sz w:val="24"/>
          <w:szCs w:val="24"/>
          <w:lang w:val="en-US" w:eastAsia="zh-CN" w:bidi="ar-SA"/>
        </w:rPr>
        <w:t>第四章   招标工程的技术要求和前期文件</w:t>
      </w:r>
      <w:bookmarkEnd w:id="315"/>
      <w:bookmarkEnd w:id="316"/>
      <w:bookmarkEnd w:id="317"/>
      <w:bookmarkEnd w:id="318"/>
      <w:bookmarkEnd w:id="319"/>
      <w:bookmarkEnd w:id="320"/>
      <w:bookmarkEnd w:id="321"/>
      <w:bookmarkEnd w:id="322"/>
      <w:bookmarkEnd w:id="323"/>
      <w:bookmarkEnd w:id="324"/>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325" w:name="_Hlt69359335"/>
      <w:bookmarkEnd w:id="325"/>
      <w:bookmarkStart w:id="326" w:name="_Hlt69265216"/>
      <w:bookmarkEnd w:id="326"/>
      <w:bookmarkStart w:id="327" w:name="_Hlt87793370"/>
      <w:bookmarkEnd w:id="327"/>
      <w:bookmarkStart w:id="328" w:name="_Hlt80411122"/>
      <w:bookmarkEnd w:id="328"/>
      <w:bookmarkStart w:id="329" w:name="_Hlt69357851"/>
      <w:bookmarkEnd w:id="329"/>
      <w:bookmarkStart w:id="330" w:name="_Hlt75685840"/>
      <w:bookmarkEnd w:id="330"/>
      <w:bookmarkStart w:id="331" w:name="_Hlt68774758"/>
      <w:bookmarkEnd w:id="331"/>
      <w:bookmarkStart w:id="332" w:name="_Hlt87793346"/>
      <w:bookmarkEnd w:id="332"/>
      <w:bookmarkStart w:id="333" w:name="_Hlt69116854"/>
      <w:bookmarkEnd w:id="333"/>
      <w:bookmarkStart w:id="334" w:name="_Hlt69358207"/>
      <w:bookmarkEnd w:id="334"/>
      <w:bookmarkStart w:id="335" w:name="_Hlt66104926"/>
      <w:bookmarkEnd w:id="335"/>
      <w:bookmarkStart w:id="336" w:name="_Toc24768"/>
      <w:bookmarkStart w:id="337" w:name="_Toc7134"/>
      <w:bookmarkStart w:id="338" w:name="_Toc466640611"/>
      <w:r>
        <w:rPr>
          <w:rFonts w:hint="eastAsia" w:ascii="宋体" w:hAnsi="宋体" w:eastAsia="宋体" w:cs="宋体"/>
          <w:snapToGrid w:val="0"/>
          <w:color w:val="auto"/>
          <w:sz w:val="24"/>
          <w:szCs w:val="24"/>
          <w:lang w:val="en-US" w:eastAsia="zh-CN"/>
        </w:rPr>
        <w:t>1．工程勘察标准规范</w:t>
      </w:r>
      <w:bookmarkEnd w:id="336"/>
      <w:bookmarkEnd w:id="337"/>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本项目勘察、测量文件必须符合现行国家、行业和地方的一切法规、规范和标准关于工程勘察、测量的要求，包括但不限于： </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《工程测量规范 》(GB 50026-2007)；</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《全球定位系统（GPS）测量规范》（GB/T18314-2001）；</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《1:500、1:1000、1:2000地形图图式》（GB/T20257.1-2007）；</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《岩土工程勘察规范》（GB50021-2001，2009版）；</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《建筑地基基础设计规范》（GB50007-2011）； </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《建筑地基基础设计规范》（DBJ15-31-2016）；</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《中国地震动参数区划图》（GB18306-2015）；</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《建筑工程地质勘探与取样技术规程》(JGJ/T87-2012)；</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《土工试验方法标准》（GB/T50123-2019）；</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《工程岩体分级标准》（GB/T50218-2014）；</w:t>
      </w:r>
    </w:p>
    <w:p>
      <w:pPr>
        <w:shd w:val="clear" w:color="auto" w:fill="auto"/>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备注：若有相关主管部门颁发新的标准规范则按新的标准规范执行。</w:t>
      </w: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339" w:name="_Toc20169"/>
      <w:r>
        <w:rPr>
          <w:rFonts w:hint="eastAsia" w:ascii="宋体" w:hAnsi="宋体" w:eastAsia="宋体" w:cs="宋体"/>
          <w:snapToGrid w:val="0"/>
          <w:color w:val="auto"/>
          <w:sz w:val="24"/>
          <w:szCs w:val="24"/>
          <w:lang w:val="en-US" w:eastAsia="zh-CN"/>
        </w:rPr>
        <w:t>2．工程设计标准规范</w:t>
      </w:r>
      <w:bookmarkEnd w:id="339"/>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《建筑采光设计标准》(GB50033-2013)；</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《民用建筑设计统一标准》(GB50352-2019)；</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《建筑工程设计文件编制深度的规定》(2016版)；</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《给水排水管道工程施工及验收规范》（GB50268-2008）；</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《无障碍设计规范》(GB50763-2012)；</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《建筑内部装修设计防火规范》(GB50222-2015)；</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《屋面工程技术规范》(GB50345-2012)；</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《民用建筑热工设计规范》(GB50176-2016)；</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《建筑外墙防水工程技术规程》(JGJ/T235-2011)；</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《室外排水设计标准》（GB50014-2021）；</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《建筑玻璃应用技术规程》(JGJ113-2015)；</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《建筑抗震设计规范》 (GB50011-2010)；</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《建筑内部装修设计防火规范》(GB50222-2017)；</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《民用建筑工程室内环境污染控制规范》(GB50325-2010)；</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《民用建筑隔声设计规范》(GB50118-2010)；</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《建筑地面设计规范》(GB50037-2013)；</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《建筑防水工程技术规程》(DBJ15-19-2006)；</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《节能建筑评价标准》(GB/T50668-2011)；</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19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《公共建筑节能设计标准》广东省实施细则(DB15-51-2007)； </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《民用建筑热工设计规范》(GB50176-2016)；</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《建筑抗震设计规范》(GB50011-2010)；</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《安全防范工程技术规范》(GB50348-2004)；  </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《绿色建筑评价标准》(GB/T50378-2019)；</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《工程建设标准强制性条文--房屋建筑部分》(2013版）；</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《建筑设计防火规范》(GB50016-2014)(2018年修订版)。</w:t>
      </w:r>
    </w:p>
    <w:p>
      <w:pPr>
        <w:shd w:val="clear" w:color="auto" w:fill="auto"/>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《建筑内部装修设计防火规范》GB50222-2017；</w:t>
      </w:r>
    </w:p>
    <w:p>
      <w:pPr>
        <w:shd w:val="clear" w:color="auto" w:fill="auto"/>
        <w:spacing w:line="360" w:lineRule="auto"/>
        <w:ind w:left="479" w:leftChars="228"/>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《建筑工程设计文件编制深度规定》(2016版)； </w:t>
      </w:r>
    </w:p>
    <w:p>
      <w:pPr>
        <w:shd w:val="clear" w:color="auto" w:fill="auto"/>
        <w:spacing w:line="360" w:lineRule="auto"/>
        <w:ind w:left="479" w:leftChars="228"/>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《全国民用建筑工程设计技术措施》(2009版)； </w:t>
      </w:r>
    </w:p>
    <w:p>
      <w:pPr>
        <w:shd w:val="clear" w:color="auto" w:fill="auto"/>
        <w:spacing w:line="360" w:lineRule="auto"/>
        <w:ind w:left="479" w:leftChars="228"/>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广东省标准《建筑防水工程技术规范》(DBJ15-19-2006)；</w:t>
      </w:r>
    </w:p>
    <w:p>
      <w:pPr>
        <w:shd w:val="clear" w:color="auto" w:fill="auto"/>
        <w:spacing w:line="360" w:lineRule="auto"/>
        <w:ind w:left="479" w:leftChars="228"/>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30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《城市道路和建筑物无障碍设计规程》(JGJ50-2013)；</w:t>
      </w:r>
    </w:p>
    <w:p>
      <w:pPr>
        <w:shd w:val="clear" w:color="auto" w:fill="auto"/>
        <w:spacing w:line="360" w:lineRule="auto"/>
        <w:ind w:left="479" w:leftChars="228"/>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31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《公共建筑节能设计标准》(GB50189-2015)； </w:t>
      </w:r>
    </w:p>
    <w:p>
      <w:pPr>
        <w:shd w:val="clear" w:color="auto" w:fill="auto"/>
        <w:wordWrap w:val="0"/>
        <w:adjustRightInd w:val="0"/>
        <w:snapToGrid w:val="0"/>
        <w:spacing w:line="360" w:lineRule="auto"/>
        <w:ind w:right="-195" w:rightChars="-93" w:firstLine="723" w:firstLineChars="300"/>
        <w:rPr>
          <w:rFonts w:hint="eastAsia" w:ascii="宋体" w:hAnsi="宋体" w:eastAsia="宋体" w:cs="宋体"/>
          <w:color w:val="auto"/>
          <w:sz w:val="24"/>
          <w:szCs w:val="24"/>
        </w:rPr>
      </w:pPr>
      <w:r>
        <w:rPr>
          <w:rFonts w:hint="eastAsia" w:ascii="宋体" w:hAnsi="宋体" w:eastAsia="宋体" w:cs="宋体"/>
          <w:b/>
          <w:sz w:val="24"/>
          <w:szCs w:val="24"/>
          <w:highlight w:val="none"/>
        </w:rPr>
        <w:t>备注：若有相关主管部门颁发新的标准规范则按新的标准规范执行。</w:t>
      </w:r>
    </w:p>
    <w:bookmarkEnd w:id="338"/>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340" w:name="_Toc26672"/>
      <w:r>
        <w:rPr>
          <w:rFonts w:hint="eastAsia" w:ascii="宋体" w:hAnsi="宋体" w:eastAsia="宋体" w:cs="宋体"/>
          <w:snapToGrid w:val="0"/>
          <w:color w:val="auto"/>
          <w:sz w:val="24"/>
          <w:szCs w:val="24"/>
          <w:lang w:val="en-US" w:eastAsia="zh-CN"/>
        </w:rPr>
        <w:t>3．房屋建筑工程建设项目</w:t>
      </w:r>
      <w:bookmarkEnd w:id="340"/>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bookmarkStart w:id="341" w:name="_Hlt69359086"/>
      <w:bookmarkEnd w:id="341"/>
      <w:bookmarkStart w:id="342" w:name="_Hlt69635252"/>
      <w:bookmarkEnd w:id="342"/>
      <w:bookmarkStart w:id="343" w:name="_Hlt69358458"/>
      <w:bookmarkEnd w:id="343"/>
      <w:bookmarkStart w:id="344" w:name="_Hlt69116858"/>
      <w:bookmarkEnd w:id="344"/>
      <w:bookmarkStart w:id="345" w:name="_Hlt69359245"/>
      <w:bookmarkEnd w:id="345"/>
      <w:bookmarkStart w:id="346" w:name="_Hlt69359243"/>
      <w:bookmarkEnd w:id="346"/>
      <w:bookmarkStart w:id="347" w:name="_Hlt78709799"/>
      <w:bookmarkEnd w:id="347"/>
      <w:r>
        <w:rPr>
          <w:rFonts w:hint="eastAsia" w:ascii="宋体" w:hAnsi="宋体" w:eastAsia="宋体" w:cs="宋体"/>
          <w:bCs/>
          <w:snapToGrid w:val="0"/>
          <w:color w:val="auto"/>
          <w:kern w:val="0"/>
          <w:sz w:val="24"/>
          <w:szCs w:val="24"/>
        </w:rPr>
        <w:t>房屋建筑工程建设项目必须执行的现行技术规范，包括且不限于：</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（1）《建筑工程施工质量验收统一标准》；</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（2）《建筑地基基础工程施工质量验收规范》；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（3）《砌体工程施工质量验收规范》；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（4）《混凝土结构工程施工质量验收规范》；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（5）《屋面工程质量验收规范》；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（6）《地下防水工程质量验收规范》；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（7）</w:t>
      </w:r>
      <w:bookmarkStart w:id="348" w:name="_Hlt78795211"/>
      <w:bookmarkEnd w:id="348"/>
      <w:r>
        <w:rPr>
          <w:rFonts w:hint="eastAsia" w:ascii="宋体" w:hAnsi="宋体" w:eastAsia="宋体" w:cs="宋体"/>
          <w:bCs/>
          <w:snapToGrid w:val="0"/>
          <w:color w:val="auto"/>
          <w:kern w:val="0"/>
          <w:sz w:val="24"/>
          <w:szCs w:val="24"/>
        </w:rPr>
        <w:t>《建筑地面工程施工质量验收规范》；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（8）《建筑装饰装修工程施工质量验收规范》；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（9）《建筑给排水及采暖工程施工质量验收规范》；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（10）《建筑电气工程施工质量验收规范》；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（11）《住建部绿色建筑评价标准》；</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（12）《建筑节能与可再生能源利用通用规范》；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（13）《建筑环境通用规范》；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（14）《广东省住房和城乡建设厅绿色施工导则》；</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（15）《广东省建筑工程绿色施工评价标准》；</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（16）《广东省建筑节能与绿色建筑工程施工质量验收规范》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（17）其他现行国家、广东省关于房建工程的施工及验收规范、定额、规程、标准。</w:t>
      </w: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349" w:name="_Toc15606"/>
      <w:r>
        <w:rPr>
          <w:rFonts w:hint="eastAsia" w:ascii="宋体" w:hAnsi="宋体" w:eastAsia="宋体" w:cs="宋体"/>
          <w:snapToGrid w:val="0"/>
          <w:color w:val="auto"/>
          <w:sz w:val="24"/>
          <w:szCs w:val="24"/>
          <w:lang w:val="en-US" w:eastAsia="zh-CN"/>
        </w:rPr>
        <w:t>4．市政基础设施工程建设项目</w:t>
      </w:r>
      <w:bookmarkEnd w:id="349"/>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市政基础设施工程建设项目必须执行的现行技术规范，包括且不限于：</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（1）《公路路基施工技术规范》；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（2）《市政道路工程质量检验评定标准》；</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（3）《市政排水管渠工程质量检验评定标准》；</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（4）《给水排水管道工程施工及验收规范》；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（5）《城市道路路基工程施工及验收规范》；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（6）《水泥砼路面施工及验收规范》；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（7）《公路水泥砼路面施工技术规范》；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（8）《埋地硬聚氯乙烯排水管道工程技术规程》；</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（9）《沥青路面施工及验收规范》；</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（10）《广东省市政工程施工质量技术资料统一用表》。</w:t>
      </w:r>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bookmarkStart w:id="350" w:name="_Toc2391"/>
      <w:r>
        <w:rPr>
          <w:rFonts w:hint="eastAsia" w:ascii="宋体" w:hAnsi="宋体" w:eastAsia="宋体" w:cs="宋体"/>
          <w:bCs/>
          <w:snapToGrid w:val="0"/>
          <w:color w:val="auto"/>
          <w:kern w:val="0"/>
          <w:sz w:val="24"/>
          <w:szCs w:val="24"/>
        </w:rPr>
        <w:t>（11）《城市道路照明设计标准》（CJJ45-2015）；</w:t>
      </w:r>
      <w:bookmarkEnd w:id="350"/>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bookmarkStart w:id="351" w:name="_Toc8047"/>
      <w:r>
        <w:rPr>
          <w:rFonts w:hint="eastAsia" w:ascii="宋体" w:hAnsi="宋体" w:eastAsia="宋体" w:cs="宋体"/>
          <w:bCs/>
          <w:snapToGrid w:val="0"/>
          <w:color w:val="auto"/>
          <w:kern w:val="0"/>
          <w:sz w:val="24"/>
          <w:szCs w:val="24"/>
        </w:rPr>
        <w:t>（12）《低压配电设计规范》（GB50054-2011）；</w:t>
      </w:r>
      <w:bookmarkEnd w:id="351"/>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bookmarkStart w:id="352" w:name="_Toc17347"/>
      <w:r>
        <w:rPr>
          <w:rFonts w:hint="eastAsia" w:ascii="宋体" w:hAnsi="宋体" w:eastAsia="宋体" w:cs="宋体"/>
          <w:bCs/>
          <w:snapToGrid w:val="0"/>
          <w:color w:val="auto"/>
          <w:kern w:val="0"/>
          <w:sz w:val="24"/>
          <w:szCs w:val="24"/>
        </w:rPr>
        <w:t>（13）《城市道路照明工程施工及验收规程》（CJJ89-2012）；</w:t>
      </w:r>
      <w:bookmarkEnd w:id="352"/>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bookmarkStart w:id="353" w:name="_Toc14238"/>
      <w:r>
        <w:rPr>
          <w:rFonts w:hint="eastAsia" w:ascii="宋体" w:hAnsi="宋体" w:eastAsia="宋体" w:cs="宋体"/>
          <w:bCs/>
          <w:snapToGrid w:val="0"/>
          <w:color w:val="auto"/>
          <w:kern w:val="0"/>
          <w:sz w:val="24"/>
          <w:szCs w:val="24"/>
        </w:rPr>
        <w:t>（14）《LED道路照明工程技术规范》（DB44/T 1898-2016）；</w:t>
      </w:r>
      <w:bookmarkEnd w:id="353"/>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bookmarkStart w:id="354" w:name="_Toc15224"/>
      <w:r>
        <w:rPr>
          <w:rFonts w:hint="eastAsia" w:ascii="宋体" w:hAnsi="宋体" w:eastAsia="宋体" w:cs="宋体"/>
          <w:bCs/>
          <w:snapToGrid w:val="0"/>
          <w:color w:val="auto"/>
          <w:kern w:val="0"/>
          <w:sz w:val="24"/>
          <w:szCs w:val="24"/>
        </w:rPr>
        <w:t>（15）《灯具第1部分：一般要求与试验》（GB7000.1-2015）；</w:t>
      </w:r>
      <w:bookmarkEnd w:id="354"/>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bookmarkStart w:id="355" w:name="_Toc19423"/>
      <w:r>
        <w:rPr>
          <w:rFonts w:hint="eastAsia" w:ascii="宋体" w:hAnsi="宋体" w:eastAsia="宋体" w:cs="宋体"/>
          <w:bCs/>
          <w:snapToGrid w:val="0"/>
          <w:color w:val="auto"/>
          <w:kern w:val="0"/>
          <w:sz w:val="24"/>
          <w:szCs w:val="24"/>
        </w:rPr>
        <w:t>（16）《电缆工程电缆设计标准》（GB50217-2018）；</w:t>
      </w:r>
      <w:bookmarkEnd w:id="355"/>
    </w:p>
    <w:p>
      <w:pPr>
        <w:wordWrap w:val="0"/>
        <w:adjustRightInd w:val="0"/>
        <w:snapToGrid w:val="0"/>
        <w:spacing w:line="360" w:lineRule="auto"/>
        <w:ind w:firstLine="480" w:firstLineChars="200"/>
        <w:rPr>
          <w:rFonts w:hint="eastAsia" w:ascii="宋体" w:hAnsi="宋体" w:eastAsia="宋体" w:cs="宋体"/>
          <w:bCs/>
          <w:snapToGrid w:val="0"/>
          <w:color w:val="auto"/>
          <w:kern w:val="0"/>
          <w:sz w:val="24"/>
          <w:szCs w:val="24"/>
        </w:rPr>
      </w:pPr>
      <w:r>
        <w:rPr>
          <w:rFonts w:hint="eastAsia" w:ascii="宋体" w:hAnsi="宋体" w:eastAsia="宋体" w:cs="宋体"/>
          <w:bCs/>
          <w:snapToGrid w:val="0"/>
          <w:color w:val="auto"/>
          <w:kern w:val="0"/>
          <w:sz w:val="24"/>
          <w:szCs w:val="24"/>
        </w:rPr>
        <w:t>（17）其他现行国家、广东省关于市政工程的技术及验收规范、定额、规程、标准。</w:t>
      </w: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356" w:name="_Toc22583"/>
      <w:bookmarkStart w:id="357" w:name="_Toc30051"/>
      <w:r>
        <w:rPr>
          <w:rFonts w:hint="eastAsia" w:ascii="宋体" w:hAnsi="宋体" w:eastAsia="宋体" w:cs="宋体"/>
          <w:snapToGrid w:val="0"/>
          <w:color w:val="auto"/>
          <w:sz w:val="24"/>
          <w:szCs w:val="24"/>
          <w:lang w:val="en-US" w:eastAsia="zh-CN"/>
        </w:rPr>
        <w:t>5．备查要求</w:t>
      </w:r>
      <w:bookmarkEnd w:id="356"/>
      <w:bookmarkEnd w:id="357"/>
    </w:p>
    <w:p>
      <w:pPr>
        <w:wordWrap w:val="0"/>
        <w:adjustRightInd w:val="0"/>
        <w:snapToGrid w:val="0"/>
        <w:spacing w:line="360" w:lineRule="auto"/>
        <w:ind w:firstLine="560"/>
        <w:rPr>
          <w:rFonts w:hint="eastAsia" w:ascii="宋体" w:hAnsi="宋体" w:eastAsia="宋体" w:cs="宋体"/>
          <w:bCs/>
          <w:snapToGrid w:val="0"/>
          <w:color w:val="auto"/>
          <w:kern w:val="0"/>
          <w:sz w:val="24"/>
          <w:szCs w:val="24"/>
        </w:rPr>
      </w:pPr>
      <w:r>
        <w:rPr>
          <w:rFonts w:hint="eastAsia" w:ascii="宋体" w:hAnsi="宋体" w:eastAsia="宋体" w:cs="宋体"/>
          <w:snapToGrid w:val="0"/>
          <w:color w:val="auto"/>
          <w:kern w:val="0"/>
          <w:sz w:val="24"/>
          <w:szCs w:val="24"/>
        </w:rPr>
        <w:t>承包</w:t>
      </w:r>
      <w:r>
        <w:rPr>
          <w:rFonts w:hint="eastAsia" w:ascii="宋体" w:hAnsi="宋体" w:eastAsia="宋体" w:cs="宋体"/>
          <w:bCs/>
          <w:snapToGrid w:val="0"/>
          <w:color w:val="auto"/>
          <w:kern w:val="0"/>
          <w:sz w:val="24"/>
          <w:szCs w:val="24"/>
        </w:rPr>
        <w:t>人必须在施工现场准备至少一套上述规范，</w:t>
      </w:r>
      <w:r>
        <w:rPr>
          <w:rFonts w:hint="eastAsia" w:ascii="宋体" w:hAnsi="宋体" w:eastAsia="宋体" w:cs="宋体"/>
          <w:snapToGrid w:val="0"/>
          <w:color w:val="auto"/>
          <w:kern w:val="0"/>
          <w:sz w:val="24"/>
          <w:szCs w:val="24"/>
        </w:rPr>
        <w:t>发包</w:t>
      </w:r>
      <w:r>
        <w:rPr>
          <w:rFonts w:hint="eastAsia" w:ascii="宋体" w:hAnsi="宋体" w:eastAsia="宋体" w:cs="宋体"/>
          <w:bCs/>
          <w:snapToGrid w:val="0"/>
          <w:color w:val="auto"/>
          <w:kern w:val="0"/>
          <w:sz w:val="24"/>
          <w:szCs w:val="24"/>
        </w:rPr>
        <w:t>人和监理单位可随时检查</w:t>
      </w:r>
      <w:r>
        <w:rPr>
          <w:rFonts w:hint="eastAsia" w:ascii="宋体" w:hAnsi="宋体" w:eastAsia="宋体" w:cs="宋体"/>
          <w:snapToGrid w:val="0"/>
          <w:color w:val="auto"/>
          <w:kern w:val="0"/>
          <w:sz w:val="24"/>
          <w:szCs w:val="24"/>
        </w:rPr>
        <w:t>承包</w:t>
      </w:r>
      <w:r>
        <w:rPr>
          <w:rFonts w:hint="eastAsia" w:ascii="宋体" w:hAnsi="宋体" w:eastAsia="宋体" w:cs="宋体"/>
          <w:bCs/>
          <w:snapToGrid w:val="0"/>
          <w:color w:val="auto"/>
          <w:kern w:val="0"/>
          <w:sz w:val="24"/>
          <w:szCs w:val="24"/>
        </w:rPr>
        <w:t>人的上述规范，并监督</w:t>
      </w:r>
      <w:r>
        <w:rPr>
          <w:rFonts w:hint="eastAsia" w:ascii="宋体" w:hAnsi="宋体" w:eastAsia="宋体" w:cs="宋体"/>
          <w:snapToGrid w:val="0"/>
          <w:color w:val="auto"/>
          <w:kern w:val="0"/>
          <w:sz w:val="24"/>
          <w:szCs w:val="24"/>
        </w:rPr>
        <w:t>承包</w:t>
      </w:r>
      <w:r>
        <w:rPr>
          <w:rFonts w:hint="eastAsia" w:ascii="宋体" w:hAnsi="宋体" w:eastAsia="宋体" w:cs="宋体"/>
          <w:bCs/>
          <w:snapToGrid w:val="0"/>
          <w:color w:val="auto"/>
          <w:kern w:val="0"/>
          <w:sz w:val="24"/>
          <w:szCs w:val="24"/>
        </w:rPr>
        <w:t>人按规范要求执行。</w:t>
      </w:r>
      <w:bookmarkStart w:id="358" w:name="_Hlt69670335"/>
      <w:bookmarkEnd w:id="358"/>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
        <w:wordWrap w:val="0"/>
        <w:autoSpaceDE/>
        <w:autoSpaceDN/>
        <w:snapToGrid w:val="0"/>
        <w:spacing w:line="360" w:lineRule="auto"/>
        <w:jc w:val="center"/>
        <w:rPr>
          <w:rFonts w:hint="eastAsia" w:ascii="宋体" w:hAnsi="宋体" w:eastAsia="宋体" w:cs="宋体"/>
          <w:b/>
          <w:snapToGrid w:val="0"/>
          <w:color w:val="auto"/>
          <w:sz w:val="24"/>
          <w:szCs w:val="24"/>
          <w:lang w:val="en-US" w:eastAsia="zh-CN"/>
        </w:rPr>
      </w:pPr>
      <w:bookmarkStart w:id="359" w:name="_Toc3210"/>
      <w:bookmarkStart w:id="360" w:name="_Toc9559"/>
      <w:bookmarkStart w:id="361" w:name="_Toc31047"/>
      <w:bookmarkStart w:id="362" w:name="_Toc16901"/>
      <w:bookmarkStart w:id="363" w:name="_Toc466640614"/>
      <w:bookmarkStart w:id="364" w:name="_Toc39136359"/>
      <w:bookmarkStart w:id="365" w:name="_Toc31515"/>
      <w:bookmarkStart w:id="366" w:name="_Toc1587"/>
      <w:bookmarkStart w:id="367" w:name="_Toc16412"/>
      <w:bookmarkStart w:id="368" w:name="_Toc6860"/>
      <w:bookmarkStart w:id="369" w:name="_Hlt69698785"/>
      <w:r>
        <w:rPr>
          <w:rFonts w:hint="eastAsia" w:ascii="宋体" w:hAnsi="宋体" w:eastAsia="宋体" w:cs="宋体"/>
          <w:b/>
          <w:snapToGrid w:val="0"/>
          <w:color w:val="auto"/>
          <w:sz w:val="24"/>
          <w:szCs w:val="24"/>
          <w:lang w:val="en-US" w:eastAsia="zh-CN"/>
        </w:rPr>
        <w:t>第五章   招标文件</w:t>
      </w:r>
      <w:bookmarkEnd w:id="359"/>
      <w:bookmarkEnd w:id="360"/>
      <w:bookmarkEnd w:id="361"/>
      <w:bookmarkEnd w:id="362"/>
      <w:bookmarkEnd w:id="363"/>
      <w:bookmarkEnd w:id="364"/>
      <w:bookmarkEnd w:id="365"/>
      <w:bookmarkStart w:id="370" w:name="_Hlt75747044"/>
      <w:bookmarkEnd w:id="370"/>
      <w:r>
        <w:rPr>
          <w:rFonts w:hint="eastAsia" w:ascii="宋体" w:hAnsi="宋体" w:eastAsia="宋体" w:cs="宋体"/>
          <w:b/>
          <w:snapToGrid w:val="0"/>
          <w:color w:val="auto"/>
          <w:sz w:val="24"/>
          <w:szCs w:val="24"/>
          <w:lang w:val="en-US" w:eastAsia="zh-CN"/>
        </w:rPr>
        <w:t>格式</w:t>
      </w:r>
      <w:bookmarkEnd w:id="366"/>
      <w:bookmarkEnd w:id="367"/>
      <w:bookmarkEnd w:id="368"/>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371" w:name="_Toc12527"/>
      <w:bookmarkStart w:id="372" w:name="_Toc39136360"/>
      <w:bookmarkStart w:id="373" w:name="_Toc474"/>
      <w:bookmarkStart w:id="374" w:name="_Toc3855"/>
      <w:bookmarkStart w:id="375" w:name="_Toc8232"/>
      <w:bookmarkStart w:id="376" w:name="_Toc2902"/>
      <w:bookmarkStart w:id="377" w:name="_Toc9649"/>
      <w:r>
        <w:rPr>
          <w:rFonts w:hint="eastAsia" w:ascii="宋体" w:hAnsi="宋体" w:eastAsia="宋体" w:cs="宋体"/>
          <w:snapToGrid w:val="0"/>
          <w:color w:val="auto"/>
          <w:sz w:val="24"/>
          <w:szCs w:val="24"/>
          <w:lang w:val="en-US" w:eastAsia="zh-CN"/>
        </w:rPr>
        <w:t>格式一   封面</w:t>
      </w:r>
      <w:bookmarkEnd w:id="371"/>
      <w:bookmarkEnd w:id="372"/>
      <w:bookmarkEnd w:id="373"/>
      <w:bookmarkEnd w:id="374"/>
      <w:bookmarkEnd w:id="375"/>
      <w:bookmarkEnd w:id="376"/>
      <w:bookmarkEnd w:id="377"/>
    </w:p>
    <w:p>
      <w:pPr>
        <w:pStyle w:val="41"/>
        <w:widowControl w:val="0"/>
        <w:wordWrap w:val="0"/>
        <w:adjustRightInd w:val="0"/>
        <w:snapToGrid w:val="0"/>
        <w:spacing w:line="360" w:lineRule="auto"/>
        <w:rPr>
          <w:rFonts w:hint="eastAsia" w:ascii="宋体" w:hAnsi="宋体" w:eastAsia="宋体" w:cs="宋体"/>
          <w:b/>
          <w:snapToGrid w:val="0"/>
          <w:color w:val="auto"/>
          <w:sz w:val="24"/>
        </w:rPr>
      </w:pPr>
    </w:p>
    <w:p>
      <w:pPr>
        <w:pStyle w:val="41"/>
        <w:widowControl w:val="0"/>
        <w:wordWrap w:val="0"/>
        <w:adjustRightInd w:val="0"/>
        <w:snapToGrid w:val="0"/>
        <w:spacing w:line="360" w:lineRule="auto"/>
        <w:jc w:val="right"/>
        <w:rPr>
          <w:rFonts w:hint="eastAsia" w:ascii="宋体" w:hAnsi="宋体" w:eastAsia="宋体" w:cs="宋体"/>
          <w:b/>
          <w:snapToGrid w:val="0"/>
          <w:color w:val="auto"/>
          <w:sz w:val="24"/>
        </w:rPr>
      </w:pPr>
      <w:r>
        <w:rPr>
          <w:rFonts w:hint="eastAsia" w:ascii="宋体" w:hAnsi="宋体" w:eastAsia="宋体" w:cs="宋体"/>
          <w:color w:val="auto"/>
        </w:rPr>
        <mc:AlternateContent>
          <mc:Choice Requires="wps">
            <w:drawing>
              <wp:anchor distT="0" distB="0" distL="114300" distR="114300" simplePos="0" relativeHeight="251659264" behindDoc="0" locked="0" layoutInCell="1" allowOverlap="1">
                <wp:simplePos x="0" y="0"/>
                <wp:positionH relativeFrom="column">
                  <wp:posOffset>3416300</wp:posOffset>
                </wp:positionH>
                <wp:positionV relativeFrom="paragraph">
                  <wp:posOffset>104140</wp:posOffset>
                </wp:positionV>
                <wp:extent cx="2257425" cy="495300"/>
                <wp:effectExtent l="5080" t="4445" r="4445" b="14605"/>
                <wp:wrapNone/>
                <wp:docPr id="8" name="文本框 8"/>
                <wp:cNvGraphicFramePr/>
                <a:graphic xmlns:a="http://schemas.openxmlformats.org/drawingml/2006/main">
                  <a:graphicData uri="http://schemas.microsoft.com/office/word/2010/wordprocessingShape">
                    <wps:wsp>
                      <wps:cNvSpPr txBox="1"/>
                      <wps:spPr>
                        <a:xfrm>
                          <a:off x="0" y="0"/>
                          <a:ext cx="2257425"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bCs/>
                                <w:sz w:val="52"/>
                              </w:rPr>
                            </w:pPr>
                            <w:r>
                              <w:rPr>
                                <w:rFonts w:hint="eastAsia"/>
                                <w:b/>
                                <w:bCs/>
                                <w:sz w:val="52"/>
                              </w:rPr>
                              <w:t>正本（或副本）</w:t>
                            </w:r>
                          </w:p>
                        </w:txbxContent>
                      </wps:txbx>
                      <wps:bodyPr upright="1"/>
                    </wps:wsp>
                  </a:graphicData>
                </a:graphic>
              </wp:anchor>
            </w:drawing>
          </mc:Choice>
          <mc:Fallback>
            <w:pict>
              <v:shape id="_x0000_s1026" o:spid="_x0000_s1026" o:spt="202" type="#_x0000_t202" style="position:absolute;left:0pt;margin-left:269pt;margin-top:8.2pt;height:39pt;width:177.75pt;z-index:251659264;mso-width-relative:page;mso-height-relative:page;" fillcolor="#FFFFFF" filled="t" stroked="t" coordsize="21600,21600" o:gfxdata="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OVyRdkAAAAJAQAADwAAAAAA&#10;AAABACAAAAAiAAAAZHJzL2Rvd25yZXYueG1sUEsBAhQAFAAAAAgAh07iQP1u5aISAgAARAQAAA4A&#10;AAAAAAAAAQAgAAAAKAEAAGRycy9lMm9Eb2MueG1sUEsFBgAAAAAGAAYAWQEAAKwFAAAAAA==&#10;">
                <v:fill on="t" focussize="0,0"/>
                <v:stroke color="#000000" joinstyle="miter"/>
                <v:imagedata o:title=""/>
                <o:lock v:ext="edit" aspectratio="f"/>
                <v:textbox>
                  <w:txbxContent>
                    <w:p>
                      <w:pPr>
                        <w:rPr>
                          <w:b/>
                          <w:bCs/>
                          <w:sz w:val="52"/>
                        </w:rPr>
                      </w:pPr>
                      <w:r>
                        <w:rPr>
                          <w:rFonts w:hint="eastAsia"/>
                          <w:b/>
                          <w:bCs/>
                          <w:sz w:val="52"/>
                        </w:rPr>
                        <w:t>正本（或副本）</w:t>
                      </w:r>
                    </w:p>
                  </w:txbxContent>
                </v:textbox>
              </v:shape>
            </w:pict>
          </mc:Fallback>
        </mc:AlternateContent>
      </w:r>
    </w:p>
    <w:p>
      <w:pPr>
        <w:pStyle w:val="41"/>
        <w:widowControl w:val="0"/>
        <w:wordWrap w:val="0"/>
        <w:adjustRightInd w:val="0"/>
        <w:snapToGrid w:val="0"/>
        <w:spacing w:line="360" w:lineRule="auto"/>
        <w:rPr>
          <w:rFonts w:hint="eastAsia" w:ascii="宋体" w:hAnsi="宋体" w:eastAsia="宋体" w:cs="宋体"/>
          <w:b/>
          <w:snapToGrid w:val="0"/>
          <w:color w:val="auto"/>
          <w:sz w:val="24"/>
        </w:rPr>
      </w:pPr>
    </w:p>
    <w:p>
      <w:pPr>
        <w:pStyle w:val="41"/>
        <w:widowControl w:val="0"/>
        <w:wordWrap w:val="0"/>
        <w:adjustRightInd w:val="0"/>
        <w:snapToGrid w:val="0"/>
        <w:spacing w:line="240" w:lineRule="auto"/>
        <w:rPr>
          <w:rFonts w:hint="eastAsia" w:ascii="宋体" w:hAnsi="宋体" w:eastAsia="宋体" w:cs="宋体"/>
          <w:b/>
          <w:snapToGrid w:val="0"/>
          <w:color w:val="auto"/>
          <w:sz w:val="24"/>
        </w:rPr>
      </w:pPr>
    </w:p>
    <w:p>
      <w:pPr>
        <w:pStyle w:val="41"/>
        <w:widowControl w:val="0"/>
        <w:wordWrap w:val="0"/>
        <w:adjustRightInd w:val="0"/>
        <w:snapToGrid w:val="0"/>
        <w:spacing w:line="240" w:lineRule="auto"/>
        <w:rPr>
          <w:rFonts w:hint="eastAsia" w:ascii="宋体" w:hAnsi="宋体" w:eastAsia="宋体" w:cs="宋体"/>
          <w:b/>
          <w:snapToGrid w:val="0"/>
          <w:color w:val="auto"/>
          <w:sz w:val="24"/>
        </w:rPr>
      </w:pPr>
    </w:p>
    <w:p>
      <w:pPr>
        <w:pStyle w:val="41"/>
        <w:widowControl w:val="0"/>
        <w:wordWrap w:val="0"/>
        <w:adjustRightInd w:val="0"/>
        <w:snapToGrid w:val="0"/>
        <w:spacing w:line="240" w:lineRule="auto"/>
        <w:rPr>
          <w:rFonts w:hint="eastAsia" w:ascii="宋体" w:hAnsi="宋体" w:eastAsia="宋体" w:cs="宋体"/>
          <w:b/>
          <w:snapToGrid w:val="0"/>
          <w:color w:val="auto"/>
          <w:sz w:val="24"/>
        </w:rPr>
      </w:pPr>
    </w:p>
    <w:p>
      <w:pPr>
        <w:pStyle w:val="41"/>
        <w:widowControl w:val="0"/>
        <w:wordWrap w:val="0"/>
        <w:adjustRightInd w:val="0"/>
        <w:snapToGrid w:val="0"/>
        <w:spacing w:line="240" w:lineRule="auto"/>
        <w:rPr>
          <w:rFonts w:hint="eastAsia" w:ascii="宋体" w:hAnsi="宋体" w:eastAsia="宋体" w:cs="宋体"/>
          <w:b/>
          <w:snapToGrid w:val="0"/>
          <w:color w:val="auto"/>
          <w:sz w:val="24"/>
        </w:rPr>
      </w:pPr>
    </w:p>
    <w:p>
      <w:pPr>
        <w:pStyle w:val="41"/>
        <w:widowControl w:val="0"/>
        <w:wordWrap w:val="0"/>
        <w:adjustRightInd w:val="0"/>
        <w:snapToGrid w:val="0"/>
        <w:spacing w:line="240" w:lineRule="auto"/>
        <w:rPr>
          <w:rFonts w:hint="eastAsia" w:ascii="宋体" w:hAnsi="宋体" w:eastAsia="宋体" w:cs="宋体"/>
          <w:b/>
          <w:snapToGrid w:val="0"/>
          <w:color w:val="auto"/>
          <w:sz w:val="24"/>
        </w:rPr>
      </w:pPr>
    </w:p>
    <w:p>
      <w:pPr>
        <w:pStyle w:val="41"/>
        <w:widowControl w:val="0"/>
        <w:wordWrap w:val="0"/>
        <w:adjustRightInd w:val="0"/>
        <w:snapToGrid w:val="0"/>
        <w:spacing w:line="240" w:lineRule="auto"/>
        <w:rPr>
          <w:rFonts w:hint="eastAsia" w:ascii="宋体" w:hAnsi="宋体" w:eastAsia="宋体" w:cs="宋体"/>
          <w:b/>
          <w:snapToGrid w:val="0"/>
          <w:color w:val="auto"/>
          <w:sz w:val="24"/>
        </w:rPr>
      </w:pPr>
    </w:p>
    <w:p>
      <w:pPr>
        <w:pStyle w:val="41"/>
        <w:widowControl w:val="0"/>
        <w:wordWrap w:val="0"/>
        <w:adjustRightInd w:val="0"/>
        <w:snapToGrid w:val="0"/>
        <w:spacing w:line="240" w:lineRule="auto"/>
        <w:ind w:firstLine="0"/>
        <w:jc w:val="center"/>
        <w:rPr>
          <w:rFonts w:hint="eastAsia" w:ascii="宋体" w:hAnsi="宋体" w:eastAsia="宋体" w:cs="宋体"/>
          <w:b/>
          <w:snapToGrid w:val="0"/>
          <w:color w:val="auto"/>
          <w:sz w:val="48"/>
          <w:szCs w:val="48"/>
        </w:rPr>
      </w:pPr>
      <w:r>
        <w:rPr>
          <w:rFonts w:hint="eastAsia" w:ascii="宋体" w:hAnsi="宋体" w:eastAsia="宋体" w:cs="宋体"/>
          <w:bCs/>
          <w:snapToGrid w:val="0"/>
          <w:color w:val="auto"/>
          <w:sz w:val="48"/>
          <w:szCs w:val="48"/>
          <w:u w:val="single"/>
        </w:rPr>
        <w:t xml:space="preserve">             </w:t>
      </w:r>
      <w:r>
        <w:rPr>
          <w:rFonts w:hint="eastAsia" w:ascii="宋体" w:hAnsi="宋体" w:eastAsia="宋体" w:cs="宋体"/>
          <w:b/>
          <w:snapToGrid w:val="0"/>
          <w:color w:val="auto"/>
          <w:sz w:val="48"/>
          <w:szCs w:val="48"/>
        </w:rPr>
        <w:t>（项目名称）招标</w:t>
      </w:r>
    </w:p>
    <w:p>
      <w:pPr>
        <w:pStyle w:val="41"/>
        <w:widowControl w:val="0"/>
        <w:wordWrap w:val="0"/>
        <w:adjustRightInd w:val="0"/>
        <w:snapToGrid w:val="0"/>
        <w:spacing w:line="240" w:lineRule="auto"/>
        <w:ind w:firstLine="0"/>
        <w:jc w:val="center"/>
        <w:rPr>
          <w:rFonts w:hint="eastAsia" w:ascii="宋体" w:hAnsi="宋体" w:eastAsia="宋体" w:cs="宋体"/>
          <w:b/>
          <w:snapToGrid w:val="0"/>
          <w:color w:val="auto"/>
          <w:sz w:val="32"/>
        </w:rPr>
      </w:pPr>
    </w:p>
    <w:p>
      <w:pPr>
        <w:pStyle w:val="41"/>
        <w:widowControl w:val="0"/>
        <w:wordWrap w:val="0"/>
        <w:adjustRightInd w:val="0"/>
        <w:snapToGrid w:val="0"/>
        <w:spacing w:line="240" w:lineRule="auto"/>
        <w:ind w:firstLine="0"/>
        <w:jc w:val="center"/>
        <w:rPr>
          <w:rFonts w:hint="eastAsia" w:ascii="宋体" w:hAnsi="宋体" w:eastAsia="宋体" w:cs="宋体"/>
          <w:b/>
          <w:snapToGrid w:val="0"/>
          <w:color w:val="auto"/>
          <w:sz w:val="72"/>
        </w:rPr>
      </w:pPr>
      <w:r>
        <w:rPr>
          <w:rFonts w:hint="eastAsia" w:ascii="宋体" w:hAnsi="宋体" w:eastAsia="宋体" w:cs="宋体"/>
          <w:b/>
          <w:snapToGrid w:val="0"/>
          <w:color w:val="auto"/>
          <w:sz w:val="72"/>
        </w:rPr>
        <w:t>投  标  文  件</w:t>
      </w:r>
    </w:p>
    <w:p>
      <w:pPr>
        <w:pStyle w:val="41"/>
        <w:widowControl w:val="0"/>
        <w:wordWrap w:val="0"/>
        <w:adjustRightInd w:val="0"/>
        <w:snapToGrid w:val="0"/>
        <w:spacing w:line="240" w:lineRule="auto"/>
        <w:ind w:firstLine="0"/>
        <w:jc w:val="center"/>
        <w:rPr>
          <w:rFonts w:hint="eastAsia" w:ascii="宋体" w:hAnsi="宋体" w:eastAsia="宋体" w:cs="宋体"/>
          <w:b/>
          <w:snapToGrid w:val="0"/>
          <w:color w:val="auto"/>
          <w:sz w:val="32"/>
        </w:rPr>
      </w:pPr>
    </w:p>
    <w:p>
      <w:pPr>
        <w:pStyle w:val="41"/>
        <w:widowControl w:val="0"/>
        <w:wordWrap w:val="0"/>
        <w:adjustRightInd w:val="0"/>
        <w:snapToGrid w:val="0"/>
        <w:spacing w:line="240" w:lineRule="auto"/>
        <w:ind w:firstLine="0"/>
        <w:jc w:val="center"/>
        <w:rPr>
          <w:rFonts w:hint="eastAsia" w:ascii="宋体" w:hAnsi="宋体" w:eastAsia="宋体" w:cs="宋体"/>
          <w:b/>
          <w:snapToGrid w:val="0"/>
          <w:color w:val="auto"/>
          <w:sz w:val="48"/>
          <w:szCs w:val="48"/>
        </w:rPr>
      </w:pPr>
      <w:r>
        <w:rPr>
          <w:rFonts w:hint="eastAsia" w:ascii="宋体" w:hAnsi="宋体" w:eastAsia="宋体" w:cs="宋体"/>
          <w:b/>
          <w:snapToGrid w:val="0"/>
          <w:color w:val="auto"/>
          <w:sz w:val="48"/>
          <w:szCs w:val="48"/>
        </w:rPr>
        <w:t>（投标标书）</w:t>
      </w:r>
    </w:p>
    <w:p>
      <w:pPr>
        <w:pStyle w:val="41"/>
        <w:widowControl w:val="0"/>
        <w:wordWrap w:val="0"/>
        <w:adjustRightInd w:val="0"/>
        <w:snapToGrid w:val="0"/>
        <w:spacing w:line="240" w:lineRule="auto"/>
        <w:rPr>
          <w:rFonts w:hint="eastAsia" w:ascii="宋体" w:hAnsi="宋体" w:eastAsia="宋体" w:cs="宋体"/>
          <w:b/>
          <w:snapToGrid w:val="0"/>
          <w:color w:val="auto"/>
        </w:rPr>
      </w:pPr>
    </w:p>
    <w:p>
      <w:pPr>
        <w:pStyle w:val="41"/>
        <w:widowControl w:val="0"/>
        <w:wordWrap w:val="0"/>
        <w:adjustRightInd w:val="0"/>
        <w:snapToGrid w:val="0"/>
        <w:spacing w:line="240" w:lineRule="auto"/>
        <w:rPr>
          <w:rFonts w:hint="eastAsia" w:ascii="宋体" w:hAnsi="宋体" w:eastAsia="宋体" w:cs="宋体"/>
          <w:b/>
          <w:snapToGrid w:val="0"/>
          <w:color w:val="auto"/>
          <w:sz w:val="32"/>
        </w:rPr>
      </w:pPr>
    </w:p>
    <w:p>
      <w:pPr>
        <w:pStyle w:val="41"/>
        <w:widowControl w:val="0"/>
        <w:wordWrap w:val="0"/>
        <w:adjustRightInd w:val="0"/>
        <w:snapToGrid w:val="0"/>
        <w:spacing w:line="240" w:lineRule="auto"/>
        <w:rPr>
          <w:rFonts w:hint="eastAsia" w:ascii="宋体" w:hAnsi="宋体" w:eastAsia="宋体" w:cs="宋体"/>
          <w:b/>
          <w:snapToGrid w:val="0"/>
          <w:color w:val="auto"/>
          <w:sz w:val="32"/>
        </w:rPr>
      </w:pPr>
    </w:p>
    <w:p>
      <w:pPr>
        <w:pStyle w:val="41"/>
        <w:widowControl w:val="0"/>
        <w:wordWrap w:val="0"/>
        <w:adjustRightInd w:val="0"/>
        <w:snapToGrid w:val="0"/>
        <w:spacing w:line="240" w:lineRule="auto"/>
        <w:rPr>
          <w:rFonts w:hint="eastAsia" w:ascii="宋体" w:hAnsi="宋体" w:eastAsia="宋体" w:cs="宋体"/>
          <w:b/>
          <w:snapToGrid w:val="0"/>
          <w:color w:val="auto"/>
          <w:sz w:val="32"/>
        </w:rPr>
      </w:pPr>
    </w:p>
    <w:p>
      <w:pPr>
        <w:pStyle w:val="41"/>
        <w:widowControl w:val="0"/>
        <w:wordWrap w:val="0"/>
        <w:adjustRightInd w:val="0"/>
        <w:snapToGrid w:val="0"/>
        <w:spacing w:line="240" w:lineRule="auto"/>
        <w:rPr>
          <w:rFonts w:hint="eastAsia" w:ascii="宋体" w:hAnsi="宋体" w:eastAsia="宋体" w:cs="宋体"/>
          <w:b/>
          <w:snapToGrid w:val="0"/>
          <w:color w:val="auto"/>
          <w:sz w:val="32"/>
        </w:rPr>
      </w:pPr>
    </w:p>
    <w:p>
      <w:pPr>
        <w:pStyle w:val="41"/>
        <w:widowControl w:val="0"/>
        <w:wordWrap w:val="0"/>
        <w:adjustRightInd w:val="0"/>
        <w:snapToGrid w:val="0"/>
        <w:spacing w:line="240" w:lineRule="auto"/>
        <w:rPr>
          <w:rFonts w:hint="eastAsia" w:ascii="宋体" w:hAnsi="宋体" w:eastAsia="宋体" w:cs="宋体"/>
          <w:b/>
          <w:snapToGrid w:val="0"/>
          <w:color w:val="auto"/>
          <w:sz w:val="32"/>
        </w:rPr>
      </w:pPr>
    </w:p>
    <w:p>
      <w:pPr>
        <w:pStyle w:val="41"/>
        <w:widowControl w:val="0"/>
        <w:wordWrap w:val="0"/>
        <w:adjustRightInd w:val="0"/>
        <w:snapToGrid w:val="0"/>
        <w:spacing w:line="240" w:lineRule="auto"/>
        <w:rPr>
          <w:rFonts w:hint="eastAsia" w:ascii="宋体" w:hAnsi="宋体" w:eastAsia="宋体" w:cs="宋体"/>
          <w:b/>
          <w:snapToGrid w:val="0"/>
          <w:color w:val="auto"/>
          <w:sz w:val="32"/>
        </w:rPr>
      </w:pPr>
    </w:p>
    <w:p>
      <w:pPr>
        <w:pStyle w:val="41"/>
        <w:widowControl w:val="0"/>
        <w:wordWrap w:val="0"/>
        <w:adjustRightInd w:val="0"/>
        <w:snapToGrid w:val="0"/>
        <w:spacing w:line="240" w:lineRule="auto"/>
        <w:rPr>
          <w:rFonts w:hint="eastAsia" w:ascii="宋体" w:hAnsi="宋体" w:eastAsia="宋体" w:cs="宋体"/>
          <w:b/>
          <w:snapToGrid w:val="0"/>
          <w:color w:val="auto"/>
          <w:sz w:val="32"/>
        </w:rPr>
      </w:pPr>
    </w:p>
    <w:p>
      <w:pPr>
        <w:pStyle w:val="41"/>
        <w:widowControl w:val="0"/>
        <w:wordWrap w:val="0"/>
        <w:adjustRightInd w:val="0"/>
        <w:snapToGrid w:val="0"/>
        <w:spacing w:line="240" w:lineRule="auto"/>
        <w:rPr>
          <w:rFonts w:hint="eastAsia" w:ascii="宋体" w:hAnsi="宋体" w:eastAsia="宋体" w:cs="宋体"/>
          <w:b/>
          <w:snapToGrid w:val="0"/>
          <w:color w:val="auto"/>
          <w:sz w:val="32"/>
        </w:rPr>
      </w:pPr>
    </w:p>
    <w:p>
      <w:pPr>
        <w:pStyle w:val="41"/>
        <w:widowControl w:val="0"/>
        <w:wordWrap w:val="0"/>
        <w:adjustRightInd w:val="0"/>
        <w:snapToGrid w:val="0"/>
        <w:spacing w:line="240" w:lineRule="auto"/>
        <w:ind w:firstLine="0"/>
        <w:jc w:val="center"/>
        <w:rPr>
          <w:rFonts w:hint="eastAsia" w:ascii="宋体" w:hAnsi="宋体" w:eastAsia="宋体" w:cs="宋体"/>
          <w:bCs/>
          <w:snapToGrid w:val="0"/>
          <w:color w:val="auto"/>
          <w:sz w:val="32"/>
        </w:rPr>
      </w:pPr>
      <w:r>
        <w:rPr>
          <w:rFonts w:hint="eastAsia" w:ascii="宋体" w:hAnsi="宋体" w:eastAsia="宋体" w:cs="宋体"/>
          <w:bCs/>
          <w:snapToGrid w:val="0"/>
          <w:color w:val="auto"/>
          <w:sz w:val="32"/>
        </w:rPr>
        <w:t>投标人：</w:t>
      </w:r>
      <w:r>
        <w:rPr>
          <w:rFonts w:hint="eastAsia" w:ascii="宋体" w:hAnsi="宋体" w:eastAsia="宋体" w:cs="宋体"/>
          <w:bCs/>
          <w:snapToGrid w:val="0"/>
          <w:color w:val="auto"/>
          <w:sz w:val="32"/>
          <w:u w:val="single"/>
        </w:rPr>
        <w:t xml:space="preserve">                                   </w:t>
      </w:r>
      <w:r>
        <w:rPr>
          <w:rFonts w:hint="eastAsia" w:ascii="宋体" w:hAnsi="宋体" w:eastAsia="宋体" w:cs="宋体"/>
          <w:bCs/>
          <w:snapToGrid w:val="0"/>
          <w:color w:val="auto"/>
          <w:sz w:val="32"/>
        </w:rPr>
        <w:t>（盖单位章）</w:t>
      </w:r>
    </w:p>
    <w:p>
      <w:pPr>
        <w:pStyle w:val="41"/>
        <w:widowControl w:val="0"/>
        <w:wordWrap w:val="0"/>
        <w:adjustRightInd w:val="0"/>
        <w:snapToGrid w:val="0"/>
        <w:spacing w:line="240" w:lineRule="auto"/>
        <w:ind w:firstLine="0"/>
        <w:jc w:val="center"/>
        <w:rPr>
          <w:rFonts w:hint="eastAsia" w:ascii="宋体" w:hAnsi="宋体" w:eastAsia="宋体" w:cs="宋体"/>
          <w:bCs/>
          <w:snapToGrid w:val="0"/>
          <w:color w:val="auto"/>
          <w:sz w:val="32"/>
        </w:rPr>
      </w:pPr>
    </w:p>
    <w:p>
      <w:pPr>
        <w:pStyle w:val="41"/>
        <w:widowControl w:val="0"/>
        <w:wordWrap w:val="0"/>
        <w:adjustRightInd w:val="0"/>
        <w:snapToGrid w:val="0"/>
        <w:spacing w:line="240" w:lineRule="auto"/>
        <w:ind w:firstLine="0"/>
        <w:jc w:val="center"/>
        <w:rPr>
          <w:rFonts w:hint="eastAsia" w:ascii="宋体" w:hAnsi="宋体" w:eastAsia="宋体" w:cs="宋体"/>
          <w:bCs/>
          <w:snapToGrid w:val="0"/>
          <w:color w:val="auto"/>
          <w:sz w:val="32"/>
        </w:rPr>
      </w:pPr>
    </w:p>
    <w:p>
      <w:pPr>
        <w:pStyle w:val="41"/>
        <w:widowControl w:val="0"/>
        <w:wordWrap w:val="0"/>
        <w:adjustRightInd w:val="0"/>
        <w:snapToGrid w:val="0"/>
        <w:spacing w:line="240" w:lineRule="auto"/>
        <w:ind w:firstLine="0"/>
        <w:jc w:val="center"/>
        <w:rPr>
          <w:rFonts w:hint="eastAsia" w:ascii="宋体" w:hAnsi="宋体" w:eastAsia="宋体" w:cs="宋体"/>
          <w:bCs/>
          <w:snapToGrid w:val="0"/>
          <w:color w:val="auto"/>
          <w:sz w:val="32"/>
        </w:rPr>
      </w:pPr>
    </w:p>
    <w:p>
      <w:pPr>
        <w:pStyle w:val="41"/>
        <w:widowControl w:val="0"/>
        <w:wordWrap w:val="0"/>
        <w:adjustRightInd w:val="0"/>
        <w:snapToGrid w:val="0"/>
        <w:spacing w:line="240" w:lineRule="auto"/>
        <w:ind w:firstLine="0"/>
        <w:jc w:val="center"/>
        <w:rPr>
          <w:rFonts w:hint="eastAsia" w:ascii="宋体" w:hAnsi="宋体" w:eastAsia="宋体" w:cs="宋体"/>
          <w:bCs/>
          <w:snapToGrid w:val="0"/>
          <w:color w:val="auto"/>
          <w:sz w:val="32"/>
        </w:rPr>
      </w:pPr>
      <w:r>
        <w:rPr>
          <w:rFonts w:hint="eastAsia" w:ascii="宋体" w:hAnsi="宋体" w:eastAsia="宋体" w:cs="宋体"/>
          <w:bCs/>
          <w:snapToGrid w:val="0"/>
          <w:color w:val="auto"/>
          <w:sz w:val="32"/>
        </w:rPr>
        <w:t>法定代表人或其委托代理人：</w:t>
      </w:r>
      <w:r>
        <w:rPr>
          <w:rFonts w:hint="eastAsia" w:ascii="宋体" w:hAnsi="宋体" w:eastAsia="宋体" w:cs="宋体"/>
          <w:bCs/>
          <w:snapToGrid w:val="0"/>
          <w:color w:val="auto"/>
          <w:sz w:val="32"/>
          <w:u w:val="single"/>
        </w:rPr>
        <w:t xml:space="preserve">                 </w:t>
      </w:r>
      <w:r>
        <w:rPr>
          <w:rFonts w:hint="eastAsia" w:ascii="宋体" w:hAnsi="宋体" w:eastAsia="宋体" w:cs="宋体"/>
          <w:bCs/>
          <w:snapToGrid w:val="0"/>
          <w:color w:val="auto"/>
          <w:sz w:val="32"/>
        </w:rPr>
        <w:t>（签字或盖章）</w:t>
      </w:r>
    </w:p>
    <w:p>
      <w:pPr>
        <w:pStyle w:val="41"/>
        <w:widowControl w:val="0"/>
        <w:wordWrap w:val="0"/>
        <w:adjustRightInd w:val="0"/>
        <w:snapToGrid w:val="0"/>
        <w:spacing w:line="240" w:lineRule="auto"/>
        <w:ind w:firstLine="0"/>
        <w:jc w:val="center"/>
        <w:rPr>
          <w:rFonts w:hint="eastAsia" w:ascii="宋体" w:hAnsi="宋体" w:eastAsia="宋体" w:cs="宋体"/>
          <w:bCs/>
          <w:snapToGrid w:val="0"/>
          <w:color w:val="auto"/>
          <w:sz w:val="32"/>
        </w:rPr>
      </w:pPr>
    </w:p>
    <w:p>
      <w:pPr>
        <w:pStyle w:val="41"/>
        <w:widowControl w:val="0"/>
        <w:wordWrap w:val="0"/>
        <w:adjustRightInd w:val="0"/>
        <w:snapToGrid w:val="0"/>
        <w:spacing w:line="240" w:lineRule="auto"/>
        <w:ind w:firstLine="0"/>
        <w:jc w:val="center"/>
        <w:rPr>
          <w:rFonts w:hint="eastAsia" w:ascii="宋体" w:hAnsi="宋体" w:eastAsia="宋体" w:cs="宋体"/>
          <w:bCs/>
          <w:snapToGrid w:val="0"/>
          <w:color w:val="auto"/>
          <w:sz w:val="32"/>
          <w:u w:val="single"/>
        </w:rPr>
      </w:pPr>
    </w:p>
    <w:p>
      <w:pPr>
        <w:pStyle w:val="41"/>
        <w:widowControl w:val="0"/>
        <w:wordWrap w:val="0"/>
        <w:adjustRightInd w:val="0"/>
        <w:snapToGrid w:val="0"/>
        <w:spacing w:line="240" w:lineRule="auto"/>
        <w:ind w:firstLine="0"/>
        <w:jc w:val="center"/>
        <w:rPr>
          <w:rFonts w:hint="eastAsia" w:ascii="宋体" w:hAnsi="宋体" w:eastAsia="宋体" w:cs="宋体"/>
          <w:b/>
          <w:snapToGrid w:val="0"/>
          <w:color w:val="auto"/>
        </w:rPr>
      </w:pPr>
      <w:r>
        <w:rPr>
          <w:rFonts w:hint="eastAsia" w:ascii="宋体" w:hAnsi="宋体" w:eastAsia="宋体" w:cs="宋体"/>
          <w:bCs/>
          <w:snapToGrid w:val="0"/>
          <w:color w:val="auto"/>
          <w:sz w:val="32"/>
          <w:u w:val="single"/>
        </w:rPr>
        <w:t xml:space="preserve">         </w:t>
      </w:r>
      <w:r>
        <w:rPr>
          <w:rFonts w:hint="eastAsia" w:ascii="宋体" w:hAnsi="宋体" w:eastAsia="宋体" w:cs="宋体"/>
          <w:bCs/>
          <w:snapToGrid w:val="0"/>
          <w:color w:val="auto"/>
          <w:sz w:val="32"/>
        </w:rPr>
        <w:t>年</w:t>
      </w:r>
      <w:r>
        <w:rPr>
          <w:rFonts w:hint="eastAsia" w:ascii="宋体" w:hAnsi="宋体" w:eastAsia="宋体" w:cs="宋体"/>
          <w:bCs/>
          <w:snapToGrid w:val="0"/>
          <w:color w:val="auto"/>
          <w:sz w:val="32"/>
          <w:u w:val="single"/>
        </w:rPr>
        <w:t xml:space="preserve">      </w:t>
      </w:r>
      <w:r>
        <w:rPr>
          <w:rFonts w:hint="eastAsia" w:ascii="宋体" w:hAnsi="宋体" w:eastAsia="宋体" w:cs="宋体"/>
          <w:bCs/>
          <w:snapToGrid w:val="0"/>
          <w:color w:val="auto"/>
          <w:sz w:val="32"/>
        </w:rPr>
        <w:t>月</w:t>
      </w:r>
      <w:r>
        <w:rPr>
          <w:rFonts w:hint="eastAsia" w:ascii="宋体" w:hAnsi="宋体" w:eastAsia="宋体" w:cs="宋体"/>
          <w:bCs/>
          <w:snapToGrid w:val="0"/>
          <w:color w:val="auto"/>
          <w:sz w:val="32"/>
          <w:u w:val="single"/>
        </w:rPr>
        <w:t xml:space="preserve">      </w:t>
      </w:r>
      <w:r>
        <w:rPr>
          <w:rFonts w:hint="eastAsia" w:ascii="宋体" w:hAnsi="宋体" w:eastAsia="宋体" w:cs="宋体"/>
          <w:bCs/>
          <w:snapToGrid w:val="0"/>
          <w:color w:val="auto"/>
          <w:sz w:val="32"/>
        </w:rPr>
        <w:t>日</w:t>
      </w:r>
    </w:p>
    <w:p>
      <w:pPr>
        <w:pStyle w:val="41"/>
        <w:widowControl w:val="0"/>
        <w:wordWrap w:val="0"/>
        <w:adjustRightInd w:val="0"/>
        <w:snapToGrid w:val="0"/>
        <w:spacing w:line="360" w:lineRule="auto"/>
        <w:ind w:left="0" w:leftChars="0" w:firstLine="0" w:firstLineChars="0"/>
        <w:rPr>
          <w:rFonts w:hint="eastAsia" w:ascii="宋体" w:hAnsi="宋体" w:eastAsia="宋体" w:cs="宋体"/>
          <w:b/>
          <w:snapToGrid w:val="0"/>
          <w:color w:val="auto"/>
        </w:rPr>
      </w:pPr>
    </w:p>
    <w:bookmarkEnd w:id="369"/>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378" w:name="_Hlt69116778"/>
      <w:bookmarkEnd w:id="378"/>
      <w:bookmarkStart w:id="379" w:name="_附件二十四：技术标提问单"/>
      <w:bookmarkEnd w:id="379"/>
      <w:bookmarkStart w:id="380" w:name="_附件十：单项工程费汇总表"/>
      <w:bookmarkEnd w:id="380"/>
      <w:bookmarkStart w:id="381" w:name="_附件二十五：综合评审合理低价法"/>
      <w:bookmarkEnd w:id="381"/>
      <w:bookmarkStart w:id="382" w:name="_Hlt68774664"/>
      <w:bookmarkEnd w:id="382"/>
      <w:bookmarkStart w:id="383" w:name="_Toc15791"/>
      <w:bookmarkStart w:id="384" w:name="_Toc26795"/>
      <w:bookmarkStart w:id="385" w:name="_Toc39136361"/>
      <w:bookmarkStart w:id="386" w:name="_Toc5872"/>
      <w:bookmarkStart w:id="387" w:name="_Toc20416"/>
      <w:bookmarkStart w:id="388" w:name="_Toc32662"/>
      <w:bookmarkStart w:id="389" w:name="_Toc28483"/>
      <w:bookmarkStart w:id="390" w:name="_Toc7700"/>
      <w:bookmarkStart w:id="391" w:name="_Toc66849200"/>
      <w:bookmarkStart w:id="392" w:name="_Hlt66847557"/>
      <w:bookmarkStart w:id="393" w:name="_Toc466640620"/>
      <w:bookmarkStart w:id="394" w:name="_Toc104711098"/>
      <w:bookmarkStart w:id="395" w:name="_Toc106418843"/>
      <w:r>
        <w:rPr>
          <w:rFonts w:hint="eastAsia" w:ascii="宋体" w:hAnsi="宋体" w:eastAsia="宋体" w:cs="宋体"/>
          <w:snapToGrid w:val="0"/>
          <w:color w:val="auto"/>
          <w:sz w:val="24"/>
          <w:szCs w:val="24"/>
          <w:lang w:val="en-US" w:eastAsia="zh-CN"/>
        </w:rPr>
        <w:t>格式二</w:t>
      </w:r>
      <w:bookmarkEnd w:id="383"/>
      <w:bookmarkEnd w:id="384"/>
      <w:bookmarkEnd w:id="385"/>
      <w:r>
        <w:rPr>
          <w:rFonts w:hint="eastAsia" w:ascii="宋体" w:hAnsi="宋体" w:eastAsia="宋体" w:cs="宋体"/>
          <w:snapToGrid w:val="0"/>
          <w:color w:val="auto"/>
          <w:sz w:val="24"/>
          <w:szCs w:val="24"/>
          <w:lang w:val="en-US" w:eastAsia="zh-CN"/>
        </w:rPr>
        <w:t xml:space="preserve">   《投标函》及《工程项目总价表》</w:t>
      </w:r>
      <w:bookmarkEnd w:id="386"/>
      <w:bookmarkEnd w:id="387"/>
      <w:bookmarkEnd w:id="388"/>
      <w:bookmarkEnd w:id="389"/>
      <w:bookmarkEnd w:id="390"/>
    </w:p>
    <w:p>
      <w:pPr>
        <w:spacing w:line="360" w:lineRule="auto"/>
        <w:jc w:val="center"/>
        <w:rPr>
          <w:rFonts w:hint="eastAsia" w:ascii="宋体" w:hAnsi="宋体" w:eastAsia="宋体" w:cs="宋体"/>
          <w:b/>
          <w:snapToGrid w:val="0"/>
          <w:color w:val="auto"/>
          <w:kern w:val="0"/>
        </w:rPr>
      </w:pPr>
      <w:bookmarkStart w:id="396" w:name="_Toc39136362"/>
      <w:bookmarkStart w:id="397" w:name="_Toc28636"/>
      <w:bookmarkStart w:id="398" w:name="_Toc29375"/>
      <w:bookmarkStart w:id="399" w:name="_Toc8657"/>
      <w:bookmarkStart w:id="400" w:name="_Toc27121"/>
      <w:bookmarkStart w:id="401" w:name="_Toc18294"/>
      <w:r>
        <w:rPr>
          <w:rFonts w:hint="eastAsia" w:ascii="宋体" w:hAnsi="宋体" w:eastAsia="宋体" w:cs="宋体"/>
          <w:b/>
          <w:bCs/>
          <w:sz w:val="28"/>
          <w:szCs w:val="28"/>
        </w:rPr>
        <w:t>投  标  函</w:t>
      </w:r>
      <w:bookmarkEnd w:id="396"/>
      <w:bookmarkEnd w:id="397"/>
      <w:bookmarkEnd w:id="398"/>
      <w:bookmarkEnd w:id="399"/>
      <w:bookmarkEnd w:id="400"/>
      <w:bookmarkEnd w:id="401"/>
    </w:p>
    <w:p>
      <w:pPr>
        <w:wordWrap w:val="0"/>
        <w:adjustRightInd w:val="0"/>
        <w:snapToGrid w:val="0"/>
        <w:spacing w:line="360" w:lineRule="auto"/>
        <w:rPr>
          <w:rFonts w:hint="eastAsia" w:ascii="宋体" w:hAnsi="宋体" w:eastAsia="宋体" w:cs="宋体"/>
          <w:snapToGrid w:val="0"/>
          <w:color w:val="auto"/>
          <w:kern w:val="0"/>
        </w:rPr>
      </w:pPr>
      <w:r>
        <w:rPr>
          <w:rFonts w:hint="eastAsia" w:ascii="宋体" w:hAnsi="宋体" w:eastAsia="宋体" w:cs="宋体"/>
          <w:snapToGrid w:val="0"/>
          <w:color w:val="auto"/>
          <w:kern w:val="0"/>
        </w:rPr>
        <w:t>致：</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（招标人名称）</w:t>
      </w:r>
    </w:p>
    <w:p>
      <w:pPr>
        <w:numPr>
          <w:ilvl w:val="0"/>
          <w:numId w:val="6"/>
        </w:numPr>
        <w:wordWrap w:val="0"/>
        <w:adjustRightInd w:val="0"/>
        <w:snapToGrid w:val="0"/>
        <w:spacing w:line="360" w:lineRule="auto"/>
        <w:ind w:firstLine="570"/>
        <w:rPr>
          <w:rFonts w:hint="eastAsia" w:ascii="宋体" w:hAnsi="宋体" w:eastAsia="宋体" w:cs="宋体"/>
          <w:snapToGrid w:val="0"/>
          <w:color w:val="auto"/>
          <w:kern w:val="0"/>
        </w:rPr>
      </w:pPr>
      <w:r>
        <w:rPr>
          <w:rFonts w:hint="eastAsia" w:ascii="宋体" w:hAnsi="宋体" w:eastAsia="宋体" w:cs="宋体"/>
          <w:snapToGrid w:val="0"/>
          <w:color w:val="auto"/>
          <w:kern w:val="0"/>
          <w:szCs w:val="22"/>
        </w:rPr>
        <w:t>我方</w:t>
      </w:r>
      <w:r>
        <w:rPr>
          <w:rFonts w:hint="eastAsia" w:ascii="宋体" w:hAnsi="宋体" w:eastAsia="宋体" w:cs="宋体"/>
          <w:snapToGrid w:val="0"/>
          <w:color w:val="auto"/>
          <w:kern w:val="0"/>
        </w:rPr>
        <w:t>考察现场并充分研究</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（项目名称）（以下简称“本项目”）招标文件</w:t>
      </w:r>
      <w:r>
        <w:rPr>
          <w:rFonts w:hint="eastAsia" w:ascii="宋体" w:hAnsi="宋体" w:eastAsia="宋体" w:cs="宋体"/>
          <w:snapToGrid w:val="0"/>
          <w:color w:val="auto"/>
          <w:kern w:val="0"/>
          <w:szCs w:val="22"/>
        </w:rPr>
        <w:t>所有内容后</w:t>
      </w:r>
      <w:r>
        <w:rPr>
          <w:rFonts w:hint="eastAsia" w:ascii="宋体" w:hAnsi="宋体" w:eastAsia="宋体" w:cs="宋体"/>
          <w:snapToGrid w:val="0"/>
          <w:color w:val="auto"/>
          <w:kern w:val="0"/>
        </w:rPr>
        <w:t>，结合自身资质、能力和特点，愿意接受招标文件的全部内容和条件，兹以人民币（大写）：</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w:t>
      </w:r>
      <w:r>
        <w:rPr>
          <w:rFonts w:hint="eastAsia" w:ascii="宋体" w:hAnsi="宋体" w:eastAsia="宋体" w:cs="宋体"/>
          <w:snapToGrid w:val="0"/>
          <w:color w:val="auto"/>
          <w:kern w:val="0"/>
          <w:szCs w:val="22"/>
        </w:rPr>
        <w:t>的投标总价竞投承包上述工程。</w:t>
      </w:r>
    </w:p>
    <w:p>
      <w:pPr>
        <w:wordWrap w:val="0"/>
        <w:adjustRightInd w:val="0"/>
        <w:snapToGrid w:val="0"/>
        <w:spacing w:line="360" w:lineRule="auto"/>
        <w:ind w:firstLine="570"/>
        <w:rPr>
          <w:rFonts w:hint="eastAsia" w:ascii="宋体" w:hAnsi="宋体" w:eastAsia="宋体" w:cs="宋体"/>
          <w:snapToGrid w:val="0"/>
          <w:color w:val="auto"/>
          <w:kern w:val="0"/>
        </w:rPr>
      </w:pPr>
      <w:r>
        <w:rPr>
          <w:rFonts w:hint="eastAsia" w:ascii="宋体" w:hAnsi="宋体" w:eastAsia="宋体" w:cs="宋体"/>
          <w:snapToGrid w:val="0"/>
          <w:color w:val="auto"/>
          <w:kern w:val="0"/>
        </w:rPr>
        <w:t>2. 如果我方中标，我方保证按照合同约定的开工日期开始本项目的</w:t>
      </w:r>
      <w:r>
        <w:rPr>
          <w:rFonts w:hint="eastAsia" w:ascii="宋体" w:hAnsi="宋体" w:eastAsia="宋体" w:cs="宋体"/>
          <w:snapToGrid w:val="0"/>
          <w:color w:val="auto"/>
          <w:kern w:val="0"/>
          <w:lang w:eastAsia="zh-CN"/>
        </w:rPr>
        <w:t>勘察</w:t>
      </w:r>
      <w:r>
        <w:rPr>
          <w:rFonts w:hint="eastAsia" w:ascii="宋体" w:hAnsi="宋体" w:eastAsia="宋体" w:cs="宋体"/>
          <w:snapToGrid w:val="0"/>
          <w:color w:val="auto"/>
          <w:kern w:val="0"/>
        </w:rPr>
        <w:t>设计、施工，本工程设计、施工招标工期为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日历天(其中：</w:t>
      </w:r>
      <w:r>
        <w:rPr>
          <w:rFonts w:hint="eastAsia" w:ascii="宋体" w:hAnsi="宋体" w:eastAsia="宋体" w:cs="宋体"/>
          <w:snapToGrid w:val="0"/>
          <w:color w:val="auto"/>
          <w:kern w:val="0"/>
          <w:lang w:eastAsia="zh-CN"/>
        </w:rPr>
        <w:t>勘察</w:t>
      </w:r>
      <w:r>
        <w:rPr>
          <w:rFonts w:hint="eastAsia" w:ascii="宋体" w:hAnsi="宋体" w:eastAsia="宋体" w:cs="宋体"/>
          <w:snapToGrid w:val="0"/>
          <w:color w:val="auto"/>
          <w:kern w:val="0"/>
        </w:rPr>
        <w:t>设计工期为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日历天，施工工期为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日历天)内竣工，并确保工程质量达到</w:t>
      </w:r>
      <w:r>
        <w:rPr>
          <w:rFonts w:hint="eastAsia" w:ascii="宋体" w:hAnsi="宋体" w:eastAsia="宋体" w:cs="宋体"/>
          <w:snapToGrid w:val="0"/>
          <w:color w:val="auto"/>
          <w:kern w:val="0"/>
          <w:u w:val="single"/>
        </w:rPr>
        <w:t xml:space="preserve">  合格  </w:t>
      </w:r>
      <w:r>
        <w:rPr>
          <w:rFonts w:hint="eastAsia" w:ascii="宋体" w:hAnsi="宋体" w:eastAsia="宋体" w:cs="宋体"/>
          <w:snapToGrid w:val="0"/>
          <w:color w:val="auto"/>
          <w:kern w:val="0"/>
        </w:rPr>
        <w:t>标准和维修其中的任何缺陷。</w:t>
      </w:r>
    </w:p>
    <w:p>
      <w:pPr>
        <w:wordWrap w:val="0"/>
        <w:adjustRightInd w:val="0"/>
        <w:snapToGrid w:val="0"/>
        <w:spacing w:line="360" w:lineRule="auto"/>
        <w:ind w:firstLine="570"/>
        <w:rPr>
          <w:rFonts w:hint="eastAsia" w:ascii="宋体" w:hAnsi="宋体" w:eastAsia="宋体" w:cs="宋体"/>
          <w:snapToGrid w:val="0"/>
          <w:color w:val="auto"/>
          <w:kern w:val="0"/>
        </w:rPr>
      </w:pPr>
      <w:r>
        <w:rPr>
          <w:rFonts w:hint="eastAsia" w:ascii="宋体" w:hAnsi="宋体" w:eastAsia="宋体" w:cs="宋体"/>
          <w:snapToGrid w:val="0"/>
          <w:color w:val="auto"/>
          <w:kern w:val="0"/>
        </w:rPr>
        <w:t>3. 本投标函在你方接收我方递交的投标文件之日起、到招标文件规定的投标有效期期满前对我方具有约束力。我方随时准备接受你方发出的中标通知书。</w:t>
      </w:r>
    </w:p>
    <w:p>
      <w:pPr>
        <w:wordWrap w:val="0"/>
        <w:adjustRightInd w:val="0"/>
        <w:snapToGrid w:val="0"/>
        <w:spacing w:line="360" w:lineRule="auto"/>
        <w:ind w:firstLine="570"/>
        <w:rPr>
          <w:rFonts w:hint="eastAsia" w:ascii="宋体" w:hAnsi="宋体" w:eastAsia="宋体" w:cs="宋体"/>
          <w:snapToGrid w:val="0"/>
          <w:color w:val="auto"/>
          <w:kern w:val="0"/>
        </w:rPr>
      </w:pPr>
      <w:r>
        <w:rPr>
          <w:rFonts w:hint="eastAsia" w:ascii="宋体" w:hAnsi="宋体" w:eastAsia="宋体" w:cs="宋体"/>
          <w:snapToGrid w:val="0"/>
          <w:color w:val="auto"/>
          <w:kern w:val="0"/>
        </w:rPr>
        <w:t>4．我方在此声明，我方不存在本工程招标文件第一章第三节第2.</w:t>
      </w:r>
      <w:r>
        <w:rPr>
          <w:rFonts w:hint="eastAsia" w:ascii="宋体" w:hAnsi="宋体" w:eastAsia="宋体" w:cs="宋体"/>
          <w:b/>
          <w:bCs/>
          <w:snapToGrid w:val="0"/>
          <w:color w:val="auto"/>
          <w:kern w:val="0"/>
        </w:rPr>
        <w:t>4</w:t>
      </w:r>
      <w:r>
        <w:rPr>
          <w:rFonts w:hint="eastAsia" w:ascii="宋体" w:hAnsi="宋体" w:eastAsia="宋体" w:cs="宋体"/>
          <w:snapToGrid w:val="0"/>
          <w:color w:val="auto"/>
          <w:kern w:val="0"/>
        </w:rPr>
        <w:t>条“禁止投标条款”所列出的任何一种情形，并愿意承担因我方就此弄虚作假所引起的一切法律后果。</w:t>
      </w:r>
    </w:p>
    <w:p>
      <w:pPr>
        <w:wordWrap w:val="0"/>
        <w:adjustRightInd w:val="0"/>
        <w:snapToGrid w:val="0"/>
        <w:spacing w:line="360" w:lineRule="auto"/>
        <w:ind w:firstLine="570"/>
        <w:rPr>
          <w:rFonts w:hint="eastAsia" w:ascii="宋体" w:hAnsi="宋体" w:eastAsia="宋体" w:cs="宋体"/>
          <w:snapToGrid w:val="0"/>
          <w:color w:val="auto"/>
          <w:kern w:val="0"/>
        </w:rPr>
      </w:pPr>
      <w:r>
        <w:rPr>
          <w:rFonts w:hint="eastAsia" w:ascii="宋体" w:hAnsi="宋体" w:eastAsia="宋体" w:cs="宋体"/>
          <w:snapToGrid w:val="0"/>
          <w:color w:val="auto"/>
          <w:kern w:val="0"/>
        </w:rPr>
        <w:t>5．我方在此承诺，所递交投标文件的全部内容均为真实、有效、准确的，并愿意承担因我方就此弄虚作假所引起的一切法律后果，同时理解和同意有可能被要求提供更多的资料。</w:t>
      </w:r>
    </w:p>
    <w:p>
      <w:pPr>
        <w:wordWrap w:val="0"/>
        <w:adjustRightInd w:val="0"/>
        <w:snapToGrid w:val="0"/>
        <w:spacing w:line="360" w:lineRule="auto"/>
        <w:ind w:firstLine="570"/>
        <w:rPr>
          <w:rFonts w:hint="eastAsia" w:ascii="宋体" w:hAnsi="宋体" w:eastAsia="宋体" w:cs="宋体"/>
          <w:snapToGrid w:val="0"/>
          <w:color w:val="auto"/>
          <w:kern w:val="0"/>
        </w:rPr>
      </w:pPr>
      <w:r>
        <w:rPr>
          <w:rFonts w:hint="eastAsia" w:ascii="宋体" w:hAnsi="宋体" w:eastAsia="宋体" w:cs="宋体"/>
          <w:snapToGrid w:val="0"/>
          <w:color w:val="auto"/>
          <w:kern w:val="0"/>
        </w:rPr>
        <w:t>6. 我方理解你方不一定要接纳收到的最低投标总价或任何投标总价的投标人中标，也不要求你方解释我方是否中标的原因。</w:t>
      </w:r>
    </w:p>
    <w:p>
      <w:pPr>
        <w:wordWrap w:val="0"/>
        <w:adjustRightInd w:val="0"/>
        <w:snapToGrid w:val="0"/>
        <w:spacing w:line="360" w:lineRule="auto"/>
        <w:ind w:firstLine="570"/>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  </w:t>
      </w: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jc w:val="right"/>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    投标人：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（盖单位章）</w:t>
      </w:r>
    </w:p>
    <w:p>
      <w:pPr>
        <w:wordWrap w:val="0"/>
        <w:adjustRightInd w:val="0"/>
        <w:snapToGrid w:val="0"/>
        <w:spacing w:line="360" w:lineRule="auto"/>
        <w:jc w:val="right"/>
        <w:rPr>
          <w:rFonts w:hint="eastAsia" w:ascii="宋体" w:hAnsi="宋体" w:eastAsia="宋体" w:cs="宋体"/>
          <w:snapToGrid w:val="0"/>
          <w:color w:val="auto"/>
          <w:kern w:val="0"/>
        </w:rPr>
      </w:pPr>
    </w:p>
    <w:p>
      <w:pPr>
        <w:wordWrap w:val="0"/>
        <w:adjustRightInd w:val="0"/>
        <w:snapToGrid w:val="0"/>
        <w:spacing w:line="360" w:lineRule="auto"/>
        <w:jc w:val="right"/>
        <w:rPr>
          <w:rFonts w:hint="eastAsia" w:ascii="宋体" w:hAnsi="宋体" w:eastAsia="宋体" w:cs="宋体"/>
          <w:snapToGrid w:val="0"/>
          <w:color w:val="auto"/>
          <w:kern w:val="0"/>
        </w:rPr>
      </w:pPr>
    </w:p>
    <w:p>
      <w:pPr>
        <w:wordWrap w:val="0"/>
        <w:adjustRightInd w:val="0"/>
        <w:snapToGrid w:val="0"/>
        <w:spacing w:line="360" w:lineRule="auto"/>
        <w:ind w:firstLine="420" w:firstLineChars="200"/>
        <w:jc w:val="right"/>
        <w:rPr>
          <w:rFonts w:hint="eastAsia" w:ascii="宋体" w:hAnsi="宋体" w:eastAsia="宋体" w:cs="宋体"/>
          <w:snapToGrid w:val="0"/>
          <w:color w:val="auto"/>
          <w:kern w:val="0"/>
        </w:rPr>
      </w:pPr>
      <w:r>
        <w:rPr>
          <w:rFonts w:hint="eastAsia" w:ascii="宋体" w:hAnsi="宋体" w:eastAsia="宋体" w:cs="宋体"/>
          <w:snapToGrid w:val="0"/>
          <w:color w:val="auto"/>
          <w:kern w:val="0"/>
        </w:rPr>
        <w:t>法定代表人或其委托代理人：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（签字或盖章）</w:t>
      </w:r>
    </w:p>
    <w:p>
      <w:pPr>
        <w:wordWrap w:val="0"/>
        <w:adjustRightInd w:val="0"/>
        <w:snapToGrid w:val="0"/>
        <w:spacing w:line="360" w:lineRule="auto"/>
        <w:ind w:firstLine="420" w:firstLineChars="200"/>
        <w:jc w:val="right"/>
        <w:rPr>
          <w:rFonts w:hint="eastAsia" w:ascii="宋体" w:hAnsi="宋体" w:eastAsia="宋体" w:cs="宋体"/>
          <w:snapToGrid w:val="0"/>
          <w:color w:val="auto"/>
          <w:kern w:val="0"/>
        </w:rPr>
      </w:pPr>
    </w:p>
    <w:p>
      <w:pPr>
        <w:wordWrap w:val="0"/>
        <w:adjustRightInd w:val="0"/>
        <w:snapToGrid w:val="0"/>
        <w:spacing w:line="360" w:lineRule="auto"/>
        <w:ind w:firstLine="3570" w:firstLineChars="17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       </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年</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月</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rPr>
          <w:rFonts w:hint="eastAsia" w:ascii="宋体" w:hAnsi="宋体" w:eastAsia="宋体" w:cs="宋体"/>
        </w:rPr>
      </w:pPr>
    </w:p>
    <w:p>
      <w:pPr>
        <w:spacing w:line="360" w:lineRule="auto"/>
        <w:jc w:val="center"/>
        <w:rPr>
          <w:rFonts w:hint="eastAsia" w:ascii="宋体" w:hAnsi="宋体" w:eastAsia="宋体" w:cs="宋体"/>
          <w:b/>
          <w:bCs/>
          <w:sz w:val="28"/>
          <w:szCs w:val="28"/>
        </w:rPr>
      </w:pPr>
      <w:bookmarkStart w:id="402" w:name="_Toc20338"/>
      <w:bookmarkStart w:id="403" w:name="_Toc25829"/>
      <w:bookmarkStart w:id="404" w:name="_Toc7915"/>
      <w:bookmarkStart w:id="405" w:name="_Toc39136364"/>
      <w:r>
        <w:rPr>
          <w:rFonts w:hint="eastAsia" w:ascii="宋体" w:hAnsi="宋体" w:eastAsia="宋体" w:cs="宋体"/>
          <w:b/>
          <w:bCs/>
          <w:sz w:val="28"/>
          <w:szCs w:val="28"/>
        </w:rPr>
        <w:t>工程项目总价表</w:t>
      </w:r>
      <w:bookmarkEnd w:id="402"/>
      <w:bookmarkEnd w:id="403"/>
    </w:p>
    <w:tbl>
      <w:tblPr>
        <w:tblStyle w:val="15"/>
        <w:tblW w:w="9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1857"/>
        <w:gridCol w:w="2165"/>
        <w:gridCol w:w="1658"/>
        <w:gridCol w:w="3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序号</w:t>
            </w:r>
          </w:p>
        </w:tc>
        <w:tc>
          <w:tcPr>
            <w:tcW w:w="1857" w:type="dxa"/>
            <w:noWrap w:val="0"/>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项目名称</w:t>
            </w:r>
          </w:p>
        </w:tc>
        <w:tc>
          <w:tcPr>
            <w:tcW w:w="2165" w:type="dxa"/>
            <w:noWrap w:val="0"/>
            <w:vAlign w:val="top"/>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建安工程费</w:t>
            </w:r>
          </w:p>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投标下浮率</w:t>
            </w:r>
          </w:p>
        </w:tc>
        <w:tc>
          <w:tcPr>
            <w:tcW w:w="1658" w:type="dxa"/>
            <w:noWrap w:val="0"/>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投标</w:t>
            </w:r>
            <w:r>
              <w:rPr>
                <w:rFonts w:hint="eastAsia" w:ascii="宋体" w:hAnsi="宋体" w:eastAsia="宋体" w:cs="宋体"/>
                <w:color w:val="auto"/>
                <w:kern w:val="1"/>
                <w:sz w:val="24"/>
                <w:szCs w:val="24"/>
                <w:lang w:eastAsia="zh-CN"/>
              </w:rPr>
              <w:t>报价</w:t>
            </w:r>
            <w:r>
              <w:rPr>
                <w:rFonts w:hint="eastAsia" w:ascii="宋体" w:hAnsi="宋体" w:eastAsia="宋体" w:cs="宋体"/>
                <w:color w:val="auto"/>
                <w:kern w:val="1"/>
                <w:sz w:val="24"/>
                <w:szCs w:val="24"/>
              </w:rPr>
              <w:t>（元）</w:t>
            </w:r>
          </w:p>
        </w:tc>
        <w:tc>
          <w:tcPr>
            <w:tcW w:w="3040" w:type="dxa"/>
            <w:noWrap w:val="0"/>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1</w:t>
            </w:r>
          </w:p>
        </w:tc>
        <w:tc>
          <w:tcPr>
            <w:tcW w:w="1857" w:type="dxa"/>
            <w:noWrap w:val="0"/>
            <w:vAlign w:val="center"/>
          </w:tcPr>
          <w:p>
            <w:pPr>
              <w:spacing w:line="360" w:lineRule="auto"/>
              <w:jc w:val="center"/>
              <w:rPr>
                <w:rFonts w:hint="eastAsia" w:ascii="宋体" w:hAnsi="宋体" w:eastAsia="宋体" w:cs="宋体"/>
                <w:color w:val="auto"/>
                <w:kern w:val="1"/>
                <w:sz w:val="24"/>
                <w:szCs w:val="24"/>
                <w:lang w:eastAsia="zh-CN"/>
              </w:rPr>
            </w:pPr>
            <w:r>
              <w:rPr>
                <w:rFonts w:hint="eastAsia" w:ascii="宋体" w:hAnsi="宋体" w:eastAsia="宋体" w:cs="宋体"/>
                <w:color w:val="auto"/>
                <w:kern w:val="1"/>
                <w:sz w:val="24"/>
                <w:szCs w:val="24"/>
                <w:lang w:eastAsia="zh-CN"/>
              </w:rPr>
              <w:t>勘察费</w:t>
            </w:r>
          </w:p>
        </w:tc>
        <w:tc>
          <w:tcPr>
            <w:tcW w:w="2165"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1658" w:type="dxa"/>
            <w:noWrap w:val="0"/>
            <w:vAlign w:val="center"/>
          </w:tcPr>
          <w:p>
            <w:pPr>
              <w:snapToGrid w:val="0"/>
              <w:spacing w:line="360" w:lineRule="auto"/>
              <w:jc w:val="center"/>
              <w:rPr>
                <w:rFonts w:hint="eastAsia" w:ascii="宋体" w:hAnsi="宋体" w:eastAsia="宋体" w:cs="宋体"/>
                <w:color w:val="auto"/>
                <w:kern w:val="1"/>
                <w:sz w:val="24"/>
                <w:szCs w:val="24"/>
                <w:lang w:val="en-US" w:eastAsia="zh-CN"/>
              </w:rPr>
            </w:pPr>
          </w:p>
        </w:tc>
        <w:tc>
          <w:tcPr>
            <w:tcW w:w="3040" w:type="dxa"/>
            <w:noWrap w:val="0"/>
            <w:vAlign w:val="center"/>
          </w:tcPr>
          <w:p>
            <w:pPr>
              <w:spacing w:line="360" w:lineRule="auto"/>
              <w:jc w:val="left"/>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勘察费自行报价,结算按勘察费的中标价包干不作任何调整。"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en-US" w:eastAsia="zh-CN"/>
              </w:rPr>
              <w:t>2</w:t>
            </w:r>
          </w:p>
        </w:tc>
        <w:tc>
          <w:tcPr>
            <w:tcW w:w="1857"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设计费</w:t>
            </w:r>
          </w:p>
        </w:tc>
        <w:tc>
          <w:tcPr>
            <w:tcW w:w="2165" w:type="dxa"/>
            <w:noWrap w:val="0"/>
            <w:vAlign w:val="center"/>
          </w:tcPr>
          <w:p>
            <w:pPr>
              <w:spacing w:line="360" w:lineRule="auto"/>
              <w:jc w:val="center"/>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sz w:val="24"/>
                <w:szCs w:val="24"/>
              </w:rPr>
              <w:t>/</w:t>
            </w:r>
          </w:p>
        </w:tc>
        <w:tc>
          <w:tcPr>
            <w:tcW w:w="1658" w:type="dxa"/>
            <w:noWrap w:val="0"/>
            <w:vAlign w:val="center"/>
          </w:tcPr>
          <w:p>
            <w:pPr>
              <w:snapToGrid w:val="0"/>
              <w:spacing w:line="360" w:lineRule="auto"/>
              <w:jc w:val="center"/>
              <w:rPr>
                <w:rFonts w:hint="eastAsia" w:ascii="宋体" w:hAnsi="宋体" w:eastAsia="宋体" w:cs="宋体"/>
                <w:color w:val="auto"/>
                <w:kern w:val="1"/>
                <w:sz w:val="24"/>
                <w:szCs w:val="24"/>
                <w:lang w:val="en-US" w:eastAsia="zh-CN" w:bidi="ar-SA"/>
              </w:rPr>
            </w:pPr>
          </w:p>
        </w:tc>
        <w:tc>
          <w:tcPr>
            <w:tcW w:w="3040" w:type="dxa"/>
            <w:noWrap w:val="0"/>
            <w:vAlign w:val="center"/>
          </w:tcPr>
          <w:p>
            <w:pPr>
              <w:spacing w:line="360" w:lineRule="auto"/>
              <w:jc w:val="left"/>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zh-CN"/>
              </w:rPr>
              <w:t>设计费不高于</w:t>
            </w:r>
            <w:r>
              <w:rPr>
                <w:rFonts w:hint="eastAsia" w:ascii="宋体" w:hAnsi="宋体" w:eastAsia="宋体" w:cs="宋体"/>
                <w:color w:val="auto"/>
                <w:kern w:val="1"/>
                <w:sz w:val="24"/>
                <w:szCs w:val="24"/>
              </w:rPr>
              <w:t>最高投标限价</w:t>
            </w:r>
            <w:r>
              <w:rPr>
                <w:rFonts w:hint="eastAsia" w:ascii="宋体" w:hAnsi="宋体" w:eastAsia="宋体" w:cs="宋体"/>
                <w:color w:val="auto"/>
                <w:kern w:val="1"/>
                <w:sz w:val="24"/>
                <w:szCs w:val="24"/>
                <w:lang w:val="zh-CN"/>
              </w:rPr>
              <w:t>的基础上自行报价并包干，结算不作任何调整。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en-US" w:eastAsia="zh-CN"/>
              </w:rPr>
              <w:t>3</w:t>
            </w:r>
          </w:p>
        </w:tc>
        <w:tc>
          <w:tcPr>
            <w:tcW w:w="1857"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建安工程费</w:t>
            </w:r>
          </w:p>
        </w:tc>
        <w:tc>
          <w:tcPr>
            <w:tcW w:w="2165"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Cs w:val="21"/>
              </w:rPr>
              <w:t>≧</w:t>
            </w:r>
            <w:r>
              <w:rPr>
                <w:rFonts w:hint="eastAsia" w:ascii="宋体" w:hAnsi="宋体" w:eastAsia="宋体" w:cs="宋体"/>
                <w:color w:val="auto"/>
                <w:kern w:val="1"/>
                <w:szCs w:val="21"/>
                <w:u w:val="single"/>
              </w:rPr>
              <w:t xml:space="preserve">  </w:t>
            </w:r>
            <w:r>
              <w:rPr>
                <w:rFonts w:hint="eastAsia" w:ascii="宋体" w:hAnsi="宋体" w:eastAsia="宋体" w:cs="宋体"/>
                <w:color w:val="auto"/>
                <w:kern w:val="1"/>
                <w:szCs w:val="21"/>
                <w:u w:val="single"/>
                <w:lang w:val="en-US" w:eastAsia="zh-CN"/>
              </w:rPr>
              <w:t xml:space="preserve">    </w:t>
            </w:r>
            <w:r>
              <w:rPr>
                <w:rFonts w:hint="eastAsia" w:ascii="宋体" w:hAnsi="宋体" w:eastAsia="宋体" w:cs="宋体"/>
                <w:color w:val="auto"/>
                <w:kern w:val="1"/>
                <w:szCs w:val="21"/>
                <w:u w:val="single"/>
              </w:rPr>
              <w:t xml:space="preserve"> </w:t>
            </w:r>
            <w:r>
              <w:rPr>
                <w:rFonts w:hint="eastAsia" w:ascii="宋体" w:hAnsi="宋体" w:eastAsia="宋体" w:cs="宋体"/>
                <w:color w:val="auto"/>
                <w:kern w:val="1"/>
                <w:szCs w:val="21"/>
              </w:rPr>
              <w:t>%</w:t>
            </w:r>
          </w:p>
        </w:tc>
        <w:tc>
          <w:tcPr>
            <w:tcW w:w="1658" w:type="dxa"/>
            <w:tcBorders>
              <w:right w:val="single" w:color="auto" w:sz="4" w:space="0"/>
            </w:tcBorders>
            <w:noWrap w:val="0"/>
            <w:vAlign w:val="center"/>
          </w:tcPr>
          <w:p>
            <w:pPr>
              <w:snapToGrid w:val="0"/>
              <w:spacing w:line="360" w:lineRule="auto"/>
              <w:jc w:val="center"/>
              <w:rPr>
                <w:rFonts w:hint="eastAsia" w:ascii="宋体" w:hAnsi="宋体" w:eastAsia="宋体" w:cs="宋体"/>
                <w:color w:val="auto"/>
                <w:kern w:val="1"/>
                <w:sz w:val="24"/>
                <w:szCs w:val="24"/>
                <w:lang w:val="en-US" w:eastAsia="zh-CN" w:bidi="ar-SA"/>
              </w:rPr>
            </w:pPr>
          </w:p>
        </w:tc>
        <w:tc>
          <w:tcPr>
            <w:tcW w:w="3040" w:type="dxa"/>
            <w:tcBorders>
              <w:left w:val="single" w:color="auto" w:sz="4" w:space="0"/>
            </w:tcBorders>
            <w:noWrap w:val="0"/>
            <w:vAlign w:val="center"/>
          </w:tcPr>
          <w:p>
            <w:pPr>
              <w:snapToGrid w:val="0"/>
              <w:spacing w:line="400" w:lineRule="exact"/>
              <w:jc w:val="left"/>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 xml:space="preserve">建安工程费报价=       </w:t>
            </w:r>
            <w:r>
              <w:rPr>
                <w:rFonts w:hint="eastAsia" w:ascii="宋体" w:hAnsi="宋体" w:eastAsia="宋体" w:cs="宋体"/>
                <w:color w:val="auto"/>
                <w:kern w:val="1"/>
                <w:sz w:val="24"/>
                <w:szCs w:val="24"/>
                <w:lang w:val="en-US" w:eastAsia="zh-CN"/>
              </w:rPr>
              <w:t>49931100.00</w:t>
            </w:r>
            <w:r>
              <w:rPr>
                <w:rFonts w:hint="eastAsia" w:ascii="宋体" w:hAnsi="宋体" w:eastAsia="宋体" w:cs="宋体"/>
                <w:color w:val="auto"/>
                <w:kern w:val="1"/>
                <w:sz w:val="24"/>
                <w:szCs w:val="24"/>
              </w:rPr>
              <w:t>元×（1-建安工程费投标下浮率）</w:t>
            </w:r>
          </w:p>
          <w:p>
            <w:pPr>
              <w:snapToGrid w:val="0"/>
              <w:spacing w:line="360" w:lineRule="auto"/>
              <w:jc w:val="left"/>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投标人应分别报投标下浮率和建安工程费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714" w:type="dxa"/>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lang w:val="en-US" w:eastAsia="zh-CN"/>
              </w:rPr>
              <w:t>4</w:t>
            </w:r>
          </w:p>
        </w:tc>
        <w:tc>
          <w:tcPr>
            <w:tcW w:w="4022" w:type="dxa"/>
            <w:gridSpan w:val="2"/>
            <w:tcBorders>
              <w:right w:val="single" w:color="auto" w:sz="4" w:space="0"/>
            </w:tcBorders>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合计（1+2</w:t>
            </w:r>
            <w:r>
              <w:rPr>
                <w:rFonts w:hint="eastAsia" w:ascii="宋体" w:hAnsi="宋体" w:eastAsia="宋体" w:cs="宋体"/>
                <w:color w:val="auto"/>
                <w:kern w:val="1"/>
                <w:sz w:val="24"/>
                <w:szCs w:val="24"/>
                <w:lang w:val="en-US" w:eastAsia="zh-CN"/>
              </w:rPr>
              <w:t>+3</w:t>
            </w:r>
            <w:r>
              <w:rPr>
                <w:rFonts w:hint="eastAsia" w:ascii="宋体" w:hAnsi="宋体" w:eastAsia="宋体" w:cs="宋体"/>
                <w:color w:val="auto"/>
                <w:kern w:val="1"/>
                <w:sz w:val="24"/>
                <w:szCs w:val="24"/>
              </w:rPr>
              <w:t>）</w:t>
            </w:r>
          </w:p>
        </w:tc>
        <w:tc>
          <w:tcPr>
            <w:tcW w:w="1658" w:type="dxa"/>
            <w:tcBorders>
              <w:right w:val="single" w:color="auto" w:sz="4" w:space="0"/>
            </w:tcBorders>
            <w:noWrap w:val="0"/>
            <w:vAlign w:val="center"/>
          </w:tcPr>
          <w:p>
            <w:pPr>
              <w:spacing w:line="360" w:lineRule="auto"/>
              <w:jc w:val="center"/>
              <w:rPr>
                <w:rFonts w:hint="eastAsia" w:ascii="宋体" w:hAnsi="宋体" w:eastAsia="宋体" w:cs="宋体"/>
                <w:color w:val="auto"/>
                <w:kern w:val="1"/>
                <w:sz w:val="24"/>
                <w:szCs w:val="24"/>
                <w:lang w:val="en-US" w:eastAsia="zh-CN"/>
              </w:rPr>
            </w:pPr>
          </w:p>
        </w:tc>
        <w:tc>
          <w:tcPr>
            <w:tcW w:w="3040" w:type="dxa"/>
            <w:tcBorders>
              <w:left w:val="single" w:color="auto" w:sz="4" w:space="0"/>
            </w:tcBorders>
            <w:noWrap w:val="0"/>
            <w:vAlign w:val="center"/>
          </w:tcPr>
          <w:p>
            <w:pPr>
              <w:spacing w:line="360" w:lineRule="auto"/>
              <w:jc w:val="center"/>
              <w:rPr>
                <w:rFonts w:hint="eastAsia" w:ascii="宋体" w:hAnsi="宋体" w:eastAsia="宋体" w:cs="宋体"/>
                <w:color w:val="auto"/>
                <w:kern w:val="1"/>
                <w:sz w:val="24"/>
                <w:szCs w:val="24"/>
                <w:lang w:val="en-US" w:eastAsia="zh-CN" w:bidi="ar-SA"/>
              </w:rPr>
            </w:pPr>
            <w:r>
              <w:rPr>
                <w:rFonts w:hint="eastAsia" w:ascii="宋体" w:hAnsi="宋体" w:eastAsia="宋体" w:cs="宋体"/>
                <w:color w:val="auto"/>
                <w:kern w:val="1"/>
                <w:sz w:val="24"/>
                <w:szCs w:val="24"/>
              </w:rPr>
              <w:t>/</w:t>
            </w:r>
          </w:p>
        </w:tc>
      </w:tr>
    </w:tbl>
    <w:p>
      <w:pPr>
        <w:spacing w:line="360" w:lineRule="auto"/>
        <w:rPr>
          <w:rFonts w:hint="eastAsia" w:ascii="宋体" w:hAnsi="宋体" w:eastAsia="宋体" w:cs="宋体"/>
          <w:color w:val="auto"/>
        </w:rPr>
      </w:pPr>
    </w:p>
    <w:p>
      <w:pPr>
        <w:tabs>
          <w:tab w:val="left" w:pos="3808"/>
        </w:tabs>
        <w:spacing w:line="360" w:lineRule="auto"/>
        <w:rPr>
          <w:rFonts w:hint="eastAsia" w:ascii="宋体" w:hAnsi="宋体" w:eastAsia="宋体" w:cs="宋体"/>
          <w:b/>
          <w:color w:val="auto"/>
          <w:szCs w:val="21"/>
        </w:rPr>
      </w:pPr>
      <w:r>
        <w:rPr>
          <w:rFonts w:hint="eastAsia" w:ascii="宋体" w:hAnsi="宋体" w:eastAsia="宋体" w:cs="宋体"/>
          <w:b/>
          <w:color w:val="auto"/>
          <w:szCs w:val="21"/>
        </w:rPr>
        <w:t>注：投标报价费率及投标报价均</w:t>
      </w:r>
      <w:r>
        <w:rPr>
          <w:rFonts w:hint="eastAsia" w:ascii="宋体" w:hAnsi="宋体" w:eastAsia="宋体" w:cs="宋体"/>
          <w:b/>
          <w:color w:val="auto"/>
          <w:szCs w:val="21"/>
          <w:lang w:val="en-US" w:eastAsia="zh-CN"/>
        </w:rPr>
        <w:t>按“四舍五入原则”精确到两位小数</w:t>
      </w:r>
      <w:r>
        <w:rPr>
          <w:rFonts w:hint="eastAsia" w:ascii="宋体" w:hAnsi="宋体" w:eastAsia="宋体" w:cs="宋体"/>
          <w:b/>
          <w:color w:val="auto"/>
          <w:szCs w:val="21"/>
        </w:rPr>
        <w:t>，否则按无效标处理。</w:t>
      </w:r>
    </w:p>
    <w:p>
      <w:pPr>
        <w:spacing w:line="360" w:lineRule="auto"/>
        <w:ind w:firstLine="1288"/>
        <w:rPr>
          <w:rFonts w:hint="eastAsia" w:ascii="宋体" w:hAnsi="宋体" w:eastAsia="宋体" w:cs="宋体"/>
          <w:color w:val="auto"/>
          <w:szCs w:val="21"/>
        </w:rPr>
      </w:pPr>
    </w:p>
    <w:p>
      <w:pPr>
        <w:spacing w:line="360" w:lineRule="auto"/>
        <w:ind w:firstLine="1288"/>
        <w:rPr>
          <w:rFonts w:hint="eastAsia" w:ascii="宋体" w:hAnsi="宋体" w:eastAsia="宋体" w:cs="宋体"/>
          <w:color w:val="auto"/>
          <w:szCs w:val="21"/>
        </w:rPr>
      </w:pPr>
    </w:p>
    <w:p>
      <w:pPr>
        <w:wordWrap w:val="0"/>
        <w:adjustRightInd w:val="0"/>
        <w:snapToGrid w:val="0"/>
        <w:spacing w:line="360" w:lineRule="auto"/>
        <w:jc w:val="right"/>
        <w:rPr>
          <w:rFonts w:hint="eastAsia" w:ascii="宋体" w:hAnsi="宋体" w:eastAsia="宋体" w:cs="宋体"/>
          <w:snapToGrid w:val="0"/>
          <w:color w:val="auto"/>
          <w:kern w:val="0"/>
        </w:rPr>
      </w:pPr>
      <w:bookmarkStart w:id="406" w:name="_Toc919"/>
      <w:bookmarkStart w:id="407" w:name="_Toc20987"/>
      <w:bookmarkStart w:id="408" w:name="_Toc18372"/>
      <w:bookmarkStart w:id="409" w:name="_Toc1017"/>
      <w:bookmarkStart w:id="410" w:name="_Toc21928"/>
      <w:bookmarkStart w:id="411" w:name="_Toc32555"/>
      <w:r>
        <w:rPr>
          <w:rFonts w:hint="eastAsia" w:ascii="宋体" w:hAnsi="宋体" w:eastAsia="宋体" w:cs="宋体"/>
          <w:snapToGrid w:val="0"/>
          <w:color w:val="auto"/>
          <w:kern w:val="0"/>
        </w:rPr>
        <w:t>投标人：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（盖单位章）</w:t>
      </w:r>
    </w:p>
    <w:p>
      <w:pPr>
        <w:wordWrap w:val="0"/>
        <w:adjustRightInd w:val="0"/>
        <w:snapToGrid w:val="0"/>
        <w:spacing w:line="360" w:lineRule="auto"/>
        <w:jc w:val="right"/>
        <w:rPr>
          <w:rFonts w:hint="eastAsia" w:ascii="宋体" w:hAnsi="宋体" w:eastAsia="宋体" w:cs="宋体"/>
          <w:snapToGrid w:val="0"/>
          <w:color w:val="auto"/>
          <w:kern w:val="0"/>
        </w:rPr>
      </w:pPr>
    </w:p>
    <w:p>
      <w:pPr>
        <w:wordWrap w:val="0"/>
        <w:adjustRightInd w:val="0"/>
        <w:snapToGrid w:val="0"/>
        <w:spacing w:line="360" w:lineRule="auto"/>
        <w:jc w:val="right"/>
        <w:rPr>
          <w:rFonts w:hint="eastAsia" w:ascii="宋体" w:hAnsi="宋体" w:eastAsia="宋体" w:cs="宋体"/>
          <w:snapToGrid w:val="0"/>
          <w:color w:val="auto"/>
          <w:kern w:val="0"/>
        </w:rPr>
      </w:pPr>
    </w:p>
    <w:p>
      <w:pPr>
        <w:wordWrap w:val="0"/>
        <w:adjustRightInd w:val="0"/>
        <w:snapToGrid w:val="0"/>
        <w:spacing w:line="360" w:lineRule="auto"/>
        <w:ind w:firstLine="420" w:firstLineChars="200"/>
        <w:jc w:val="right"/>
        <w:rPr>
          <w:rFonts w:hint="eastAsia" w:ascii="宋体" w:hAnsi="宋体" w:eastAsia="宋体" w:cs="宋体"/>
          <w:snapToGrid w:val="0"/>
          <w:color w:val="auto"/>
          <w:kern w:val="0"/>
        </w:rPr>
      </w:pPr>
      <w:r>
        <w:rPr>
          <w:rFonts w:hint="eastAsia" w:ascii="宋体" w:hAnsi="宋体" w:eastAsia="宋体" w:cs="宋体"/>
          <w:snapToGrid w:val="0"/>
          <w:color w:val="auto"/>
          <w:kern w:val="0"/>
        </w:rPr>
        <w:t>法定代表人或其委托代理人：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（签字或盖章）</w:t>
      </w:r>
    </w:p>
    <w:p>
      <w:pPr>
        <w:wordWrap w:val="0"/>
        <w:adjustRightInd w:val="0"/>
        <w:snapToGrid w:val="0"/>
        <w:spacing w:line="360" w:lineRule="auto"/>
        <w:ind w:firstLine="420" w:firstLineChars="200"/>
        <w:jc w:val="right"/>
        <w:rPr>
          <w:rFonts w:hint="eastAsia" w:ascii="宋体" w:hAnsi="宋体" w:eastAsia="宋体" w:cs="宋体"/>
          <w:snapToGrid w:val="0"/>
          <w:color w:val="auto"/>
          <w:kern w:val="0"/>
        </w:rPr>
      </w:pPr>
    </w:p>
    <w:p>
      <w:pPr>
        <w:wordWrap w:val="0"/>
        <w:adjustRightInd w:val="0"/>
        <w:snapToGrid w:val="0"/>
        <w:spacing w:line="360" w:lineRule="auto"/>
        <w:ind w:firstLine="3570" w:firstLineChars="17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       </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年</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月</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412" w:name="_Toc2664"/>
      <w:r>
        <w:rPr>
          <w:rFonts w:hint="eastAsia" w:ascii="宋体" w:hAnsi="宋体" w:eastAsia="宋体" w:cs="宋体"/>
          <w:snapToGrid w:val="0"/>
          <w:color w:val="auto"/>
          <w:sz w:val="24"/>
          <w:szCs w:val="24"/>
          <w:lang w:val="en-US" w:eastAsia="zh-CN"/>
        </w:rPr>
        <w:t>格式三   各项承诺一览表</w:t>
      </w:r>
      <w:bookmarkEnd w:id="404"/>
      <w:bookmarkEnd w:id="405"/>
      <w:bookmarkEnd w:id="406"/>
      <w:bookmarkEnd w:id="407"/>
      <w:bookmarkEnd w:id="408"/>
      <w:bookmarkEnd w:id="412"/>
    </w:p>
    <w:bookmarkEnd w:id="409"/>
    <w:bookmarkEnd w:id="410"/>
    <w:bookmarkEnd w:id="411"/>
    <w:p>
      <w:pPr>
        <w:spacing w:line="360" w:lineRule="auto"/>
        <w:jc w:val="center"/>
        <w:rPr>
          <w:rFonts w:hint="eastAsia" w:ascii="宋体" w:hAnsi="宋体" w:eastAsia="宋体" w:cs="宋体"/>
          <w:b/>
          <w:bCs/>
          <w:sz w:val="28"/>
          <w:szCs w:val="28"/>
        </w:rPr>
      </w:pPr>
      <w:bookmarkStart w:id="413" w:name="_Toc39136365"/>
      <w:bookmarkStart w:id="414" w:name="_Toc30877"/>
      <w:bookmarkStart w:id="415" w:name="_Toc21521"/>
      <w:bookmarkStart w:id="416" w:name="_Toc20729"/>
      <w:bookmarkStart w:id="417" w:name="_Toc18136"/>
      <w:bookmarkStart w:id="418" w:name="_Toc16438"/>
      <w:bookmarkStart w:id="419" w:name="_Toc31113"/>
      <w:bookmarkStart w:id="420" w:name="_Toc19717"/>
      <w:bookmarkStart w:id="421" w:name="_Toc15279"/>
      <w:r>
        <w:rPr>
          <w:rFonts w:hint="eastAsia" w:ascii="宋体" w:hAnsi="宋体" w:eastAsia="宋体" w:cs="宋体"/>
          <w:b/>
          <w:bCs/>
          <w:sz w:val="28"/>
          <w:szCs w:val="28"/>
        </w:rPr>
        <w:t>各项承诺一览表</w:t>
      </w:r>
      <w:bookmarkEnd w:id="413"/>
      <w:bookmarkEnd w:id="414"/>
      <w:bookmarkEnd w:id="415"/>
      <w:bookmarkEnd w:id="416"/>
    </w:p>
    <w:bookmarkEnd w:id="417"/>
    <w:bookmarkEnd w:id="418"/>
    <w:bookmarkEnd w:id="419"/>
    <w:bookmarkEnd w:id="420"/>
    <w:bookmarkEnd w:id="421"/>
    <w:tbl>
      <w:tblPr>
        <w:tblStyle w:val="15"/>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6"/>
        <w:gridCol w:w="1234"/>
        <w:gridCol w:w="3073"/>
        <w:gridCol w:w="4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top"/>
          </w:tcPr>
          <w:p>
            <w:pPr>
              <w:pStyle w:val="2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234" w:type="dxa"/>
            <w:noWrap w:val="0"/>
            <w:vAlign w:val="top"/>
          </w:tcPr>
          <w:p>
            <w:pPr>
              <w:pStyle w:val="2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承诺标题</w:t>
            </w:r>
          </w:p>
        </w:tc>
        <w:tc>
          <w:tcPr>
            <w:tcW w:w="3073" w:type="dxa"/>
            <w:noWrap w:val="0"/>
            <w:vAlign w:val="top"/>
          </w:tcPr>
          <w:p>
            <w:pPr>
              <w:pStyle w:val="2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承诺内容</w:t>
            </w:r>
          </w:p>
        </w:tc>
        <w:tc>
          <w:tcPr>
            <w:tcW w:w="4796" w:type="dxa"/>
            <w:tcBorders>
              <w:bottom w:val="single" w:color="auto" w:sz="4" w:space="0"/>
            </w:tcBorders>
            <w:noWrap w:val="0"/>
            <w:vAlign w:val="top"/>
          </w:tcPr>
          <w:p>
            <w:pPr>
              <w:pStyle w:val="2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违约承诺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对招标文件条款自愿接受承诺书</w:t>
            </w:r>
          </w:p>
        </w:tc>
        <w:tc>
          <w:tcPr>
            <w:tcW w:w="3073"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我方保证接受招标文件的所有条款，响应招标文件的所有要求，并同意招标文件为施工承包合同的组成部分</w:t>
            </w:r>
          </w:p>
        </w:tc>
        <w:tc>
          <w:tcPr>
            <w:tcW w:w="4796" w:type="dxa"/>
            <w:tcBorders>
              <w:tr2bl w:val="single" w:color="auto" w:sz="4" w:space="0"/>
            </w:tcBorders>
            <w:noWrap w:val="0"/>
            <w:vAlign w:val="center"/>
          </w:tcPr>
          <w:p>
            <w:pPr>
              <w:pStyle w:val="45"/>
              <w:spacing w:line="360" w:lineRule="auto"/>
              <w:ind w:firstLine="42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34" w:type="dxa"/>
            <w:noWrap w:val="0"/>
            <w:vAlign w:val="center"/>
          </w:tcPr>
          <w:p>
            <w:pPr>
              <w:pStyle w:val="45"/>
              <w:wordWrap w:val="0"/>
              <w:adjustRightInd w:val="0"/>
              <w:snapToGrid w:val="0"/>
              <w:spacing w:line="360" w:lineRule="auto"/>
              <w:ind w:firstLine="0" w:firstLineChars="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无禁止投标</w:t>
            </w:r>
          </w:p>
          <w:p>
            <w:pPr>
              <w:pStyle w:val="45"/>
              <w:wordWrap w:val="0"/>
              <w:adjustRightInd w:val="0"/>
              <w:snapToGrid w:val="0"/>
              <w:spacing w:line="360" w:lineRule="auto"/>
              <w:ind w:firstLine="0" w:firstLineChars="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情形的承诺</w:t>
            </w:r>
          </w:p>
        </w:tc>
        <w:tc>
          <w:tcPr>
            <w:tcW w:w="3073" w:type="dxa"/>
            <w:noWrap w:val="0"/>
            <w:vAlign w:val="center"/>
          </w:tcPr>
          <w:p>
            <w:pPr>
              <w:pStyle w:val="45"/>
              <w:wordWrap w:val="0"/>
              <w:adjustRightInd w:val="0"/>
              <w:snapToGrid w:val="0"/>
              <w:spacing w:line="36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我方不存在招标文件第一章第三节第</w:t>
            </w:r>
            <w:r>
              <w:rPr>
                <w:rFonts w:hint="eastAsia" w:ascii="宋体" w:hAnsi="宋体" w:eastAsia="宋体" w:cs="宋体"/>
                <w:b/>
                <w:bCs/>
                <w:snapToGrid w:val="0"/>
                <w:color w:val="auto"/>
                <w:kern w:val="0"/>
                <w:szCs w:val="21"/>
              </w:rPr>
              <w:t>2.4</w:t>
            </w:r>
            <w:r>
              <w:rPr>
                <w:rFonts w:hint="eastAsia" w:ascii="宋体" w:hAnsi="宋体" w:eastAsia="宋体" w:cs="宋体"/>
                <w:snapToGrid w:val="0"/>
                <w:color w:val="auto"/>
                <w:kern w:val="0"/>
                <w:szCs w:val="21"/>
              </w:rPr>
              <w:t>条“禁止投标条款”规定的任何一种情形。</w:t>
            </w:r>
          </w:p>
        </w:tc>
        <w:tc>
          <w:tcPr>
            <w:tcW w:w="4796" w:type="dxa"/>
            <w:noWrap w:val="0"/>
            <w:vAlign w:val="center"/>
          </w:tcPr>
          <w:p>
            <w:pPr>
              <w:pStyle w:val="45"/>
              <w:wordWrap w:val="0"/>
              <w:adjustRightInd w:val="0"/>
              <w:snapToGrid w:val="0"/>
              <w:spacing w:line="36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如果我方有招标文件第一章第三节第</w:t>
            </w:r>
            <w:r>
              <w:rPr>
                <w:rFonts w:hint="eastAsia" w:ascii="宋体" w:hAnsi="宋体" w:eastAsia="宋体" w:cs="宋体"/>
                <w:b/>
                <w:bCs/>
                <w:snapToGrid w:val="0"/>
                <w:color w:val="auto"/>
                <w:kern w:val="0"/>
                <w:szCs w:val="21"/>
              </w:rPr>
              <w:t>2.4</w:t>
            </w:r>
            <w:r>
              <w:rPr>
                <w:rFonts w:hint="eastAsia" w:ascii="宋体" w:hAnsi="宋体" w:eastAsia="宋体" w:cs="宋体"/>
                <w:snapToGrid w:val="0"/>
                <w:color w:val="auto"/>
                <w:kern w:val="0"/>
                <w:szCs w:val="21"/>
              </w:rPr>
              <w:t>条“禁止投标条款”规定的任何一种情形，我方接受招标人或其授权的招标代理机构或其组建的评标委员会依据招标文件作出的相应处理以及有关监督部门作出的行政处罚，并承担由此引起的一切法律后果。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234" w:type="dxa"/>
            <w:noWrap w:val="0"/>
            <w:vAlign w:val="center"/>
          </w:tcPr>
          <w:p>
            <w:pPr>
              <w:pStyle w:val="45"/>
              <w:wordWrap w:val="0"/>
              <w:adjustRightInd w:val="0"/>
              <w:snapToGrid w:val="0"/>
              <w:spacing w:line="360" w:lineRule="auto"/>
              <w:ind w:firstLine="0" w:firstLineChars="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自觉抵制围标串标和弄虚作假行为的承诺</w:t>
            </w:r>
          </w:p>
        </w:tc>
        <w:tc>
          <w:tcPr>
            <w:tcW w:w="3073" w:type="dxa"/>
            <w:noWrap w:val="0"/>
            <w:vAlign w:val="center"/>
          </w:tcPr>
          <w:p>
            <w:pPr>
              <w:pStyle w:val="45"/>
              <w:wordWrap w:val="0"/>
              <w:adjustRightInd w:val="0"/>
              <w:snapToGrid w:val="0"/>
              <w:spacing w:line="36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我方合法正当、诚实守信地参与投标，不组织、不参加围标串标违法行为，不通过弄虚作假行为骗取中标。</w:t>
            </w:r>
          </w:p>
        </w:tc>
        <w:tc>
          <w:tcPr>
            <w:tcW w:w="4796" w:type="dxa"/>
            <w:noWrap w:val="0"/>
            <w:vAlign w:val="center"/>
          </w:tcPr>
          <w:p>
            <w:pPr>
              <w:pStyle w:val="45"/>
              <w:wordWrap w:val="0"/>
              <w:adjustRightInd w:val="0"/>
              <w:snapToGrid w:val="0"/>
              <w:spacing w:line="36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如果我方组织或参加围标串标违法行为或通过弄虚作假行为骗取中标，我方接受招标人或其授权的招标代理机构或其组建的评标委员会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履约保证金承诺书</w:t>
            </w:r>
          </w:p>
        </w:tc>
        <w:tc>
          <w:tcPr>
            <w:tcW w:w="3073"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我方保证按时缴纳全部履约保证金</w:t>
            </w:r>
          </w:p>
        </w:tc>
        <w:tc>
          <w:tcPr>
            <w:tcW w:w="4796"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在施工过程中，如由于我方自身的资金、技术、质量、非不可抗力等原因给招标人造成损失时，或未能按招标文件所承诺的各项承诺完成时，我方同意扣除全部履约保证金，并承担由此引起的所有责任。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工期、进度承诺书</w:t>
            </w:r>
          </w:p>
        </w:tc>
        <w:tc>
          <w:tcPr>
            <w:tcW w:w="3073"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我方保证在</w:t>
            </w:r>
            <w:r>
              <w:rPr>
                <w:rFonts w:hint="eastAsia" w:ascii="宋体" w:hAnsi="宋体" w:eastAsia="宋体" w:cs="宋体"/>
                <w:color w:val="auto"/>
                <w:szCs w:val="21"/>
                <w:u w:val="single"/>
                <w:lang w:eastAsia="zh-CN"/>
              </w:rPr>
              <w:t>勘察</w:t>
            </w:r>
            <w:r>
              <w:rPr>
                <w:rFonts w:hint="eastAsia" w:ascii="宋体" w:hAnsi="宋体" w:eastAsia="宋体" w:cs="宋体"/>
                <w:color w:val="auto"/>
                <w:szCs w:val="21"/>
                <w:u w:val="single"/>
              </w:rPr>
              <w:t>设计工期为  日历天；施工工期   日历天</w:t>
            </w:r>
            <w:r>
              <w:rPr>
                <w:rFonts w:hint="eastAsia" w:ascii="宋体" w:hAnsi="宋体" w:eastAsia="宋体" w:cs="宋体"/>
                <w:color w:val="auto"/>
                <w:szCs w:val="21"/>
              </w:rPr>
              <w:t>完成工程设计、施工并通过竣工验收。</w:t>
            </w:r>
          </w:p>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我方保证各分部、分项工程的施工进度按我方投标文件中的施工进度计划完成施工任务。</w:t>
            </w:r>
          </w:p>
        </w:tc>
        <w:tc>
          <w:tcPr>
            <w:tcW w:w="4796"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若因我方原因，没有按期完成</w:t>
            </w:r>
            <w:r>
              <w:rPr>
                <w:rFonts w:hint="eastAsia" w:ascii="宋体" w:hAnsi="宋体" w:eastAsia="宋体" w:cs="宋体"/>
                <w:color w:val="auto"/>
                <w:szCs w:val="21"/>
                <w:lang w:eastAsia="zh-CN"/>
              </w:rPr>
              <w:t>勘察</w:t>
            </w:r>
            <w:r>
              <w:rPr>
                <w:rFonts w:hint="eastAsia" w:ascii="宋体" w:hAnsi="宋体" w:eastAsia="宋体" w:cs="宋体"/>
                <w:color w:val="auto"/>
                <w:szCs w:val="21"/>
              </w:rPr>
              <w:t>设计工作的，我方须在逾期第壹天起每天按设计费合同价款的1%向招标人返纳逾期违约金；若因我方原因，工程没有按期竣工并通过验收时（工期自监理单位签发的开工令日期起算），我方须在逾期第壹天起每天按建安工程费合同价的1‰向招标人返纳逾期竣工违约金。逾期竣工违约金的最高限额为合同价款的10%。</w:t>
            </w:r>
          </w:p>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若因我方原因，各分部、分项工程的施工进度未能按我方投标文件中的施工进度计划完成施工任务，延期达到30日历天，招标人有权终止合同。我方愿意承担所有由此引起的责任及经济损失。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安全、文明施工承诺书</w:t>
            </w:r>
          </w:p>
        </w:tc>
        <w:tc>
          <w:tcPr>
            <w:tcW w:w="3073"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我方保证在施工期间严格遵守国家、省、市有关安全、文明施工规定，确保施工安全和第三者的安全，根据施工现场情况保证绿色施工安全防护措施费投入。</w:t>
            </w:r>
          </w:p>
        </w:tc>
        <w:tc>
          <w:tcPr>
            <w:tcW w:w="4796"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若因我方原因，在施工期间发生安全事故，造成施工人员或第三者的伤亡，我方愿意承担由此造成的一切经济损失和法律责任。</w:t>
            </w:r>
          </w:p>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若我方在施工中发生一般事故及以上等级生产安全事故，发包人可扣除我方金额相当于所有“绿色施工安全防护措施费”的工程管理费。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质量承诺书</w:t>
            </w:r>
          </w:p>
        </w:tc>
        <w:tc>
          <w:tcPr>
            <w:tcW w:w="3073" w:type="dxa"/>
            <w:noWrap w:val="0"/>
            <w:vAlign w:val="center"/>
          </w:tcPr>
          <w:p>
            <w:pPr>
              <w:pStyle w:val="20"/>
              <w:spacing w:line="360" w:lineRule="auto"/>
              <w:ind w:firstLine="560"/>
              <w:rPr>
                <w:rFonts w:hint="eastAsia" w:ascii="宋体" w:hAnsi="宋体" w:eastAsia="宋体" w:cs="宋体"/>
                <w:color w:val="auto"/>
                <w:sz w:val="21"/>
                <w:szCs w:val="21"/>
              </w:rPr>
            </w:pPr>
            <w:r>
              <w:rPr>
                <w:rFonts w:hint="eastAsia" w:ascii="宋体" w:hAnsi="宋体" w:eastAsia="宋体" w:cs="宋体"/>
                <w:color w:val="auto"/>
                <w:sz w:val="21"/>
                <w:szCs w:val="21"/>
              </w:rPr>
              <w:t>我方保证按照现行的国家和广东省的有关施工技术规范及现行标准，达到合格标准</w:t>
            </w:r>
          </w:p>
        </w:tc>
        <w:tc>
          <w:tcPr>
            <w:tcW w:w="4796"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若因我方原因，工程在竣工验收或分部分项工程验收时没有达到合格标准，我方每次（每分部每分项次）验收检查时按合同价款的1％向招标人缴纳质量违约金。并达到合格标准为止，同时承担所有的责任及经济损失。</w:t>
            </w:r>
          </w:p>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在建设或监理单组织的质量检查中，一次一个分项工程实测或其他项、程序不合格不符合要求的，一次向建设单位交纳质量违约金¥1000元/次项，分部工程不合格的一次、一个分部向建设（委托）单位交纳违约金¥2000元/次、项；</w:t>
            </w:r>
          </w:p>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在省、市监管部门抽查、巡查、专项、随机检查中，一次一个分项工程实测或其他项、程序不合格不符合要求的，一次向建设（委托）单位交纳质量违约金¥2000元/次项，分部工程不合格的一次、一个分部向建设（委托）单位交纳违约金¥5000元/次</w:t>
            </w:r>
            <w:r>
              <w:rPr>
                <w:rFonts w:hint="eastAsia" w:ascii="宋体" w:hAnsi="宋体" w:eastAsia="宋体" w:cs="宋体"/>
                <w:color w:val="auto"/>
                <w:szCs w:val="21"/>
                <w:lang w:val="en-US" w:eastAsia="zh-CN"/>
              </w:rPr>
              <w:t>/</w:t>
            </w:r>
            <w:r>
              <w:rPr>
                <w:rFonts w:hint="eastAsia" w:ascii="宋体" w:hAnsi="宋体" w:eastAsia="宋体" w:cs="宋体"/>
                <w:color w:val="auto"/>
                <w:szCs w:val="21"/>
              </w:rPr>
              <w:t>项；</w:t>
            </w:r>
          </w:p>
          <w:p>
            <w:pPr>
              <w:pStyle w:val="46"/>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未能在限期内完成质量安全隐患整改的，每逾期一天，向建设单位交纳罚金¥1000元；</w:t>
            </w:r>
          </w:p>
          <w:p>
            <w:pPr>
              <w:pStyle w:val="46"/>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未按规定委派专业人员参加检验批、分部分项工程验收，不及时签署验收记录的，一次向建设（委托）单位交纳违约金¥2000元/次</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项；</w:t>
            </w:r>
          </w:p>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不按规定委派相关人员参加项目竣工验收的，一次向建设单位交纳违约金¥50000元/项，不签署意见的交纳违约金¥50000元。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账户承诺</w:t>
            </w:r>
          </w:p>
        </w:tc>
        <w:tc>
          <w:tcPr>
            <w:tcW w:w="3073" w:type="dxa"/>
            <w:noWrap w:val="0"/>
            <w:vAlign w:val="center"/>
          </w:tcPr>
          <w:p>
            <w:pPr>
              <w:pStyle w:val="46"/>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我方保证招标人的资金随时可划入合同中规定的我方账户。</w:t>
            </w:r>
          </w:p>
        </w:tc>
        <w:tc>
          <w:tcPr>
            <w:tcW w:w="4796" w:type="dxa"/>
            <w:noWrap w:val="0"/>
            <w:vAlign w:val="center"/>
          </w:tcPr>
          <w:p>
            <w:pPr>
              <w:pStyle w:val="45"/>
              <w:spacing w:line="360" w:lineRule="auto"/>
              <w:ind w:firstLine="412"/>
              <w:rPr>
                <w:rFonts w:hint="eastAsia" w:ascii="宋体" w:hAnsi="宋体" w:eastAsia="宋体" w:cs="宋体"/>
                <w:color w:val="auto"/>
                <w:spacing w:val="-2"/>
                <w:szCs w:val="21"/>
              </w:rPr>
            </w:pPr>
            <w:r>
              <w:rPr>
                <w:rFonts w:hint="eastAsia" w:ascii="宋体" w:hAnsi="宋体" w:eastAsia="宋体" w:cs="宋体"/>
                <w:color w:val="auto"/>
                <w:spacing w:val="-2"/>
                <w:szCs w:val="21"/>
              </w:rPr>
              <w:t>若因我方原因造成招标人的资金无法划入合同中规定的我方</w:t>
            </w:r>
            <w:r>
              <w:rPr>
                <w:rFonts w:hint="eastAsia" w:ascii="宋体" w:hAnsi="宋体" w:eastAsia="宋体" w:cs="宋体"/>
                <w:color w:val="auto"/>
                <w:szCs w:val="21"/>
              </w:rPr>
              <w:t>账</w:t>
            </w:r>
            <w:r>
              <w:rPr>
                <w:rFonts w:hint="eastAsia" w:ascii="宋体" w:hAnsi="宋体" w:eastAsia="宋体" w:cs="宋体"/>
                <w:color w:val="auto"/>
                <w:spacing w:val="-2"/>
                <w:szCs w:val="21"/>
              </w:rPr>
              <w:t>户，如时间达到30日历天，招标人有权终止合同。我方承担由此造成的所有责任及经济损失。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工程的配合服务承诺</w:t>
            </w:r>
          </w:p>
        </w:tc>
        <w:tc>
          <w:tcPr>
            <w:tcW w:w="3073" w:type="dxa"/>
            <w:noWrap w:val="0"/>
            <w:vAlign w:val="center"/>
          </w:tcPr>
          <w:p>
            <w:pPr>
              <w:pStyle w:val="46"/>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我方服从业主管理，保证配合与工程承包范围内相关的其他标段（工种、分项）工程施工单位的工程施工，不提出额外增加费用的要求。</w:t>
            </w:r>
          </w:p>
        </w:tc>
        <w:tc>
          <w:tcPr>
            <w:tcW w:w="4796" w:type="dxa"/>
            <w:noWrap w:val="0"/>
            <w:vAlign w:val="center"/>
          </w:tcPr>
          <w:p>
            <w:pPr>
              <w:pStyle w:val="45"/>
              <w:spacing w:line="360" w:lineRule="auto"/>
              <w:ind w:firstLine="412"/>
              <w:rPr>
                <w:rFonts w:hint="eastAsia" w:ascii="宋体" w:hAnsi="宋体" w:eastAsia="宋体" w:cs="宋体"/>
                <w:color w:val="auto"/>
                <w:spacing w:val="-2"/>
                <w:szCs w:val="21"/>
              </w:rPr>
            </w:pPr>
            <w:r>
              <w:rPr>
                <w:rFonts w:hint="eastAsia" w:ascii="宋体" w:hAnsi="宋体" w:eastAsia="宋体" w:cs="宋体"/>
                <w:color w:val="auto"/>
                <w:spacing w:val="-2"/>
                <w:szCs w:val="21"/>
              </w:rPr>
              <w:t>若因我方未及时配合与工程承包范围内相关的其他标段（工种、分项）工程施工单位的工程施工，给招标人或其他施工单位造成损失的，我方承担所有的责任及经济损失。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项目管理班子人员承诺</w:t>
            </w:r>
          </w:p>
        </w:tc>
        <w:tc>
          <w:tcPr>
            <w:tcW w:w="3073" w:type="dxa"/>
            <w:noWrap w:val="0"/>
            <w:vAlign w:val="center"/>
          </w:tcPr>
          <w:p>
            <w:pPr>
              <w:pStyle w:val="46"/>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我方保证投标文件中所拟派的项目经理、技术负责人、施工员、质量员、安全员等工程管理人员全部在施工现场管理施工</w:t>
            </w:r>
          </w:p>
        </w:tc>
        <w:tc>
          <w:tcPr>
            <w:tcW w:w="4796" w:type="dxa"/>
            <w:noWrap w:val="0"/>
            <w:vAlign w:val="center"/>
          </w:tcPr>
          <w:p>
            <w:pPr>
              <w:pStyle w:val="45"/>
              <w:spacing w:line="360" w:lineRule="auto"/>
              <w:ind w:firstLine="412"/>
              <w:rPr>
                <w:rFonts w:hint="eastAsia" w:ascii="宋体" w:hAnsi="宋体" w:eastAsia="宋体" w:cs="宋体"/>
                <w:color w:val="auto"/>
                <w:spacing w:val="-2"/>
                <w:szCs w:val="21"/>
              </w:rPr>
            </w:pPr>
            <w:r>
              <w:rPr>
                <w:rFonts w:hint="eastAsia" w:ascii="宋体" w:hAnsi="宋体" w:eastAsia="宋体" w:cs="宋体"/>
                <w:color w:val="auto"/>
                <w:spacing w:val="-2"/>
                <w:szCs w:val="21"/>
              </w:rPr>
              <w:t>承诺施工期间如左所叙施工现场管理人员按要求每日办理签到手续，如未经招标人同意未办理签到，向建设单位每人每天支付违约金</w:t>
            </w:r>
            <w:r>
              <w:rPr>
                <w:rFonts w:hint="eastAsia" w:ascii="宋体" w:hAnsi="宋体" w:eastAsia="宋体" w:cs="宋体"/>
                <w:color w:val="auto"/>
                <w:szCs w:val="21"/>
              </w:rPr>
              <w:t>¥</w:t>
            </w:r>
            <w:r>
              <w:rPr>
                <w:rFonts w:hint="eastAsia" w:ascii="宋体" w:hAnsi="宋体" w:eastAsia="宋体" w:cs="宋体"/>
                <w:color w:val="auto"/>
                <w:spacing w:val="-2"/>
                <w:szCs w:val="21"/>
              </w:rPr>
              <w:t>500元（项目经理未签到每天支付违约金</w:t>
            </w:r>
            <w:r>
              <w:rPr>
                <w:rFonts w:hint="eastAsia" w:ascii="宋体" w:hAnsi="宋体" w:eastAsia="宋体" w:cs="宋体"/>
                <w:color w:val="auto"/>
                <w:szCs w:val="21"/>
              </w:rPr>
              <w:t>¥</w:t>
            </w:r>
            <w:r>
              <w:rPr>
                <w:rFonts w:hint="eastAsia" w:ascii="宋体" w:hAnsi="宋体" w:eastAsia="宋体" w:cs="宋体"/>
                <w:color w:val="auto"/>
                <w:spacing w:val="-2"/>
                <w:szCs w:val="21"/>
              </w:rPr>
              <w:t>1000元）；</w:t>
            </w:r>
          </w:p>
          <w:p>
            <w:pPr>
              <w:pStyle w:val="45"/>
              <w:spacing w:line="360" w:lineRule="auto"/>
              <w:ind w:firstLine="412"/>
              <w:rPr>
                <w:rFonts w:hint="eastAsia" w:ascii="宋体" w:hAnsi="宋体" w:eastAsia="宋体" w:cs="宋体"/>
                <w:color w:val="auto"/>
                <w:spacing w:val="-2"/>
                <w:szCs w:val="21"/>
              </w:rPr>
            </w:pPr>
            <w:r>
              <w:rPr>
                <w:rFonts w:hint="eastAsia" w:ascii="宋体" w:hAnsi="宋体" w:eastAsia="宋体" w:cs="宋体"/>
                <w:color w:val="auto"/>
                <w:spacing w:val="-2"/>
                <w:szCs w:val="21"/>
              </w:rPr>
              <w:t>若我方的投标文件中所拟派的如左所述任何一个管理人员未经招标人或招标人同意擅自离岗，在一个月内达到10次/人，或项目经理、技术负责人在施工过程中每月驻场少于20天的，招标人有权终止合同。我方承担由此造成的所有责任及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pacing w:val="-2"/>
                <w:szCs w:val="21"/>
              </w:rPr>
            </w:pPr>
            <w:r>
              <w:rPr>
                <w:rFonts w:hint="eastAsia" w:ascii="宋体" w:hAnsi="宋体" w:eastAsia="宋体" w:cs="宋体"/>
                <w:color w:val="auto"/>
                <w:spacing w:val="-2"/>
                <w:szCs w:val="21"/>
              </w:rPr>
              <w:t>对不平衡报价的承诺</w:t>
            </w:r>
          </w:p>
        </w:tc>
        <w:tc>
          <w:tcPr>
            <w:tcW w:w="3073" w:type="dxa"/>
            <w:noWrap w:val="0"/>
            <w:vAlign w:val="center"/>
          </w:tcPr>
          <w:p>
            <w:pPr>
              <w:pStyle w:val="46"/>
              <w:spacing w:line="36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如我方中标，我方无条件同意招标人对我方投标报价中界定为不平衡报价的综合单价在总价不变的情况下对各综合单价进行修正，并承担责任。</w:t>
            </w:r>
          </w:p>
        </w:tc>
        <w:tc>
          <w:tcPr>
            <w:tcW w:w="4796" w:type="dxa"/>
            <w:noWrap w:val="0"/>
            <w:vAlign w:val="center"/>
          </w:tcPr>
          <w:p>
            <w:pPr>
              <w:pStyle w:val="45"/>
              <w:spacing w:line="360" w:lineRule="auto"/>
              <w:ind w:firstLine="309" w:firstLineChars="150"/>
              <w:rPr>
                <w:rFonts w:hint="eastAsia" w:ascii="宋体" w:hAnsi="宋体" w:eastAsia="宋体" w:cs="宋体"/>
                <w:color w:val="auto"/>
                <w:spacing w:val="-2"/>
                <w:szCs w:val="21"/>
              </w:rPr>
            </w:pPr>
            <w:r>
              <w:rPr>
                <w:rFonts w:hint="eastAsia" w:ascii="宋体" w:hAnsi="宋体" w:eastAsia="宋体" w:cs="宋体"/>
                <w:color w:val="auto"/>
                <w:spacing w:val="-2"/>
                <w:szCs w:val="21"/>
              </w:rPr>
              <w:t>如我方不同意修正，招标人有权终止合同。我方承担由此造成的所有责任及经济损失。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3" w:hRule="atLeast"/>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对支付农民工工资的承诺</w:t>
            </w:r>
          </w:p>
        </w:tc>
        <w:tc>
          <w:tcPr>
            <w:tcW w:w="3073" w:type="dxa"/>
            <w:noWrap w:val="0"/>
            <w:vAlign w:val="center"/>
          </w:tcPr>
          <w:p>
            <w:pPr>
              <w:pStyle w:val="45"/>
              <w:spacing w:line="360" w:lineRule="auto"/>
              <w:ind w:firstLine="412"/>
              <w:rPr>
                <w:rFonts w:hint="eastAsia" w:ascii="宋体" w:hAnsi="宋体" w:eastAsia="宋体" w:cs="宋体"/>
                <w:color w:val="auto"/>
                <w:szCs w:val="21"/>
              </w:rPr>
            </w:pPr>
            <w:r>
              <w:rPr>
                <w:rFonts w:hint="eastAsia" w:ascii="宋体" w:hAnsi="宋体" w:eastAsia="宋体" w:cs="宋体"/>
                <w:color w:val="auto"/>
                <w:spacing w:val="-2"/>
                <w:szCs w:val="21"/>
              </w:rPr>
              <w:t>如我方中标，我方无条件同意按照用工合同支付</w:t>
            </w:r>
            <w:r>
              <w:rPr>
                <w:rFonts w:hint="eastAsia" w:ascii="宋体" w:hAnsi="宋体" w:eastAsia="宋体" w:cs="宋体"/>
                <w:color w:val="auto"/>
                <w:szCs w:val="21"/>
              </w:rPr>
              <w:t>农民工工资。</w:t>
            </w:r>
          </w:p>
        </w:tc>
        <w:tc>
          <w:tcPr>
            <w:tcW w:w="4796" w:type="dxa"/>
            <w:noWrap w:val="0"/>
            <w:vAlign w:val="center"/>
          </w:tcPr>
          <w:p>
            <w:pPr>
              <w:pStyle w:val="45"/>
              <w:spacing w:line="360" w:lineRule="auto"/>
              <w:ind w:firstLine="412"/>
              <w:rPr>
                <w:rFonts w:hint="eastAsia" w:ascii="宋体" w:hAnsi="宋体" w:eastAsia="宋体" w:cs="宋体"/>
                <w:color w:val="auto"/>
                <w:szCs w:val="21"/>
              </w:rPr>
            </w:pPr>
            <w:r>
              <w:rPr>
                <w:rFonts w:hint="eastAsia" w:ascii="宋体" w:hAnsi="宋体" w:eastAsia="宋体" w:cs="宋体"/>
                <w:color w:val="auto"/>
                <w:spacing w:val="-2"/>
                <w:szCs w:val="21"/>
              </w:rPr>
              <w:t>如我方中标，我方无条件同意按照用工合同支付</w:t>
            </w:r>
            <w:r>
              <w:rPr>
                <w:rFonts w:hint="eastAsia" w:ascii="宋体" w:hAnsi="宋体" w:eastAsia="宋体" w:cs="宋体"/>
                <w:color w:val="auto"/>
                <w:szCs w:val="21"/>
              </w:rPr>
              <w:t>农民工工资。否则，招标人有权终止合同，扣除履约保证金，并由招标人先行垫付农民工被拖欠的工资，数额以未结清的工程数为限。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施工组织设计承诺</w:t>
            </w:r>
          </w:p>
        </w:tc>
        <w:tc>
          <w:tcPr>
            <w:tcW w:w="3073" w:type="dxa"/>
            <w:noWrap w:val="0"/>
            <w:vAlign w:val="center"/>
          </w:tcPr>
          <w:p>
            <w:pPr>
              <w:pStyle w:val="45"/>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我方保证施工组织设计按照国家省市有关规定进行编写。</w:t>
            </w:r>
          </w:p>
        </w:tc>
        <w:tc>
          <w:tcPr>
            <w:tcW w:w="4796" w:type="dxa"/>
            <w:noWrap w:val="0"/>
            <w:vAlign w:val="center"/>
          </w:tcPr>
          <w:p>
            <w:pPr>
              <w:pStyle w:val="45"/>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如我方的施工组织设计未根据招标项目情况按照国家省市有关规定进行编写的，扣除全部履约保证金。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48"/>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1234" w:type="dxa"/>
            <w:noWrap w:val="0"/>
            <w:vAlign w:val="center"/>
          </w:tcPr>
          <w:p>
            <w:pPr>
              <w:pStyle w:val="48"/>
              <w:shd w:val="clear" w:color="auto" w:fill="auto"/>
              <w:spacing w:line="360" w:lineRule="auto"/>
              <w:jc w:val="center"/>
              <w:rPr>
                <w:rFonts w:hint="eastAsia" w:ascii="宋体" w:hAnsi="宋体" w:eastAsia="宋体" w:cs="宋体"/>
                <w:kern w:val="2"/>
                <w:sz w:val="24"/>
                <w:szCs w:val="21"/>
                <w:lang w:val="en-US" w:eastAsia="zh-CN" w:bidi="ar-SA"/>
              </w:rPr>
            </w:pPr>
            <w:r>
              <w:rPr>
                <w:rFonts w:hint="eastAsia" w:ascii="宋体" w:hAnsi="宋体" w:eastAsia="宋体" w:cs="宋体"/>
                <w:szCs w:val="21"/>
              </w:rPr>
              <w:t>勘察承诺</w:t>
            </w:r>
          </w:p>
        </w:tc>
        <w:tc>
          <w:tcPr>
            <w:tcW w:w="3073" w:type="dxa"/>
            <w:noWrap w:val="0"/>
            <w:vAlign w:val="center"/>
          </w:tcPr>
          <w:p>
            <w:pPr>
              <w:pStyle w:val="49"/>
              <w:shd w:val="clear" w:color="auto" w:fill="auto"/>
              <w:spacing w:line="360" w:lineRule="auto"/>
              <w:ind w:left="0" w:leftChars="0" w:firstLine="472" w:firstLineChars="200"/>
              <w:rPr>
                <w:rFonts w:hint="eastAsia" w:ascii="宋体" w:hAnsi="宋体" w:eastAsia="宋体" w:cs="宋体"/>
                <w:kern w:val="2"/>
                <w:sz w:val="24"/>
                <w:szCs w:val="21"/>
                <w:lang w:val="en-US" w:eastAsia="zh-CN" w:bidi="ar-SA"/>
              </w:rPr>
            </w:pPr>
            <w:r>
              <w:rPr>
                <w:rFonts w:hint="eastAsia" w:ascii="宋体" w:hAnsi="宋体" w:eastAsia="宋体" w:cs="宋体"/>
                <w:spacing w:val="-2"/>
                <w:szCs w:val="21"/>
              </w:rPr>
              <w:t>如我方中标，我方保证按勘察规范及有关法律法规进行勘察，并准时提供相应满足设计要求的勘察成果</w:t>
            </w:r>
            <w:r>
              <w:rPr>
                <w:rFonts w:hint="eastAsia" w:ascii="宋体" w:hAnsi="宋体" w:eastAsia="宋体" w:cs="宋体"/>
                <w:szCs w:val="21"/>
              </w:rPr>
              <w:t>。</w:t>
            </w:r>
          </w:p>
        </w:tc>
        <w:tc>
          <w:tcPr>
            <w:tcW w:w="4796" w:type="dxa"/>
            <w:noWrap w:val="0"/>
            <w:vAlign w:val="center"/>
          </w:tcPr>
          <w:p>
            <w:pPr>
              <w:pStyle w:val="49"/>
              <w:shd w:val="clear" w:color="auto" w:fill="auto"/>
              <w:spacing w:line="360" w:lineRule="auto"/>
              <w:ind w:left="0" w:leftChars="0" w:firstLine="480" w:firstLineChars="200"/>
              <w:rPr>
                <w:rFonts w:hint="eastAsia" w:ascii="宋体" w:hAnsi="宋体" w:eastAsia="宋体" w:cs="宋体"/>
                <w:szCs w:val="21"/>
              </w:rPr>
            </w:pPr>
            <w:r>
              <w:rPr>
                <w:rFonts w:hint="eastAsia" w:ascii="宋体" w:hAnsi="宋体" w:eastAsia="宋体" w:cs="宋体"/>
                <w:szCs w:val="21"/>
              </w:rPr>
              <w:t>如我方中标，未能按招标文件要求提供勘察成果，招标人有权终止合同，扣除勘察费的10%作为违约罚款，并由招标人另行委托相应资质的单位进行勘察，其费用由中标人支付，勘察工期不予顺延且不另外计取赶工措施费。</w:t>
            </w:r>
          </w:p>
          <w:p>
            <w:pPr>
              <w:pStyle w:val="49"/>
              <w:shd w:val="clear" w:color="auto" w:fill="auto"/>
              <w:spacing w:line="360" w:lineRule="auto"/>
              <w:ind w:left="0" w:leftChars="0" w:firstLine="480" w:firstLineChars="200"/>
              <w:rPr>
                <w:rFonts w:hint="eastAsia" w:ascii="宋体" w:hAnsi="宋体" w:eastAsia="宋体" w:cs="宋体"/>
                <w:szCs w:val="21"/>
              </w:rPr>
            </w:pPr>
            <w:r>
              <w:rPr>
                <w:rFonts w:hint="eastAsia" w:ascii="宋体" w:hAnsi="宋体" w:eastAsia="宋体" w:cs="宋体"/>
                <w:szCs w:val="21"/>
              </w:rPr>
              <w:t>地质勘探过程中，发包人可随时到现场抽检勘探情况，发现有造假现象的，扣除勘察设计合同价款中勘察费的10%。发现两次以上的则发包人有权解除合同。</w:t>
            </w:r>
          </w:p>
          <w:p>
            <w:pPr>
              <w:pStyle w:val="49"/>
              <w:shd w:val="clear" w:color="auto" w:fill="auto"/>
              <w:spacing w:line="360" w:lineRule="auto"/>
              <w:ind w:left="0" w:leftChars="0"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szCs w:val="21"/>
              </w:rPr>
              <w:t>施工过程中，发现现场地质情况与同位置勘察点的勘察成果不符时，每发现一处，需扣除勘察设计合同价款中勘察费的5%，扣完为止。同时免费负责补充相应的地质勘察工作。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48"/>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p>
        </w:tc>
        <w:tc>
          <w:tcPr>
            <w:tcW w:w="1234" w:type="dxa"/>
            <w:noWrap w:val="0"/>
            <w:vAlign w:val="center"/>
          </w:tcPr>
          <w:p>
            <w:pPr>
              <w:pStyle w:val="48"/>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设计承诺</w:t>
            </w:r>
          </w:p>
        </w:tc>
        <w:tc>
          <w:tcPr>
            <w:tcW w:w="3073" w:type="dxa"/>
            <w:noWrap w:val="0"/>
            <w:vAlign w:val="center"/>
          </w:tcPr>
          <w:p>
            <w:pPr>
              <w:pStyle w:val="49"/>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如我方中标，我方保证按设计规范及有关法律法规进行设计，并准时提供相应设计文件经审图机构审查通过。</w:t>
            </w:r>
          </w:p>
        </w:tc>
        <w:tc>
          <w:tcPr>
            <w:tcW w:w="4796" w:type="dxa"/>
            <w:noWrap w:val="0"/>
            <w:vAlign w:val="center"/>
          </w:tcPr>
          <w:p>
            <w:pPr>
              <w:pStyle w:val="49"/>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如我方中标，未能按招标文件要求提供设计文件，招标人有权终止合同，扣除设计费的10%作为违约罚款，并由招标人另行委托相应资质的单位进行设计，其费用由中标人支付，施工工期不予顺延且不另外计取赶工措施费。</w:t>
            </w:r>
          </w:p>
          <w:p>
            <w:pPr>
              <w:pStyle w:val="49"/>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由于设计人设计工作错误造成工程设计质量事故，根据责任情况，负责赔偿工程损失费，但最高不超过该项目应收设计费总额，负责采取补救措施。</w:t>
            </w:r>
          </w:p>
          <w:p>
            <w:pPr>
              <w:pStyle w:val="49"/>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施工期间除发包人要求或特殊地质原因外，因设计质量和深度不够的原因引起的工程返工或需要设计变更引起工程造价增加的，每次扣减设计合同价款中设计费的2％，扣完为止。</w:t>
            </w:r>
          </w:p>
          <w:p>
            <w:pPr>
              <w:pStyle w:val="49"/>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因设计单位自身原因造成工程结算超施工招标中标价的，扣除应付设计合同价款中的余款。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strike/>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综合服务能力承诺</w:t>
            </w:r>
          </w:p>
        </w:tc>
        <w:tc>
          <w:tcPr>
            <w:tcW w:w="3073"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我方保证中标后，自行解决施工中遇到的各种外部问题，协调周边企业、村民关系，并承担由此产生的所以责任及损失。</w:t>
            </w:r>
          </w:p>
        </w:tc>
        <w:tc>
          <w:tcPr>
            <w:tcW w:w="4796" w:type="dxa"/>
            <w:noWrap w:val="0"/>
            <w:vAlign w:val="center"/>
          </w:tcPr>
          <w:p>
            <w:pPr>
              <w:pStyle w:val="45"/>
              <w:spacing w:line="360" w:lineRule="auto"/>
              <w:ind w:firstLine="420"/>
              <w:jc w:val="left"/>
              <w:rPr>
                <w:rFonts w:hint="eastAsia" w:ascii="宋体" w:hAnsi="宋体" w:eastAsia="宋体" w:cs="宋体"/>
                <w:color w:val="auto"/>
                <w:szCs w:val="21"/>
              </w:rPr>
            </w:pPr>
            <w:r>
              <w:rPr>
                <w:rFonts w:hint="eastAsia" w:ascii="宋体" w:hAnsi="宋体" w:eastAsia="宋体" w:cs="宋体"/>
                <w:color w:val="auto"/>
                <w:szCs w:val="21"/>
              </w:rPr>
              <w:t>若我方未能按招标文件所承诺的各项承诺完成时，我方同意按比例扣除相应履约保证金，并承担由此引起的所有责任。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p>
        </w:tc>
        <w:tc>
          <w:tcPr>
            <w:tcW w:w="1234" w:type="dxa"/>
            <w:noWrap w:val="0"/>
            <w:vAlign w:val="center"/>
          </w:tcPr>
          <w:p>
            <w:pPr>
              <w:pStyle w:val="45"/>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廉政承诺</w:t>
            </w:r>
          </w:p>
        </w:tc>
        <w:tc>
          <w:tcPr>
            <w:tcW w:w="3073" w:type="dxa"/>
            <w:noWrap w:val="0"/>
            <w:vAlign w:val="center"/>
          </w:tcPr>
          <w:p>
            <w:pPr>
              <w:pStyle w:val="45"/>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如我方中标，我方将严格执行国家、广东省、韶关市有关工程建设廉政的有关法律法规及双方签订的廉政合同。</w:t>
            </w:r>
          </w:p>
        </w:tc>
        <w:tc>
          <w:tcPr>
            <w:tcW w:w="4796" w:type="dxa"/>
            <w:noWrap w:val="0"/>
            <w:vAlign w:val="center"/>
          </w:tcPr>
          <w:p>
            <w:pPr>
              <w:pStyle w:val="45"/>
              <w:spacing w:line="360" w:lineRule="auto"/>
              <w:ind w:firstLine="420"/>
              <w:jc w:val="left"/>
              <w:rPr>
                <w:rFonts w:hint="eastAsia" w:ascii="宋体" w:hAnsi="宋体" w:eastAsia="宋体" w:cs="宋体"/>
                <w:color w:val="auto"/>
                <w:szCs w:val="21"/>
              </w:rPr>
            </w:pPr>
            <w:r>
              <w:rPr>
                <w:rFonts w:hint="eastAsia" w:ascii="宋体" w:hAnsi="宋体" w:eastAsia="宋体" w:cs="宋体"/>
                <w:color w:val="auto"/>
                <w:szCs w:val="21"/>
              </w:rPr>
              <w:t>如我方违反国家、广东省、韶关市有关工程建设廉政的有关法律法规及双方签订的廉政合同，受到相关主管部门的通报或查处，招标人可按规定对我方进行处罚，情节严重时招标人可终止合同，我方承担由此造成的所有责任和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8</w:t>
            </w:r>
          </w:p>
        </w:tc>
        <w:tc>
          <w:tcPr>
            <w:tcW w:w="1234" w:type="dxa"/>
            <w:noWrap w:val="0"/>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对外协调关系承诺</w:t>
            </w:r>
          </w:p>
        </w:tc>
        <w:tc>
          <w:tcPr>
            <w:tcW w:w="3073" w:type="dxa"/>
            <w:noWrap w:val="0"/>
            <w:vAlign w:val="center"/>
          </w:tcPr>
          <w:p>
            <w:pPr>
              <w:pStyle w:val="8"/>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我方保证中标后，自行解决施工中遇到的各种外部问题，协调周边企业、村民关系，并承担由此产生的所有责任及损失。</w:t>
            </w:r>
          </w:p>
        </w:tc>
        <w:tc>
          <w:tcPr>
            <w:tcW w:w="4796" w:type="dxa"/>
            <w:noWrap w:val="0"/>
            <w:vAlign w:val="center"/>
          </w:tcPr>
          <w:p>
            <w:pPr>
              <w:pStyle w:val="8"/>
              <w:spacing w:line="360" w:lineRule="auto"/>
              <w:ind w:firstLine="420"/>
              <w:rPr>
                <w:rFonts w:hint="eastAsia" w:ascii="宋体" w:hAnsi="宋体" w:eastAsia="宋体" w:cs="宋体"/>
                <w:color w:val="auto"/>
                <w:szCs w:val="21"/>
              </w:rPr>
            </w:pPr>
            <w:r>
              <w:rPr>
                <w:rFonts w:hint="eastAsia" w:ascii="宋体" w:hAnsi="宋体" w:eastAsia="宋体" w:cs="宋体"/>
                <w:color w:val="auto"/>
                <w:szCs w:val="21"/>
              </w:rPr>
              <w:t>若我方未能按招标文件所承诺的各项承诺完成时，我方同意按比例扣除相应履约保证金，并承担由此引起的所有责任。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656" w:type="dxa"/>
            <w:noWrap w:val="0"/>
            <w:vAlign w:val="center"/>
          </w:tcPr>
          <w:p>
            <w:pPr>
              <w:pStyle w:val="2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9</w:t>
            </w:r>
          </w:p>
        </w:tc>
        <w:tc>
          <w:tcPr>
            <w:tcW w:w="1234" w:type="dxa"/>
            <w:noWrap w:val="0"/>
            <w:vAlign w:val="center"/>
          </w:tcPr>
          <w:p>
            <w:pPr>
              <w:pStyle w:val="45"/>
              <w:wordWrap w:val="0"/>
              <w:adjustRightInd w:val="0"/>
              <w:snapToGrid w:val="0"/>
              <w:spacing w:line="360" w:lineRule="auto"/>
              <w:ind w:firstLine="0" w:firstLineChars="0"/>
              <w:jc w:val="center"/>
              <w:rPr>
                <w:rFonts w:hint="eastAsia" w:ascii="宋体" w:hAnsi="宋体" w:eastAsia="宋体" w:cs="宋体"/>
                <w:color w:val="auto"/>
                <w:szCs w:val="21"/>
              </w:rPr>
            </w:pPr>
            <w:r>
              <w:rPr>
                <w:rFonts w:hint="eastAsia" w:ascii="宋体" w:hAnsi="宋体" w:eastAsia="宋体" w:cs="宋体"/>
                <w:snapToGrid w:val="0"/>
                <w:color w:val="auto"/>
                <w:kern w:val="0"/>
                <w:szCs w:val="21"/>
              </w:rPr>
              <w:t>投标文件信息公开承诺</w:t>
            </w:r>
          </w:p>
        </w:tc>
        <w:tc>
          <w:tcPr>
            <w:tcW w:w="3073" w:type="dxa"/>
            <w:noWrap w:val="0"/>
            <w:vAlign w:val="center"/>
          </w:tcPr>
          <w:p>
            <w:pPr>
              <w:pStyle w:val="45"/>
              <w:wordWrap w:val="0"/>
              <w:adjustRightInd w:val="0"/>
              <w:snapToGrid w:val="0"/>
              <w:spacing w:line="360" w:lineRule="auto"/>
              <w:ind w:firstLine="210" w:firstLineChars="100"/>
              <w:rPr>
                <w:rFonts w:hint="eastAsia" w:ascii="宋体" w:hAnsi="宋体" w:eastAsia="宋体" w:cs="宋体"/>
                <w:color w:val="auto"/>
                <w:szCs w:val="21"/>
              </w:rPr>
            </w:pPr>
            <w:r>
              <w:rPr>
                <w:rFonts w:hint="eastAsia" w:ascii="宋体" w:hAnsi="宋体" w:eastAsia="宋体" w:cs="宋体"/>
                <w:sz w:val="21"/>
              </w:rPr>
              <mc:AlternateContent>
                <mc:Choice Requires="wps">
                  <w:drawing>
                    <wp:anchor distT="0" distB="0" distL="114300" distR="114300" simplePos="0" relativeHeight="251662336" behindDoc="0" locked="0" layoutInCell="1" allowOverlap="1">
                      <wp:simplePos x="0" y="0"/>
                      <wp:positionH relativeFrom="column">
                        <wp:posOffset>1945640</wp:posOffset>
                      </wp:positionH>
                      <wp:positionV relativeFrom="paragraph">
                        <wp:posOffset>-29845</wp:posOffset>
                      </wp:positionV>
                      <wp:extent cx="3057525" cy="1323975"/>
                      <wp:effectExtent l="1905" t="4445" r="7620" b="5080"/>
                      <wp:wrapNone/>
                      <wp:docPr id="2" name="直接连接符 2"/>
                      <wp:cNvGraphicFramePr/>
                      <a:graphic xmlns:a="http://schemas.openxmlformats.org/drawingml/2006/main">
                        <a:graphicData uri="http://schemas.microsoft.com/office/word/2010/wordprocessingShape">
                          <wps:wsp>
                            <wps:cNvCnPr/>
                            <wps:spPr>
                              <a:xfrm flipV="1">
                                <a:off x="0" y="0"/>
                                <a:ext cx="3057525" cy="13239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53.2pt;margin-top:-2.35pt;height:104.25pt;width:240.75pt;z-index:251662336;mso-width-relative:page;mso-height-relative:page;" filled="f" stroked="t" coordsize="21600,21600" o:gfxdata="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87noI2QAAAAoBAAAPAAAAAAAAAAEAIAAAACIAAABkcnMvZG93&#10;bnJldi54bWxQSwECFAAUAAAACACHTuJAccTVCP8BAAD0AwAADgAAAAAAAAABACAAAAAoAQAAZHJz&#10;L2Uyb0RvYy54bWxQSwUGAAAAAAYABgBZAQAAmQUAAAAA&#10;">
                      <v:fill on="f" focussize="0,0"/>
                      <v:stroke color="#000000" joinstyle="round"/>
                      <v:imagedata o:title=""/>
                      <o:lock v:ext="edit" aspectratio="f"/>
                    </v:line>
                  </w:pict>
                </mc:Fallback>
              </mc:AlternateContent>
            </w:r>
            <w:r>
              <w:rPr>
                <w:rFonts w:hint="eastAsia" w:ascii="宋体" w:hAnsi="宋体" w:eastAsia="宋体" w:cs="宋体"/>
                <w:snapToGrid w:val="0"/>
                <w:color w:val="auto"/>
                <w:kern w:val="0"/>
                <w:szCs w:val="21"/>
              </w:rPr>
              <w:t>我方提供完整的电子文件。如果我方成为本项目中标候选人，我方同意并授权招标人在评标结果公示期内公开我方商务经济标书的全部内容。</w:t>
            </w:r>
          </w:p>
        </w:tc>
        <w:tc>
          <w:tcPr>
            <w:tcW w:w="4796" w:type="dxa"/>
            <w:noWrap w:val="0"/>
            <w:vAlign w:val="center"/>
          </w:tcPr>
          <w:p>
            <w:pPr>
              <w:pStyle w:val="45"/>
              <w:wordWrap w:val="0"/>
              <w:adjustRightInd w:val="0"/>
              <w:snapToGrid w:val="0"/>
              <w:spacing w:line="360" w:lineRule="auto"/>
              <w:ind w:firstLine="0" w:firstLineChars="0"/>
              <w:jc w:val="left"/>
              <w:rPr>
                <w:rFonts w:hint="eastAsia" w:ascii="宋体" w:hAnsi="宋体" w:eastAsia="宋体" w:cs="宋体"/>
                <w:color w:val="auto"/>
                <w:szCs w:val="21"/>
              </w:rPr>
            </w:pPr>
            <w:r>
              <w:rPr>
                <w:rFonts w:hint="eastAsia" w:ascii="宋体" w:hAnsi="宋体" w:eastAsia="宋体" w:cs="宋体"/>
                <w:snapToGrid w:val="0"/>
                <w:color w:val="auto"/>
                <w:kern w:val="0"/>
                <w:szCs w:val="21"/>
              </w:rPr>
              <w:t xml:space="preserve">    </w:t>
            </w:r>
          </w:p>
          <w:p>
            <w:pPr>
              <w:pStyle w:val="45"/>
              <w:wordWrap w:val="0"/>
              <w:adjustRightInd w:val="0"/>
              <w:snapToGrid w:val="0"/>
              <w:spacing w:line="360" w:lineRule="auto"/>
              <w:ind w:firstLine="0" w:firstLineChars="0"/>
              <w:jc w:val="lef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6"/>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20</w:t>
            </w:r>
          </w:p>
        </w:tc>
        <w:tc>
          <w:tcPr>
            <w:tcW w:w="1234" w:type="dxa"/>
            <w:noWrap w:val="0"/>
            <w:vAlign w:val="center"/>
          </w:tcPr>
          <w:p>
            <w:pPr>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按时提交履约保证的承诺</w:t>
            </w:r>
          </w:p>
        </w:tc>
        <w:tc>
          <w:tcPr>
            <w:tcW w:w="3073" w:type="dxa"/>
            <w:noWrap w:val="0"/>
            <w:vAlign w:val="center"/>
          </w:tcPr>
          <w:p>
            <w:pPr>
              <w:pStyle w:val="45"/>
              <w:wordWrap w:val="0"/>
              <w:adjustRightInd w:val="0"/>
              <w:snapToGrid w:val="0"/>
              <w:spacing w:line="36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如果我方中标，我方保证在招标文件规定的时限内全额提交履约保证。</w:t>
            </w:r>
          </w:p>
        </w:tc>
        <w:tc>
          <w:tcPr>
            <w:tcW w:w="4796" w:type="dxa"/>
            <w:noWrap w:val="0"/>
            <w:vAlign w:val="center"/>
          </w:tcPr>
          <w:p>
            <w:pPr>
              <w:pStyle w:val="45"/>
              <w:wordWrap w:val="0"/>
              <w:adjustRightInd w:val="0"/>
              <w:snapToGrid w:val="0"/>
              <w:spacing w:line="360" w:lineRule="auto"/>
              <w:ind w:firstLine="0" w:firstLineChars="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如果我方未在招标文件规定的时限内全额提交履约保证，我方接受招标人依据招标文件作出的相应处理以及有关监督部门作出的行政处罚，并承担由此引起的一切法律后果。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6" w:type="dxa"/>
            <w:noWrap w:val="0"/>
            <w:vAlign w:val="center"/>
          </w:tcPr>
          <w:p>
            <w:pPr>
              <w:pStyle w:val="6"/>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21</w:t>
            </w:r>
          </w:p>
        </w:tc>
        <w:tc>
          <w:tcPr>
            <w:tcW w:w="1234" w:type="dxa"/>
            <w:noWrap w:val="0"/>
            <w:vAlign w:val="center"/>
          </w:tcPr>
          <w:p>
            <w:pPr>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按时签订合同的承诺</w:t>
            </w:r>
          </w:p>
        </w:tc>
        <w:tc>
          <w:tcPr>
            <w:tcW w:w="3073" w:type="dxa"/>
            <w:noWrap w:val="0"/>
            <w:vAlign w:val="center"/>
          </w:tcPr>
          <w:p>
            <w:pPr>
              <w:pStyle w:val="45"/>
              <w:wordWrap w:val="0"/>
              <w:adjustRightInd w:val="0"/>
              <w:snapToGrid w:val="0"/>
              <w:spacing w:line="36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如果我方中标，我方保证在招标文件规定的时限内与招标人签订合同，不提出违背或超出招标文件、中标文件的要求。</w:t>
            </w:r>
          </w:p>
        </w:tc>
        <w:tc>
          <w:tcPr>
            <w:tcW w:w="4796" w:type="dxa"/>
            <w:noWrap w:val="0"/>
            <w:vAlign w:val="center"/>
          </w:tcPr>
          <w:p>
            <w:pPr>
              <w:pStyle w:val="45"/>
              <w:wordWrap w:val="0"/>
              <w:adjustRightInd w:val="0"/>
              <w:snapToGrid w:val="0"/>
              <w:spacing w:line="36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如果我方未在招标文件规定的时限内与招标人签订合同，或我方在签订合同过程中提出违背或超出招标文件、中标文件的要求。我方接受招标人依据招标文件作出的相应处理以及有关监督部门作出的行政处罚，并承担由此引起的一切法律后果。</w:t>
            </w:r>
          </w:p>
        </w:tc>
      </w:tr>
    </w:tbl>
    <w:p>
      <w:pPr>
        <w:pStyle w:val="5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注：所有违约金均从中标人的进度款中扣除，最终结算以扣除违约金总数后的金额为准。</w:t>
      </w:r>
    </w:p>
    <w:p>
      <w:pPr>
        <w:spacing w:line="360" w:lineRule="auto"/>
        <w:rPr>
          <w:rFonts w:hint="eastAsia" w:ascii="宋体" w:hAnsi="宋体" w:eastAsia="宋体" w:cs="宋体"/>
          <w:color w:val="auto"/>
          <w:szCs w:val="21"/>
        </w:rPr>
      </w:pPr>
    </w:p>
    <w:p>
      <w:pPr>
        <w:wordWrap w:val="0"/>
        <w:adjustRightInd w:val="0"/>
        <w:snapToGrid w:val="0"/>
        <w:spacing w:line="360" w:lineRule="auto"/>
        <w:jc w:val="right"/>
        <w:rPr>
          <w:rFonts w:hint="eastAsia" w:ascii="宋体" w:hAnsi="宋体" w:eastAsia="宋体" w:cs="宋体"/>
          <w:snapToGrid w:val="0"/>
          <w:color w:val="auto"/>
          <w:kern w:val="0"/>
        </w:rPr>
      </w:pPr>
      <w:bookmarkStart w:id="422" w:name="_Toc30463"/>
      <w:bookmarkStart w:id="423" w:name="_Toc30764"/>
      <w:bookmarkStart w:id="424" w:name="_Toc10981"/>
      <w:bookmarkStart w:id="425" w:name="_Toc6658"/>
      <w:r>
        <w:rPr>
          <w:rFonts w:hint="eastAsia" w:ascii="宋体" w:hAnsi="宋体" w:eastAsia="宋体" w:cs="宋体"/>
          <w:snapToGrid w:val="0"/>
          <w:color w:val="auto"/>
          <w:kern w:val="0"/>
        </w:rPr>
        <w:t>投标人：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（盖单位章）</w:t>
      </w:r>
    </w:p>
    <w:p>
      <w:pPr>
        <w:wordWrap w:val="0"/>
        <w:adjustRightInd w:val="0"/>
        <w:snapToGrid w:val="0"/>
        <w:spacing w:line="360" w:lineRule="auto"/>
        <w:jc w:val="right"/>
        <w:rPr>
          <w:rFonts w:hint="eastAsia" w:ascii="宋体" w:hAnsi="宋体" w:eastAsia="宋体" w:cs="宋体"/>
          <w:snapToGrid w:val="0"/>
          <w:color w:val="auto"/>
          <w:kern w:val="0"/>
        </w:rPr>
      </w:pPr>
    </w:p>
    <w:p>
      <w:pPr>
        <w:wordWrap w:val="0"/>
        <w:adjustRightInd w:val="0"/>
        <w:snapToGrid w:val="0"/>
        <w:spacing w:line="360" w:lineRule="auto"/>
        <w:jc w:val="right"/>
        <w:rPr>
          <w:rFonts w:hint="eastAsia" w:ascii="宋体" w:hAnsi="宋体" w:eastAsia="宋体" w:cs="宋体"/>
          <w:snapToGrid w:val="0"/>
          <w:color w:val="auto"/>
          <w:kern w:val="0"/>
        </w:rPr>
      </w:pPr>
    </w:p>
    <w:p>
      <w:pPr>
        <w:wordWrap w:val="0"/>
        <w:adjustRightInd w:val="0"/>
        <w:snapToGrid w:val="0"/>
        <w:spacing w:line="360" w:lineRule="auto"/>
        <w:ind w:firstLine="420" w:firstLineChars="200"/>
        <w:jc w:val="right"/>
        <w:rPr>
          <w:rFonts w:hint="eastAsia" w:ascii="宋体" w:hAnsi="宋体" w:eastAsia="宋体" w:cs="宋体"/>
          <w:snapToGrid w:val="0"/>
          <w:color w:val="auto"/>
          <w:kern w:val="0"/>
        </w:rPr>
      </w:pPr>
      <w:r>
        <w:rPr>
          <w:rFonts w:hint="eastAsia" w:ascii="宋体" w:hAnsi="宋体" w:eastAsia="宋体" w:cs="宋体"/>
          <w:snapToGrid w:val="0"/>
          <w:color w:val="auto"/>
          <w:kern w:val="0"/>
        </w:rPr>
        <w:t>法定代表人或其委托代理人：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（签字或盖章）</w:t>
      </w:r>
    </w:p>
    <w:p>
      <w:pPr>
        <w:wordWrap w:val="0"/>
        <w:adjustRightInd w:val="0"/>
        <w:snapToGrid w:val="0"/>
        <w:spacing w:line="360" w:lineRule="auto"/>
        <w:ind w:firstLine="420" w:firstLineChars="200"/>
        <w:jc w:val="right"/>
        <w:rPr>
          <w:rFonts w:hint="eastAsia" w:ascii="宋体" w:hAnsi="宋体" w:eastAsia="宋体" w:cs="宋体"/>
          <w:snapToGrid w:val="0"/>
          <w:color w:val="auto"/>
          <w:kern w:val="0"/>
        </w:rPr>
      </w:pPr>
    </w:p>
    <w:p>
      <w:pPr>
        <w:wordWrap w:val="0"/>
        <w:adjustRightInd w:val="0"/>
        <w:snapToGrid w:val="0"/>
        <w:spacing w:line="360" w:lineRule="auto"/>
        <w:ind w:firstLine="3570" w:firstLineChars="17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       </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年</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月</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5"/>
        <w:wordWrap w:val="0"/>
        <w:snapToGrid w:val="0"/>
        <w:spacing w:line="360" w:lineRule="auto"/>
        <w:ind w:firstLine="420"/>
        <w:rPr>
          <w:rFonts w:hint="eastAsia" w:ascii="宋体" w:hAnsi="宋体" w:eastAsia="宋体" w:cs="宋体"/>
          <w:b/>
          <w:bCs/>
          <w:snapToGrid w:val="0"/>
          <w:color w:val="auto"/>
          <w:kern w:val="0"/>
          <w:szCs w:val="24"/>
        </w:rPr>
      </w:pPr>
      <w:bookmarkStart w:id="426" w:name="_Toc8927"/>
      <w:r>
        <w:rPr>
          <w:rFonts w:hint="eastAsia" w:ascii="宋体" w:hAnsi="宋体" w:eastAsia="宋体" w:cs="宋体"/>
          <w:snapToGrid w:val="0"/>
          <w:color w:val="auto"/>
          <w:sz w:val="24"/>
          <w:szCs w:val="24"/>
          <w:lang w:val="en-US" w:eastAsia="zh-CN"/>
        </w:rPr>
        <w:t>格式四   授权委托书</w:t>
      </w:r>
      <w:bookmarkEnd w:id="422"/>
      <w:bookmarkEnd w:id="423"/>
      <w:bookmarkEnd w:id="424"/>
      <w:bookmarkEnd w:id="425"/>
      <w:bookmarkEnd w:id="426"/>
    </w:p>
    <w:p>
      <w:pPr>
        <w:wordWrap w:val="0"/>
        <w:adjustRightInd w:val="0"/>
        <w:snapToGrid w:val="0"/>
        <w:spacing w:before="260" w:after="260" w:line="360" w:lineRule="auto"/>
        <w:jc w:val="center"/>
        <w:rPr>
          <w:rFonts w:hint="eastAsia" w:ascii="宋体" w:hAnsi="宋体" w:eastAsia="宋体" w:cs="宋体"/>
          <w:snapToGrid w:val="0"/>
          <w:color w:val="auto"/>
          <w:kern w:val="0"/>
          <w:szCs w:val="28"/>
        </w:rPr>
      </w:pPr>
      <w:r>
        <w:rPr>
          <w:rFonts w:hint="eastAsia" w:ascii="宋体" w:hAnsi="宋体" w:eastAsia="宋体" w:cs="宋体"/>
          <w:b/>
          <w:snapToGrid w:val="0"/>
          <w:color w:val="auto"/>
          <w:kern w:val="0"/>
          <w:sz w:val="30"/>
        </w:rPr>
        <w:t>授权委托书</w:t>
      </w: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本人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（姓名）系</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（投标人名称）的法定代表人，现委托</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（姓名）为我方代理人。代理人根据授权，以我方名义签署、澄清、说明、补正、递交、撤回、修改</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（项目名称）投标文件、签订合同和处理有关事宜，其法律后果由我方承担。</w:t>
      </w: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委托期限：</w:t>
      </w:r>
      <w:r>
        <w:rPr>
          <w:rFonts w:hint="eastAsia" w:ascii="宋体" w:hAnsi="宋体" w:eastAsia="宋体" w:cs="宋体"/>
          <w:snapToGrid w:val="0"/>
          <w:color w:val="auto"/>
          <w:kern w:val="0"/>
          <w:szCs w:val="21"/>
          <w:u w:val="single"/>
        </w:rPr>
        <w:t>至     年   月   日</w:t>
      </w:r>
      <w:r>
        <w:rPr>
          <w:rFonts w:hint="eastAsia" w:ascii="宋体" w:hAnsi="宋体" w:eastAsia="宋体" w:cs="宋体"/>
          <w:i/>
          <w:iCs/>
          <w:snapToGrid w:val="0"/>
          <w:color w:val="auto"/>
          <w:kern w:val="0"/>
          <w:szCs w:val="21"/>
          <w:u w:val="single"/>
        </w:rPr>
        <w:t>（不得短于招标文件规定的投标有效期）</w:t>
      </w:r>
      <w:r>
        <w:rPr>
          <w:rFonts w:hint="eastAsia" w:ascii="宋体" w:hAnsi="宋体" w:eastAsia="宋体" w:cs="宋体"/>
          <w:snapToGrid w:val="0"/>
          <w:color w:val="auto"/>
          <w:kern w:val="0"/>
          <w:szCs w:val="21"/>
        </w:rPr>
        <w:t xml:space="preserve"> 。</w:t>
      </w:r>
    </w:p>
    <w:p>
      <w:pPr>
        <w:wordWrap w:val="0"/>
        <w:adjustRightInd w:val="0"/>
        <w:snapToGrid w:val="0"/>
        <w:spacing w:line="360" w:lineRule="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代理人无转委托权。</w:t>
      </w: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  标  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（盖单位章）</w:t>
      </w: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法定代表人：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（签字或盖章）</w:t>
      </w: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委托代理人：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（签字或盖章）</w:t>
      </w: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年</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月</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日</w:t>
      </w: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1"/>
        </w:rPr>
      </w:pPr>
    </w:p>
    <w:p>
      <w:pPr>
        <w:wordWrap w:val="0"/>
        <w:adjustRightInd w:val="0"/>
        <w:snapToGrid w:val="0"/>
        <w:spacing w:line="360" w:lineRule="auto"/>
        <w:ind w:firstLine="6440" w:firstLineChars="2300"/>
        <w:rPr>
          <w:rFonts w:hint="eastAsia" w:ascii="宋体" w:hAnsi="宋体" w:eastAsia="宋体" w:cs="宋体"/>
          <w:snapToGrid w:val="0"/>
          <w:color w:val="auto"/>
          <w:kern w:val="0"/>
          <w:szCs w:val="24"/>
        </w:rPr>
      </w:pPr>
      <w:r>
        <w:rPr>
          <w:rFonts w:hint="eastAsia" w:ascii="宋体" w:hAnsi="宋体" w:eastAsia="宋体" w:cs="宋体"/>
          <w:snapToGrid w:val="0"/>
          <w:color w:val="auto"/>
          <w:kern w:val="0"/>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33020</wp:posOffset>
                </wp:positionV>
                <wp:extent cx="3190875" cy="1584325"/>
                <wp:effectExtent l="4445" t="4445" r="5080" b="11430"/>
                <wp:wrapNone/>
                <wp:docPr id="10" name="流程图: 可选过程 10"/>
                <wp:cNvGraphicFramePr/>
                <a:graphic xmlns:a="http://schemas.openxmlformats.org/drawingml/2006/main">
                  <a:graphicData uri="http://schemas.microsoft.com/office/word/2010/wordprocessingShape">
                    <wps:wsp>
                      <wps:cNvSpPr/>
                      <wps:spPr>
                        <a:xfrm>
                          <a:off x="0" y="0"/>
                          <a:ext cx="319087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委托代理人身份证彩色扫描件正、反面</w:t>
                            </w:r>
                          </w:p>
                        </w:txbxContent>
                      </wps:txbx>
                      <wps:bodyPr upright="1"/>
                    </wps:wsp>
                  </a:graphicData>
                </a:graphic>
              </wp:anchor>
            </w:drawing>
          </mc:Choice>
          <mc:Fallback>
            <w:pict>
              <v:shape id="_x0000_s1026" o:spid="_x0000_s1026" o:spt="176" type="#_x0000_t176" style="position:absolute;left:0pt;margin-left:115.5pt;margin-top:2.6pt;height:124.75pt;width:251.25pt;z-index:251661312;mso-width-relative:page;mso-height-relative:page;" fillcolor="#FFFFFF" filled="t" stroked="t" coordsize="21600,21600" o:gfxdata="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sn06zYAAAACQEAAA8AAAAAAAAAAQAgAAAAIgAAAGRycy9kb3ducmV2LnhtbFBL&#10;AQIUABQAAAAIAIdO4kD5iJLjLwIAAGAEAAAOAAAAAAAAAAEAIAAAACcBAABkcnMvZTJvRG9jLnht&#10;bFBLBQYAAAAABgAGAFkBAADIBQ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委托代理人身份证彩色扫描件正、反面</w:t>
                      </w:r>
                    </w:p>
                  </w:txbxContent>
                </v:textbox>
              </v:shape>
            </w:pict>
          </mc:Fallback>
        </mc:AlternateContent>
      </w:r>
    </w:p>
    <w:p>
      <w:pPr>
        <w:pStyle w:val="7"/>
        <w:wordWrap w:val="0"/>
        <w:adjustRightInd w:val="0"/>
        <w:snapToGrid w:val="0"/>
        <w:spacing w:line="360" w:lineRule="auto"/>
        <w:rPr>
          <w:rFonts w:hint="eastAsia" w:ascii="宋体" w:hAnsi="宋体" w:eastAsia="宋体" w:cs="宋体"/>
          <w:snapToGrid w:val="0"/>
          <w:color w:val="auto"/>
          <w:kern w:val="0"/>
          <w:szCs w:val="24"/>
        </w:rPr>
      </w:pPr>
    </w:p>
    <w:p>
      <w:pPr>
        <w:spacing w:line="360" w:lineRule="auto"/>
        <w:rPr>
          <w:rFonts w:hint="eastAsia" w:ascii="宋体" w:hAnsi="宋体" w:eastAsia="宋体" w:cs="宋体"/>
          <w:color w:val="auto"/>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wordWrap w:val="0"/>
        <w:adjustRightInd w:val="0"/>
        <w:snapToGrid w:val="0"/>
        <w:spacing w:line="360" w:lineRule="auto"/>
        <w:rPr>
          <w:rFonts w:hint="eastAsia" w:ascii="宋体" w:hAnsi="宋体" w:eastAsia="宋体" w:cs="宋体"/>
          <w:snapToGrid w:val="0"/>
          <w:color w:val="auto"/>
          <w:kern w:val="0"/>
        </w:rPr>
      </w:pPr>
    </w:p>
    <w:p>
      <w:pPr>
        <w:pStyle w:val="5"/>
        <w:wordWrap w:val="0"/>
        <w:snapToGrid w:val="0"/>
        <w:spacing w:line="360" w:lineRule="auto"/>
        <w:ind w:firstLine="420"/>
        <w:rPr>
          <w:rFonts w:hint="eastAsia" w:ascii="宋体" w:hAnsi="宋体" w:eastAsia="宋体" w:cs="宋体"/>
          <w:b/>
          <w:snapToGrid w:val="0"/>
          <w:color w:val="auto"/>
          <w:kern w:val="0"/>
        </w:rPr>
      </w:pPr>
      <w:bookmarkStart w:id="427" w:name="_Toc22832"/>
      <w:bookmarkStart w:id="428" w:name="_Toc26447"/>
      <w:r>
        <w:rPr>
          <w:rFonts w:hint="eastAsia" w:ascii="宋体" w:hAnsi="宋体" w:eastAsia="宋体" w:cs="宋体"/>
          <w:snapToGrid w:val="0"/>
          <w:color w:val="auto"/>
          <w:sz w:val="24"/>
          <w:szCs w:val="24"/>
          <w:lang w:val="en-US" w:eastAsia="zh-CN"/>
        </w:rPr>
        <w:t>格式五   法定代表人身份证明</w:t>
      </w:r>
      <w:bookmarkEnd w:id="427"/>
      <w:bookmarkEnd w:id="428"/>
    </w:p>
    <w:p>
      <w:pPr>
        <w:wordWrap w:val="0"/>
        <w:adjustRightInd w:val="0"/>
        <w:snapToGrid w:val="0"/>
        <w:spacing w:before="260" w:after="260" w:line="360" w:lineRule="auto"/>
        <w:jc w:val="center"/>
        <w:rPr>
          <w:rFonts w:hint="eastAsia" w:ascii="宋体" w:hAnsi="宋体" w:eastAsia="宋体" w:cs="宋体"/>
          <w:snapToGrid w:val="0"/>
          <w:color w:val="auto"/>
          <w:kern w:val="0"/>
          <w:szCs w:val="21"/>
        </w:rPr>
      </w:pPr>
      <w:r>
        <w:rPr>
          <w:rFonts w:hint="eastAsia" w:ascii="宋体" w:hAnsi="宋体" w:eastAsia="宋体" w:cs="宋体"/>
          <w:b/>
          <w:snapToGrid w:val="0"/>
          <w:color w:val="auto"/>
          <w:kern w:val="0"/>
          <w:sz w:val="30"/>
        </w:rPr>
        <w:t>法定代表人身份证明</w:t>
      </w:r>
    </w:p>
    <w:p>
      <w:pPr>
        <w:wordWrap w:val="0"/>
        <w:adjustRightInd w:val="0"/>
        <w:snapToGrid w:val="0"/>
        <w:spacing w:line="360" w:lineRule="auto"/>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投标人名称：</w:t>
      </w:r>
      <w:r>
        <w:rPr>
          <w:rFonts w:hint="eastAsia" w:ascii="宋体" w:hAnsi="宋体" w:eastAsia="宋体" w:cs="宋体"/>
          <w:snapToGrid w:val="0"/>
          <w:color w:val="auto"/>
          <w:kern w:val="0"/>
          <w:szCs w:val="21"/>
          <w:u w:val="single"/>
        </w:rPr>
        <w:t xml:space="preserve">                  </w:t>
      </w:r>
    </w:p>
    <w:p>
      <w:pPr>
        <w:wordWrap w:val="0"/>
        <w:adjustRightInd w:val="0"/>
        <w:snapToGrid w:val="0"/>
        <w:spacing w:line="360" w:lineRule="auto"/>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姓名：</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性别：</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年龄：</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职务：</w:t>
      </w:r>
      <w:r>
        <w:rPr>
          <w:rFonts w:hint="eastAsia" w:ascii="宋体" w:hAnsi="宋体" w:eastAsia="宋体" w:cs="宋体"/>
          <w:snapToGrid w:val="0"/>
          <w:color w:val="auto"/>
          <w:kern w:val="0"/>
          <w:szCs w:val="21"/>
          <w:u w:val="single"/>
        </w:rPr>
        <w:t xml:space="preserve">           </w:t>
      </w:r>
    </w:p>
    <w:p>
      <w:pPr>
        <w:wordWrap w:val="0"/>
        <w:adjustRightInd w:val="0"/>
        <w:snapToGrid w:val="0"/>
        <w:spacing w:line="360" w:lineRule="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系</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（投标人名称）的法定代表人。</w:t>
      </w:r>
    </w:p>
    <w:p>
      <w:pPr>
        <w:wordWrap w:val="0"/>
        <w:adjustRightInd w:val="0"/>
        <w:snapToGrid w:val="0"/>
        <w:spacing w:line="360" w:lineRule="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特此证明。</w:t>
      </w:r>
    </w:p>
    <w:p>
      <w:pPr>
        <w:wordWrap w:val="0"/>
        <w:adjustRightInd w:val="0"/>
        <w:snapToGrid w:val="0"/>
        <w:spacing w:line="360" w:lineRule="auto"/>
        <w:rPr>
          <w:rFonts w:hint="eastAsia" w:ascii="宋体" w:hAnsi="宋体" w:eastAsia="宋体" w:cs="宋体"/>
          <w:snapToGrid w:val="0"/>
          <w:color w:val="auto"/>
          <w:kern w:val="0"/>
          <w:szCs w:val="21"/>
        </w:rPr>
      </w:pPr>
    </w:p>
    <w:p>
      <w:pPr>
        <w:wordWrap w:val="0"/>
        <w:adjustRightInd w:val="0"/>
        <w:snapToGrid w:val="0"/>
        <w:spacing w:line="360" w:lineRule="auto"/>
        <w:rPr>
          <w:rFonts w:hint="eastAsia" w:ascii="宋体" w:hAnsi="宋体" w:eastAsia="宋体" w:cs="宋体"/>
          <w:snapToGrid w:val="0"/>
          <w:color w:val="auto"/>
          <w:kern w:val="0"/>
          <w:szCs w:val="21"/>
        </w:rPr>
      </w:pPr>
    </w:p>
    <w:p>
      <w:pPr>
        <w:wordWrap w:val="0"/>
        <w:adjustRightInd w:val="0"/>
        <w:snapToGrid w:val="0"/>
        <w:spacing w:line="360" w:lineRule="auto"/>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（盖单位章）</w:t>
      </w:r>
    </w:p>
    <w:p>
      <w:pPr>
        <w:wordWrap w:val="0"/>
        <w:adjustRightInd w:val="0"/>
        <w:snapToGrid w:val="0"/>
        <w:spacing w:line="360" w:lineRule="auto"/>
        <w:jc w:val="right"/>
        <w:rPr>
          <w:rFonts w:hint="eastAsia" w:ascii="宋体" w:hAnsi="宋体" w:eastAsia="宋体" w:cs="宋体"/>
          <w:snapToGrid w:val="0"/>
          <w:color w:val="auto"/>
          <w:kern w:val="0"/>
          <w:szCs w:val="21"/>
        </w:rPr>
      </w:pPr>
    </w:p>
    <w:p>
      <w:pPr>
        <w:wordWrap w:val="0"/>
        <w:adjustRightInd w:val="0"/>
        <w:snapToGrid w:val="0"/>
        <w:spacing w:line="360" w:lineRule="auto"/>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法定代表人：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（签字或盖章）</w:t>
      </w:r>
    </w:p>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w:t>
      </w:r>
    </w:p>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年</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月</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 xml:space="preserve">日       </w:t>
      </w:r>
    </w:p>
    <w:p>
      <w:pPr>
        <w:wordWrap w:val="0"/>
        <w:adjustRightInd w:val="0"/>
        <w:snapToGrid w:val="0"/>
        <w:spacing w:line="360" w:lineRule="auto"/>
        <w:ind w:firstLine="630" w:firstLineChars="300"/>
        <w:rPr>
          <w:rFonts w:hint="eastAsia" w:ascii="宋体" w:hAnsi="宋体" w:eastAsia="宋体" w:cs="宋体"/>
          <w:i/>
          <w:iCs/>
          <w:snapToGrid w:val="0"/>
          <w:color w:val="auto"/>
          <w:kern w:val="0"/>
          <w:szCs w:val="21"/>
        </w:rPr>
      </w:pPr>
    </w:p>
    <w:p>
      <w:pPr>
        <w:wordWrap w:val="0"/>
        <w:adjustRightInd w:val="0"/>
        <w:snapToGrid w:val="0"/>
        <w:spacing w:line="360" w:lineRule="auto"/>
        <w:ind w:firstLine="630" w:firstLineChars="300"/>
        <w:rPr>
          <w:rFonts w:hint="eastAsia" w:ascii="宋体" w:hAnsi="宋体" w:eastAsia="宋体" w:cs="宋体"/>
          <w:i/>
          <w:iCs/>
          <w:snapToGrid w:val="0"/>
          <w:color w:val="auto"/>
          <w:kern w:val="0"/>
          <w:szCs w:val="21"/>
        </w:rPr>
      </w:pPr>
    </w:p>
    <w:p>
      <w:pPr>
        <w:wordWrap w:val="0"/>
        <w:adjustRightInd w:val="0"/>
        <w:snapToGrid w:val="0"/>
        <w:spacing w:line="360" w:lineRule="auto"/>
        <w:rPr>
          <w:rFonts w:hint="eastAsia" w:ascii="宋体" w:hAnsi="宋体" w:eastAsia="宋体" w:cs="宋体"/>
          <w:b/>
          <w:snapToGrid w:val="0"/>
          <w:color w:val="auto"/>
          <w:kern w:val="0"/>
          <w:szCs w:val="21"/>
        </w:rPr>
      </w:pPr>
      <w:r>
        <w:rPr>
          <w:rFonts w:hint="eastAsia" w:ascii="宋体" w:hAnsi="宋体" w:eastAsia="宋体" w:cs="宋体"/>
          <w:b/>
          <w:snapToGrid w:val="0"/>
          <w:color w:val="auto"/>
          <w:kern w:val="0"/>
          <w:szCs w:val="21"/>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825115" cy="1584325"/>
                <wp:effectExtent l="4445" t="4445" r="8890" b="11430"/>
                <wp:wrapNone/>
                <wp:docPr id="9" name="流程图: 可选过程 9"/>
                <wp:cNvGraphicFramePr/>
                <a:graphic xmlns:a="http://schemas.openxmlformats.org/drawingml/2006/main">
                  <a:graphicData uri="http://schemas.microsoft.com/office/word/2010/wordprocessingShape">
                    <wps:wsp>
                      <wps:cNvSpPr/>
                      <wps:spPr>
                        <a:xfrm>
                          <a:off x="0" y="0"/>
                          <a:ext cx="282511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法定代表人身份证彩色扫描件正、反面</w:t>
                            </w:r>
                          </w:p>
                        </w:txbxContent>
                      </wps:txbx>
                      <wps:bodyPr upright="1"/>
                    </wps:wsp>
                  </a:graphicData>
                </a:graphic>
              </wp:anchor>
            </w:drawing>
          </mc:Choice>
          <mc:Fallback>
            <w:pict>
              <v:shape id="_x0000_s1026" o:spid="_x0000_s1026" o:spt="176" type="#_x0000_t176" style="position:absolute;left:0pt;margin-left:127.5pt;margin-top:1.6pt;height:124.75pt;width:222.45pt;z-index:251660288;mso-width-relative:page;mso-height-relative:page;" fillcolor="#FFFFFF" filled="t" stroked="t" coordsize="21600,21600" o:gfxdata="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FdSm2AAAAAkBAAAPAAAAAAAAAAEAIAAAACIAAABkcnMvZG93bnJldi54bWxQSwEC&#10;FAAUAAAACACHTuJAbRzgby0CAABeBAAADgAAAAAAAAABACAAAAAnAQAAZHJzL2Uyb0RvYy54bWxQ&#10;SwUGAAAAAAYABgBZAQAAxgU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法定代表人身份证彩色扫描件正、反面</w:t>
                      </w:r>
                    </w:p>
                  </w:txbxContent>
                </v:textbox>
              </v:shape>
            </w:pict>
          </mc:Fallback>
        </mc:AlternateContent>
      </w: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spacing w:line="360" w:lineRule="auto"/>
        <w:rPr>
          <w:rFonts w:hint="eastAsia" w:ascii="宋体" w:hAnsi="宋体" w:eastAsia="宋体" w:cs="宋体"/>
          <w:snapToGrid w:val="0"/>
          <w:color w:val="auto"/>
          <w:kern w:val="0"/>
          <w:sz w:val="28"/>
          <w:szCs w:val="28"/>
        </w:rPr>
      </w:pP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429" w:name="_Toc26875"/>
      <w:bookmarkStart w:id="430" w:name="_Toc25534"/>
      <w:bookmarkStart w:id="431" w:name="_Toc16430"/>
      <w:bookmarkStart w:id="432" w:name="_Toc13323"/>
      <w:bookmarkStart w:id="433" w:name="_Toc30665"/>
      <w:bookmarkStart w:id="434" w:name="_Toc15857"/>
      <w:r>
        <w:rPr>
          <w:rFonts w:hint="eastAsia" w:ascii="宋体" w:hAnsi="宋体" w:eastAsia="宋体" w:cs="宋体"/>
          <w:snapToGrid w:val="0"/>
          <w:color w:val="auto"/>
          <w:sz w:val="24"/>
          <w:szCs w:val="24"/>
          <w:lang w:val="en-US" w:eastAsia="zh-CN"/>
        </w:rPr>
        <w:t>格式六   联合体协议书</w:t>
      </w:r>
      <w:bookmarkEnd w:id="429"/>
      <w:bookmarkEnd w:id="430"/>
      <w:bookmarkEnd w:id="431"/>
      <w:bookmarkEnd w:id="432"/>
      <w:bookmarkEnd w:id="433"/>
      <w:bookmarkEnd w:id="434"/>
    </w:p>
    <w:p>
      <w:pPr>
        <w:pStyle w:val="41"/>
        <w:widowControl w:val="0"/>
        <w:wordWrap w:val="0"/>
        <w:adjustRightInd w:val="0"/>
        <w:snapToGrid w:val="0"/>
        <w:spacing w:before="240" w:after="240" w:line="360" w:lineRule="auto"/>
        <w:ind w:firstLine="0"/>
        <w:jc w:val="center"/>
        <w:rPr>
          <w:rFonts w:hint="eastAsia" w:ascii="宋体" w:hAnsi="宋体" w:eastAsia="宋体" w:cs="宋体"/>
          <w:snapToGrid w:val="0"/>
          <w:color w:val="auto"/>
          <w:sz w:val="24"/>
          <w:szCs w:val="24"/>
        </w:rPr>
      </w:pPr>
      <w:r>
        <w:rPr>
          <w:rFonts w:hint="eastAsia" w:ascii="宋体" w:hAnsi="宋体" w:eastAsia="宋体" w:cs="宋体"/>
          <w:b/>
          <w:snapToGrid w:val="0"/>
          <w:color w:val="auto"/>
          <w:sz w:val="30"/>
        </w:rPr>
        <w:t>联合体协议书</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牵头人名称：</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法定代表人：</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法定住所：</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成员一名称：</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法定代表人：</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法定住所：</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成员二名称：</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法定代表人：</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法定住所：</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成员</w:t>
      </w:r>
      <w:r>
        <w:rPr>
          <w:rFonts w:hint="eastAsia" w:ascii="宋体" w:hAnsi="宋体" w:eastAsia="宋体" w:cs="宋体"/>
          <w:snapToGrid w:val="0"/>
          <w:color w:val="auto"/>
          <w:sz w:val="24"/>
          <w:szCs w:val="24"/>
          <w:lang w:eastAsia="zh-CN"/>
        </w:rPr>
        <w:t>三</w:t>
      </w:r>
      <w:r>
        <w:rPr>
          <w:rFonts w:hint="eastAsia" w:ascii="宋体" w:hAnsi="宋体" w:eastAsia="宋体" w:cs="宋体"/>
          <w:snapToGrid w:val="0"/>
          <w:color w:val="auto"/>
          <w:sz w:val="24"/>
          <w:szCs w:val="24"/>
        </w:rPr>
        <w:t>名称：</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法定代表人：</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法定住所：</w:t>
      </w:r>
      <w:r>
        <w:rPr>
          <w:rFonts w:hint="eastAsia" w:ascii="宋体" w:hAnsi="宋体" w:eastAsia="宋体" w:cs="宋体"/>
          <w:snapToGrid w:val="0"/>
          <w:color w:val="auto"/>
          <w:sz w:val="24"/>
          <w:szCs w:val="24"/>
          <w:u w:val="single"/>
        </w:rPr>
        <w:t xml:space="preserve">                                                    </w:t>
      </w:r>
    </w:p>
    <w:p>
      <w:pPr>
        <w:pStyle w:val="41"/>
        <w:widowControl w:val="0"/>
        <w:wordWrap w:val="0"/>
        <w:adjustRightInd w:val="0"/>
        <w:snapToGrid w:val="0"/>
        <w:spacing w:line="360" w:lineRule="auto"/>
        <w:rPr>
          <w:rFonts w:hint="eastAsia" w:ascii="宋体" w:hAnsi="宋体" w:eastAsia="宋体" w:cs="宋体"/>
          <w:snapToGrid w:val="0"/>
          <w:color w:val="auto"/>
          <w:sz w:val="24"/>
          <w:szCs w:val="24"/>
          <w:u w:val="single"/>
        </w:rPr>
      </w:pPr>
    </w:p>
    <w:p>
      <w:pPr>
        <w:pStyle w:val="41"/>
        <w:widowControl w:val="0"/>
        <w:wordWrap w:val="0"/>
        <w:adjustRightInd w:val="0"/>
        <w:snapToGrid w:val="0"/>
        <w:spacing w:line="360" w:lineRule="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上述各成员单位经过友好协商，自愿组成联合体，共同参加</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（项目名称）（以下简称“本项目”）的投标并争取赢得本项目设计、施工总承包合同（以下简称合同）。现就联合体投标事宜订立如下协议：</w:t>
      </w:r>
    </w:p>
    <w:p>
      <w:pPr>
        <w:pStyle w:val="41"/>
        <w:widowControl w:val="0"/>
        <w:wordWrap w:val="0"/>
        <w:adjustRightInd w:val="0"/>
        <w:snapToGrid w:val="0"/>
        <w:spacing w:line="360" w:lineRule="auto"/>
        <w:ind w:firstLine="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xml:space="preserve">    1．</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（某成员单位名称）为联合体牵头人。</w:t>
      </w:r>
    </w:p>
    <w:p>
      <w:pPr>
        <w:pStyle w:val="41"/>
        <w:widowControl w:val="0"/>
        <w:wordWrap w:val="0"/>
        <w:adjustRightInd w:val="0"/>
        <w:snapToGrid w:val="0"/>
        <w:spacing w:line="360" w:lineRule="auto"/>
        <w:ind w:firstLine="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xml:space="preserve">    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pStyle w:val="41"/>
        <w:widowControl w:val="0"/>
        <w:wordWrap w:val="0"/>
        <w:adjustRightInd w:val="0"/>
        <w:snapToGrid w:val="0"/>
        <w:spacing w:line="360" w:lineRule="auto"/>
        <w:ind w:firstLine="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xml:space="preserve">    3．联合体将严格按照招标文件的各项要求，递交投标文件，履行投标义务和中标后的合同，共同承担合同规定的一切义务和责任，联合体各成员单位按照内部职责的部分，承担各自所负的责任和风险，并向招标人承担相关责任。</w:t>
      </w:r>
    </w:p>
    <w:p>
      <w:pPr>
        <w:pStyle w:val="41"/>
        <w:widowControl w:val="0"/>
        <w:wordWrap w:val="0"/>
        <w:adjustRightInd w:val="0"/>
        <w:snapToGrid w:val="0"/>
        <w:spacing w:line="360" w:lineRule="auto"/>
        <w:ind w:firstLine="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xml:space="preserve">    4．联合体各成员单位内部的职责分工如下：</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。按照本条上述分工，联合体成员单位各自所承担的合同工作量比例如下：</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w:t>
      </w:r>
    </w:p>
    <w:p>
      <w:pPr>
        <w:pStyle w:val="41"/>
        <w:widowControl w:val="0"/>
        <w:wordWrap w:val="0"/>
        <w:adjustRightInd w:val="0"/>
        <w:snapToGrid w:val="0"/>
        <w:spacing w:line="360" w:lineRule="auto"/>
        <w:ind w:firstLine="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xml:space="preserve">    5．投标工作和联合体在中标后工程实施过程中的有关费用按各自承担的工作量分摊。</w:t>
      </w:r>
    </w:p>
    <w:p>
      <w:pPr>
        <w:pStyle w:val="41"/>
        <w:widowControl w:val="0"/>
        <w:wordWrap w:val="0"/>
        <w:adjustRightInd w:val="0"/>
        <w:snapToGrid w:val="0"/>
        <w:spacing w:line="360" w:lineRule="auto"/>
        <w:ind w:firstLine="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xml:space="preserve">    6．联合体中标后，本联合体协议是合同的附件，对联合体各成员单位有合同约束力。</w:t>
      </w:r>
    </w:p>
    <w:p>
      <w:pPr>
        <w:pStyle w:val="41"/>
        <w:widowControl w:val="0"/>
        <w:wordWrap w:val="0"/>
        <w:adjustRightInd w:val="0"/>
        <w:snapToGrid w:val="0"/>
        <w:spacing w:line="360" w:lineRule="auto"/>
        <w:ind w:firstLine="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xml:space="preserve">    7．本协议书自签署之日起生效，联合体未中标或者中标时合同履行完毕后自动失效。</w:t>
      </w:r>
    </w:p>
    <w:p>
      <w:pPr>
        <w:pStyle w:val="41"/>
        <w:widowControl w:val="0"/>
        <w:wordWrap w:val="0"/>
        <w:adjustRightInd w:val="0"/>
        <w:snapToGrid w:val="0"/>
        <w:spacing w:line="360" w:lineRule="auto"/>
        <w:ind w:firstLine="0"/>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xml:space="preserve">    8．本协议书一式</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份，联合体成员和招标人各执一份。</w:t>
      </w:r>
    </w:p>
    <w:p>
      <w:pPr>
        <w:rPr>
          <w:rFonts w:hint="eastAsia" w:ascii="宋体" w:hAnsi="宋体" w:eastAsia="宋体" w:cs="宋体"/>
        </w:rPr>
      </w:pPr>
    </w:p>
    <w:p>
      <w:pPr>
        <w:rPr>
          <w:rFonts w:hint="eastAsia" w:ascii="宋体" w:hAnsi="宋体" w:eastAsia="宋体" w:cs="宋体"/>
        </w:rPr>
      </w:pP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牵头人名称：</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（盖单位章）</w:t>
      </w: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　　　　　　　　</w:t>
      </w: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法定代表人或其委托代理人：</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（签字或盖章）</w:t>
      </w:r>
    </w:p>
    <w:p>
      <w:pPr>
        <w:pStyle w:val="41"/>
        <w:widowControl w:val="0"/>
        <w:wordWrap w:val="0"/>
        <w:adjustRightInd w:val="0"/>
        <w:snapToGrid w:val="0"/>
        <w:spacing w:line="360" w:lineRule="auto"/>
        <w:ind w:firstLine="0"/>
        <w:jc w:val="both"/>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成员一名称：</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（盖单位章）</w:t>
      </w:r>
    </w:p>
    <w:p>
      <w:pPr>
        <w:pStyle w:val="41"/>
        <w:widowControl w:val="0"/>
        <w:wordWrap w:val="0"/>
        <w:adjustRightInd w:val="0"/>
        <w:snapToGrid w:val="0"/>
        <w:spacing w:line="360" w:lineRule="auto"/>
        <w:ind w:firstLine="0"/>
        <w:jc w:val="both"/>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法定代表人或其委托代理人：</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（签字或盖章）</w:t>
      </w: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成员二名称：</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（盖单位章）</w:t>
      </w:r>
    </w:p>
    <w:p>
      <w:pPr>
        <w:pStyle w:val="41"/>
        <w:widowControl w:val="0"/>
        <w:wordWrap w:val="0"/>
        <w:adjustRightInd w:val="0"/>
        <w:snapToGrid w:val="0"/>
        <w:spacing w:line="360" w:lineRule="auto"/>
        <w:ind w:firstLine="0"/>
        <w:jc w:val="both"/>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法定代表人或其委托代理人：</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（签字或盖章）</w:t>
      </w:r>
    </w:p>
    <w:p>
      <w:pPr>
        <w:pStyle w:val="41"/>
        <w:widowControl w:val="0"/>
        <w:wordWrap/>
        <w:adjustRightInd w:val="0"/>
        <w:snapToGrid w:val="0"/>
        <w:spacing w:line="360" w:lineRule="auto"/>
        <w:jc w:val="right"/>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成员</w:t>
      </w:r>
      <w:r>
        <w:rPr>
          <w:rFonts w:hint="eastAsia" w:ascii="宋体" w:hAnsi="宋体" w:eastAsia="宋体" w:cs="宋体"/>
          <w:snapToGrid w:val="0"/>
          <w:color w:val="auto"/>
          <w:sz w:val="24"/>
          <w:szCs w:val="24"/>
          <w:lang w:eastAsia="zh-CN"/>
        </w:rPr>
        <w:t>三</w:t>
      </w:r>
      <w:r>
        <w:rPr>
          <w:rFonts w:hint="eastAsia" w:ascii="宋体" w:hAnsi="宋体" w:eastAsia="宋体" w:cs="宋体"/>
          <w:snapToGrid w:val="0"/>
          <w:color w:val="auto"/>
          <w:sz w:val="24"/>
          <w:szCs w:val="24"/>
        </w:rPr>
        <w:t>名称：</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（盖单位章）</w:t>
      </w:r>
    </w:p>
    <w:p>
      <w:pPr>
        <w:pStyle w:val="41"/>
        <w:widowControl w:val="0"/>
        <w:wordWrap w:val="0"/>
        <w:adjustRightInd w:val="0"/>
        <w:snapToGrid w:val="0"/>
        <w:spacing w:line="360" w:lineRule="auto"/>
        <w:ind w:firstLine="0"/>
        <w:jc w:val="both"/>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jc w:val="righ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法定代表人或其委托代理人：</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（签字或盖章）</w:t>
      </w:r>
    </w:p>
    <w:p>
      <w:pPr>
        <w:pStyle w:val="41"/>
        <w:widowControl w:val="0"/>
        <w:adjustRightInd w:val="0"/>
        <w:snapToGrid w:val="0"/>
        <w:spacing w:line="360" w:lineRule="auto"/>
        <w:jc w:val="right"/>
        <w:rPr>
          <w:rFonts w:hint="eastAsia" w:ascii="宋体" w:hAnsi="宋体" w:eastAsia="宋体" w:cs="宋体"/>
          <w:snapToGrid w:val="0"/>
          <w:color w:val="auto"/>
          <w:sz w:val="24"/>
          <w:szCs w:val="24"/>
        </w:rPr>
      </w:pPr>
    </w:p>
    <w:p>
      <w:pPr>
        <w:pStyle w:val="41"/>
        <w:widowControl w:val="0"/>
        <w:adjustRightInd w:val="0"/>
        <w:snapToGrid w:val="0"/>
        <w:spacing w:line="360" w:lineRule="auto"/>
        <w:jc w:val="right"/>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ind w:firstLine="3840" w:firstLineChars="1600"/>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ind w:firstLine="3840" w:firstLineChars="1600"/>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rPr>
          <w:rFonts w:hint="eastAsia" w:ascii="宋体" w:hAnsi="宋体" w:eastAsia="宋体" w:cs="宋体"/>
          <w:snapToGrid w:val="0"/>
          <w:color w:val="auto"/>
          <w:sz w:val="24"/>
          <w:szCs w:val="24"/>
        </w:rPr>
      </w:pPr>
    </w:p>
    <w:p>
      <w:pPr>
        <w:pStyle w:val="41"/>
        <w:widowControl w:val="0"/>
        <w:wordWrap w:val="0"/>
        <w:adjustRightInd w:val="0"/>
        <w:snapToGrid w:val="0"/>
        <w:spacing w:line="360" w:lineRule="auto"/>
        <w:jc w:val="center"/>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年</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月</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435" w:name="_Toc11193"/>
      <w:bookmarkStart w:id="436" w:name="_Toc9701"/>
      <w:r>
        <w:rPr>
          <w:rFonts w:hint="eastAsia" w:ascii="宋体" w:hAnsi="宋体" w:eastAsia="宋体" w:cs="宋体"/>
          <w:snapToGrid w:val="0"/>
          <w:color w:val="auto"/>
          <w:sz w:val="24"/>
          <w:szCs w:val="24"/>
          <w:lang w:val="en-US" w:eastAsia="zh-CN"/>
        </w:rPr>
        <w:t>格式七   投标人基本情况表</w:t>
      </w:r>
      <w:bookmarkEnd w:id="435"/>
      <w:bookmarkEnd w:id="436"/>
    </w:p>
    <w:p>
      <w:pPr>
        <w:pStyle w:val="41"/>
        <w:widowControl w:val="0"/>
        <w:wordWrap w:val="0"/>
        <w:adjustRightInd w:val="0"/>
        <w:snapToGrid w:val="0"/>
        <w:spacing w:before="260" w:after="260" w:line="360" w:lineRule="auto"/>
        <w:ind w:firstLine="0"/>
        <w:jc w:val="center"/>
        <w:rPr>
          <w:rFonts w:hint="eastAsia" w:ascii="宋体" w:hAnsi="宋体" w:eastAsia="宋体" w:cs="宋体"/>
          <w:snapToGrid w:val="0"/>
          <w:color w:val="auto"/>
          <w:sz w:val="24"/>
        </w:rPr>
      </w:pPr>
      <w:r>
        <w:rPr>
          <w:rFonts w:hint="eastAsia" w:ascii="宋体" w:hAnsi="宋体" w:eastAsia="宋体" w:cs="宋体"/>
          <w:b/>
          <w:snapToGrid w:val="0"/>
          <w:color w:val="auto"/>
          <w:sz w:val="30"/>
        </w:rPr>
        <w:t>投标人基本情况表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42"/>
        <w:gridCol w:w="1774"/>
        <w:gridCol w:w="846"/>
        <w:gridCol w:w="298"/>
        <w:gridCol w:w="1011"/>
        <w:gridCol w:w="270"/>
        <w:gridCol w:w="744"/>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投标人名称</w:t>
            </w:r>
          </w:p>
        </w:tc>
        <w:tc>
          <w:tcPr>
            <w:tcW w:w="7379" w:type="dxa"/>
            <w:gridSpan w:val="8"/>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注册地址</w:t>
            </w:r>
          </w:p>
        </w:tc>
        <w:tc>
          <w:tcPr>
            <w:tcW w:w="3562" w:type="dxa"/>
            <w:gridSpan w:val="3"/>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1309"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邮政编码</w:t>
            </w:r>
          </w:p>
        </w:tc>
        <w:tc>
          <w:tcPr>
            <w:tcW w:w="2508" w:type="dxa"/>
            <w:gridSpan w:val="3"/>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0" w:type="dxa"/>
            <w:vMerge w:val="restart"/>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联系方式</w:t>
            </w:r>
          </w:p>
        </w:tc>
        <w:tc>
          <w:tcPr>
            <w:tcW w:w="942"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联系人</w:t>
            </w:r>
          </w:p>
        </w:tc>
        <w:tc>
          <w:tcPr>
            <w:tcW w:w="2620"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1309"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电  话</w:t>
            </w:r>
          </w:p>
        </w:tc>
        <w:tc>
          <w:tcPr>
            <w:tcW w:w="2508" w:type="dxa"/>
            <w:gridSpan w:val="3"/>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0" w:type="dxa"/>
            <w:vMerge w:val="continue"/>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942"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传  真</w:t>
            </w:r>
          </w:p>
        </w:tc>
        <w:tc>
          <w:tcPr>
            <w:tcW w:w="2620"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1309"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电子邮箱</w:t>
            </w:r>
          </w:p>
        </w:tc>
        <w:tc>
          <w:tcPr>
            <w:tcW w:w="2508" w:type="dxa"/>
            <w:gridSpan w:val="3"/>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单位性质</w:t>
            </w:r>
          </w:p>
        </w:tc>
        <w:tc>
          <w:tcPr>
            <w:tcW w:w="7379" w:type="dxa"/>
            <w:gridSpan w:val="8"/>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法定代表人</w:t>
            </w:r>
          </w:p>
        </w:tc>
        <w:tc>
          <w:tcPr>
            <w:tcW w:w="942"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姓名</w:t>
            </w:r>
          </w:p>
        </w:tc>
        <w:tc>
          <w:tcPr>
            <w:tcW w:w="1774"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1144"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技术职称</w:t>
            </w:r>
          </w:p>
        </w:tc>
        <w:tc>
          <w:tcPr>
            <w:tcW w:w="1281"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744"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电话</w:t>
            </w:r>
          </w:p>
        </w:tc>
        <w:tc>
          <w:tcPr>
            <w:tcW w:w="1494"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成立时间</w:t>
            </w:r>
          </w:p>
        </w:tc>
        <w:tc>
          <w:tcPr>
            <w:tcW w:w="2716"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4663" w:type="dxa"/>
            <w:gridSpan w:val="6"/>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员工总人数（个）：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企业资质</w:t>
            </w:r>
          </w:p>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类型和等级</w:t>
            </w:r>
          </w:p>
        </w:tc>
        <w:tc>
          <w:tcPr>
            <w:tcW w:w="2716"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1144" w:type="dxa"/>
            <w:gridSpan w:val="2"/>
            <w:vMerge w:val="restart"/>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其中</w:t>
            </w:r>
          </w:p>
        </w:tc>
        <w:tc>
          <w:tcPr>
            <w:tcW w:w="2025" w:type="dxa"/>
            <w:gridSpan w:val="3"/>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项目经理</w:t>
            </w:r>
          </w:p>
        </w:tc>
        <w:tc>
          <w:tcPr>
            <w:tcW w:w="1494"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营业执照号</w:t>
            </w:r>
          </w:p>
        </w:tc>
        <w:tc>
          <w:tcPr>
            <w:tcW w:w="2716"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1144" w:type="dxa"/>
            <w:gridSpan w:val="2"/>
            <w:vMerge w:val="continue"/>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2025" w:type="dxa"/>
            <w:gridSpan w:val="3"/>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高级职称人员</w:t>
            </w:r>
          </w:p>
        </w:tc>
        <w:tc>
          <w:tcPr>
            <w:tcW w:w="1494"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注册资金</w:t>
            </w:r>
          </w:p>
        </w:tc>
        <w:tc>
          <w:tcPr>
            <w:tcW w:w="2716"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1144" w:type="dxa"/>
            <w:gridSpan w:val="2"/>
            <w:vMerge w:val="continue"/>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2025" w:type="dxa"/>
            <w:gridSpan w:val="3"/>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中级职称人员</w:t>
            </w:r>
          </w:p>
        </w:tc>
        <w:tc>
          <w:tcPr>
            <w:tcW w:w="1494"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基本账户</w:t>
            </w:r>
          </w:p>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开户银行</w:t>
            </w:r>
          </w:p>
        </w:tc>
        <w:tc>
          <w:tcPr>
            <w:tcW w:w="2716"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1144" w:type="dxa"/>
            <w:gridSpan w:val="2"/>
            <w:vMerge w:val="continue"/>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2025" w:type="dxa"/>
            <w:gridSpan w:val="3"/>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初级职称人员</w:t>
            </w:r>
          </w:p>
        </w:tc>
        <w:tc>
          <w:tcPr>
            <w:tcW w:w="1494"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基本账户</w:t>
            </w:r>
          </w:p>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银行账号</w:t>
            </w:r>
          </w:p>
        </w:tc>
        <w:tc>
          <w:tcPr>
            <w:tcW w:w="2716" w:type="dxa"/>
            <w:gridSpan w:val="2"/>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1144" w:type="dxa"/>
            <w:gridSpan w:val="2"/>
            <w:vMerge w:val="continue"/>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c>
          <w:tcPr>
            <w:tcW w:w="2025" w:type="dxa"/>
            <w:gridSpan w:val="3"/>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技术员</w:t>
            </w:r>
          </w:p>
        </w:tc>
        <w:tc>
          <w:tcPr>
            <w:tcW w:w="1494"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经营范围</w:t>
            </w:r>
          </w:p>
        </w:tc>
        <w:tc>
          <w:tcPr>
            <w:tcW w:w="7379" w:type="dxa"/>
            <w:gridSpan w:val="8"/>
            <w:noWrap w:val="0"/>
            <w:vAlign w:val="center"/>
          </w:tcPr>
          <w:p>
            <w:pPr>
              <w:pStyle w:val="25"/>
              <w:wordWrap w:val="0"/>
              <w:adjustRightInd w:val="0"/>
              <w:snapToGrid w:val="0"/>
              <w:spacing w:line="360" w:lineRule="auto"/>
              <w:jc w:val="left"/>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关联企业情况</w:t>
            </w:r>
          </w:p>
        </w:tc>
        <w:tc>
          <w:tcPr>
            <w:tcW w:w="7379" w:type="dxa"/>
            <w:gridSpan w:val="8"/>
            <w:noWrap w:val="0"/>
            <w:vAlign w:val="center"/>
          </w:tcPr>
          <w:p>
            <w:pPr>
              <w:pStyle w:val="25"/>
              <w:wordWrap w:val="0"/>
              <w:adjustRightInd w:val="0"/>
              <w:snapToGrid w:val="0"/>
              <w:spacing w:line="360" w:lineRule="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包括但不限于与投标人存在以下关系的不同单位：</w:t>
            </w:r>
          </w:p>
          <w:p>
            <w:pPr>
              <w:pStyle w:val="25"/>
              <w:wordWrap w:val="0"/>
              <w:adjustRightInd w:val="0"/>
              <w:snapToGrid w:val="0"/>
              <w:spacing w:line="360" w:lineRule="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1．法定代表人为同一人的。</w:t>
            </w:r>
          </w:p>
          <w:p>
            <w:pPr>
              <w:pStyle w:val="25"/>
              <w:wordWrap w:val="0"/>
              <w:adjustRightInd w:val="0"/>
              <w:snapToGrid w:val="0"/>
              <w:spacing w:line="360" w:lineRule="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2．存在控股、管理关系的。</w:t>
            </w:r>
          </w:p>
          <w:p>
            <w:pPr>
              <w:pStyle w:val="25"/>
              <w:wordWrap w:val="0"/>
              <w:adjustRightInd w:val="0"/>
              <w:snapToGrid w:val="0"/>
              <w:spacing w:line="360" w:lineRule="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3．主要人员相互任职的。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60" w:type="dxa"/>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备注</w:t>
            </w:r>
          </w:p>
        </w:tc>
        <w:tc>
          <w:tcPr>
            <w:tcW w:w="7379" w:type="dxa"/>
            <w:gridSpan w:val="8"/>
            <w:noWrap w:val="0"/>
            <w:vAlign w:val="center"/>
          </w:tcPr>
          <w:p>
            <w:pPr>
              <w:pStyle w:val="25"/>
              <w:wordWrap w:val="0"/>
              <w:adjustRightInd w:val="0"/>
              <w:snapToGrid w:val="0"/>
              <w:spacing w:line="360" w:lineRule="auto"/>
              <w:jc w:val="center"/>
              <w:rPr>
                <w:rFonts w:hint="eastAsia" w:ascii="宋体" w:hAnsi="宋体" w:eastAsia="宋体" w:cs="宋体"/>
                <w:snapToGrid w:val="0"/>
                <w:color w:val="auto"/>
                <w:kern w:val="0"/>
                <w:szCs w:val="21"/>
              </w:rPr>
            </w:pPr>
          </w:p>
        </w:tc>
      </w:tr>
    </w:tbl>
    <w:p>
      <w:pPr>
        <w:pStyle w:val="25"/>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说明：</w:t>
      </w:r>
    </w:p>
    <w:p>
      <w:pPr>
        <w:pStyle w:val="25"/>
        <w:wordWrap w:val="0"/>
        <w:adjustRightInd w:val="0"/>
        <w:snapToGrid w:val="0"/>
        <w:spacing w:line="360" w:lineRule="auto"/>
        <w:ind w:firstLine="420" w:firstLineChars="200"/>
        <w:rPr>
          <w:rFonts w:hint="eastAsia" w:ascii="宋体" w:hAnsi="宋体" w:eastAsia="宋体" w:cs="宋体"/>
          <w:snapToGrid w:val="0"/>
          <w:color w:val="auto"/>
          <w:kern w:val="0"/>
          <w:szCs w:val="21"/>
        </w:rPr>
      </w:pPr>
      <w:bookmarkStart w:id="437" w:name="_Toc26486"/>
      <w:r>
        <w:rPr>
          <w:rFonts w:hint="eastAsia" w:ascii="宋体" w:hAnsi="宋体" w:eastAsia="宋体" w:cs="宋体"/>
          <w:snapToGrid w:val="0"/>
          <w:color w:val="auto"/>
          <w:kern w:val="0"/>
          <w:szCs w:val="21"/>
        </w:rPr>
        <w:t>1．《投标人基本情况表》后应附以下资料：</w:t>
      </w:r>
      <w:bookmarkEnd w:id="437"/>
    </w:p>
    <w:p>
      <w:pPr>
        <w:pStyle w:val="25"/>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（1）企业营业执照、资质证书、安全生产许可证（施工单位提供）彩色扫描件；</w:t>
      </w:r>
    </w:p>
    <w:p>
      <w:pPr>
        <w:pStyle w:val="25"/>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（2）“进粤企业和人员诚信信息登记平台”企业信息情况打印页。（适用于省外建筑企业）</w:t>
      </w:r>
    </w:p>
    <w:p>
      <w:pPr>
        <w:pStyle w:val="25"/>
        <w:wordWrap w:val="0"/>
        <w:adjustRightInd w:val="0"/>
        <w:snapToGri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2．联合体投标的，联合体成员单位均应填写《投标人基本情况表》并提供以上所需资料。</w:t>
      </w:r>
    </w:p>
    <w:p>
      <w:pPr>
        <w:pStyle w:val="25"/>
        <w:wordWrap w:val="0"/>
        <w:adjustRightInd w:val="0"/>
        <w:snapToGrid w:val="0"/>
        <w:spacing w:line="360" w:lineRule="auto"/>
        <w:ind w:firstLine="420" w:firstLineChars="200"/>
        <w:rPr>
          <w:rFonts w:hint="eastAsia" w:ascii="宋体" w:hAnsi="宋体" w:eastAsia="宋体" w:cs="宋体"/>
          <w:snapToGrid w:val="0"/>
          <w:color w:val="auto"/>
          <w:kern w:val="0"/>
          <w:szCs w:val="21"/>
        </w:rPr>
      </w:pPr>
    </w:p>
    <w:bookmarkEnd w:id="391"/>
    <w:bookmarkEnd w:id="392"/>
    <w:bookmarkEnd w:id="393"/>
    <w:bookmarkEnd w:id="394"/>
    <w:bookmarkEnd w:id="395"/>
    <w:p>
      <w:pPr>
        <w:pStyle w:val="5"/>
        <w:wordWrap w:val="0"/>
        <w:snapToGrid w:val="0"/>
        <w:spacing w:line="360" w:lineRule="auto"/>
        <w:ind w:firstLine="420"/>
        <w:rPr>
          <w:rFonts w:hint="eastAsia" w:ascii="宋体" w:hAnsi="宋体" w:eastAsia="宋体" w:cs="宋体"/>
          <w:b/>
          <w:bCs/>
          <w:snapToGrid w:val="0"/>
          <w:color w:val="auto"/>
          <w:kern w:val="0"/>
          <w:szCs w:val="24"/>
        </w:rPr>
      </w:pPr>
      <w:bookmarkStart w:id="438" w:name="_Toc30624"/>
      <w:bookmarkStart w:id="439" w:name="_Toc25453"/>
      <w:bookmarkStart w:id="440" w:name="_Toc210101349"/>
      <w:bookmarkStart w:id="441" w:name="_Toc48547015"/>
      <w:bookmarkStart w:id="442" w:name="_Toc118541763"/>
      <w:bookmarkStart w:id="443" w:name="_Toc535300004"/>
      <w:bookmarkStart w:id="444" w:name="_Toc534641863"/>
      <w:bookmarkStart w:id="445" w:name="_Toc133815902"/>
      <w:bookmarkStart w:id="446" w:name="_Toc137444778"/>
      <w:bookmarkStart w:id="447" w:name="_Toc132687128"/>
      <w:bookmarkStart w:id="448" w:name="_Toc78794873"/>
      <w:bookmarkStart w:id="449" w:name="_Toc133160683"/>
      <w:bookmarkStart w:id="450" w:name="_Toc142468134"/>
      <w:r>
        <w:rPr>
          <w:rFonts w:hint="eastAsia" w:ascii="宋体" w:hAnsi="宋体" w:eastAsia="宋体" w:cs="宋体"/>
          <w:snapToGrid w:val="0"/>
          <w:color w:val="auto"/>
          <w:sz w:val="24"/>
          <w:szCs w:val="24"/>
          <w:lang w:val="en-US" w:eastAsia="zh-CN"/>
        </w:rPr>
        <w:t>格式八   项目经理简历表</w:t>
      </w:r>
      <w:bookmarkEnd w:id="438"/>
      <w:bookmarkEnd w:id="439"/>
    </w:p>
    <w:tbl>
      <w:tblPr>
        <w:tblStyle w:val="15"/>
        <w:tblpPr w:leftFromText="180" w:rightFromText="180" w:vertAnchor="text" w:horzAnchor="page" w:tblpX="1490" w:tblpY="69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5"/>
        <w:gridCol w:w="963"/>
        <w:gridCol w:w="584"/>
        <w:gridCol w:w="648"/>
        <w:gridCol w:w="1294"/>
        <w:gridCol w:w="1946"/>
        <w:gridCol w:w="27"/>
        <w:gridCol w:w="1706"/>
        <w:gridCol w:w="13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姓   名</w:t>
            </w:r>
          </w:p>
        </w:tc>
        <w:tc>
          <w:tcPr>
            <w:tcW w:w="123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29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性  别</w:t>
            </w:r>
          </w:p>
        </w:tc>
        <w:tc>
          <w:tcPr>
            <w:tcW w:w="194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3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年   龄</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   务</w:t>
            </w:r>
          </w:p>
        </w:tc>
        <w:tc>
          <w:tcPr>
            <w:tcW w:w="123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29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  称</w:t>
            </w:r>
          </w:p>
        </w:tc>
        <w:tc>
          <w:tcPr>
            <w:tcW w:w="194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3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学   历</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参加工作时间</w:t>
            </w:r>
          </w:p>
        </w:tc>
        <w:tc>
          <w:tcPr>
            <w:tcW w:w="2526" w:type="dxa"/>
            <w:gridSpan w:val="3"/>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3679" w:type="dxa"/>
            <w:gridSpan w:val="3"/>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从事工程建设项目管理工作年限</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70" w:type="dxa"/>
            <w:gridSpan w:val="9"/>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以项目经理身份参与过的主要业绩（已完工项目）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序号</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项目名称</w:t>
            </w: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建设单位</w:t>
            </w: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建设内容和规模</w:t>
            </w: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开、竣工日期</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质量等级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bl>
    <w:p>
      <w:pPr>
        <w:wordWrap w:val="0"/>
        <w:adjustRightInd w:val="0"/>
        <w:snapToGrid w:val="0"/>
        <w:spacing w:line="360" w:lineRule="auto"/>
        <w:jc w:val="center"/>
        <w:rPr>
          <w:rFonts w:hint="eastAsia" w:ascii="宋体" w:hAnsi="宋体" w:eastAsia="宋体" w:cs="宋体"/>
          <w:b/>
          <w:bCs/>
          <w:snapToGrid w:val="0"/>
          <w:color w:val="auto"/>
          <w:kern w:val="0"/>
          <w:szCs w:val="24"/>
        </w:rPr>
      </w:pPr>
      <w:r>
        <w:rPr>
          <w:rFonts w:hint="eastAsia" w:ascii="宋体" w:hAnsi="宋体" w:eastAsia="宋体" w:cs="宋体"/>
          <w:b/>
          <w:snapToGrid w:val="0"/>
          <w:color w:val="auto"/>
          <w:kern w:val="0"/>
          <w:sz w:val="30"/>
        </w:rPr>
        <w:t>项目经理简历表</w:t>
      </w:r>
    </w:p>
    <w:p>
      <w:pPr>
        <w:wordWrap w:val="0"/>
        <w:adjustRightInd w:val="0"/>
        <w:snapToGrid w:val="0"/>
        <w:spacing w:line="360" w:lineRule="auto"/>
        <w:ind w:firstLine="570"/>
        <w:rPr>
          <w:rFonts w:hint="eastAsia" w:ascii="宋体" w:hAnsi="宋体" w:eastAsia="宋体" w:cs="宋体"/>
          <w:snapToGrid w:val="0"/>
          <w:color w:val="auto"/>
          <w:kern w:val="0"/>
          <w:szCs w:val="28"/>
        </w:rPr>
      </w:pPr>
    </w:p>
    <w:p>
      <w:pPr>
        <w:pStyle w:val="42"/>
        <w:wordWrap w:val="0"/>
        <w:adjustRightInd w:val="0"/>
        <w:snapToGrid w:val="0"/>
        <w:spacing w:line="360" w:lineRule="auto"/>
        <w:jc w:val="right"/>
        <w:rPr>
          <w:rFonts w:hint="eastAsia" w:ascii="宋体" w:hAnsi="宋体" w:eastAsia="宋体" w:cs="宋体"/>
          <w:snapToGrid w:val="0"/>
          <w:color w:val="auto"/>
          <w:kern w:val="0"/>
        </w:rPr>
      </w:pPr>
    </w:p>
    <w:p>
      <w:pPr>
        <w:pStyle w:val="42"/>
        <w:wordWrap w:val="0"/>
        <w:adjustRightInd w:val="0"/>
        <w:snapToGrid w:val="0"/>
        <w:spacing w:line="360" w:lineRule="auto"/>
        <w:jc w:val="right"/>
        <w:rPr>
          <w:rFonts w:hint="eastAsia" w:ascii="宋体" w:hAnsi="宋体" w:eastAsia="宋体" w:cs="宋体"/>
          <w:snapToGrid w:val="0"/>
          <w:color w:val="auto"/>
          <w:kern w:val="0"/>
        </w:rPr>
      </w:pPr>
      <w:r>
        <w:rPr>
          <w:rFonts w:hint="eastAsia" w:ascii="宋体" w:hAnsi="宋体" w:eastAsia="宋体" w:cs="宋体"/>
          <w:snapToGrid w:val="0"/>
          <w:color w:val="auto"/>
          <w:kern w:val="0"/>
        </w:rPr>
        <w:t>项目经理：</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（签字）</w:t>
      </w:r>
    </w:p>
    <w:p>
      <w:pPr>
        <w:pStyle w:val="42"/>
        <w:wordWrap w:val="0"/>
        <w:adjustRightInd w:val="0"/>
        <w:snapToGrid w:val="0"/>
        <w:spacing w:line="360" w:lineRule="auto"/>
        <w:jc w:val="right"/>
        <w:rPr>
          <w:rFonts w:hint="eastAsia" w:ascii="宋体" w:hAnsi="宋体" w:eastAsia="宋体" w:cs="宋体"/>
          <w:snapToGrid w:val="0"/>
          <w:color w:val="auto"/>
          <w:kern w:val="0"/>
        </w:rPr>
      </w:pPr>
    </w:p>
    <w:p>
      <w:pPr>
        <w:pStyle w:val="42"/>
        <w:wordWrap w:val="0"/>
        <w:adjustRightInd w:val="0"/>
        <w:snapToGrid w:val="0"/>
        <w:spacing w:line="360" w:lineRule="auto"/>
        <w:jc w:val="center"/>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                                     </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年</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月</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w:t>
      </w:r>
    </w:p>
    <w:p>
      <w:pPr>
        <w:wordWrap w:val="0"/>
        <w:adjustRightInd w:val="0"/>
        <w:snapToGrid w:val="0"/>
        <w:spacing w:line="360" w:lineRule="auto"/>
        <w:ind w:firstLine="570"/>
        <w:rPr>
          <w:rFonts w:hint="eastAsia" w:ascii="宋体" w:hAnsi="宋体" w:eastAsia="宋体" w:cs="宋体"/>
          <w:snapToGrid w:val="0"/>
          <w:color w:val="auto"/>
          <w:kern w:val="0"/>
          <w:szCs w:val="28"/>
        </w:rPr>
      </w:pP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说明：《项目经理简历表》后应附拟派项目经理以下资料：</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1．身份证彩色扫描件；</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2．建造师注册证书彩色扫描件，或电子注册证书打印件；</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3．B类安全生产考核合格证书彩色扫描件或“广东省建筑施工企业管理人员安全生产考核系统”考核合格信息打印页；</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4．在本单位缴纳社保的证明（</w:t>
      </w:r>
      <w:r>
        <w:rPr>
          <w:rStyle w:val="22"/>
          <w:rFonts w:hint="eastAsia" w:ascii="宋体" w:hAnsi="宋体" w:eastAsia="宋体" w:cs="宋体"/>
          <w:color w:val="auto"/>
          <w:kern w:val="0"/>
          <w:sz w:val="21"/>
          <w:szCs w:val="21"/>
          <w:highlight w:val="none"/>
          <w:lang w:val="en-US" w:eastAsia="zh-CN"/>
        </w:rPr>
        <w:t>近1个月，其中必须有2024年05月</w:t>
      </w:r>
      <w:r>
        <w:rPr>
          <w:rFonts w:hint="eastAsia" w:ascii="宋体" w:hAnsi="宋体" w:eastAsia="宋体" w:cs="宋体"/>
          <w:snapToGrid w:val="0"/>
          <w:color w:val="auto"/>
          <w:kern w:val="0"/>
          <w:szCs w:val="28"/>
        </w:rPr>
        <w:t>）彩色扫描件，（非独立法人分支机构出具社保，予以认可）；拟派项目经理为退休返聘人员无法提供社保证明的，提供退休证和劳动合同彩色扫描件；</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451" w:name="_Toc7142"/>
      <w:bookmarkStart w:id="452" w:name="_Toc22534"/>
      <w:bookmarkStart w:id="453" w:name="_Toc24540"/>
      <w:r>
        <w:rPr>
          <w:rFonts w:hint="eastAsia" w:ascii="宋体" w:hAnsi="宋体" w:eastAsia="宋体" w:cs="宋体"/>
          <w:snapToGrid w:val="0"/>
          <w:color w:val="auto"/>
          <w:sz w:val="24"/>
          <w:szCs w:val="24"/>
          <w:lang w:val="en-US" w:eastAsia="zh-CN"/>
        </w:rPr>
        <w:t>格式九   项目经理任职声明</w:t>
      </w:r>
      <w:bookmarkEnd w:id="451"/>
      <w:bookmarkEnd w:id="452"/>
      <w:bookmarkEnd w:id="453"/>
    </w:p>
    <w:p>
      <w:pPr>
        <w:wordWrap w:val="0"/>
        <w:adjustRightInd w:val="0"/>
        <w:snapToGrid w:val="0"/>
        <w:spacing w:before="260" w:after="260" w:line="360" w:lineRule="auto"/>
        <w:jc w:val="center"/>
        <w:rPr>
          <w:rFonts w:hint="eastAsia" w:ascii="宋体" w:hAnsi="宋体" w:eastAsia="宋体" w:cs="宋体"/>
          <w:snapToGrid w:val="0"/>
          <w:color w:val="auto"/>
          <w:kern w:val="0"/>
          <w:szCs w:val="28"/>
        </w:rPr>
      </w:pPr>
      <w:r>
        <w:rPr>
          <w:rFonts w:hint="eastAsia" w:ascii="宋体" w:hAnsi="宋体" w:eastAsia="宋体" w:cs="宋体"/>
          <w:b/>
          <w:snapToGrid w:val="0"/>
          <w:color w:val="auto"/>
          <w:kern w:val="0"/>
          <w:sz w:val="30"/>
        </w:rPr>
        <w:t>项目经理任职声明</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致：</w:t>
      </w:r>
      <w:r>
        <w:rPr>
          <w:rFonts w:hint="eastAsia" w:ascii="宋体" w:hAnsi="宋体" w:eastAsia="宋体" w:cs="宋体"/>
          <w:snapToGrid w:val="0"/>
          <w:color w:val="auto"/>
          <w:kern w:val="0"/>
          <w:szCs w:val="28"/>
          <w:u w:val="single"/>
        </w:rPr>
        <w:t xml:space="preserve">                   </w:t>
      </w:r>
      <w:r>
        <w:rPr>
          <w:rFonts w:hint="eastAsia" w:ascii="宋体" w:hAnsi="宋体" w:eastAsia="宋体" w:cs="宋体"/>
          <w:snapToGrid w:val="0"/>
          <w:color w:val="auto"/>
          <w:kern w:val="0"/>
          <w:szCs w:val="28"/>
        </w:rPr>
        <w:t>（招标人名称）：</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我方在此声明，我方拟派往</w:t>
      </w:r>
      <w:r>
        <w:rPr>
          <w:rFonts w:hint="eastAsia" w:ascii="宋体" w:hAnsi="宋体" w:eastAsia="宋体" w:cs="宋体"/>
          <w:snapToGrid w:val="0"/>
          <w:color w:val="auto"/>
          <w:kern w:val="0"/>
          <w:szCs w:val="28"/>
          <w:u w:val="single"/>
        </w:rPr>
        <w:t xml:space="preserve">        </w:t>
      </w:r>
      <w:r>
        <w:rPr>
          <w:rFonts w:hint="eastAsia" w:ascii="宋体" w:hAnsi="宋体" w:eastAsia="宋体" w:cs="宋体"/>
          <w:snapToGrid w:val="0"/>
          <w:color w:val="auto"/>
          <w:kern w:val="0"/>
          <w:szCs w:val="28"/>
        </w:rPr>
        <w:t>（</w:t>
      </w:r>
      <w:r>
        <w:rPr>
          <w:rFonts w:hint="eastAsia" w:ascii="宋体" w:hAnsi="宋体" w:eastAsia="宋体" w:cs="宋体"/>
          <w:snapToGrid w:val="0"/>
          <w:color w:val="auto"/>
          <w:kern w:val="0"/>
          <w:sz w:val="24"/>
          <w:szCs w:val="28"/>
        </w:rPr>
        <w:t>项目名称</w:t>
      </w:r>
      <w:r>
        <w:rPr>
          <w:rFonts w:hint="eastAsia" w:ascii="宋体" w:hAnsi="宋体" w:eastAsia="宋体" w:cs="宋体"/>
          <w:snapToGrid w:val="0"/>
          <w:color w:val="auto"/>
          <w:kern w:val="0"/>
          <w:szCs w:val="28"/>
        </w:rPr>
        <w:t>）的项目经理</w:t>
      </w:r>
      <w:r>
        <w:rPr>
          <w:rFonts w:hint="eastAsia" w:ascii="宋体" w:hAnsi="宋体" w:eastAsia="宋体" w:cs="宋体"/>
          <w:snapToGrid w:val="0"/>
          <w:color w:val="auto"/>
          <w:kern w:val="0"/>
          <w:szCs w:val="28"/>
          <w:u w:val="single"/>
        </w:rPr>
        <w:t xml:space="preserve">           </w:t>
      </w:r>
      <w:r>
        <w:rPr>
          <w:rFonts w:hint="eastAsia" w:ascii="宋体" w:hAnsi="宋体" w:eastAsia="宋体" w:cs="宋体"/>
          <w:snapToGrid w:val="0"/>
          <w:color w:val="auto"/>
          <w:kern w:val="0"/>
          <w:szCs w:val="28"/>
        </w:rPr>
        <w:t>（项目经理姓名）现阶段没有担任任何在施（包括已中标未开工、已开工未竣工）建设工程项目的项目经理。</w:t>
      </w:r>
    </w:p>
    <w:p>
      <w:pPr>
        <w:wordWrap w:val="0"/>
        <w:adjustRightInd w:val="0"/>
        <w:snapToGrid w:val="0"/>
        <w:spacing w:line="360" w:lineRule="auto"/>
        <w:ind w:firstLine="480"/>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我方保证上述信息的真实和准确，并愿意承担因我方就此弄虚作假所引起的一切法律后果。</w:t>
      </w:r>
    </w:p>
    <w:p>
      <w:pPr>
        <w:wordWrap w:val="0"/>
        <w:adjustRightInd w:val="0"/>
        <w:snapToGrid w:val="0"/>
        <w:spacing w:line="360" w:lineRule="auto"/>
        <w:ind w:firstLine="480"/>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特此承诺　　</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w:t>
      </w:r>
    </w:p>
    <w:p>
      <w:pPr>
        <w:wordWrap w:val="0"/>
        <w:adjustRightInd w:val="0"/>
        <w:snapToGrid w:val="0"/>
        <w:spacing w:line="360" w:lineRule="auto"/>
        <w:jc w:val="right"/>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投标人：</w:t>
      </w:r>
      <w:r>
        <w:rPr>
          <w:rFonts w:hint="eastAsia" w:ascii="宋体" w:hAnsi="宋体" w:eastAsia="宋体" w:cs="宋体"/>
          <w:snapToGrid w:val="0"/>
          <w:color w:val="auto"/>
          <w:kern w:val="0"/>
          <w:szCs w:val="28"/>
          <w:u w:val="single"/>
        </w:rPr>
        <w:t xml:space="preserve">                                </w:t>
      </w:r>
      <w:r>
        <w:rPr>
          <w:rFonts w:hint="eastAsia" w:ascii="宋体" w:hAnsi="宋体" w:eastAsia="宋体" w:cs="宋体"/>
          <w:snapToGrid w:val="0"/>
          <w:color w:val="auto"/>
          <w:kern w:val="0"/>
          <w:szCs w:val="28"/>
        </w:rPr>
        <w:t>（盖单位章）</w:t>
      </w:r>
    </w:p>
    <w:p>
      <w:pPr>
        <w:wordWrap w:val="0"/>
        <w:adjustRightInd w:val="0"/>
        <w:snapToGrid w:val="0"/>
        <w:spacing w:line="360" w:lineRule="auto"/>
        <w:jc w:val="right"/>
        <w:rPr>
          <w:rFonts w:hint="eastAsia" w:ascii="宋体" w:hAnsi="宋体" w:eastAsia="宋体" w:cs="宋体"/>
          <w:snapToGrid w:val="0"/>
          <w:color w:val="auto"/>
          <w:kern w:val="0"/>
          <w:szCs w:val="28"/>
        </w:rPr>
      </w:pPr>
    </w:p>
    <w:p>
      <w:pPr>
        <w:wordWrap w:val="0"/>
        <w:adjustRightInd w:val="0"/>
        <w:snapToGrid w:val="0"/>
        <w:spacing w:line="360" w:lineRule="auto"/>
        <w:jc w:val="right"/>
        <w:rPr>
          <w:rFonts w:hint="eastAsia" w:ascii="宋体" w:hAnsi="宋体" w:eastAsia="宋体" w:cs="宋体"/>
          <w:snapToGrid w:val="0"/>
          <w:color w:val="auto"/>
          <w:kern w:val="0"/>
          <w:szCs w:val="28"/>
        </w:rPr>
      </w:pPr>
    </w:p>
    <w:p>
      <w:pPr>
        <w:wordWrap w:val="0"/>
        <w:adjustRightInd w:val="0"/>
        <w:snapToGrid w:val="0"/>
        <w:spacing w:line="360" w:lineRule="auto"/>
        <w:jc w:val="right"/>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法定代表人或其委托代理人：</w:t>
      </w:r>
      <w:r>
        <w:rPr>
          <w:rFonts w:hint="eastAsia" w:ascii="宋体" w:hAnsi="宋体" w:eastAsia="宋体" w:cs="宋体"/>
          <w:snapToGrid w:val="0"/>
          <w:color w:val="auto"/>
          <w:kern w:val="0"/>
          <w:szCs w:val="28"/>
          <w:u w:val="single"/>
        </w:rPr>
        <w:t xml:space="preserve">             </w:t>
      </w:r>
      <w:r>
        <w:rPr>
          <w:rFonts w:hint="eastAsia" w:ascii="宋体" w:hAnsi="宋体" w:eastAsia="宋体" w:cs="宋体"/>
          <w:snapToGrid w:val="0"/>
          <w:color w:val="auto"/>
          <w:kern w:val="0"/>
          <w:szCs w:val="28"/>
        </w:rPr>
        <w:t>（签字或盖章）</w:t>
      </w:r>
    </w:p>
    <w:p>
      <w:pPr>
        <w:wordWrap w:val="0"/>
        <w:adjustRightInd w:val="0"/>
        <w:snapToGrid w:val="0"/>
        <w:spacing w:line="360" w:lineRule="auto"/>
        <w:jc w:val="right"/>
        <w:rPr>
          <w:rFonts w:hint="eastAsia" w:ascii="宋体" w:hAnsi="宋体" w:eastAsia="宋体" w:cs="宋体"/>
          <w:snapToGrid w:val="0"/>
          <w:color w:val="auto"/>
          <w:kern w:val="0"/>
          <w:szCs w:val="28"/>
        </w:rPr>
      </w:pPr>
    </w:p>
    <w:p>
      <w:pPr>
        <w:wordWrap w:val="0"/>
        <w:adjustRightInd w:val="0"/>
        <w:snapToGrid w:val="0"/>
        <w:spacing w:line="360" w:lineRule="auto"/>
        <w:jc w:val="center"/>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w:t>
      </w:r>
      <w:r>
        <w:rPr>
          <w:rFonts w:hint="eastAsia" w:ascii="宋体" w:hAnsi="宋体" w:eastAsia="宋体" w:cs="宋体"/>
          <w:snapToGrid w:val="0"/>
          <w:color w:val="auto"/>
          <w:kern w:val="0"/>
          <w:szCs w:val="28"/>
          <w:u w:val="single"/>
        </w:rPr>
        <w:t xml:space="preserve">         </w:t>
      </w:r>
      <w:r>
        <w:rPr>
          <w:rFonts w:hint="eastAsia" w:ascii="宋体" w:hAnsi="宋体" w:eastAsia="宋体" w:cs="宋体"/>
          <w:snapToGrid w:val="0"/>
          <w:color w:val="auto"/>
          <w:kern w:val="0"/>
          <w:szCs w:val="28"/>
        </w:rPr>
        <w:t>年</w:t>
      </w:r>
      <w:r>
        <w:rPr>
          <w:rFonts w:hint="eastAsia" w:ascii="宋体" w:hAnsi="宋体" w:eastAsia="宋体" w:cs="宋体"/>
          <w:snapToGrid w:val="0"/>
          <w:color w:val="auto"/>
          <w:kern w:val="0"/>
          <w:szCs w:val="28"/>
          <w:u w:val="single"/>
        </w:rPr>
        <w:t xml:space="preserve">        </w:t>
      </w:r>
      <w:r>
        <w:rPr>
          <w:rFonts w:hint="eastAsia" w:ascii="宋体" w:hAnsi="宋体" w:eastAsia="宋体" w:cs="宋体"/>
          <w:snapToGrid w:val="0"/>
          <w:color w:val="auto"/>
          <w:kern w:val="0"/>
          <w:szCs w:val="28"/>
        </w:rPr>
        <w:t>月</w:t>
      </w:r>
      <w:r>
        <w:rPr>
          <w:rFonts w:hint="eastAsia" w:ascii="宋体" w:hAnsi="宋体" w:eastAsia="宋体" w:cs="宋体"/>
          <w:snapToGrid w:val="0"/>
          <w:color w:val="auto"/>
          <w:kern w:val="0"/>
          <w:szCs w:val="28"/>
          <w:u w:val="single"/>
        </w:rPr>
        <w:t xml:space="preserve">        </w:t>
      </w:r>
      <w:r>
        <w:rPr>
          <w:rFonts w:hint="eastAsia" w:ascii="宋体" w:hAnsi="宋体" w:eastAsia="宋体" w:cs="宋体"/>
          <w:snapToGrid w:val="0"/>
          <w:color w:val="auto"/>
          <w:kern w:val="0"/>
          <w:szCs w:val="28"/>
        </w:rPr>
        <w:t>日</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5"/>
        <w:wordWrap w:val="0"/>
        <w:snapToGrid w:val="0"/>
        <w:spacing w:line="360" w:lineRule="auto"/>
        <w:ind w:firstLine="420"/>
        <w:rPr>
          <w:rFonts w:hint="eastAsia" w:ascii="宋体" w:hAnsi="宋体" w:eastAsia="宋体" w:cs="宋体"/>
          <w:b/>
          <w:bCs/>
          <w:snapToGrid w:val="0"/>
          <w:color w:val="auto"/>
          <w:kern w:val="0"/>
          <w:szCs w:val="24"/>
        </w:rPr>
      </w:pPr>
      <w:bookmarkStart w:id="454" w:name="_Toc5050"/>
      <w:bookmarkStart w:id="455" w:name="_Toc19438"/>
      <w:r>
        <w:rPr>
          <w:rFonts w:hint="eastAsia" w:ascii="宋体" w:hAnsi="宋体" w:eastAsia="宋体" w:cs="宋体"/>
          <w:snapToGrid w:val="0"/>
          <w:color w:val="auto"/>
          <w:sz w:val="24"/>
          <w:szCs w:val="24"/>
          <w:lang w:val="en-US" w:eastAsia="zh-CN"/>
        </w:rPr>
        <w:t>格式十   项目技术负责人简历表</w:t>
      </w:r>
      <w:bookmarkEnd w:id="454"/>
      <w:bookmarkEnd w:id="455"/>
    </w:p>
    <w:tbl>
      <w:tblPr>
        <w:tblStyle w:val="15"/>
        <w:tblpPr w:leftFromText="180" w:rightFromText="180" w:vertAnchor="text" w:horzAnchor="page" w:tblpX="1490" w:tblpY="69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5"/>
        <w:gridCol w:w="963"/>
        <w:gridCol w:w="584"/>
        <w:gridCol w:w="648"/>
        <w:gridCol w:w="1294"/>
        <w:gridCol w:w="1946"/>
        <w:gridCol w:w="27"/>
        <w:gridCol w:w="1706"/>
        <w:gridCol w:w="13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姓   名</w:t>
            </w:r>
          </w:p>
        </w:tc>
        <w:tc>
          <w:tcPr>
            <w:tcW w:w="123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29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性  别</w:t>
            </w:r>
          </w:p>
        </w:tc>
        <w:tc>
          <w:tcPr>
            <w:tcW w:w="194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3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年   龄</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   务</w:t>
            </w:r>
          </w:p>
        </w:tc>
        <w:tc>
          <w:tcPr>
            <w:tcW w:w="123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29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  称</w:t>
            </w:r>
          </w:p>
        </w:tc>
        <w:tc>
          <w:tcPr>
            <w:tcW w:w="194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3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学   历</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参加工作时间</w:t>
            </w:r>
          </w:p>
        </w:tc>
        <w:tc>
          <w:tcPr>
            <w:tcW w:w="2526" w:type="dxa"/>
            <w:gridSpan w:val="3"/>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3679" w:type="dxa"/>
            <w:gridSpan w:val="3"/>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从事工程建设项目管理工作年限</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70" w:type="dxa"/>
            <w:gridSpan w:val="9"/>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以项目技术负责人身份参与过的主要业绩（已完工项目）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序号</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项目名称</w:t>
            </w: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建设单位</w:t>
            </w: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建设内容和规模</w:t>
            </w: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开、竣工日期</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质量等级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bl>
    <w:p>
      <w:pPr>
        <w:wordWrap w:val="0"/>
        <w:adjustRightInd w:val="0"/>
        <w:snapToGrid w:val="0"/>
        <w:spacing w:line="360" w:lineRule="auto"/>
        <w:jc w:val="center"/>
        <w:rPr>
          <w:rFonts w:hint="eastAsia" w:ascii="宋体" w:hAnsi="宋体" w:eastAsia="宋体" w:cs="宋体"/>
          <w:b/>
          <w:bCs/>
          <w:snapToGrid w:val="0"/>
          <w:color w:val="auto"/>
          <w:kern w:val="0"/>
          <w:szCs w:val="24"/>
        </w:rPr>
      </w:pPr>
      <w:r>
        <w:rPr>
          <w:rFonts w:hint="eastAsia" w:ascii="宋体" w:hAnsi="宋体" w:eastAsia="宋体" w:cs="宋体"/>
          <w:b/>
          <w:snapToGrid w:val="0"/>
          <w:color w:val="auto"/>
          <w:kern w:val="0"/>
          <w:sz w:val="30"/>
        </w:rPr>
        <w:t>项目技术负责人简历表</w:t>
      </w:r>
    </w:p>
    <w:p>
      <w:pPr>
        <w:wordWrap w:val="0"/>
        <w:adjustRightInd w:val="0"/>
        <w:snapToGrid w:val="0"/>
        <w:spacing w:line="360" w:lineRule="auto"/>
        <w:ind w:firstLine="570"/>
        <w:rPr>
          <w:rFonts w:hint="eastAsia" w:ascii="宋体" w:hAnsi="宋体" w:eastAsia="宋体" w:cs="宋体"/>
          <w:snapToGrid w:val="0"/>
          <w:color w:val="auto"/>
          <w:kern w:val="0"/>
          <w:szCs w:val="28"/>
        </w:rPr>
      </w:pPr>
    </w:p>
    <w:p>
      <w:pPr>
        <w:pStyle w:val="42"/>
        <w:wordWrap w:val="0"/>
        <w:adjustRightInd w:val="0"/>
        <w:snapToGrid w:val="0"/>
        <w:spacing w:line="360" w:lineRule="auto"/>
        <w:jc w:val="right"/>
        <w:rPr>
          <w:rFonts w:hint="eastAsia" w:ascii="宋体" w:hAnsi="宋体" w:eastAsia="宋体" w:cs="宋体"/>
          <w:snapToGrid w:val="0"/>
          <w:color w:val="auto"/>
          <w:kern w:val="0"/>
        </w:rPr>
      </w:pPr>
    </w:p>
    <w:p>
      <w:pPr>
        <w:pStyle w:val="42"/>
        <w:wordWrap w:val="0"/>
        <w:adjustRightInd w:val="0"/>
        <w:snapToGrid w:val="0"/>
        <w:spacing w:line="360" w:lineRule="auto"/>
        <w:jc w:val="right"/>
        <w:rPr>
          <w:rFonts w:hint="eastAsia" w:ascii="宋体" w:hAnsi="宋体" w:eastAsia="宋体" w:cs="宋体"/>
          <w:snapToGrid w:val="0"/>
          <w:color w:val="auto"/>
          <w:kern w:val="0"/>
        </w:rPr>
      </w:pPr>
      <w:r>
        <w:rPr>
          <w:rFonts w:hint="eastAsia" w:ascii="宋体" w:hAnsi="宋体" w:eastAsia="宋体" w:cs="宋体"/>
          <w:snapToGrid w:val="0"/>
          <w:color w:val="auto"/>
          <w:kern w:val="0"/>
        </w:rPr>
        <w:t>项目技术负责人：</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（签字）</w:t>
      </w:r>
    </w:p>
    <w:p>
      <w:pPr>
        <w:pStyle w:val="42"/>
        <w:wordWrap w:val="0"/>
        <w:adjustRightInd w:val="0"/>
        <w:snapToGrid w:val="0"/>
        <w:spacing w:line="360" w:lineRule="auto"/>
        <w:jc w:val="right"/>
        <w:rPr>
          <w:rFonts w:hint="eastAsia" w:ascii="宋体" w:hAnsi="宋体" w:eastAsia="宋体" w:cs="宋体"/>
          <w:snapToGrid w:val="0"/>
          <w:color w:val="auto"/>
          <w:kern w:val="0"/>
        </w:rPr>
      </w:pPr>
    </w:p>
    <w:p>
      <w:pPr>
        <w:pStyle w:val="42"/>
        <w:wordWrap w:val="0"/>
        <w:adjustRightInd w:val="0"/>
        <w:snapToGrid w:val="0"/>
        <w:spacing w:line="360" w:lineRule="auto"/>
        <w:jc w:val="center"/>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                                                 </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年</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月</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w:t>
      </w:r>
    </w:p>
    <w:p>
      <w:pPr>
        <w:wordWrap w:val="0"/>
        <w:adjustRightInd w:val="0"/>
        <w:snapToGrid w:val="0"/>
        <w:spacing w:line="360" w:lineRule="auto"/>
        <w:ind w:firstLine="570"/>
        <w:rPr>
          <w:rFonts w:hint="eastAsia" w:ascii="宋体" w:hAnsi="宋体" w:eastAsia="宋体" w:cs="宋体"/>
          <w:snapToGrid w:val="0"/>
          <w:color w:val="auto"/>
          <w:kern w:val="0"/>
          <w:szCs w:val="28"/>
        </w:rPr>
      </w:pP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说明：《项目技术负责人简历表》后应附拟派项目技术负责人以下资料：</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1．身份证彩色扫描件；</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2．职称证彩色扫描件；</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3．在本单位缴纳社保的证明（</w:t>
      </w:r>
      <w:r>
        <w:rPr>
          <w:rStyle w:val="22"/>
          <w:rFonts w:hint="eastAsia" w:ascii="宋体" w:hAnsi="宋体" w:eastAsia="宋体" w:cs="宋体"/>
          <w:color w:val="auto"/>
          <w:kern w:val="0"/>
          <w:sz w:val="21"/>
          <w:szCs w:val="21"/>
          <w:highlight w:val="none"/>
          <w:lang w:val="en-US" w:eastAsia="zh-CN"/>
        </w:rPr>
        <w:t>近1个月，其中必须有2024年05月</w:t>
      </w:r>
      <w:r>
        <w:rPr>
          <w:rFonts w:hint="eastAsia" w:ascii="宋体" w:hAnsi="宋体" w:eastAsia="宋体" w:cs="宋体"/>
          <w:snapToGrid w:val="0"/>
          <w:color w:val="auto"/>
          <w:kern w:val="0"/>
          <w:szCs w:val="28"/>
        </w:rPr>
        <w:t>）彩色扫描件，（非独立法人分支机构出具社保，予以认可）；拟派技术负责人为退休返聘人员无法提供社保证明的，提供退休证和劳动合同彩色扫描件；</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rPr>
          <w:rFonts w:hint="eastAsia" w:ascii="宋体" w:hAnsi="宋体" w:eastAsia="宋体" w:cs="宋体"/>
          <w:snapToGrid w:val="0"/>
          <w:color w:val="auto"/>
          <w:kern w:val="0"/>
          <w:szCs w:val="28"/>
        </w:rPr>
      </w:pPr>
    </w:p>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456" w:name="_Toc18082"/>
      <w:bookmarkStart w:id="457" w:name="_Toc3673"/>
      <w:bookmarkStart w:id="458" w:name="_Toc8775"/>
      <w:r>
        <w:rPr>
          <w:rFonts w:hint="eastAsia" w:ascii="宋体" w:hAnsi="宋体" w:eastAsia="宋体" w:cs="宋体"/>
          <w:snapToGrid w:val="0"/>
          <w:color w:val="auto"/>
          <w:sz w:val="24"/>
          <w:szCs w:val="24"/>
          <w:lang w:val="en-US" w:eastAsia="zh-CN"/>
        </w:rPr>
        <w:t>格式十一   项目设计负责人简历表</w:t>
      </w:r>
      <w:bookmarkEnd w:id="456"/>
      <w:bookmarkEnd w:id="457"/>
      <w:bookmarkEnd w:id="458"/>
    </w:p>
    <w:p>
      <w:pPr>
        <w:wordWrap w:val="0"/>
        <w:adjustRightInd w:val="0"/>
        <w:snapToGrid w:val="0"/>
        <w:spacing w:line="360" w:lineRule="auto"/>
        <w:jc w:val="left"/>
        <w:rPr>
          <w:rFonts w:hint="eastAsia" w:ascii="宋体" w:hAnsi="宋体" w:eastAsia="宋体" w:cs="宋体"/>
          <w:b/>
          <w:bCs/>
          <w:snapToGrid w:val="0"/>
          <w:color w:val="auto"/>
          <w:kern w:val="0"/>
          <w:szCs w:val="24"/>
        </w:rPr>
      </w:pPr>
    </w:p>
    <w:tbl>
      <w:tblPr>
        <w:tblStyle w:val="15"/>
        <w:tblpPr w:leftFromText="180" w:rightFromText="180" w:vertAnchor="text" w:horzAnchor="page" w:tblpX="1490" w:tblpY="69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5"/>
        <w:gridCol w:w="963"/>
        <w:gridCol w:w="584"/>
        <w:gridCol w:w="648"/>
        <w:gridCol w:w="1294"/>
        <w:gridCol w:w="1946"/>
        <w:gridCol w:w="27"/>
        <w:gridCol w:w="1706"/>
        <w:gridCol w:w="13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姓   名</w:t>
            </w:r>
          </w:p>
        </w:tc>
        <w:tc>
          <w:tcPr>
            <w:tcW w:w="123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29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性  别</w:t>
            </w:r>
          </w:p>
        </w:tc>
        <w:tc>
          <w:tcPr>
            <w:tcW w:w="194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3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年   龄</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   务</w:t>
            </w:r>
          </w:p>
        </w:tc>
        <w:tc>
          <w:tcPr>
            <w:tcW w:w="123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29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  称</w:t>
            </w:r>
          </w:p>
        </w:tc>
        <w:tc>
          <w:tcPr>
            <w:tcW w:w="194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3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学   历</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参加工作时间</w:t>
            </w:r>
          </w:p>
        </w:tc>
        <w:tc>
          <w:tcPr>
            <w:tcW w:w="2526" w:type="dxa"/>
            <w:gridSpan w:val="3"/>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3679" w:type="dxa"/>
            <w:gridSpan w:val="3"/>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从事工程建设项目管理工作年限</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70" w:type="dxa"/>
            <w:gridSpan w:val="9"/>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以项目设计负责人身份参与过的主要业绩（已完工项目）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序号</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项目名称</w:t>
            </w: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建设单位</w:t>
            </w: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建设内容和规模</w:t>
            </w: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开、竣工日期</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质量等级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bl>
    <w:p>
      <w:pPr>
        <w:wordWrap w:val="0"/>
        <w:adjustRightInd w:val="0"/>
        <w:snapToGrid w:val="0"/>
        <w:spacing w:line="360" w:lineRule="auto"/>
        <w:jc w:val="center"/>
        <w:rPr>
          <w:rFonts w:hint="eastAsia" w:ascii="宋体" w:hAnsi="宋体" w:eastAsia="宋体" w:cs="宋体"/>
          <w:b/>
          <w:bCs/>
          <w:snapToGrid w:val="0"/>
          <w:color w:val="auto"/>
          <w:kern w:val="0"/>
          <w:szCs w:val="24"/>
        </w:rPr>
      </w:pPr>
      <w:r>
        <w:rPr>
          <w:rFonts w:hint="eastAsia" w:ascii="宋体" w:hAnsi="宋体" w:eastAsia="宋体" w:cs="宋体"/>
          <w:b/>
          <w:snapToGrid w:val="0"/>
          <w:color w:val="auto"/>
          <w:kern w:val="0"/>
          <w:sz w:val="30"/>
        </w:rPr>
        <w:t>项目设计负责人简历表</w:t>
      </w:r>
    </w:p>
    <w:p>
      <w:pPr>
        <w:wordWrap w:val="0"/>
        <w:adjustRightInd w:val="0"/>
        <w:snapToGrid w:val="0"/>
        <w:spacing w:line="360" w:lineRule="auto"/>
        <w:ind w:firstLine="570"/>
        <w:rPr>
          <w:rFonts w:hint="eastAsia" w:ascii="宋体" w:hAnsi="宋体" w:eastAsia="宋体" w:cs="宋体"/>
          <w:snapToGrid w:val="0"/>
          <w:color w:val="auto"/>
          <w:kern w:val="0"/>
          <w:szCs w:val="28"/>
        </w:rPr>
      </w:pPr>
    </w:p>
    <w:p>
      <w:pPr>
        <w:pStyle w:val="42"/>
        <w:wordWrap w:val="0"/>
        <w:adjustRightInd w:val="0"/>
        <w:snapToGrid w:val="0"/>
        <w:spacing w:line="360" w:lineRule="auto"/>
        <w:jc w:val="right"/>
        <w:rPr>
          <w:rFonts w:hint="eastAsia" w:ascii="宋体" w:hAnsi="宋体" w:eastAsia="宋体" w:cs="宋体"/>
          <w:snapToGrid w:val="0"/>
          <w:color w:val="auto"/>
          <w:kern w:val="0"/>
        </w:rPr>
      </w:pPr>
    </w:p>
    <w:p>
      <w:pPr>
        <w:pStyle w:val="42"/>
        <w:wordWrap w:val="0"/>
        <w:adjustRightInd w:val="0"/>
        <w:snapToGrid w:val="0"/>
        <w:spacing w:line="360" w:lineRule="auto"/>
        <w:jc w:val="right"/>
        <w:rPr>
          <w:rFonts w:hint="eastAsia" w:ascii="宋体" w:hAnsi="宋体" w:eastAsia="宋体" w:cs="宋体"/>
          <w:snapToGrid w:val="0"/>
          <w:color w:val="auto"/>
          <w:kern w:val="0"/>
        </w:rPr>
      </w:pPr>
      <w:r>
        <w:rPr>
          <w:rFonts w:hint="eastAsia" w:ascii="宋体" w:hAnsi="宋体" w:eastAsia="宋体" w:cs="宋体"/>
          <w:b/>
          <w:bCs/>
          <w:snapToGrid w:val="0"/>
          <w:color w:val="auto"/>
          <w:kern w:val="0"/>
        </w:rPr>
        <w:t>项目</w:t>
      </w:r>
      <w:r>
        <w:rPr>
          <w:rFonts w:hint="eastAsia" w:ascii="宋体" w:hAnsi="宋体" w:eastAsia="宋体" w:cs="宋体"/>
          <w:b/>
          <w:snapToGrid w:val="0"/>
          <w:color w:val="auto"/>
          <w:kern w:val="0"/>
        </w:rPr>
        <w:t>设计负责人</w:t>
      </w:r>
      <w:r>
        <w:rPr>
          <w:rFonts w:hint="eastAsia" w:ascii="宋体" w:hAnsi="宋体" w:eastAsia="宋体" w:cs="宋体"/>
          <w:snapToGrid w:val="0"/>
          <w:color w:val="auto"/>
          <w:kern w:val="0"/>
        </w:rPr>
        <w:t>：</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（签字）</w:t>
      </w:r>
    </w:p>
    <w:p>
      <w:pPr>
        <w:pStyle w:val="42"/>
        <w:wordWrap w:val="0"/>
        <w:adjustRightInd w:val="0"/>
        <w:snapToGrid w:val="0"/>
        <w:spacing w:line="360" w:lineRule="auto"/>
        <w:jc w:val="right"/>
        <w:rPr>
          <w:rFonts w:hint="eastAsia" w:ascii="宋体" w:hAnsi="宋体" w:eastAsia="宋体" w:cs="宋体"/>
          <w:snapToGrid w:val="0"/>
          <w:color w:val="auto"/>
          <w:kern w:val="0"/>
        </w:rPr>
      </w:pPr>
    </w:p>
    <w:p>
      <w:pPr>
        <w:pStyle w:val="42"/>
        <w:wordWrap w:val="0"/>
        <w:adjustRightInd w:val="0"/>
        <w:snapToGrid w:val="0"/>
        <w:spacing w:line="360" w:lineRule="auto"/>
        <w:jc w:val="center"/>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                                     </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年</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月</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w:t>
      </w:r>
    </w:p>
    <w:p>
      <w:pPr>
        <w:wordWrap w:val="0"/>
        <w:adjustRightInd w:val="0"/>
        <w:snapToGrid w:val="0"/>
        <w:spacing w:line="360" w:lineRule="auto"/>
        <w:ind w:firstLine="570"/>
        <w:rPr>
          <w:rFonts w:hint="eastAsia" w:ascii="宋体" w:hAnsi="宋体" w:eastAsia="宋体" w:cs="宋体"/>
          <w:snapToGrid w:val="0"/>
          <w:color w:val="auto"/>
          <w:kern w:val="0"/>
          <w:szCs w:val="28"/>
        </w:rPr>
      </w:pP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说明：《项目设计负责人简历表》后应附拟派项目设计负责人以下资料：</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1．身份证彩色扫描件；</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2．注册证书彩色扫描件；</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3．在本单位缴纳社保的证明（</w:t>
      </w:r>
      <w:r>
        <w:rPr>
          <w:rStyle w:val="22"/>
          <w:rFonts w:hint="eastAsia" w:ascii="宋体" w:hAnsi="宋体" w:eastAsia="宋体" w:cs="宋体"/>
          <w:color w:val="auto"/>
          <w:kern w:val="0"/>
          <w:sz w:val="21"/>
          <w:szCs w:val="21"/>
          <w:highlight w:val="none"/>
          <w:lang w:val="en-US" w:eastAsia="zh-CN"/>
        </w:rPr>
        <w:t>近1个月，其中必须有2024年05月</w:t>
      </w:r>
      <w:r>
        <w:rPr>
          <w:rFonts w:hint="eastAsia" w:ascii="宋体" w:hAnsi="宋体" w:eastAsia="宋体" w:cs="宋体"/>
          <w:snapToGrid w:val="0"/>
          <w:color w:val="auto"/>
          <w:kern w:val="0"/>
          <w:szCs w:val="28"/>
        </w:rPr>
        <w:t>）彩色扫描件，（非独立法人分支机构出具社保，予以认可）；拟派设计负责人为退休返聘人员无法提供社保证明的，提供退休证和劳动合同彩色扫描件；</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rPr>
          <w:rFonts w:hint="eastAsia" w:ascii="宋体" w:hAnsi="宋体" w:eastAsia="宋体" w:cs="宋体"/>
          <w:snapToGrid w:val="0"/>
          <w:color w:val="auto"/>
          <w:kern w:val="0"/>
          <w:szCs w:val="28"/>
        </w:rPr>
      </w:pPr>
    </w:p>
    <w:p>
      <w:pPr>
        <w:pStyle w:val="5"/>
        <w:wordWrap w:val="0"/>
        <w:snapToGrid w:val="0"/>
        <w:spacing w:line="360" w:lineRule="auto"/>
        <w:ind w:firstLine="420"/>
        <w:rPr>
          <w:rFonts w:hint="eastAsia" w:ascii="宋体" w:hAnsi="宋体" w:eastAsia="宋体" w:cs="宋体"/>
          <w:b/>
          <w:bCs/>
          <w:snapToGrid w:val="0"/>
          <w:color w:val="auto"/>
          <w:kern w:val="0"/>
          <w:szCs w:val="24"/>
        </w:rPr>
      </w:pPr>
      <w:bookmarkStart w:id="459" w:name="_Toc13380"/>
      <w:bookmarkStart w:id="460" w:name="_Toc21373"/>
      <w:r>
        <w:rPr>
          <w:rFonts w:hint="eastAsia" w:ascii="宋体" w:hAnsi="宋体" w:eastAsia="宋体" w:cs="宋体"/>
          <w:snapToGrid w:val="0"/>
          <w:color w:val="auto"/>
          <w:sz w:val="24"/>
          <w:szCs w:val="24"/>
          <w:lang w:val="en-US" w:eastAsia="zh-CN"/>
        </w:rPr>
        <w:t>格式十二   项目勘察负责人简历表</w:t>
      </w:r>
      <w:bookmarkEnd w:id="459"/>
      <w:bookmarkEnd w:id="460"/>
    </w:p>
    <w:tbl>
      <w:tblPr>
        <w:tblStyle w:val="15"/>
        <w:tblpPr w:leftFromText="180" w:rightFromText="180" w:vertAnchor="text" w:horzAnchor="page" w:tblpX="1490" w:tblpY="692"/>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5"/>
        <w:gridCol w:w="963"/>
        <w:gridCol w:w="584"/>
        <w:gridCol w:w="648"/>
        <w:gridCol w:w="1294"/>
        <w:gridCol w:w="1946"/>
        <w:gridCol w:w="27"/>
        <w:gridCol w:w="1706"/>
        <w:gridCol w:w="13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姓   名</w:t>
            </w:r>
          </w:p>
        </w:tc>
        <w:tc>
          <w:tcPr>
            <w:tcW w:w="123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29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性  别</w:t>
            </w:r>
          </w:p>
        </w:tc>
        <w:tc>
          <w:tcPr>
            <w:tcW w:w="194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3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年   龄</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   务</w:t>
            </w:r>
          </w:p>
        </w:tc>
        <w:tc>
          <w:tcPr>
            <w:tcW w:w="123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29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  称</w:t>
            </w:r>
          </w:p>
        </w:tc>
        <w:tc>
          <w:tcPr>
            <w:tcW w:w="194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3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学   历</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738"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参加工作时间</w:t>
            </w:r>
          </w:p>
        </w:tc>
        <w:tc>
          <w:tcPr>
            <w:tcW w:w="2526" w:type="dxa"/>
            <w:gridSpan w:val="3"/>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3679" w:type="dxa"/>
            <w:gridSpan w:val="3"/>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从事工程建设项目管理工作年限</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70" w:type="dxa"/>
            <w:gridSpan w:val="9"/>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以项目</w:t>
            </w:r>
            <w:r>
              <w:rPr>
                <w:rFonts w:hint="eastAsia" w:ascii="宋体" w:hAnsi="宋体" w:eastAsia="宋体" w:cs="宋体"/>
                <w:snapToGrid w:val="0"/>
                <w:color w:val="auto"/>
                <w:kern w:val="0"/>
                <w:szCs w:val="21"/>
                <w:lang w:eastAsia="zh-CN"/>
              </w:rPr>
              <w:t>勘察</w:t>
            </w:r>
            <w:r>
              <w:rPr>
                <w:rFonts w:hint="eastAsia" w:ascii="宋体" w:hAnsi="宋体" w:eastAsia="宋体" w:cs="宋体"/>
                <w:snapToGrid w:val="0"/>
                <w:color w:val="auto"/>
                <w:kern w:val="0"/>
                <w:szCs w:val="21"/>
              </w:rPr>
              <w:t>负责人身份参与过的主要业绩（已完工项目）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序号</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项目名称</w:t>
            </w: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建设单位</w:t>
            </w: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建设内容和规模</w:t>
            </w: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开、竣工日期</w:t>
            </w: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质量等级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w:t>
            </w: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6" w:space="0"/>
              <w:left w:val="single" w:color="auto" w:sz="6" w:space="0"/>
              <w:bottom w:val="single" w:color="auto" w:sz="6" w:space="0"/>
              <w:right w:val="single" w:color="auto" w:sz="4"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7" w:type="dxa"/>
            <w:gridSpan w:val="2"/>
            <w:tcBorders>
              <w:top w:val="single" w:color="auto" w:sz="6" w:space="0"/>
              <w:left w:val="single" w:color="auto" w:sz="4"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42"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973" w:type="dxa"/>
            <w:gridSpan w:val="2"/>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706"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327"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bl>
    <w:p>
      <w:pPr>
        <w:wordWrap w:val="0"/>
        <w:adjustRightInd w:val="0"/>
        <w:snapToGrid w:val="0"/>
        <w:spacing w:line="360" w:lineRule="auto"/>
        <w:jc w:val="center"/>
        <w:rPr>
          <w:rFonts w:hint="eastAsia" w:ascii="宋体" w:hAnsi="宋体" w:eastAsia="宋体" w:cs="宋体"/>
          <w:b/>
          <w:bCs/>
          <w:snapToGrid w:val="0"/>
          <w:color w:val="auto"/>
          <w:kern w:val="0"/>
          <w:szCs w:val="24"/>
        </w:rPr>
      </w:pPr>
      <w:r>
        <w:rPr>
          <w:rFonts w:hint="eastAsia" w:ascii="宋体" w:hAnsi="宋体" w:eastAsia="宋体" w:cs="宋体"/>
          <w:b/>
          <w:snapToGrid w:val="0"/>
          <w:color w:val="auto"/>
          <w:kern w:val="0"/>
          <w:sz w:val="30"/>
        </w:rPr>
        <w:t>项目</w:t>
      </w:r>
      <w:r>
        <w:rPr>
          <w:rFonts w:hint="eastAsia" w:ascii="宋体" w:hAnsi="宋体" w:eastAsia="宋体" w:cs="宋体"/>
          <w:b/>
          <w:snapToGrid w:val="0"/>
          <w:color w:val="auto"/>
          <w:kern w:val="0"/>
          <w:sz w:val="30"/>
          <w:lang w:eastAsia="zh-CN"/>
        </w:rPr>
        <w:t>勘察</w:t>
      </w:r>
      <w:r>
        <w:rPr>
          <w:rFonts w:hint="eastAsia" w:ascii="宋体" w:hAnsi="宋体" w:eastAsia="宋体" w:cs="宋体"/>
          <w:b/>
          <w:snapToGrid w:val="0"/>
          <w:color w:val="auto"/>
          <w:kern w:val="0"/>
          <w:sz w:val="30"/>
        </w:rPr>
        <w:t>负责人简历表</w:t>
      </w:r>
    </w:p>
    <w:p>
      <w:pPr>
        <w:wordWrap w:val="0"/>
        <w:adjustRightInd w:val="0"/>
        <w:snapToGrid w:val="0"/>
        <w:spacing w:line="360" w:lineRule="auto"/>
        <w:ind w:firstLine="570"/>
        <w:rPr>
          <w:rFonts w:hint="eastAsia" w:ascii="宋体" w:hAnsi="宋体" w:eastAsia="宋体" w:cs="宋体"/>
          <w:snapToGrid w:val="0"/>
          <w:color w:val="auto"/>
          <w:kern w:val="0"/>
          <w:szCs w:val="28"/>
        </w:rPr>
      </w:pPr>
    </w:p>
    <w:p>
      <w:pPr>
        <w:pStyle w:val="42"/>
        <w:wordWrap w:val="0"/>
        <w:adjustRightInd w:val="0"/>
        <w:snapToGrid w:val="0"/>
        <w:spacing w:line="360" w:lineRule="auto"/>
        <w:jc w:val="right"/>
        <w:rPr>
          <w:rFonts w:hint="eastAsia" w:ascii="宋体" w:hAnsi="宋体" w:eastAsia="宋体" w:cs="宋体"/>
          <w:snapToGrid w:val="0"/>
          <w:color w:val="auto"/>
          <w:kern w:val="0"/>
        </w:rPr>
      </w:pPr>
    </w:p>
    <w:p>
      <w:pPr>
        <w:pStyle w:val="42"/>
        <w:wordWrap w:val="0"/>
        <w:adjustRightInd w:val="0"/>
        <w:snapToGrid w:val="0"/>
        <w:spacing w:line="360" w:lineRule="auto"/>
        <w:jc w:val="right"/>
        <w:rPr>
          <w:rFonts w:hint="eastAsia" w:ascii="宋体" w:hAnsi="宋体" w:eastAsia="宋体" w:cs="宋体"/>
          <w:snapToGrid w:val="0"/>
          <w:color w:val="auto"/>
          <w:kern w:val="0"/>
        </w:rPr>
      </w:pPr>
      <w:r>
        <w:rPr>
          <w:rFonts w:hint="eastAsia" w:ascii="宋体" w:hAnsi="宋体" w:eastAsia="宋体" w:cs="宋体"/>
          <w:b/>
          <w:bCs/>
          <w:snapToGrid w:val="0"/>
          <w:color w:val="auto"/>
          <w:kern w:val="0"/>
        </w:rPr>
        <w:t>项目</w:t>
      </w:r>
      <w:r>
        <w:rPr>
          <w:rFonts w:hint="eastAsia" w:ascii="宋体" w:hAnsi="宋体" w:eastAsia="宋体" w:cs="宋体"/>
          <w:b/>
          <w:snapToGrid w:val="0"/>
          <w:color w:val="auto"/>
          <w:kern w:val="0"/>
          <w:lang w:eastAsia="zh-CN"/>
        </w:rPr>
        <w:t>勘察</w:t>
      </w:r>
      <w:r>
        <w:rPr>
          <w:rFonts w:hint="eastAsia" w:ascii="宋体" w:hAnsi="宋体" w:eastAsia="宋体" w:cs="宋体"/>
          <w:b/>
          <w:snapToGrid w:val="0"/>
          <w:color w:val="auto"/>
          <w:kern w:val="0"/>
        </w:rPr>
        <w:t>负责人</w:t>
      </w:r>
      <w:r>
        <w:rPr>
          <w:rFonts w:hint="eastAsia" w:ascii="宋体" w:hAnsi="宋体" w:eastAsia="宋体" w:cs="宋体"/>
          <w:snapToGrid w:val="0"/>
          <w:color w:val="auto"/>
          <w:kern w:val="0"/>
        </w:rPr>
        <w:t>：</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（签字）</w:t>
      </w:r>
    </w:p>
    <w:p>
      <w:pPr>
        <w:pStyle w:val="42"/>
        <w:wordWrap w:val="0"/>
        <w:adjustRightInd w:val="0"/>
        <w:snapToGrid w:val="0"/>
        <w:spacing w:line="360" w:lineRule="auto"/>
        <w:jc w:val="right"/>
        <w:rPr>
          <w:rFonts w:hint="eastAsia" w:ascii="宋体" w:hAnsi="宋体" w:eastAsia="宋体" w:cs="宋体"/>
          <w:snapToGrid w:val="0"/>
          <w:color w:val="auto"/>
          <w:kern w:val="0"/>
        </w:rPr>
      </w:pPr>
    </w:p>
    <w:p>
      <w:pPr>
        <w:pStyle w:val="42"/>
        <w:wordWrap w:val="0"/>
        <w:adjustRightInd w:val="0"/>
        <w:snapToGrid w:val="0"/>
        <w:spacing w:line="360" w:lineRule="auto"/>
        <w:jc w:val="center"/>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                                     </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年</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月</w:t>
      </w:r>
      <w:r>
        <w:rPr>
          <w:rFonts w:hint="eastAsia" w:ascii="宋体" w:hAnsi="宋体" w:eastAsia="宋体" w:cs="宋体"/>
          <w:snapToGrid w:val="0"/>
          <w:color w:val="auto"/>
          <w:kern w:val="0"/>
          <w:u w:val="single"/>
        </w:rPr>
        <w:t xml:space="preserve">     </w:t>
      </w:r>
      <w:r>
        <w:rPr>
          <w:rFonts w:hint="eastAsia" w:ascii="宋体" w:hAnsi="宋体" w:eastAsia="宋体" w:cs="宋体"/>
          <w:snapToGrid w:val="0"/>
          <w:color w:val="auto"/>
          <w:kern w:val="0"/>
        </w:rPr>
        <w:t>日</w:t>
      </w:r>
    </w:p>
    <w:p>
      <w:pPr>
        <w:wordWrap w:val="0"/>
        <w:adjustRightInd w:val="0"/>
        <w:snapToGrid w:val="0"/>
        <w:spacing w:line="360" w:lineRule="auto"/>
        <w:ind w:firstLine="570"/>
        <w:rPr>
          <w:rFonts w:hint="eastAsia" w:ascii="宋体" w:hAnsi="宋体" w:eastAsia="宋体" w:cs="宋体"/>
          <w:snapToGrid w:val="0"/>
          <w:color w:val="auto"/>
          <w:kern w:val="0"/>
          <w:szCs w:val="28"/>
        </w:rPr>
      </w:pP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说明：《项目</w:t>
      </w:r>
      <w:r>
        <w:rPr>
          <w:rFonts w:hint="eastAsia" w:ascii="宋体" w:hAnsi="宋体" w:eastAsia="宋体" w:cs="宋体"/>
          <w:snapToGrid w:val="0"/>
          <w:color w:val="auto"/>
          <w:kern w:val="0"/>
          <w:szCs w:val="28"/>
          <w:lang w:eastAsia="zh-CN"/>
        </w:rPr>
        <w:t>勘察</w:t>
      </w:r>
      <w:r>
        <w:rPr>
          <w:rFonts w:hint="eastAsia" w:ascii="宋体" w:hAnsi="宋体" w:eastAsia="宋体" w:cs="宋体"/>
          <w:snapToGrid w:val="0"/>
          <w:color w:val="auto"/>
          <w:kern w:val="0"/>
          <w:szCs w:val="28"/>
        </w:rPr>
        <w:t>负责人简历表》后应附拟派项目设计负责人以下资料：</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1．身份证彩色扫描件；</w:t>
      </w:r>
    </w:p>
    <w:p>
      <w:pPr>
        <w:wordWrap w:val="0"/>
        <w:adjustRightInd w:val="0"/>
        <w:snapToGrid w:val="0"/>
        <w:spacing w:line="360" w:lineRule="auto"/>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 xml:space="preserve">    2．注册证书彩色扫描件；</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3．在本单位缴纳社保的证明（</w:t>
      </w:r>
      <w:r>
        <w:rPr>
          <w:rStyle w:val="22"/>
          <w:rFonts w:hint="eastAsia" w:ascii="宋体" w:hAnsi="宋体" w:eastAsia="宋体" w:cs="宋体"/>
          <w:color w:val="auto"/>
          <w:kern w:val="0"/>
          <w:sz w:val="21"/>
          <w:szCs w:val="21"/>
          <w:highlight w:val="none"/>
          <w:lang w:val="en-US" w:eastAsia="zh-CN"/>
        </w:rPr>
        <w:t>近1个月，其中必须有2024年05月</w:t>
      </w:r>
      <w:r>
        <w:rPr>
          <w:rFonts w:hint="eastAsia" w:ascii="宋体" w:hAnsi="宋体" w:eastAsia="宋体" w:cs="宋体"/>
          <w:snapToGrid w:val="0"/>
          <w:color w:val="auto"/>
          <w:kern w:val="0"/>
          <w:szCs w:val="28"/>
        </w:rPr>
        <w:t>）彩色扫描件，（非独立法人分支机构出具社保，予以认可）；拟派设计负责人为退休返聘人员无法提供社保证明的，提供退休证和劳动合同彩色扫描件；</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p>
    <w:bookmarkEnd w:id="440"/>
    <w:bookmarkEnd w:id="441"/>
    <w:bookmarkEnd w:id="442"/>
    <w:bookmarkEnd w:id="443"/>
    <w:bookmarkEnd w:id="444"/>
    <w:p>
      <w:pPr>
        <w:pStyle w:val="5"/>
        <w:wordWrap w:val="0"/>
        <w:snapToGrid w:val="0"/>
        <w:spacing w:line="360" w:lineRule="auto"/>
        <w:ind w:firstLine="420"/>
        <w:rPr>
          <w:rFonts w:hint="eastAsia" w:ascii="宋体" w:hAnsi="宋体" w:eastAsia="宋体" w:cs="宋体"/>
          <w:snapToGrid w:val="0"/>
          <w:color w:val="auto"/>
          <w:sz w:val="24"/>
          <w:szCs w:val="24"/>
          <w:lang w:val="en-US" w:eastAsia="zh-CN"/>
        </w:rPr>
      </w:pPr>
      <w:bookmarkStart w:id="461" w:name="_Toc18086"/>
      <w:bookmarkStart w:id="462" w:name="_Toc22350"/>
      <w:bookmarkStart w:id="463" w:name="_Toc8264"/>
      <w:r>
        <w:rPr>
          <w:rFonts w:hint="eastAsia" w:ascii="宋体" w:hAnsi="宋体" w:eastAsia="宋体" w:cs="宋体"/>
          <w:snapToGrid w:val="0"/>
          <w:color w:val="auto"/>
          <w:sz w:val="24"/>
          <w:szCs w:val="24"/>
          <w:lang w:val="en-US" w:eastAsia="zh-CN"/>
        </w:rPr>
        <w:t>格式十三   项目管理机构组成表</w:t>
      </w:r>
      <w:bookmarkEnd w:id="461"/>
      <w:bookmarkEnd w:id="462"/>
    </w:p>
    <w:p>
      <w:pPr>
        <w:wordWrap w:val="0"/>
        <w:adjustRightInd w:val="0"/>
        <w:snapToGrid w:val="0"/>
        <w:spacing w:before="260" w:after="260" w:line="360" w:lineRule="auto"/>
        <w:jc w:val="center"/>
        <w:rPr>
          <w:rFonts w:hint="eastAsia" w:ascii="宋体" w:hAnsi="宋体" w:eastAsia="宋体" w:cs="宋体"/>
          <w:b/>
          <w:snapToGrid w:val="0"/>
          <w:color w:val="auto"/>
          <w:kern w:val="0"/>
        </w:rPr>
      </w:pPr>
      <w:r>
        <w:rPr>
          <w:rFonts w:hint="eastAsia" w:ascii="宋体" w:hAnsi="宋体" w:eastAsia="宋体" w:cs="宋体"/>
          <w:b/>
          <w:snapToGrid w:val="0"/>
          <w:color w:val="auto"/>
          <w:kern w:val="0"/>
          <w:sz w:val="30"/>
        </w:rPr>
        <w:t>项目管理机构组成表</w:t>
      </w:r>
    </w:p>
    <w:tbl>
      <w:tblPr>
        <w:tblStyle w:val="15"/>
        <w:tblW w:w="89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44"/>
        <w:gridCol w:w="1424"/>
        <w:gridCol w:w="1358"/>
        <w:gridCol w:w="902"/>
        <w:gridCol w:w="819"/>
        <w:gridCol w:w="1541"/>
        <w:gridCol w:w="21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0" w:hRule="atLeast"/>
        </w:trPr>
        <w:tc>
          <w:tcPr>
            <w:tcW w:w="74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序号</w:t>
            </w:r>
          </w:p>
        </w:tc>
        <w:tc>
          <w:tcPr>
            <w:tcW w:w="142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职务</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姓名</w:t>
            </w: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性别</w:t>
            </w: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年龄</w:t>
            </w: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职称</w:t>
            </w: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2" w:hRule="exact"/>
        </w:trPr>
        <w:tc>
          <w:tcPr>
            <w:tcW w:w="74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w:t>
            </w:r>
          </w:p>
        </w:tc>
        <w:tc>
          <w:tcPr>
            <w:tcW w:w="142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项目经理</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78" w:hRule="exact"/>
        </w:trPr>
        <w:tc>
          <w:tcPr>
            <w:tcW w:w="74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w:t>
            </w:r>
          </w:p>
        </w:tc>
        <w:tc>
          <w:tcPr>
            <w:tcW w:w="142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项目技术</w:t>
            </w:r>
          </w:p>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负责人</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78" w:hRule="exact"/>
        </w:trPr>
        <w:tc>
          <w:tcPr>
            <w:tcW w:w="74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w:t>
            </w:r>
          </w:p>
        </w:tc>
        <w:tc>
          <w:tcPr>
            <w:tcW w:w="142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项目设计</w:t>
            </w:r>
          </w:p>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负责人</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63" w:hRule="exact"/>
        </w:trPr>
        <w:tc>
          <w:tcPr>
            <w:tcW w:w="74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lang w:val="en-US" w:eastAsia="zh-CN"/>
              </w:rPr>
            </w:pPr>
            <w:r>
              <w:rPr>
                <w:rFonts w:hint="eastAsia" w:ascii="宋体" w:hAnsi="宋体" w:eastAsia="宋体" w:cs="宋体"/>
                <w:snapToGrid w:val="0"/>
                <w:color w:val="auto"/>
                <w:kern w:val="0"/>
                <w:szCs w:val="21"/>
                <w:lang w:val="en-US" w:eastAsia="zh-CN"/>
              </w:rPr>
              <w:t>4</w:t>
            </w:r>
          </w:p>
        </w:tc>
        <w:tc>
          <w:tcPr>
            <w:tcW w:w="142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lang w:eastAsia="zh-CN"/>
              </w:rPr>
            </w:pPr>
            <w:r>
              <w:rPr>
                <w:rFonts w:hint="eastAsia" w:ascii="宋体" w:hAnsi="宋体" w:eastAsia="宋体" w:cs="宋体"/>
                <w:snapToGrid w:val="0"/>
                <w:color w:val="auto"/>
                <w:kern w:val="0"/>
                <w:szCs w:val="21"/>
                <w:lang w:eastAsia="zh-CN"/>
              </w:rPr>
              <w:t>项目勘察</w:t>
            </w:r>
          </w:p>
          <w:p>
            <w:pPr>
              <w:wordWrap w:val="0"/>
              <w:adjustRightInd w:val="0"/>
              <w:snapToGrid w:val="0"/>
              <w:spacing w:line="360" w:lineRule="auto"/>
              <w:jc w:val="center"/>
              <w:rPr>
                <w:rFonts w:hint="eastAsia" w:ascii="宋体" w:hAnsi="宋体" w:eastAsia="宋体" w:cs="宋体"/>
                <w:snapToGrid w:val="0"/>
                <w:color w:val="auto"/>
                <w:kern w:val="0"/>
                <w:szCs w:val="21"/>
                <w:lang w:eastAsia="zh-CN"/>
              </w:rPr>
            </w:pPr>
            <w:r>
              <w:rPr>
                <w:rFonts w:hint="eastAsia" w:ascii="宋体" w:hAnsi="宋体" w:eastAsia="宋体" w:cs="宋体"/>
                <w:snapToGrid w:val="0"/>
                <w:color w:val="auto"/>
                <w:kern w:val="0"/>
                <w:szCs w:val="21"/>
                <w:lang w:eastAsia="zh-CN"/>
              </w:rPr>
              <w:t>负责人</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73" w:hRule="exact"/>
        </w:trPr>
        <w:tc>
          <w:tcPr>
            <w:tcW w:w="74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trike/>
                <w:snapToGrid w:val="0"/>
                <w:color w:val="auto"/>
                <w:kern w:val="0"/>
                <w:szCs w:val="21"/>
                <w:lang w:eastAsia="zh-CN"/>
              </w:rPr>
            </w:pPr>
            <w:r>
              <w:rPr>
                <w:rFonts w:hint="eastAsia" w:ascii="宋体" w:hAnsi="宋体" w:eastAsia="宋体" w:cs="宋体"/>
                <w:strike/>
                <w:snapToGrid w:val="0"/>
                <w:color w:val="auto"/>
                <w:kern w:val="0"/>
                <w:szCs w:val="21"/>
                <w:lang w:val="en-US" w:eastAsia="zh-CN"/>
              </w:rPr>
              <w:t>5</w:t>
            </w:r>
          </w:p>
        </w:tc>
        <w:tc>
          <w:tcPr>
            <w:tcW w:w="142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专职安全员</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73" w:hRule="exact"/>
        </w:trPr>
        <w:tc>
          <w:tcPr>
            <w:tcW w:w="74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trike/>
                <w:snapToGrid w:val="0"/>
                <w:color w:val="auto"/>
                <w:kern w:val="0"/>
                <w:szCs w:val="21"/>
                <w:lang w:val="en-US" w:eastAsia="zh-CN"/>
              </w:rPr>
            </w:pPr>
            <w:r>
              <w:rPr>
                <w:rFonts w:hint="eastAsia" w:ascii="宋体" w:hAnsi="宋体" w:eastAsia="宋体" w:cs="宋体"/>
                <w:strike/>
                <w:snapToGrid w:val="0"/>
                <w:color w:val="auto"/>
                <w:kern w:val="0"/>
                <w:szCs w:val="21"/>
                <w:lang w:val="en-US" w:eastAsia="zh-CN"/>
              </w:rPr>
              <w:t>6</w:t>
            </w:r>
          </w:p>
        </w:tc>
        <w:tc>
          <w:tcPr>
            <w:tcW w:w="1424" w:type="dxa"/>
            <w:tcBorders>
              <w:top w:val="single" w:color="auto" w:sz="6" w:space="0"/>
              <w:left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专职安全员</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88" w:hRule="exact"/>
        </w:trPr>
        <w:tc>
          <w:tcPr>
            <w:tcW w:w="74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lang w:eastAsia="zh-CN"/>
              </w:rPr>
            </w:pPr>
            <w:r>
              <w:rPr>
                <w:rFonts w:hint="eastAsia" w:ascii="宋体" w:hAnsi="宋体" w:eastAsia="宋体" w:cs="宋体"/>
                <w:snapToGrid w:val="0"/>
                <w:color w:val="auto"/>
                <w:kern w:val="0"/>
                <w:szCs w:val="21"/>
                <w:lang w:val="en-US" w:eastAsia="zh-CN"/>
              </w:rPr>
              <w:t>7</w:t>
            </w:r>
          </w:p>
        </w:tc>
        <w:tc>
          <w:tcPr>
            <w:tcW w:w="142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施工员</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trike/>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trike/>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trike/>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trike/>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trike/>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3" w:hRule="exact"/>
        </w:trPr>
        <w:tc>
          <w:tcPr>
            <w:tcW w:w="74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lang w:eastAsia="zh-CN"/>
              </w:rPr>
            </w:pPr>
            <w:r>
              <w:rPr>
                <w:rFonts w:hint="eastAsia" w:ascii="宋体" w:hAnsi="宋体" w:eastAsia="宋体" w:cs="宋体"/>
                <w:snapToGrid w:val="0"/>
                <w:color w:val="auto"/>
                <w:kern w:val="0"/>
                <w:szCs w:val="21"/>
                <w:lang w:val="en-US" w:eastAsia="zh-CN"/>
              </w:rPr>
              <w:t>8</w:t>
            </w:r>
          </w:p>
        </w:tc>
        <w:tc>
          <w:tcPr>
            <w:tcW w:w="142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质量员</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3" w:hRule="exact"/>
        </w:trPr>
        <w:tc>
          <w:tcPr>
            <w:tcW w:w="74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lang w:eastAsia="zh-CN"/>
              </w:rPr>
            </w:pPr>
            <w:r>
              <w:rPr>
                <w:rFonts w:hint="eastAsia" w:ascii="宋体" w:hAnsi="宋体" w:eastAsia="宋体" w:cs="宋体"/>
                <w:snapToGrid w:val="0"/>
                <w:color w:val="auto"/>
                <w:kern w:val="0"/>
                <w:szCs w:val="21"/>
                <w:lang w:val="en-US" w:eastAsia="zh-CN"/>
              </w:rPr>
              <w:t>9</w:t>
            </w:r>
          </w:p>
        </w:tc>
        <w:tc>
          <w:tcPr>
            <w:tcW w:w="142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材料员</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13" w:hRule="exact"/>
        </w:trPr>
        <w:tc>
          <w:tcPr>
            <w:tcW w:w="74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lang w:val="en-US" w:eastAsia="zh-CN"/>
              </w:rPr>
            </w:pPr>
            <w:r>
              <w:rPr>
                <w:rFonts w:hint="eastAsia" w:ascii="宋体" w:hAnsi="宋体" w:eastAsia="宋体" w:cs="宋体"/>
                <w:snapToGrid w:val="0"/>
                <w:color w:val="auto"/>
                <w:kern w:val="0"/>
                <w:szCs w:val="21"/>
                <w:lang w:val="en-US" w:eastAsia="zh-CN"/>
              </w:rPr>
              <w:t>10</w:t>
            </w:r>
          </w:p>
        </w:tc>
        <w:tc>
          <w:tcPr>
            <w:tcW w:w="1424"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资料员</w:t>
            </w:r>
          </w:p>
        </w:tc>
        <w:tc>
          <w:tcPr>
            <w:tcW w:w="1358"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902"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81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1541"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c>
          <w:tcPr>
            <w:tcW w:w="2169" w:type="dxa"/>
            <w:tcBorders>
              <w:top w:val="single" w:color="auto" w:sz="6" w:space="0"/>
              <w:left w:val="single" w:color="auto" w:sz="6" w:space="0"/>
              <w:bottom w:val="single" w:color="auto" w:sz="6" w:space="0"/>
              <w:right w:val="single" w:color="auto" w:sz="6" w:space="0"/>
            </w:tcBorders>
            <w:noWrap w:val="0"/>
            <w:vAlign w:val="center"/>
          </w:tcPr>
          <w:p>
            <w:pPr>
              <w:wordWrap w:val="0"/>
              <w:adjustRightInd w:val="0"/>
              <w:snapToGrid w:val="0"/>
              <w:spacing w:line="360" w:lineRule="auto"/>
              <w:jc w:val="center"/>
              <w:rPr>
                <w:rFonts w:hint="eastAsia" w:ascii="宋体" w:hAnsi="宋体" w:eastAsia="宋体" w:cs="宋体"/>
                <w:snapToGrid w:val="0"/>
                <w:color w:val="auto"/>
                <w:kern w:val="0"/>
                <w:szCs w:val="21"/>
              </w:rPr>
            </w:pPr>
          </w:p>
        </w:tc>
      </w:tr>
    </w:tbl>
    <w:p>
      <w:pPr>
        <w:pStyle w:val="41"/>
        <w:widowControl w:val="0"/>
        <w:wordWrap w:val="0"/>
        <w:adjustRightInd w:val="0"/>
        <w:snapToGrid w:val="0"/>
        <w:spacing w:line="360" w:lineRule="auto"/>
        <w:ind w:firstLine="0"/>
        <w:rPr>
          <w:rFonts w:hint="eastAsia" w:ascii="宋体" w:hAnsi="宋体" w:eastAsia="宋体" w:cs="宋体"/>
          <w:snapToGrid w:val="0"/>
          <w:color w:val="auto"/>
          <w:sz w:val="21"/>
          <w:szCs w:val="28"/>
        </w:rPr>
      </w:pPr>
      <w:r>
        <w:rPr>
          <w:rFonts w:hint="eastAsia" w:ascii="宋体" w:hAnsi="宋体" w:eastAsia="宋体" w:cs="宋体"/>
          <w:snapToGrid w:val="0"/>
          <w:color w:val="auto"/>
          <w:sz w:val="21"/>
          <w:szCs w:val="28"/>
        </w:rPr>
        <w:t>说明：</w:t>
      </w:r>
    </w:p>
    <w:p>
      <w:pPr>
        <w:pStyle w:val="41"/>
        <w:widowControl w:val="0"/>
        <w:wordWrap w:val="0"/>
        <w:adjustRightInd w:val="0"/>
        <w:snapToGrid w:val="0"/>
        <w:spacing w:line="360" w:lineRule="auto"/>
        <w:rPr>
          <w:rFonts w:hint="eastAsia" w:ascii="宋体" w:hAnsi="宋体" w:eastAsia="宋体" w:cs="宋体"/>
          <w:snapToGrid w:val="0"/>
          <w:color w:val="auto"/>
          <w:sz w:val="21"/>
          <w:szCs w:val="28"/>
        </w:rPr>
      </w:pPr>
      <w:r>
        <w:rPr>
          <w:rFonts w:hint="eastAsia" w:ascii="宋体" w:hAnsi="宋体" w:eastAsia="宋体" w:cs="宋体"/>
          <w:snapToGrid w:val="0"/>
          <w:color w:val="auto"/>
          <w:sz w:val="21"/>
          <w:szCs w:val="28"/>
        </w:rPr>
        <w:t>1．《项目管理机构组成表》后应附表中拟派人员（项目经理、项目技术负责人、项目设计负责人</w:t>
      </w:r>
      <w:r>
        <w:rPr>
          <w:rFonts w:hint="eastAsia" w:ascii="宋体" w:hAnsi="宋体" w:eastAsia="宋体" w:cs="宋体"/>
          <w:snapToGrid w:val="0"/>
          <w:color w:val="auto"/>
          <w:sz w:val="21"/>
          <w:szCs w:val="28"/>
          <w:lang w:eastAsia="zh-CN"/>
        </w:rPr>
        <w:t>、勘察负责人</w:t>
      </w:r>
      <w:r>
        <w:rPr>
          <w:rFonts w:hint="eastAsia" w:ascii="宋体" w:hAnsi="宋体" w:eastAsia="宋体" w:cs="宋体"/>
          <w:snapToGrid w:val="0"/>
          <w:color w:val="auto"/>
          <w:sz w:val="21"/>
          <w:szCs w:val="28"/>
        </w:rPr>
        <w:t>除外）以下资料：</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（1）身份证彩色扫描件；</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（2）专职安全员须提供C类安全生产考核合格证书彩色扫描件或“广东省建筑施工企业管理人员安全生产考核系统”考核合格信息打印页；</w:t>
      </w:r>
    </w:p>
    <w:p>
      <w:pPr>
        <w:wordWrap w:val="0"/>
        <w:adjustRightInd w:val="0"/>
        <w:snapToGrid w:val="0"/>
        <w:spacing w:line="360" w:lineRule="auto"/>
        <w:ind w:firstLine="420" w:firstLineChars="200"/>
        <w:rPr>
          <w:rFonts w:hint="eastAsia" w:ascii="宋体" w:hAnsi="宋体" w:eastAsia="宋体" w:cs="宋体"/>
          <w:snapToGrid w:val="0"/>
          <w:color w:val="auto"/>
          <w:kern w:val="0"/>
          <w:szCs w:val="28"/>
        </w:rPr>
      </w:pPr>
      <w:r>
        <w:rPr>
          <w:rFonts w:hint="eastAsia" w:ascii="宋体" w:hAnsi="宋体" w:eastAsia="宋体" w:cs="宋体"/>
          <w:snapToGrid w:val="0"/>
          <w:color w:val="auto"/>
          <w:kern w:val="0"/>
          <w:szCs w:val="28"/>
        </w:rPr>
        <w:t>（3）在本单位缴纳社保的证明（</w:t>
      </w:r>
      <w:r>
        <w:rPr>
          <w:rStyle w:val="22"/>
          <w:rFonts w:hint="eastAsia" w:ascii="宋体" w:hAnsi="宋体" w:eastAsia="宋体" w:cs="宋体"/>
          <w:color w:val="auto"/>
          <w:kern w:val="0"/>
          <w:sz w:val="21"/>
          <w:szCs w:val="21"/>
          <w:highlight w:val="none"/>
          <w:lang w:val="en-US" w:eastAsia="zh-CN"/>
        </w:rPr>
        <w:t>近1个月，其中必须有2024年05月</w:t>
      </w:r>
      <w:r>
        <w:rPr>
          <w:rFonts w:hint="eastAsia" w:ascii="宋体" w:hAnsi="宋体" w:eastAsia="宋体" w:cs="宋体"/>
          <w:snapToGrid w:val="0"/>
          <w:color w:val="auto"/>
          <w:kern w:val="0"/>
          <w:szCs w:val="28"/>
        </w:rPr>
        <w:t>）彩色扫描件（非独立法人分支机构出具社保，予以认可）；拟派人员为退休返聘人员无法提供社保证明的，提供退休证和劳动合同彩色扫描件；</w:t>
      </w:r>
    </w:p>
    <w:p>
      <w:pPr>
        <w:pStyle w:val="41"/>
        <w:widowControl w:val="0"/>
        <w:wordWrap w:val="0"/>
        <w:adjustRightInd w:val="0"/>
        <w:snapToGrid w:val="0"/>
        <w:spacing w:line="360" w:lineRule="auto"/>
        <w:ind w:firstLine="420"/>
        <w:rPr>
          <w:rFonts w:hint="eastAsia" w:ascii="宋体" w:hAnsi="宋体" w:eastAsia="宋体" w:cs="宋体"/>
          <w:snapToGrid w:val="0"/>
          <w:color w:val="auto"/>
          <w:sz w:val="21"/>
          <w:szCs w:val="28"/>
        </w:rPr>
      </w:pPr>
      <w:r>
        <w:rPr>
          <w:rFonts w:hint="eastAsia" w:ascii="宋体" w:hAnsi="宋体" w:eastAsia="宋体" w:cs="宋体"/>
          <w:snapToGrid w:val="0"/>
          <w:color w:val="auto"/>
          <w:sz w:val="21"/>
          <w:szCs w:val="28"/>
        </w:rPr>
        <w:t>2．联合体投标的，《项目管理机构组成表》应包括联合体成员单位参与项目管理机构的人员，</w:t>
      </w:r>
      <w:bookmarkEnd w:id="463"/>
      <w:r>
        <w:rPr>
          <w:rFonts w:hint="eastAsia" w:ascii="宋体" w:hAnsi="宋体" w:eastAsia="宋体" w:cs="宋体"/>
          <w:snapToGrid w:val="0"/>
          <w:color w:val="auto"/>
          <w:sz w:val="21"/>
          <w:szCs w:val="28"/>
        </w:rPr>
        <w:t>并提供以上所需资料。</w:t>
      </w:r>
    </w:p>
    <w:p>
      <w:pPr>
        <w:pStyle w:val="41"/>
        <w:widowControl w:val="0"/>
        <w:wordWrap w:val="0"/>
        <w:adjustRightInd w:val="0"/>
        <w:snapToGrid w:val="0"/>
        <w:spacing w:line="360" w:lineRule="auto"/>
        <w:ind w:firstLine="420"/>
        <w:rPr>
          <w:rFonts w:hint="eastAsia" w:ascii="宋体" w:hAnsi="宋体" w:eastAsia="宋体" w:cs="宋体"/>
          <w:snapToGrid w:val="0"/>
          <w:color w:val="auto"/>
          <w:sz w:val="21"/>
          <w:szCs w:val="28"/>
        </w:rPr>
      </w:pPr>
    </w:p>
    <w:p>
      <w:pPr>
        <w:pStyle w:val="41"/>
        <w:widowControl w:val="0"/>
        <w:wordWrap w:val="0"/>
        <w:adjustRightInd w:val="0"/>
        <w:snapToGrid w:val="0"/>
        <w:spacing w:line="360" w:lineRule="auto"/>
        <w:ind w:firstLine="420"/>
        <w:rPr>
          <w:rFonts w:hint="eastAsia" w:ascii="宋体" w:hAnsi="宋体" w:eastAsia="宋体" w:cs="宋体"/>
          <w:snapToGrid w:val="0"/>
          <w:color w:val="auto"/>
          <w:sz w:val="21"/>
          <w:szCs w:val="28"/>
        </w:rPr>
      </w:pPr>
    </w:p>
    <w:p>
      <w:pPr>
        <w:pStyle w:val="41"/>
        <w:widowControl w:val="0"/>
        <w:wordWrap w:val="0"/>
        <w:adjustRightInd w:val="0"/>
        <w:snapToGrid w:val="0"/>
        <w:spacing w:line="360" w:lineRule="auto"/>
        <w:ind w:left="0" w:leftChars="0" w:firstLine="0" w:firstLineChars="0"/>
        <w:rPr>
          <w:rFonts w:hint="eastAsia" w:ascii="宋体" w:hAnsi="宋体" w:eastAsia="宋体" w:cs="宋体"/>
          <w:snapToGrid w:val="0"/>
          <w:color w:val="auto"/>
          <w:sz w:val="21"/>
          <w:szCs w:val="28"/>
        </w:rPr>
      </w:pPr>
    </w:p>
    <w:bookmarkEnd w:id="445"/>
    <w:bookmarkEnd w:id="446"/>
    <w:bookmarkEnd w:id="447"/>
    <w:bookmarkEnd w:id="448"/>
    <w:bookmarkEnd w:id="449"/>
    <w:bookmarkEnd w:id="450"/>
    <w:p>
      <w:pPr>
        <w:pStyle w:val="3"/>
        <w:wordWrap w:val="0"/>
        <w:autoSpaceDE/>
        <w:autoSpaceDN/>
        <w:snapToGrid w:val="0"/>
        <w:spacing w:line="360" w:lineRule="auto"/>
        <w:jc w:val="center"/>
        <w:rPr>
          <w:rFonts w:hint="eastAsia" w:ascii="宋体" w:hAnsi="宋体" w:eastAsia="宋体" w:cs="宋体"/>
          <w:b/>
          <w:snapToGrid w:val="0"/>
          <w:color w:val="auto"/>
          <w:sz w:val="24"/>
          <w:szCs w:val="24"/>
          <w:lang w:val="en-US" w:eastAsia="zh-CN"/>
        </w:rPr>
      </w:pPr>
      <w:bookmarkStart w:id="464" w:name="_Toc29949"/>
      <w:bookmarkStart w:id="465" w:name="_Toc17072"/>
      <w:bookmarkStart w:id="466" w:name="_Toc10275"/>
      <w:bookmarkStart w:id="467" w:name="_Toc27027"/>
      <w:bookmarkStart w:id="468" w:name="_Toc10484"/>
      <w:r>
        <w:rPr>
          <w:rFonts w:hint="eastAsia" w:ascii="宋体" w:hAnsi="宋体" w:eastAsia="宋体" w:cs="宋体"/>
          <w:b/>
          <w:snapToGrid w:val="0"/>
          <w:color w:val="auto"/>
          <w:sz w:val="24"/>
          <w:szCs w:val="24"/>
          <w:lang w:val="en-US" w:eastAsia="zh-CN"/>
        </w:rPr>
        <w:t>第六章   建设工程合同</w:t>
      </w:r>
      <w:bookmarkEnd w:id="464"/>
      <w:bookmarkEnd w:id="465"/>
      <w:bookmarkEnd w:id="466"/>
      <w:bookmarkEnd w:id="467"/>
      <w:bookmarkEnd w:id="468"/>
    </w:p>
    <w:p>
      <w:pPr>
        <w:spacing w:line="360" w:lineRule="auto"/>
        <w:ind w:firstLine="420" w:firstLineChars="200"/>
        <w:rPr>
          <w:rFonts w:hint="eastAsia" w:ascii="宋体" w:hAnsi="宋体" w:eastAsia="宋体" w:cs="宋体"/>
          <w:color w:val="auto"/>
          <w:sz w:val="24"/>
        </w:rPr>
      </w:pPr>
      <w:r>
        <w:rPr>
          <w:rFonts w:hint="eastAsia" w:ascii="宋体" w:hAnsi="宋体" w:eastAsia="宋体" w:cs="宋体"/>
          <w:snapToGrid w:val="0"/>
          <w:color w:val="auto"/>
          <w:kern w:val="0"/>
        </w:rPr>
        <w:t xml:space="preserve">  </w:t>
      </w:r>
      <w:r>
        <w:rPr>
          <w:rFonts w:hint="eastAsia" w:ascii="宋体" w:hAnsi="宋体" w:eastAsia="宋体" w:cs="宋体"/>
          <w:color w:val="auto"/>
          <w:sz w:val="24"/>
        </w:rPr>
        <w:t>总承包合同按住房城乡建设部、国家工商行政管理总局制定的《建设项目工程总承包合同示范文本》GF-2011-0216执行。</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施工合同按广东省建设厅《广东省建设工程标准施工合同》范本（2009）执行</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rPr>
      </w:pPr>
      <w:r>
        <w:rPr>
          <w:rFonts w:hint="eastAsia" w:ascii="宋体" w:hAnsi="宋体" w:eastAsia="宋体" w:cs="宋体"/>
          <w:color w:val="auto"/>
          <w:sz w:val="24"/>
        </w:rPr>
        <w:t>设计合同按住房城乡建设部、国家工商行政管理总局制定《建设工程设计合同示范文本（房屋建筑工程）》（GF-2015-0209）执行。</w:t>
      </w:r>
    </w:p>
    <w:sectPr>
      <w:headerReference r:id="rId3" w:type="default"/>
      <w:footerReference r:id="rId4" w:type="default"/>
      <w:endnotePr>
        <w:numFmt w:val="decimal"/>
      </w:endnotePr>
      <w:pgSz w:w="11907" w:h="16840"/>
      <w:pgMar w:top="1134" w:right="1134" w:bottom="1134" w:left="1134" w:header="850" w:footer="850" w:gutter="0"/>
      <w:pgNumType w:start="1"/>
      <w:cols w:space="0" w:num="1"/>
      <w:rtlGutter w:val="0"/>
      <w:docGrid w:type="lines"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Bodoni MT">
    <w:altName w:val="Segoe Print"/>
    <w:panose1 w:val="02070603080606020203"/>
    <w:charset w:val="00"/>
    <w:family w:val="roman"/>
    <w:pitch w:val="default"/>
    <w:sig w:usb0="00000000"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819"/>
        <w:tab w:val="clear" w:pos="4153"/>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70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黑体" w:hAnsi="黑体" w:eastAsia="黑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8D00B4"/>
    <w:multiLevelType w:val="singleLevel"/>
    <w:tmpl w:val="DC8D00B4"/>
    <w:lvl w:ilvl="0" w:tentative="0">
      <w:start w:val="1"/>
      <w:numFmt w:val="decimal"/>
      <w:suff w:val="nothing"/>
      <w:lvlText w:val="（%1）"/>
      <w:lvlJc w:val="left"/>
    </w:lvl>
  </w:abstractNum>
  <w:abstractNum w:abstractNumId="1">
    <w:nsid w:val="EAAE62C7"/>
    <w:multiLevelType w:val="singleLevel"/>
    <w:tmpl w:val="EAAE62C7"/>
    <w:lvl w:ilvl="0" w:tentative="0">
      <w:start w:val="1"/>
      <w:numFmt w:val="decimal"/>
      <w:suff w:val="space"/>
      <w:lvlText w:val="%1."/>
      <w:lvlJc w:val="left"/>
    </w:lvl>
  </w:abstractNum>
  <w:abstractNum w:abstractNumId="2">
    <w:nsid w:val="F486235C"/>
    <w:multiLevelType w:val="singleLevel"/>
    <w:tmpl w:val="F486235C"/>
    <w:lvl w:ilvl="0" w:tentative="0">
      <w:start w:val="4"/>
      <w:numFmt w:val="decimal"/>
      <w:suff w:val="nothing"/>
      <w:lvlText w:val="（%1）"/>
      <w:lvlJc w:val="left"/>
    </w:lvl>
  </w:abstractNum>
  <w:abstractNum w:abstractNumId="3">
    <w:nsid w:val="00000009"/>
    <w:multiLevelType w:val="multilevel"/>
    <w:tmpl w:val="00000009"/>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39722B28"/>
    <w:multiLevelType w:val="singleLevel"/>
    <w:tmpl w:val="39722B28"/>
    <w:lvl w:ilvl="0" w:tentative="0">
      <w:start w:val="1"/>
      <w:numFmt w:val="decimal"/>
      <w:lvlText w:val="%1."/>
      <w:lvlJc w:val="left"/>
      <w:pPr>
        <w:tabs>
          <w:tab w:val="left" w:pos="312"/>
        </w:tabs>
      </w:pPr>
    </w:lvl>
  </w:abstractNum>
  <w:abstractNum w:abstractNumId="5">
    <w:nsid w:val="473934C1"/>
    <w:multiLevelType w:val="singleLevel"/>
    <w:tmpl w:val="473934C1"/>
    <w:lvl w:ilvl="0" w:tentative="0">
      <w:start w:val="1"/>
      <w:numFmt w:val="decimal"/>
      <w:suff w:val="nothing"/>
      <w:lvlText w:val="%1．"/>
      <w:lvlJc w:val="left"/>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MzI0MGUwZmU4OTk2OGQwYTNlYmNmYzRlNTVkMmIifQ=="/>
  </w:docVars>
  <w:rsids>
    <w:rsidRoot w:val="43CE4051"/>
    <w:rsid w:val="039100C2"/>
    <w:rsid w:val="03E028B4"/>
    <w:rsid w:val="040C36A8"/>
    <w:rsid w:val="0679150C"/>
    <w:rsid w:val="152359C3"/>
    <w:rsid w:val="17D67188"/>
    <w:rsid w:val="1A2B02D6"/>
    <w:rsid w:val="1BF754B3"/>
    <w:rsid w:val="1CBB4733"/>
    <w:rsid w:val="21063571"/>
    <w:rsid w:val="228A7081"/>
    <w:rsid w:val="268D7140"/>
    <w:rsid w:val="273D0B66"/>
    <w:rsid w:val="2F0F2DE8"/>
    <w:rsid w:val="2F4B50DD"/>
    <w:rsid w:val="30436334"/>
    <w:rsid w:val="3A9E1162"/>
    <w:rsid w:val="3B047B22"/>
    <w:rsid w:val="3CCB3D16"/>
    <w:rsid w:val="3EEB0A50"/>
    <w:rsid w:val="427102D0"/>
    <w:rsid w:val="430640AA"/>
    <w:rsid w:val="43CE4051"/>
    <w:rsid w:val="479B1450"/>
    <w:rsid w:val="47C91E58"/>
    <w:rsid w:val="48A352BF"/>
    <w:rsid w:val="4E734052"/>
    <w:rsid w:val="4EDB288F"/>
    <w:rsid w:val="520F6E3A"/>
    <w:rsid w:val="57053E09"/>
    <w:rsid w:val="62B24960"/>
    <w:rsid w:val="638409B0"/>
    <w:rsid w:val="67B61F9B"/>
    <w:rsid w:val="698C2CAC"/>
    <w:rsid w:val="69CA7612"/>
    <w:rsid w:val="6DD24990"/>
    <w:rsid w:val="71FC25A2"/>
    <w:rsid w:val="72C963D7"/>
    <w:rsid w:val="76515061"/>
    <w:rsid w:val="767B0AF0"/>
    <w:rsid w:val="76B53386"/>
    <w:rsid w:val="772525D3"/>
    <w:rsid w:val="787319C2"/>
    <w:rsid w:val="79F96F5D"/>
    <w:rsid w:val="7A35369A"/>
    <w:rsid w:val="7ADD32B9"/>
    <w:rsid w:val="7B2B2967"/>
    <w:rsid w:val="7B98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autoSpaceDE w:val="0"/>
      <w:autoSpaceDN w:val="0"/>
      <w:adjustRightInd w:val="0"/>
      <w:jc w:val="left"/>
      <w:outlineLvl w:val="0"/>
    </w:pPr>
    <w:rPr>
      <w:kern w:val="0"/>
      <w:sz w:val="30"/>
    </w:rPr>
  </w:style>
  <w:style w:type="paragraph" w:styleId="4">
    <w:name w:val="heading 2"/>
    <w:basedOn w:val="1"/>
    <w:next w:val="1"/>
    <w:qFormat/>
    <w:uiPriority w:val="0"/>
    <w:pPr>
      <w:autoSpaceDE w:val="0"/>
      <w:autoSpaceDN w:val="0"/>
      <w:adjustRightInd w:val="0"/>
      <w:jc w:val="left"/>
      <w:outlineLvl w:val="1"/>
    </w:pPr>
    <w:rPr>
      <w:kern w:val="0"/>
    </w:rPr>
  </w:style>
  <w:style w:type="paragraph" w:styleId="5">
    <w:name w:val="heading 3"/>
    <w:basedOn w:val="1"/>
    <w:next w:val="1"/>
    <w:qFormat/>
    <w:uiPriority w:val="0"/>
    <w:pPr>
      <w:keepNext/>
      <w:keepLines/>
      <w:outlineLvl w:val="2"/>
    </w:pPr>
    <w:rPr>
      <w:b/>
      <w:kern w:val="2"/>
      <w:sz w:val="24"/>
    </w:rPr>
  </w:style>
  <w:style w:type="paragraph" w:styleId="2">
    <w:name w:val="heading 4"/>
    <w:basedOn w:val="1"/>
    <w:next w:val="1"/>
    <w:qFormat/>
    <w:uiPriority w:val="0"/>
    <w:pPr>
      <w:keepNext/>
      <w:keepLines/>
      <w:spacing w:before="280" w:beforeLines="0" w:beforeAutospacing="0" w:after="290" w:afterLines="0" w:afterAutospacing="0" w:line="374" w:lineRule="auto"/>
      <w:outlineLvl w:val="3"/>
    </w:pPr>
    <w:rPr>
      <w:rFonts w:ascii="Arial" w:hAnsi="Arial"/>
      <w:sz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1"/>
    <w:qFormat/>
    <w:uiPriority w:val="0"/>
  </w:style>
  <w:style w:type="paragraph" w:styleId="8">
    <w:name w:val="Body Text Indent"/>
    <w:basedOn w:val="1"/>
    <w:qFormat/>
    <w:uiPriority w:val="0"/>
    <w:pPr>
      <w:ind w:firstLine="560" w:firstLineChars="200"/>
    </w:pPr>
  </w:style>
  <w:style w:type="paragraph" w:styleId="9">
    <w:name w:val="toc 3"/>
    <w:basedOn w:val="1"/>
    <w:next w:val="1"/>
    <w:qFormat/>
    <w:uiPriority w:val="0"/>
    <w:pPr>
      <w:ind w:left="561"/>
      <w:jc w:val="left"/>
    </w:pPr>
    <w:rPr>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Body Text 2"/>
    <w:basedOn w:val="1"/>
    <w:next w:val="7"/>
    <w:qFormat/>
    <w:uiPriority w:val="0"/>
    <w:pPr>
      <w:spacing w:line="500" w:lineRule="exact"/>
    </w:pPr>
    <w:rPr>
      <w:rFonts w:ascii="宋体"/>
      <w:sz w:val="24"/>
    </w:rPr>
  </w:style>
  <w:style w:type="paragraph" w:styleId="14">
    <w:name w:val="Normal (Web)"/>
    <w:basedOn w:val="1"/>
    <w:qFormat/>
    <w:uiPriority w:val="0"/>
    <w:pPr>
      <w:widowControl/>
      <w:spacing w:beforeAutospacing="1" w:afterAutospacing="1"/>
      <w:jc w:val="left"/>
    </w:pPr>
    <w:rPr>
      <w:rFonts w:hAnsi="宋体" w:cs="宋体"/>
      <w:color w:val="000000"/>
      <w:kern w:val="0"/>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正文 New New"/>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customStyle="1" w:styleId="19">
    <w:name w:val="正文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0">
    <w:name w:val="正文 New"/>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customStyle="1" w:styleId="2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NormalCharacter"/>
    <w:semiHidden/>
    <w:qFormat/>
    <w:uiPriority w:val="0"/>
    <w:rPr>
      <w:rFonts w:ascii="宋体"/>
      <w:kern w:val="2"/>
      <w:sz w:val="24"/>
      <w:lang w:val="en-US" w:eastAsia="zh-CN" w:bidi="ar-SA"/>
    </w:rPr>
  </w:style>
  <w:style w:type="paragraph" w:customStyle="1" w:styleId="23">
    <w:name w:val="1111111"/>
    <w:basedOn w:val="20"/>
    <w:next w:val="20"/>
    <w:qFormat/>
    <w:uiPriority w:val="0"/>
    <w:pPr>
      <w:autoSpaceDE w:val="0"/>
      <w:autoSpaceDN w:val="0"/>
      <w:adjustRightInd w:val="0"/>
      <w:jc w:val="left"/>
      <w:outlineLvl w:val="1"/>
    </w:pPr>
    <w:rPr>
      <w:rFonts w:ascii="Times New Roman" w:hAnsi="Times New Roman" w:eastAsia="宋体"/>
      <w:kern w:val="0"/>
    </w:rPr>
  </w:style>
  <w:style w:type="paragraph" w:customStyle="1" w:styleId="24">
    <w:name w:val="标题 2 New New"/>
    <w:basedOn w:val="20"/>
    <w:next w:val="20"/>
    <w:qFormat/>
    <w:uiPriority w:val="0"/>
    <w:pPr>
      <w:autoSpaceDE w:val="0"/>
      <w:autoSpaceDN w:val="0"/>
      <w:adjustRightInd w:val="0"/>
      <w:jc w:val="left"/>
      <w:outlineLvl w:val="1"/>
    </w:pPr>
    <w:rPr>
      <w:kern w:val="0"/>
    </w:rPr>
  </w:style>
  <w:style w:type="paragraph" w:customStyle="1" w:styleId="25">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Bodoni MT" w:hAnsi="Bodoni MT" w:eastAsia="宋体" w:cs="Bodoni MT"/>
      <w:kern w:val="2"/>
      <w:sz w:val="21"/>
      <w:szCs w:val="24"/>
      <w:lang w:val="en-US" w:eastAsia="zh-CN" w:bidi="ar-SA"/>
    </w:rPr>
  </w:style>
  <w:style w:type="paragraph" w:customStyle="1" w:styleId="26">
    <w:name w:val="正文文本缩进 New New"/>
    <w:basedOn w:val="20"/>
    <w:qFormat/>
    <w:uiPriority w:val="0"/>
    <w:pPr>
      <w:ind w:firstLine="560" w:firstLineChars="200"/>
    </w:pPr>
  </w:style>
  <w:style w:type="paragraph" w:customStyle="1" w:styleId="27">
    <w:name w:val="样式 宋体 行距: 1.5 倍行距"/>
    <w:basedOn w:val="28"/>
    <w:next w:val="1"/>
    <w:qFormat/>
    <w:uiPriority w:val="0"/>
    <w:pPr>
      <w:jc w:val="center"/>
    </w:pPr>
    <w:rPr>
      <w:b/>
    </w:r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7"/>
    <w:qFormat/>
    <w:uiPriority w:val="0"/>
    <w:pPr>
      <w:widowControl w:val="0"/>
      <w:jc w:val="both"/>
    </w:pPr>
    <w:rPr>
      <w:rFonts w:ascii="Calibri" w:hAnsi="Calibri" w:eastAsia="宋体" w:cs="黑体"/>
      <w:kern w:val="2"/>
      <w:sz w:val="21"/>
      <w:szCs w:val="24"/>
      <w:lang w:val="en-US" w:eastAsia="zh-CN" w:bidi="ar-SA"/>
    </w:rPr>
  </w:style>
  <w:style w:type="paragraph" w:customStyle="1" w:styleId="29">
    <w:name w:val="正文文本 New"/>
    <w:basedOn w:val="20"/>
    <w:qFormat/>
    <w:uiPriority w:val="0"/>
  </w:style>
  <w:style w:type="paragraph" w:customStyle="1" w:styleId="30">
    <w:name w:val="正文 New New New New New New New New New New New New New New New New New New New New New New New New New New New New New New New New New New New New New New New New"/>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customStyle="1" w:styleId="31">
    <w:name w:val="正文1"/>
    <w:qFormat/>
    <w:uiPriority w:val="0"/>
    <w:pPr>
      <w:widowControl w:val="0"/>
      <w:spacing w:line="360" w:lineRule="auto"/>
      <w:jc w:val="both"/>
    </w:pPr>
    <w:rPr>
      <w:rFonts w:hint="eastAsia" w:ascii="宋体" w:hAnsi="Calibri" w:eastAsia="宋体" w:cs="Times New Roman"/>
      <w:kern w:val="2"/>
      <w:sz w:val="24"/>
      <w:lang w:val="en-US" w:eastAsia="zh-CN" w:bidi="ar-SA"/>
    </w:rPr>
  </w:style>
  <w:style w:type="paragraph" w:customStyle="1" w:styleId="32">
    <w:name w:val="Table Text"/>
    <w:basedOn w:val="1"/>
    <w:semiHidden/>
    <w:qFormat/>
    <w:uiPriority w:val="0"/>
    <w:rPr>
      <w:rFonts w:ascii="宋体" w:hAnsi="宋体" w:eastAsia="宋体" w:cs="宋体"/>
      <w:sz w:val="20"/>
      <w:szCs w:val="20"/>
      <w:lang w:val="en-US" w:eastAsia="en-US" w:bidi="ar-SA"/>
    </w:rPr>
  </w:style>
  <w:style w:type="paragraph" w:customStyle="1" w:styleId="33">
    <w:name w:val="正文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4">
    <w:name w:val="正文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5">
    <w:name w:val="Normal Indent1"/>
    <w:basedOn w:val="1"/>
    <w:qFormat/>
    <w:uiPriority w:val="0"/>
    <w:pPr>
      <w:widowControl/>
      <w:spacing w:line="360" w:lineRule="auto"/>
      <w:ind w:firstLine="420"/>
      <w:jc w:val="left"/>
    </w:pPr>
    <w:rPr>
      <w:rFonts w:ascii="宋体"/>
      <w:kern w:val="0"/>
      <w:sz w:val="20"/>
    </w:rPr>
  </w:style>
  <w:style w:type="paragraph" w:customStyle="1" w:styleId="36">
    <w:name w:val="普通(网站) New"/>
    <w:basedOn w:val="37"/>
    <w:qFormat/>
    <w:uiPriority w:val="0"/>
    <w:rPr>
      <w:sz w:val="24"/>
    </w:rPr>
  </w:style>
  <w:style w:type="paragraph" w:customStyle="1" w:styleId="37">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 New New New New New New New New New New New New New New New New New New New New New New New New New"/>
    <w:qFormat/>
    <w:uiPriority w:val="0"/>
    <w:pPr>
      <w:widowControl w:val="0"/>
      <w:spacing w:line="360" w:lineRule="auto"/>
      <w:jc w:val="both"/>
    </w:pPr>
    <w:rPr>
      <w:rFonts w:ascii="宋体" w:hAnsi="Times New Roman" w:eastAsia="宋体" w:cs="Times New Roman"/>
      <w:kern w:val="2"/>
      <w:sz w:val="24"/>
      <w:szCs w:val="24"/>
      <w:lang w:val="en-US" w:eastAsia="zh-CN" w:bidi="ar-SA"/>
    </w:rPr>
  </w:style>
  <w:style w:type="paragraph" w:customStyle="1" w:styleId="39">
    <w:name w:val="正文文本缩进 31"/>
    <w:basedOn w:val="1"/>
    <w:qFormat/>
    <w:uiPriority w:val="0"/>
    <w:pPr>
      <w:ind w:firstLine="570"/>
    </w:pPr>
    <w:rPr>
      <w:color w:val="0000FF"/>
      <w:kern w:val="0"/>
      <w:sz w:val="24"/>
      <w:u w:val="single"/>
    </w:rPr>
  </w:style>
  <w:style w:type="paragraph" w:customStyle="1" w:styleId="40">
    <w:name w:val="标题 3 New New"/>
    <w:basedOn w:val="41"/>
    <w:next w:val="41"/>
    <w:qFormat/>
    <w:uiPriority w:val="0"/>
    <w:pPr>
      <w:keepNext/>
      <w:keepLines/>
      <w:jc w:val="center"/>
      <w:outlineLvl w:val="2"/>
    </w:pPr>
    <w:rPr>
      <w:sz w:val="24"/>
    </w:rPr>
  </w:style>
  <w:style w:type="paragraph" w:customStyle="1" w:styleId="41">
    <w:name w:val="正文缩进 New"/>
    <w:basedOn w:val="42"/>
    <w:qFormat/>
    <w:uiPriority w:val="0"/>
    <w:pPr>
      <w:widowControl/>
      <w:ind w:firstLine="420"/>
      <w:jc w:val="left"/>
    </w:pPr>
    <w:rPr>
      <w:kern w:val="0"/>
      <w:sz w:val="20"/>
    </w:rPr>
  </w:style>
  <w:style w:type="paragraph" w:customStyle="1" w:styleId="42">
    <w:name w:val="正文 New New New New New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character" w:customStyle="1" w:styleId="43">
    <w:name w:val="YJ22 Char"/>
    <w:link w:val="44"/>
    <w:qFormat/>
    <w:uiPriority w:val="0"/>
    <w:rPr>
      <w:rFonts w:ascii="Times New Roman" w:hAnsi="宋体"/>
      <w:b/>
      <w:kern w:val="0"/>
      <w:sz w:val="20"/>
    </w:rPr>
  </w:style>
  <w:style w:type="paragraph" w:customStyle="1" w:styleId="44">
    <w:name w:val="YJ22"/>
    <w:basedOn w:val="20"/>
    <w:next w:val="20"/>
    <w:link w:val="43"/>
    <w:qFormat/>
    <w:uiPriority w:val="0"/>
    <w:pPr>
      <w:autoSpaceDE w:val="0"/>
      <w:autoSpaceDN w:val="0"/>
      <w:adjustRightInd w:val="0"/>
      <w:jc w:val="left"/>
      <w:outlineLvl w:val="1"/>
    </w:pPr>
    <w:rPr>
      <w:rFonts w:ascii="Times New Roman" w:hAnsi="宋体"/>
      <w:b/>
      <w:kern w:val="0"/>
      <w:sz w:val="20"/>
    </w:rPr>
  </w:style>
  <w:style w:type="paragraph" w:customStyle="1" w:styleId="45">
    <w:name w:val="正文文本缩进 New"/>
    <w:basedOn w:val="42"/>
    <w:qFormat/>
    <w:uiPriority w:val="0"/>
    <w:pPr>
      <w:ind w:firstLine="560" w:firstLineChars="200"/>
    </w:pPr>
  </w:style>
  <w:style w:type="paragraph" w:customStyle="1" w:styleId="46">
    <w:name w:val="正文文本缩进 New New New New"/>
    <w:basedOn w:val="47"/>
    <w:qFormat/>
    <w:uiPriority w:val="0"/>
    <w:pPr>
      <w:ind w:firstLine="560" w:firstLineChars="200"/>
    </w:pPr>
    <w:rPr>
      <w:szCs w:val="28"/>
    </w:rPr>
  </w:style>
  <w:style w:type="paragraph" w:customStyle="1" w:styleId="47">
    <w:name w:val="正文 New New New New New New New New New New New New New New New New New New New New New New New New New New New New New New New New New New"/>
    <w:qFormat/>
    <w:uiPriority w:val="0"/>
    <w:pPr>
      <w:widowControl w:val="0"/>
      <w:spacing w:line="360" w:lineRule="auto"/>
      <w:jc w:val="both"/>
    </w:pPr>
    <w:rPr>
      <w:rFonts w:ascii="宋体" w:hAnsi="Times New Roman" w:eastAsia="宋体" w:cs="Times New Roman"/>
      <w:kern w:val="2"/>
      <w:sz w:val="24"/>
      <w:szCs w:val="24"/>
      <w:lang w:val="en-US" w:eastAsia="zh-CN" w:bidi="ar-SA"/>
    </w:rPr>
  </w:style>
  <w:style w:type="paragraph" w:customStyle="1" w:styleId="48">
    <w:name w:val="正文 New New New New New"/>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customStyle="1" w:styleId="49">
    <w:name w:val="正文文本缩进 New New New New New New New New"/>
    <w:basedOn w:val="48"/>
    <w:qFormat/>
    <w:uiPriority w:val="0"/>
    <w:pPr>
      <w:ind w:left="420" w:leftChars="200"/>
    </w:pPr>
    <w:rPr>
      <w:szCs w:val="24"/>
    </w:rPr>
  </w:style>
  <w:style w:type="paragraph" w:customStyle="1" w:styleId="50">
    <w:name w:val="正文 New New New New New New New New New New New New New New New New New New New New New"/>
    <w:qFormat/>
    <w:uiPriority w:val="0"/>
    <w:pPr>
      <w:widowControl w:val="0"/>
      <w:spacing w:line="360" w:lineRule="auto"/>
      <w:jc w:val="both"/>
    </w:pPr>
    <w:rPr>
      <w:rFonts w:ascii="宋体" w:hAnsi="Times New Roman" w:eastAsia="宋体" w:cs="Times New Roman"/>
      <w:kern w:val="2"/>
      <w:sz w:val="24"/>
      <w:lang w:val="en-US" w:eastAsia="zh-CN" w:bidi="ar-SA"/>
    </w:rPr>
  </w:style>
  <w:style w:type="paragraph" w:customStyle="1" w:styleId="51">
    <w:name w:val="页脚 New"/>
    <w:basedOn w:val="20"/>
    <w:qFormat/>
    <w:uiPriority w:val="0"/>
    <w:pPr>
      <w:widowControl/>
      <w:tabs>
        <w:tab w:val="center" w:pos="4153"/>
        <w:tab w:val="right" w:pos="8306"/>
      </w:tabs>
      <w:snapToGrid w:val="0"/>
      <w:jc w:val="left"/>
    </w:pPr>
    <w:rPr>
      <w:kern w:val="0"/>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58699</Words>
  <Characters>62528</Characters>
  <Lines>0</Lines>
  <Paragraphs>0</Paragraphs>
  <TotalTime>50</TotalTime>
  <ScaleCrop>false</ScaleCrop>
  <LinksUpToDate>false</LinksUpToDate>
  <CharactersWithSpaces>68361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2024-06-07T02:03:00Z</dcterms:created>
  <dc:creator>明正</dc:creator>
  <cp:lastModifiedBy>明正</cp:lastModifiedBy>
  <cp:lastPrinted>2024-07-01T08:01:30Z</cp:lastPrinted>
  <dcterms:modified xsi:type="dcterms:W3CDTF">2024-07-01T08:57:32Z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C26AAF97EB1A49D0A99A69A6754D5D1B_11</vt:lpwstr>
  </property>
</Properties>
</file>